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165735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182880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5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480" w:right="340" w:hanging="459"/>
        <w:spacing w:after="0" w:line="303" w:lineRule="auto"/>
        <w:tabs>
          <w:tab w:leader="none" w:pos="4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2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33" w:lineRule="exact"/>
        <w:rPr>
          <w:sz w:val="24"/>
          <w:szCs w:val="24"/>
          <w:color w:val="auto"/>
        </w:rPr>
      </w:pPr>
    </w:p>
    <w:p>
      <w:pPr>
        <w:ind w:left="480" w:right="320" w:hanging="459"/>
        <w:spacing w:after="0" w:line="304" w:lineRule="auto"/>
        <w:tabs>
          <w:tab w:leader="none" w:pos="4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110490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CytomX Therapeutics, Inc.</w:t>
      </w:r>
    </w:p>
    <w:p>
      <w:pPr>
        <w:spacing w:after="0" w:line="6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800" w:type="dxa"/>
            <w:vAlign w:val="bottom"/>
          </w:tcPr>
          <w:p>
            <w:pPr>
              <w:jc w:val="center"/>
              <w:ind w:left="1759"/>
              <w:spacing w:after="0"/>
              <w:rPr>
                <w:sz w:val="20"/>
                <w:szCs w:val="20"/>
                <w:color w:val="auto"/>
              </w:rPr>
            </w:pPr>
            <w:r>
              <w:rPr>
                <w:rFonts w:ascii="Arial" w:cs="Arial" w:eastAsia="Arial" w:hAnsi="Arial"/>
                <w:sz w:val="18"/>
                <w:szCs w:val="18"/>
                <w:b w:val="1"/>
                <w:bCs w:val="1"/>
                <w:color w:val="auto"/>
                <w:w w:val="91"/>
              </w:rPr>
              <w:t>Delaware</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40" w:type="dxa"/>
            <w:vAlign w:val="bottom"/>
          </w:tcPr>
          <w:p>
            <w:pPr>
              <w:jc w:val="center"/>
              <w:ind w:right="1681"/>
              <w:spacing w:after="0"/>
              <w:rPr>
                <w:sz w:val="20"/>
                <w:szCs w:val="20"/>
                <w:color w:val="auto"/>
              </w:rPr>
            </w:pPr>
            <w:r>
              <w:rPr>
                <w:rFonts w:ascii="Arial" w:cs="Arial" w:eastAsia="Arial" w:hAnsi="Arial"/>
                <w:sz w:val="18"/>
                <w:szCs w:val="18"/>
                <w:b w:val="1"/>
                <w:bCs w:val="1"/>
                <w:color w:val="auto"/>
                <w:w w:val="89"/>
              </w:rPr>
              <w:t>27-3521219</w:t>
            </w:r>
          </w:p>
        </w:tc>
      </w:tr>
      <w:tr>
        <w:trPr>
          <w:trHeight w:val="192"/>
        </w:trPr>
        <w:tc>
          <w:tcPr>
            <w:tcW w:w="3800" w:type="dxa"/>
            <w:vAlign w:val="bottom"/>
          </w:tcPr>
          <w:p>
            <w:pPr>
              <w:jc w:val="center"/>
              <w:ind w:left="1759"/>
              <w:spacing w:after="0"/>
              <w:rPr>
                <w:sz w:val="20"/>
                <w:szCs w:val="20"/>
                <w:color w:val="auto"/>
              </w:rPr>
            </w:pPr>
            <w:r>
              <w:rPr>
                <w:rFonts w:ascii="Arial" w:cs="Arial" w:eastAsia="Arial" w:hAnsi="Arial"/>
                <w:sz w:val="14"/>
                <w:szCs w:val="14"/>
                <w:b w:val="1"/>
                <w:bCs w:val="1"/>
                <w:color w:val="auto"/>
                <w:w w:val="93"/>
              </w:rPr>
              <w:t>(State or other jurisdiction of</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40" w:type="dxa"/>
            <w:vAlign w:val="bottom"/>
          </w:tcPr>
          <w:p>
            <w:pPr>
              <w:jc w:val="center"/>
              <w:ind w:right="1681"/>
              <w:spacing w:after="0"/>
              <w:rPr>
                <w:sz w:val="20"/>
                <w:szCs w:val="20"/>
                <w:color w:val="auto"/>
              </w:rPr>
            </w:pPr>
            <w:r>
              <w:rPr>
                <w:rFonts w:ascii="Arial" w:cs="Arial" w:eastAsia="Arial" w:hAnsi="Arial"/>
                <w:sz w:val="14"/>
                <w:szCs w:val="14"/>
                <w:b w:val="1"/>
                <w:bCs w:val="1"/>
                <w:color w:val="auto"/>
                <w:w w:val="94"/>
              </w:rPr>
              <w:t>(I.R.S. Employer</w:t>
            </w:r>
          </w:p>
        </w:tc>
      </w:tr>
      <w:tr>
        <w:trPr>
          <w:trHeight w:val="185"/>
        </w:trPr>
        <w:tc>
          <w:tcPr>
            <w:tcW w:w="3800" w:type="dxa"/>
            <w:vAlign w:val="bottom"/>
          </w:tcPr>
          <w:p>
            <w:pPr>
              <w:jc w:val="center"/>
              <w:ind w:left="1759"/>
              <w:spacing w:after="0"/>
              <w:rPr>
                <w:sz w:val="20"/>
                <w:szCs w:val="20"/>
                <w:color w:val="auto"/>
              </w:rPr>
            </w:pPr>
            <w:r>
              <w:rPr>
                <w:rFonts w:ascii="Arial" w:cs="Arial" w:eastAsia="Arial" w:hAnsi="Arial"/>
                <w:sz w:val="14"/>
                <w:szCs w:val="14"/>
                <w:b w:val="1"/>
                <w:bCs w:val="1"/>
                <w:color w:val="auto"/>
                <w:w w:val="94"/>
              </w:rPr>
              <w:t>incorporation or organization)</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40" w:type="dxa"/>
            <w:vAlign w:val="bottom"/>
          </w:tcPr>
          <w:p>
            <w:pPr>
              <w:jc w:val="center"/>
              <w:ind w:right="1701"/>
              <w:spacing w:after="0"/>
              <w:rPr>
                <w:sz w:val="20"/>
                <w:szCs w:val="20"/>
                <w:color w:val="auto"/>
              </w:rPr>
            </w:pPr>
            <w:r>
              <w:rPr>
                <w:rFonts w:ascii="Arial" w:cs="Arial" w:eastAsia="Arial" w:hAnsi="Arial"/>
                <w:sz w:val="14"/>
                <w:szCs w:val="14"/>
                <w:b w:val="1"/>
                <w:bCs w:val="1"/>
                <w:color w:val="auto"/>
                <w:w w:val="94"/>
              </w:rPr>
              <w:t>Identification No.)</w:t>
            </w:r>
          </w:p>
        </w:tc>
      </w:tr>
      <w:tr>
        <w:trPr>
          <w:trHeight w:val="383"/>
        </w:trPr>
        <w:tc>
          <w:tcPr>
            <w:tcW w:w="3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2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89"/>
              </w:rPr>
              <w:t>151 Oyster Point Blvd., Suite 400</w:t>
            </w:r>
          </w:p>
        </w:tc>
        <w:tc>
          <w:tcPr>
            <w:tcW w:w="3740" w:type="dxa"/>
            <w:vAlign w:val="bottom"/>
          </w:tcPr>
          <w:p>
            <w:pPr>
              <w:spacing w:after="0"/>
              <w:rPr>
                <w:sz w:val="24"/>
                <w:szCs w:val="24"/>
                <w:color w:val="auto"/>
              </w:rPr>
            </w:pPr>
          </w:p>
        </w:tc>
      </w:tr>
      <w:tr>
        <w:trPr>
          <w:trHeight w:val="224"/>
        </w:trPr>
        <w:tc>
          <w:tcPr>
            <w:tcW w:w="3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88"/>
              </w:rPr>
              <w:t>South San Francisco, CA 94080</w:t>
            </w:r>
          </w:p>
        </w:tc>
        <w:tc>
          <w:tcPr>
            <w:tcW w:w="3740" w:type="dxa"/>
            <w:vAlign w:val="bottom"/>
          </w:tcPr>
          <w:p>
            <w:pPr>
              <w:spacing w:after="0"/>
              <w:rPr>
                <w:sz w:val="19"/>
                <w:szCs w:val="19"/>
                <w:color w:val="auto"/>
              </w:rPr>
            </w:pPr>
          </w:p>
        </w:tc>
      </w:tr>
      <w:tr>
        <w:trPr>
          <w:trHeight w:val="179"/>
        </w:trPr>
        <w:tc>
          <w:tcPr>
            <w:tcW w:w="3800" w:type="dxa"/>
            <w:vAlign w:val="bottom"/>
          </w:tcPr>
          <w:p>
            <w:pPr>
              <w:spacing w:after="0"/>
              <w:rPr>
                <w:sz w:val="15"/>
                <w:szCs w:val="15"/>
                <w:color w:val="auto"/>
              </w:rPr>
            </w:pPr>
          </w:p>
        </w:tc>
        <w:tc>
          <w:tcPr>
            <w:tcW w:w="37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740" w:type="dxa"/>
            <w:vAlign w:val="bottom"/>
          </w:tcPr>
          <w:p>
            <w:pPr>
              <w:spacing w:after="0"/>
              <w:rPr>
                <w:sz w:val="15"/>
                <w:szCs w:val="15"/>
                <w:color w:val="auto"/>
              </w:rPr>
            </w:pPr>
          </w:p>
        </w:tc>
      </w:tr>
      <w:tr>
        <w:trPr>
          <w:trHeight w:val="224"/>
        </w:trPr>
        <w:tc>
          <w:tcPr>
            <w:tcW w:w="3800" w:type="dxa"/>
            <w:vAlign w:val="bottom"/>
          </w:tcPr>
          <w:p>
            <w:pPr>
              <w:spacing w:after="0"/>
              <w:rPr>
                <w:sz w:val="19"/>
                <w:szCs w:val="19"/>
                <w:color w:val="auto"/>
              </w:rPr>
            </w:pPr>
          </w:p>
        </w:tc>
        <w:tc>
          <w:tcPr>
            <w:tcW w:w="2940" w:type="dxa"/>
            <w:vAlign w:val="bottom"/>
            <w:gridSpan w:val="4"/>
          </w:tcPr>
          <w:p>
            <w:pPr>
              <w:jc w:val="center"/>
              <w:ind w:left="582"/>
              <w:spacing w:after="0"/>
              <w:rPr>
                <w:sz w:val="20"/>
                <w:szCs w:val="20"/>
                <w:color w:val="auto"/>
              </w:rPr>
            </w:pPr>
            <w:r>
              <w:rPr>
                <w:rFonts w:ascii="Arial" w:cs="Arial" w:eastAsia="Arial" w:hAnsi="Arial"/>
                <w:sz w:val="18"/>
                <w:szCs w:val="18"/>
                <w:b w:val="1"/>
                <w:bCs w:val="1"/>
                <w:color w:val="auto"/>
                <w:w w:val="90"/>
              </w:rPr>
              <w:t>(650) 515-3185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185"/>
        </w:trPr>
        <w:tc>
          <w:tcPr>
            <w:tcW w:w="3800" w:type="dxa"/>
            <w:vAlign w:val="bottom"/>
          </w:tcPr>
          <w:p>
            <w:pPr>
              <w:spacing w:after="0"/>
              <w:rPr>
                <w:sz w:val="16"/>
                <w:szCs w:val="16"/>
                <w:color w:val="auto"/>
              </w:rPr>
            </w:pPr>
          </w:p>
        </w:tc>
        <w:tc>
          <w:tcPr>
            <w:tcW w:w="370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40" w:type="dxa"/>
            <w:vAlign w:val="bottom"/>
          </w:tcPr>
          <w:p>
            <w:pPr>
              <w:spacing w:after="0"/>
              <w:rPr>
                <w:sz w:val="16"/>
                <w:szCs w:val="16"/>
                <w:color w:val="auto"/>
              </w:rPr>
            </w:pPr>
          </w:p>
        </w:tc>
      </w:tr>
      <w:tr>
        <w:trPr>
          <w:trHeight w:val="173"/>
        </w:trPr>
        <w:tc>
          <w:tcPr>
            <w:tcW w:w="42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328"/>
        </w:trPr>
        <w:tc>
          <w:tcPr>
            <w:tcW w:w="750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40" w:type="dxa"/>
            <w:vAlign w:val="bottom"/>
          </w:tcPr>
          <w:p>
            <w:pPr>
              <w:spacing w:after="0"/>
              <w:rPr>
                <w:sz w:val="24"/>
                <w:szCs w:val="24"/>
                <w:color w:val="auto"/>
              </w:rPr>
            </w:pPr>
          </w:p>
        </w:tc>
      </w:tr>
      <w:tr>
        <w:trPr>
          <w:trHeight w:val="222"/>
        </w:trPr>
        <w:tc>
          <w:tcPr>
            <w:tcW w:w="380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w w:val="88"/>
              </w:rPr>
              <w:t>Title of each class</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Trading Symbol(s)</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jc w:val="center"/>
              <w:ind w:right="421"/>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9"/>
        </w:trPr>
        <w:tc>
          <w:tcPr>
            <w:tcW w:w="3800" w:type="dxa"/>
            <w:vAlign w:val="bottom"/>
          </w:tcPr>
          <w:p>
            <w:pPr>
              <w:jc w:val="center"/>
              <w:ind w:left="379"/>
              <w:spacing w:after="0"/>
              <w:rPr>
                <w:sz w:val="20"/>
                <w:szCs w:val="20"/>
                <w:color w:val="auto"/>
              </w:rPr>
            </w:pPr>
            <w:r>
              <w:rPr>
                <w:rFonts w:ascii="Arial" w:cs="Arial" w:eastAsia="Arial" w:hAnsi="Arial"/>
                <w:sz w:val="16"/>
                <w:szCs w:val="16"/>
                <w:color w:val="auto"/>
                <w:w w:val="89"/>
              </w:rPr>
              <w:t>Common Stock, $0.00001 par value per share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4"/>
          </w:tcPr>
          <w:p>
            <w:pPr>
              <w:jc w:val="center"/>
              <w:ind w:right="720"/>
              <w:spacing w:after="0"/>
              <w:rPr>
                <w:sz w:val="20"/>
                <w:szCs w:val="20"/>
                <w:color w:val="auto"/>
              </w:rPr>
            </w:pPr>
            <w:r>
              <w:rPr>
                <w:rFonts w:ascii="Arial" w:cs="Arial" w:eastAsia="Arial" w:hAnsi="Arial"/>
                <w:sz w:val="16"/>
                <w:szCs w:val="16"/>
                <w:color w:val="auto"/>
              </w:rPr>
              <w:t>CTMX</w:t>
            </w:r>
          </w:p>
        </w:tc>
        <w:tc>
          <w:tcPr>
            <w:tcW w:w="3740" w:type="dxa"/>
            <w:vAlign w:val="bottom"/>
          </w:tcPr>
          <w:p>
            <w:pPr>
              <w:jc w:val="center"/>
              <w:ind w:right="421"/>
              <w:spacing w:after="0"/>
              <w:rPr>
                <w:sz w:val="20"/>
                <w:szCs w:val="20"/>
                <w:color w:val="auto"/>
              </w:rPr>
            </w:pPr>
            <w:r>
              <w:rPr>
                <w:rFonts w:ascii="Arial" w:cs="Arial" w:eastAsia="Arial" w:hAnsi="Arial"/>
                <w:sz w:val="16"/>
                <w:szCs w:val="16"/>
                <w:color w:val="auto"/>
                <w:w w:val="92"/>
              </w:rPr>
              <w:t>Nasdaq Global Select Market</w:t>
            </w:r>
          </w:p>
        </w:tc>
      </w:tr>
    </w:tbl>
    <w:p>
      <w:pPr>
        <w:spacing w:after="0" w:line="126" w:lineRule="exact"/>
        <w:rPr>
          <w:sz w:val="24"/>
          <w:szCs w:val="24"/>
          <w:color w:val="auto"/>
        </w:rPr>
      </w:pPr>
    </w:p>
    <w:p>
      <w:pPr>
        <w:jc w:val="both"/>
        <w:ind w:right="60"/>
        <w:spacing w:after="0" w:line="235" w:lineRule="exact"/>
        <w:rPr>
          <w:sz w:val="20"/>
          <w:szCs w:val="20"/>
          <w:color w:val="auto"/>
        </w:rPr>
      </w:pPr>
      <w:r>
        <w:rPr>
          <w:rFonts w:ascii="Arial" w:cs="Arial" w:eastAsia="Arial" w:hAnsi="Arial"/>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ind w:right="180"/>
        <w:spacing w:after="0" w:line="23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2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3"/>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89"/>
        </w:trPr>
        <w:tc>
          <w:tcPr>
            <w:tcW w:w="3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0" w:lineRule="exact"/>
        <w:rPr>
          <w:sz w:val="24"/>
          <w:szCs w:val="24"/>
          <w:color w:val="auto"/>
        </w:rPr>
      </w:pPr>
    </w:p>
    <w:p>
      <w:pPr>
        <w:ind w:right="4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760"/>
        <w:spacing w:after="0" w:line="29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31, 2021, the registrant had 65,249,116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32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77470</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294640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SEPTEMBER 30, 2021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20" w:type="dxa"/>
            <w:vAlign w:val="bottom"/>
            <w:gridSpan w:val="9"/>
          </w:tcPr>
          <w:p>
            <w:pPr>
              <w:jc w:val="center"/>
              <w:ind w:right="1740"/>
              <w:spacing w:after="0"/>
              <w:rPr>
                <w:sz w:val="20"/>
                <w:szCs w:val="20"/>
                <w:color w:val="auto"/>
              </w:rPr>
            </w:pPr>
            <w:r>
              <w:rPr>
                <w:rFonts w:ascii="Arial" w:cs="Arial" w:eastAsia="Arial" w:hAnsi="Arial"/>
                <w:sz w:val="18"/>
                <w:szCs w:val="18"/>
                <w:b w:val="1"/>
                <w:bCs w:val="1"/>
                <w:color w:val="auto"/>
              </w:rPr>
              <w:t>PART I – FINANCIAL INFORMATION</w:t>
            </w:r>
          </w:p>
        </w:tc>
        <w:tc>
          <w:tcPr>
            <w:tcW w:w="1980" w:type="dxa"/>
            <w:vAlign w:val="bottom"/>
          </w:tcPr>
          <w:p>
            <w:pPr>
              <w:spacing w:after="0"/>
              <w:rPr>
                <w:sz w:val="20"/>
                <w:szCs w:val="20"/>
                <w:color w:val="auto"/>
              </w:rPr>
            </w:pPr>
          </w:p>
        </w:tc>
      </w:tr>
      <w:tr>
        <w:trPr>
          <w:trHeight w:val="496"/>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22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Financial Statements (Unaudited)</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tcBorders>
              <w:top w:val="single" w:sz="8" w:color="0000FF"/>
            </w:tcBorders>
            <w:gridSpan w:val="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Balance Sheets</w:t>
              </w:r>
            </w:hyperlink>
          </w:p>
        </w:tc>
        <w:tc>
          <w:tcPr>
            <w:tcW w:w="4980" w:type="dxa"/>
            <w:vAlign w:val="bottom"/>
            <w:gridSpan w:val="8"/>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2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Statements of Operations and Comprehensive Loss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5"/>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Statements of Stockholders’ Equity</w:t>
              </w:r>
            </w:hyperlink>
          </w:p>
        </w:tc>
        <w:tc>
          <w:tcPr>
            <w:tcW w:w="1120" w:type="dxa"/>
            <w:vAlign w:val="bottom"/>
            <w:tcBorders>
              <w:top w:val="single" w:sz="8" w:color="0000FF"/>
            </w:tcBorders>
            <w:gridSpan w:val="5"/>
          </w:tcPr>
          <w:p>
            <w:pPr>
              <w:spacing w:after="0"/>
              <w:rPr>
                <w:sz w:val="20"/>
                <w:szCs w:val="20"/>
                <w:color w:val="auto"/>
              </w:rPr>
            </w:pPr>
          </w:p>
        </w:tc>
        <w:tc>
          <w:tcPr>
            <w:tcW w:w="3720" w:type="dxa"/>
            <w:vAlign w:val="bottom"/>
            <w:gridSpan w:val="2"/>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6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2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Statements of Cash Flows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Financial Statements (Unaudited)</w:t>
              </w:r>
            </w:hyperlink>
          </w:p>
        </w:tc>
        <w:tc>
          <w:tcPr>
            <w:tcW w:w="20" w:type="dxa"/>
            <w:vAlign w:val="bottom"/>
            <w:tcBorders>
              <w:bottom w:val="single" w:sz="8" w:color="0000EE"/>
            </w:tcBorders>
          </w:tcPr>
          <w:p>
            <w:pPr>
              <w:spacing w:after="0"/>
              <w:rPr>
                <w:sz w:val="24"/>
                <w:szCs w:val="24"/>
                <w:color w:val="auto"/>
              </w:rPr>
            </w:pPr>
          </w:p>
        </w:tc>
        <w:tc>
          <w:tcPr>
            <w:tcW w:w="4300" w:type="dxa"/>
            <w:vAlign w:val="bottom"/>
            <w:gridSpan w:val="5"/>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56"/>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2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c>
          <w:tcPr>
            <w:tcW w:w="18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56"/>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Quantitative and Qualitative Disclosures About Market Risk</w:t>
              </w:r>
            </w:hyperlink>
          </w:p>
        </w:tc>
        <w:tc>
          <w:tcPr>
            <w:tcW w:w="3880" w:type="dxa"/>
            <w:vAlign w:val="bottom"/>
            <w:gridSpan w:val="3"/>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56"/>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220" w:type="dxa"/>
            <w:vAlign w:val="bottom"/>
            <w:gridSpan w:val="1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55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gridSpan w:val="9"/>
          </w:tcPr>
          <w:p>
            <w:pPr>
              <w:jc w:val="center"/>
              <w:ind w:right="1720"/>
              <w:spacing w:after="0"/>
              <w:rPr>
                <w:sz w:val="20"/>
                <w:szCs w:val="20"/>
                <w:color w:val="auto"/>
              </w:rPr>
            </w:pPr>
            <w:r>
              <w:rPr>
                <w:rFonts w:ascii="Arial" w:cs="Arial" w:eastAsia="Arial" w:hAnsi="Arial"/>
                <w:sz w:val="18"/>
                <w:szCs w:val="18"/>
                <w:b w:val="1"/>
                <w:bCs w:val="1"/>
                <w:color w:val="auto"/>
              </w:rPr>
              <w:t>PART II – OTHER INFORMATION</w:t>
            </w:r>
          </w:p>
        </w:tc>
        <w:tc>
          <w:tcPr>
            <w:tcW w:w="1980" w:type="dxa"/>
            <w:vAlign w:val="bottom"/>
          </w:tcPr>
          <w:p>
            <w:pPr>
              <w:spacing w:after="0"/>
              <w:rPr>
                <w:sz w:val="24"/>
                <w:szCs w:val="24"/>
                <w:color w:val="auto"/>
              </w:rPr>
            </w:pPr>
          </w:p>
        </w:tc>
      </w:tr>
      <w:tr>
        <w:trPr>
          <w:trHeight w:val="496"/>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220" w:type="dxa"/>
            <w:vAlign w:val="bottom"/>
            <w:gridSpan w:val="1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56"/>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Risk Factors</w:t>
              </w:r>
            </w:hyperlink>
          </w:p>
        </w:tc>
        <w:tc>
          <w:tcPr>
            <w:tcW w:w="6900" w:type="dxa"/>
            <w:vAlign w:val="bottom"/>
            <w:gridSpan w:val="13"/>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220" w:type="dxa"/>
            <w:vAlign w:val="bottom"/>
            <w:gridSpan w:val="17"/>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Unregistered Sales of Equity Securities and Use of Proceeds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56"/>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0"/>
              </w:rPr>
            </w:pPr>
            <w:hyperlink w:anchor="page73">
              <w:r>
                <w:rPr>
                  <w:rFonts w:ascii="Arial" w:cs="Arial" w:eastAsia="Arial" w:hAnsi="Arial"/>
                  <w:sz w:val="18"/>
                  <w:szCs w:val="18"/>
                  <w:color w:val="0000FF"/>
                  <w:w w:val="90"/>
                </w:rPr>
                <w:t>Defaults Upon Senior Securities</w:t>
              </w:r>
            </w:hyperlink>
          </w:p>
        </w:tc>
        <w:tc>
          <w:tcPr>
            <w:tcW w:w="2000" w:type="dxa"/>
            <w:vAlign w:val="bottom"/>
            <w:tcBorders>
              <w:top w:val="single" w:sz="8" w:color="0000FF"/>
            </w:tcBorders>
            <w:gridSpan w:val="6"/>
          </w:tcPr>
          <w:p>
            <w:pPr>
              <w:spacing w:after="0"/>
              <w:rPr>
                <w:sz w:val="24"/>
                <w:szCs w:val="24"/>
                <w:color w:val="auto"/>
              </w:rPr>
            </w:pPr>
          </w:p>
        </w:tc>
        <w:tc>
          <w:tcPr>
            <w:tcW w:w="3900" w:type="dxa"/>
            <w:vAlign w:val="bottom"/>
            <w:gridSpan w:val="4"/>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56"/>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73">
              <w:r>
                <w:rPr>
                  <w:rFonts w:ascii="Arial" w:cs="Arial" w:eastAsia="Arial" w:hAnsi="Arial"/>
                  <w:sz w:val="18"/>
                  <w:szCs w:val="18"/>
                  <w:color w:val="0000FF"/>
                  <w:w w:val="90"/>
                </w:rPr>
                <w:t>Mine Safety Disclosures</w:t>
              </w:r>
            </w:hyperlink>
          </w:p>
        </w:tc>
        <w:tc>
          <w:tcPr>
            <w:tcW w:w="6460" w:type="dxa"/>
            <w:vAlign w:val="bottom"/>
            <w:gridSpan w:val="12"/>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56"/>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220" w:type="dxa"/>
            <w:vAlign w:val="bottom"/>
            <w:gridSpan w:val="17"/>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Other Information</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56"/>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3"/>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Exhibits</w:t>
              </w:r>
            </w:hyperlink>
          </w:p>
        </w:tc>
        <w:tc>
          <w:tcPr>
            <w:tcW w:w="6920" w:type="dxa"/>
            <w:vAlign w:val="bottom"/>
            <w:gridSpan w:val="14"/>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5"/>
        </w:trPr>
        <w:tc>
          <w:tcPr>
            <w:tcW w:w="20" w:type="dxa"/>
            <w:vAlign w:val="bottom"/>
          </w:tcPr>
          <w:p>
            <w:pPr>
              <w:spacing w:after="0"/>
              <w:rPr>
                <w:sz w:val="20"/>
                <w:szCs w:val="20"/>
                <w:color w:val="auto"/>
              </w:rPr>
            </w:pPr>
          </w:p>
        </w:tc>
        <w:tc>
          <w:tcPr>
            <w:tcW w:w="1020" w:type="dxa"/>
            <w:vAlign w:val="bottom"/>
            <w:gridSpan w:val="2"/>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70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20" w:type="dxa"/>
            <w:vAlign w:val="bottom"/>
            <w:gridSpan w:val="16"/>
          </w:tcPr>
          <w:p>
            <w:pPr>
              <w:jc w:val="center"/>
              <w:ind w:left="2651"/>
              <w:spacing w:after="0"/>
              <w:rPr>
                <w:sz w:val="20"/>
                <w:szCs w:val="20"/>
                <w:color w:val="auto"/>
              </w:rPr>
            </w:pPr>
            <w:r>
              <w:rPr>
                <w:rFonts w:ascii="Arial" w:cs="Arial" w:eastAsia="Arial" w:hAnsi="Arial"/>
                <w:sz w:val="18"/>
                <w:szCs w:val="18"/>
                <w:color w:val="auto"/>
                <w:w w:val="79"/>
              </w:rPr>
              <w:t>2</w:t>
            </w:r>
          </w:p>
        </w:tc>
        <w:tc>
          <w:tcPr>
            <w:tcW w:w="18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3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3" w:lineRule="exact"/>
        <w:rPr>
          <w:sz w:val="20"/>
          <w:szCs w:val="20"/>
          <w:color w:val="auto"/>
        </w:rPr>
      </w:pPr>
    </w:p>
    <w:p>
      <w:pPr>
        <w:ind w:right="100"/>
        <w:spacing w:after="0" w:line="356"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45" w:lineRule="exact"/>
        <w:rPr>
          <w:sz w:val="20"/>
          <w:szCs w:val="20"/>
          <w:color w:val="auto"/>
        </w:rPr>
      </w:pPr>
    </w:p>
    <w:p>
      <w:pPr>
        <w:ind w:left="960" w:right="280"/>
        <w:spacing w:after="0" w:line="321" w:lineRule="auto"/>
        <w:rPr>
          <w:sz w:val="20"/>
          <w:szCs w:val="20"/>
          <w:color w:val="auto"/>
        </w:rPr>
      </w:pPr>
      <w:r>
        <w:rPr>
          <w:rFonts w:ascii="Arial" w:cs="Arial" w:eastAsia="Arial" w:hAnsi="Arial"/>
          <w:sz w:val="17"/>
          <w:szCs w:val="17"/>
          <w:color w:val="auto"/>
        </w:rPr>
        <w:t>the extent to which the COVID-19 pandemic and related governmental regulations and restrictions may impact our business, including our research, clinical trials, including ongoing site initiation and patient enrollment, manufacturing and financial condition;</w:t>
      </w:r>
    </w:p>
    <w:p>
      <w:pPr>
        <w:spacing w:after="0" w:line="68" w:lineRule="exact"/>
        <w:rPr>
          <w:sz w:val="20"/>
          <w:szCs w:val="20"/>
          <w:color w:val="auto"/>
        </w:rPr>
      </w:pPr>
    </w:p>
    <w:p>
      <w:pPr>
        <w:ind w:left="960" w:right="480"/>
        <w:spacing w:after="0" w:line="290" w:lineRule="auto"/>
        <w:rPr>
          <w:sz w:val="20"/>
          <w:szCs w:val="20"/>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90" w:lineRule="exact"/>
        <w:rPr>
          <w:sz w:val="20"/>
          <w:szCs w:val="20"/>
          <w:color w:val="auto"/>
        </w:rPr>
      </w:pPr>
    </w:p>
    <w:p>
      <w:pPr>
        <w:ind w:left="960" w:right="240"/>
        <w:spacing w:after="0" w:line="277" w:lineRule="auto"/>
        <w:rPr>
          <w:sz w:val="20"/>
          <w:szCs w:val="20"/>
          <w:color w:val="auto"/>
        </w:rPr>
      </w:pPr>
      <w:r>
        <w:rPr>
          <w:rFonts w:ascii="Arial" w:cs="Arial" w:eastAsia="Arial" w:hAnsi="Arial"/>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102" w:lineRule="exact"/>
        <w:rPr>
          <w:sz w:val="20"/>
          <w:szCs w:val="20"/>
          <w:color w:val="auto"/>
        </w:rPr>
      </w:pPr>
    </w:p>
    <w:p>
      <w:pPr>
        <w:ind w:left="960" w:right="960"/>
        <w:spacing w:after="0" w:line="420" w:lineRule="auto"/>
        <w:rPr>
          <w:sz w:val="20"/>
          <w:szCs w:val="20"/>
          <w:color w:val="auto"/>
        </w:rPr>
      </w:pPr>
      <w:r>
        <w:rPr>
          <w:rFonts w:ascii="Arial" w:cs="Arial" w:eastAsia="Arial" w:hAnsi="Arial"/>
          <w:sz w:val="18"/>
          <w:szCs w:val="18"/>
          <w:color w:val="auto"/>
        </w:rPr>
        <w:t>the timing of the completion of our ongoing clinical trials and the timing and availability of clinical data from such clinical trials; our ability to identify and develop additional product candidates;</w:t>
      </w:r>
    </w:p>
    <w:p>
      <w:pPr>
        <w:ind w:left="960" w:right="920"/>
        <w:spacing w:after="0" w:line="290" w:lineRule="auto"/>
        <w:rPr>
          <w:sz w:val="20"/>
          <w:szCs w:val="20"/>
          <w:color w:val="auto"/>
        </w:rPr>
      </w:pPr>
      <w:r>
        <w:rPr>
          <w:rFonts w:ascii="Arial" w:cs="Arial" w:eastAsia="Arial" w:hAnsi="Arial"/>
          <w:sz w:val="18"/>
          <w:szCs w:val="18"/>
          <w:color w:val="auto"/>
        </w:rPr>
        <w:t>our dependence on collaborators for developing, obtaining regulatory approval for and commercializing product candidates in the collaboration;</w:t>
      </w:r>
    </w:p>
    <w:p>
      <w:pPr>
        <w:spacing w:after="0" w:line="9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15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receipt and timing of any milestone payments or royalties under any research collaboration and license agreements or arrangements;</w:t>
      </w:r>
    </w:p>
    <w:p>
      <w:pPr>
        <w:spacing w:after="0" w:line="17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expectations and beliefs regarding the evolution of the market for cancer therapies and development of the immuno-oncology industry;</w:t>
      </w:r>
    </w:p>
    <w:p>
      <w:pPr>
        <w:spacing w:after="0" w:line="17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rate and degree of market acceptance of any approved product candidates;</w:t>
      </w:r>
    </w:p>
    <w:p>
      <w:pPr>
        <w:spacing w:after="0" w:line="15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commercialization of any approved product candidates;</w:t>
      </w:r>
    </w:p>
    <w:p>
      <w:pPr>
        <w:spacing w:after="0" w:line="15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ability to establish and maintain collaborations and retain commercial rights for our product candidates in such collaborations;</w:t>
      </w:r>
    </w:p>
    <w:p>
      <w:pPr>
        <w:spacing w:after="0" w:line="16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15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estimates of our expenses, ongoing losses, future revenue and capital requirements;</w:t>
      </w:r>
    </w:p>
    <w:p>
      <w:pPr>
        <w:spacing w:after="0" w:line="15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obtain additional funds for our operations;</w:t>
      </w:r>
    </w:p>
    <w:p>
      <w:pPr>
        <w:spacing w:after="0" w:line="155" w:lineRule="exact"/>
        <w:rPr>
          <w:sz w:val="20"/>
          <w:szCs w:val="20"/>
          <w:color w:val="auto"/>
        </w:rPr>
      </w:pPr>
    </w:p>
    <w:p>
      <w:pPr>
        <w:ind w:left="960" w:right="260"/>
        <w:spacing w:after="0" w:line="290" w:lineRule="auto"/>
        <w:rPr>
          <w:sz w:val="20"/>
          <w:szCs w:val="20"/>
          <w:color w:val="auto"/>
        </w:rPr>
      </w:pPr>
      <w:r>
        <w:rPr>
          <w:rFonts w:ascii="Arial" w:cs="Arial" w:eastAsia="Arial" w:hAnsi="Arial"/>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9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reliance on third parties to conduct our preclinical studies or any future clinical trials;</w:t>
      </w:r>
    </w:p>
    <w:p>
      <w:pPr>
        <w:spacing w:after="0" w:line="155" w:lineRule="exact"/>
        <w:rPr>
          <w:sz w:val="20"/>
          <w:szCs w:val="20"/>
          <w:color w:val="auto"/>
        </w:rPr>
      </w:pPr>
    </w:p>
    <w:p>
      <w:pPr>
        <w:ind w:left="960" w:right="100"/>
        <w:spacing w:after="0" w:line="290" w:lineRule="auto"/>
        <w:rPr>
          <w:sz w:val="20"/>
          <w:szCs w:val="20"/>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9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attract and retain qualified key management and technical personnel;</w:t>
      </w: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48" w:right="419" w:bottom="1440" w:gutter="0" w:footer="0" w:header="0"/>
        </w:sectPr>
      </w:pPr>
    </w:p>
    <w:bookmarkStart w:id="3" w:name="page4"/>
    <w:bookmarkEnd w:id="3"/>
    <w:p>
      <w:pPr>
        <w:ind w:left="960"/>
        <w:spacing w:after="0"/>
        <w:rPr>
          <w:sz w:val="20"/>
          <w:szCs w:val="20"/>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5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financial performance; and</w:t>
      </w:r>
    </w:p>
    <w:p>
      <w:pPr>
        <w:spacing w:after="0" w:line="15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developments relating to our competitors or our industry.</w:t>
      </w:r>
    </w:p>
    <w:p>
      <w:pPr>
        <w:spacing w:after="0" w:line="2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4"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62"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Except where the context otherwise requires, in this Quarterly Report on Form 10-Q, “we,” “us,” “our” and the “Company” refer to CytomX Therapeutics,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33" w:lineRule="exact"/>
        <w:rPr>
          <w:sz w:val="20"/>
          <w:szCs w:val="20"/>
          <w:color w:val="auto"/>
        </w:rPr>
      </w:pPr>
    </w:p>
    <w:p>
      <w:pPr>
        <w:ind w:right="160"/>
        <w:spacing w:after="0" w:line="290" w:lineRule="auto"/>
        <w:rPr>
          <w:sz w:val="20"/>
          <w:szCs w:val="20"/>
          <w:color w:val="auto"/>
        </w:rPr>
      </w:pPr>
      <w:r>
        <w:rPr>
          <w:rFonts w:ascii="Arial" w:cs="Arial" w:eastAsia="Arial" w:hAnsi="Arial"/>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(Unaudited)</w:t>
      </w:r>
    </w:p>
    <w:p>
      <w:pPr>
        <w:spacing w:after="0" w:line="23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CONDENSED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6"/>
                <w:szCs w:val="16"/>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207"/>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5"/>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6"/>
                <w:szCs w:val="16"/>
                <w:color w:val="auto"/>
              </w:rPr>
            </w:pPr>
          </w:p>
        </w:tc>
        <w:tc>
          <w:tcPr>
            <w:tcW w:w="1360" w:type="dxa"/>
            <w:vAlign w:val="bottom"/>
          </w:tcPr>
          <w:p>
            <w:pPr>
              <w:jc w:val="right"/>
              <w:ind w:right="632"/>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r>
      <w:tr>
        <w:trPr>
          <w:trHeight w:val="261"/>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8"/>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2"/>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236,284</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191,859</w:t>
            </w:r>
          </w:p>
        </w:tc>
        <w:tc>
          <w:tcPr>
            <w:tcW w:w="100" w:type="dxa"/>
            <w:vAlign w:val="bottom"/>
            <w:shd w:val="clear" w:color="auto" w:fill="CFF0FC"/>
          </w:tcPr>
          <w:p>
            <w:pPr>
              <w:spacing w:after="0"/>
              <w:rPr>
                <w:sz w:val="22"/>
                <w:szCs w:val="22"/>
                <w:color w:val="auto"/>
              </w:rPr>
            </w:pPr>
          </w:p>
        </w:tc>
      </w:tr>
      <w:tr>
        <w:trPr>
          <w:trHeight w:val="248"/>
        </w:trPr>
        <w:tc>
          <w:tcPr>
            <w:tcW w:w="76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124,260</w:t>
            </w:r>
          </w:p>
        </w:tc>
        <w:tc>
          <w:tcPr>
            <w:tcW w:w="100" w:type="dxa"/>
            <w:vAlign w:val="bottom"/>
          </w:tcPr>
          <w:p>
            <w:pPr>
              <w:spacing w:after="0"/>
              <w:rPr>
                <w:sz w:val="21"/>
                <w:szCs w:val="21"/>
                <w:color w:val="auto"/>
              </w:rPr>
            </w:pPr>
          </w:p>
        </w:tc>
      </w:tr>
      <w:tr>
        <w:trPr>
          <w:trHeight w:val="262"/>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FF0FC"/>
          </w:tcPr>
          <w:p>
            <w:pPr>
              <w:spacing w:after="0"/>
              <w:rPr>
                <w:sz w:val="22"/>
                <w:szCs w:val="22"/>
                <w:color w:val="auto"/>
              </w:rPr>
            </w:pPr>
          </w:p>
        </w:tc>
      </w:tr>
      <w:tr>
        <w:trPr>
          <w:trHeight w:val="248"/>
        </w:trPr>
        <w:tc>
          <w:tcPr>
            <w:tcW w:w="76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Pr>
          <w:p>
            <w:pPr>
              <w:spacing w:after="0"/>
              <w:rPr>
                <w:sz w:val="21"/>
                <w:szCs w:val="21"/>
                <w:color w:val="auto"/>
              </w:rPr>
            </w:pPr>
          </w:p>
        </w:tc>
      </w:tr>
      <w:tr>
        <w:trPr>
          <w:trHeight w:val="255"/>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240,998</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324,013</w:t>
            </w:r>
          </w:p>
        </w:tc>
        <w:tc>
          <w:tcPr>
            <w:tcW w:w="100" w:type="dxa"/>
            <w:vAlign w:val="bottom"/>
            <w:shd w:val="clear" w:color="auto" w:fill="CFF0FC"/>
          </w:tcPr>
          <w:p>
            <w:pPr>
              <w:spacing w:after="0"/>
              <w:rPr>
                <w:sz w:val="22"/>
                <w:szCs w:val="22"/>
                <w:color w:val="auto"/>
              </w:rPr>
            </w:pPr>
          </w:p>
        </w:tc>
      </w:tr>
      <w:tr>
        <w:trPr>
          <w:trHeight w:val="248"/>
        </w:trPr>
        <w:tc>
          <w:tcPr>
            <w:tcW w:w="764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99,969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2"/>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6,271</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6,950</w:t>
            </w:r>
          </w:p>
        </w:tc>
        <w:tc>
          <w:tcPr>
            <w:tcW w:w="100" w:type="dxa"/>
            <w:vAlign w:val="bottom"/>
            <w:shd w:val="clear" w:color="auto" w:fill="CFF0FC"/>
          </w:tcPr>
          <w:p>
            <w:pPr>
              <w:spacing w:after="0"/>
              <w:rPr>
                <w:sz w:val="22"/>
                <w:szCs w:val="22"/>
                <w:color w:val="auto"/>
              </w:rPr>
            </w:pPr>
          </w:p>
        </w:tc>
      </w:tr>
      <w:tr>
        <w:trPr>
          <w:trHeight w:val="248"/>
        </w:trPr>
        <w:tc>
          <w:tcPr>
            <w:tcW w:w="76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1,057</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r>
      <w:tr>
        <w:trPr>
          <w:trHeight w:val="262"/>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FF0FC"/>
          </w:tcPr>
          <w:p>
            <w:pPr>
              <w:spacing w:after="0"/>
              <w:rPr>
                <w:sz w:val="22"/>
                <w:szCs w:val="22"/>
                <w:color w:val="auto"/>
              </w:rPr>
            </w:pPr>
          </w:p>
        </w:tc>
      </w:tr>
      <w:tr>
        <w:trPr>
          <w:trHeight w:val="248"/>
        </w:trPr>
        <w:tc>
          <w:tcPr>
            <w:tcW w:w="76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917</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r>
      <w:tr>
        <w:trPr>
          <w:trHeight w:val="262"/>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20,170</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22,495</w:t>
            </w:r>
          </w:p>
        </w:tc>
        <w:tc>
          <w:tcPr>
            <w:tcW w:w="100" w:type="dxa"/>
            <w:vAlign w:val="bottom"/>
            <w:shd w:val="clear" w:color="auto" w:fill="CFF0FC"/>
          </w:tcPr>
          <w:p>
            <w:pPr>
              <w:spacing w:after="0"/>
              <w:rPr>
                <w:sz w:val="22"/>
                <w:szCs w:val="22"/>
                <w:color w:val="auto"/>
              </w:rPr>
            </w:pPr>
          </w:p>
        </w:tc>
      </w:tr>
      <w:tr>
        <w:trPr>
          <w:trHeight w:val="248"/>
        </w:trPr>
        <w:tc>
          <w:tcPr>
            <w:tcW w:w="76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1"/>
                <w:szCs w:val="21"/>
                <w:color w:val="auto"/>
              </w:rPr>
            </w:pPr>
          </w:p>
        </w:tc>
      </w:tr>
      <w:tr>
        <w:trPr>
          <w:trHeight w:val="288"/>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371,233</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358,663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5"/>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2"/>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8"/>
        </w:trPr>
        <w:tc>
          <w:tcPr>
            <w:tcW w:w="76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1,516</w:t>
            </w:r>
          </w:p>
        </w:tc>
        <w:tc>
          <w:tcPr>
            <w:tcW w:w="28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21"/>
                <w:szCs w:val="21"/>
                <w:color w:val="auto"/>
              </w:rPr>
            </w:pPr>
          </w:p>
        </w:tc>
      </w:tr>
      <w:tr>
        <w:trPr>
          <w:trHeight w:val="262"/>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25,167</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23,059</w:t>
            </w:r>
          </w:p>
        </w:tc>
        <w:tc>
          <w:tcPr>
            <w:tcW w:w="100" w:type="dxa"/>
            <w:vAlign w:val="bottom"/>
            <w:shd w:val="clear" w:color="auto" w:fill="CFF0FC"/>
          </w:tcPr>
          <w:p>
            <w:pPr>
              <w:spacing w:after="0"/>
              <w:rPr>
                <w:sz w:val="22"/>
                <w:szCs w:val="22"/>
                <w:color w:val="auto"/>
              </w:rPr>
            </w:pPr>
          </w:p>
        </w:tc>
      </w:tr>
      <w:tr>
        <w:trPr>
          <w:trHeight w:val="248"/>
        </w:trPr>
        <w:tc>
          <w:tcPr>
            <w:tcW w:w="7640" w:type="dxa"/>
            <w:vAlign w:val="bottom"/>
          </w:tcPr>
          <w:p>
            <w:pPr>
              <w:ind w:left="200"/>
              <w:spacing w:after="0"/>
              <w:rPr>
                <w:sz w:val="20"/>
                <w:szCs w:val="20"/>
                <w:color w:val="auto"/>
              </w:rPr>
            </w:pPr>
            <w:r>
              <w:rPr>
                <w:rFonts w:ascii="Arial" w:cs="Arial" w:eastAsia="Arial" w:hAnsi="Arial"/>
                <w:sz w:val="18"/>
                <w:szCs w:val="18"/>
                <w:color w:val="auto"/>
              </w:rPr>
              <w:t>Deferred revenue, current portion</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73,089</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74,869</w:t>
            </w:r>
          </w:p>
        </w:tc>
        <w:tc>
          <w:tcPr>
            <w:tcW w:w="100" w:type="dxa"/>
            <w:vAlign w:val="bottom"/>
          </w:tcPr>
          <w:p>
            <w:pPr>
              <w:spacing w:after="0"/>
              <w:rPr>
                <w:sz w:val="21"/>
                <w:szCs w:val="21"/>
                <w:color w:val="auto"/>
              </w:rPr>
            </w:pPr>
          </w:p>
        </w:tc>
      </w:tr>
      <w:tr>
        <w:trPr>
          <w:trHeight w:val="255"/>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99,772</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100,924</w:t>
            </w:r>
          </w:p>
        </w:tc>
        <w:tc>
          <w:tcPr>
            <w:tcW w:w="100" w:type="dxa"/>
            <w:vAlign w:val="bottom"/>
            <w:shd w:val="clear" w:color="auto" w:fill="CFF0FC"/>
          </w:tcPr>
          <w:p>
            <w:pPr>
              <w:spacing w:after="0"/>
              <w:rPr>
                <w:sz w:val="22"/>
                <w:szCs w:val="22"/>
                <w:color w:val="auto"/>
              </w:rPr>
            </w:pPr>
          </w:p>
        </w:tc>
      </w:tr>
      <w:tr>
        <w:trPr>
          <w:trHeight w:val="248"/>
        </w:trPr>
        <w:tc>
          <w:tcPr>
            <w:tcW w:w="764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140,770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186,261</w:t>
            </w:r>
          </w:p>
        </w:tc>
        <w:tc>
          <w:tcPr>
            <w:tcW w:w="100" w:type="dxa"/>
            <w:vAlign w:val="bottom"/>
          </w:tcPr>
          <w:p>
            <w:pPr>
              <w:spacing w:after="0"/>
              <w:rPr>
                <w:sz w:val="21"/>
                <w:szCs w:val="21"/>
                <w:color w:val="auto"/>
              </w:rPr>
            </w:pPr>
          </w:p>
        </w:tc>
      </w:tr>
      <w:tr>
        <w:trPr>
          <w:trHeight w:val="255"/>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 - long term</w:t>
            </w:r>
          </w:p>
        </w:tc>
        <w:tc>
          <w:tcPr>
            <w:tcW w:w="24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19,017</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8"/>
        </w:trPr>
        <w:tc>
          <w:tcPr>
            <w:tcW w:w="76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259,559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308,860</w:t>
            </w:r>
          </w:p>
        </w:tc>
        <w:tc>
          <w:tcPr>
            <w:tcW w:w="100" w:type="dxa"/>
            <w:vAlign w:val="bottom"/>
          </w:tcPr>
          <w:p>
            <w:pPr>
              <w:spacing w:after="0"/>
              <w:rPr>
                <w:sz w:val="21"/>
                <w:szCs w:val="21"/>
                <w:color w:val="auto"/>
              </w:rPr>
            </w:pPr>
          </w:p>
        </w:tc>
      </w:tr>
      <w:tr>
        <w:trPr>
          <w:trHeight w:val="262"/>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11)</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8"/>
        </w:trPr>
        <w:tc>
          <w:tcPr>
            <w:tcW w:w="76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Convertible preferred stock, $0.00001 par value; 10,000,000 shares authorized and no shares issued</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and outstanding at September 30, 2021 and December 31, 2020.</w:t>
            </w: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1"/>
        </w:trPr>
        <w:tc>
          <w:tcPr>
            <w:tcW w:w="7640" w:type="dxa"/>
            <w:vAlign w:val="bottom"/>
          </w:tcPr>
          <w:p>
            <w:pPr>
              <w:ind w:left="20"/>
              <w:spacing w:after="0"/>
              <w:rPr>
                <w:sz w:val="20"/>
                <w:szCs w:val="20"/>
                <w:color w:val="auto"/>
              </w:rPr>
            </w:pPr>
            <w:r>
              <w:rPr>
                <w:rFonts w:ascii="Arial" w:cs="Arial" w:eastAsia="Arial" w:hAnsi="Arial"/>
                <w:sz w:val="18"/>
                <w:szCs w:val="18"/>
                <w:color w:val="auto"/>
              </w:rPr>
              <w:t>Common stock, $0.00001 par value; 150,000,000 shares authorized and 65,249,116 and</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640" w:type="dxa"/>
            <w:vAlign w:val="bottom"/>
          </w:tcPr>
          <w:p>
            <w:pPr>
              <w:ind w:left="20"/>
              <w:spacing w:after="0"/>
              <w:rPr>
                <w:sz w:val="20"/>
                <w:szCs w:val="20"/>
                <w:color w:val="auto"/>
              </w:rPr>
            </w:pPr>
            <w:r>
              <w:rPr>
                <w:rFonts w:ascii="Arial" w:cs="Arial" w:eastAsia="Arial" w:hAnsi="Arial"/>
                <w:sz w:val="18"/>
                <w:szCs w:val="18"/>
                <w:color w:val="auto"/>
                <w:w w:val="91"/>
              </w:rPr>
              <w:t>48,251,819 shares issued and outstanding at September 30, 2021 and December 31, 2020, respectively</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62"/>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619,117</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499,964</w:t>
            </w:r>
          </w:p>
        </w:tc>
        <w:tc>
          <w:tcPr>
            <w:tcW w:w="100" w:type="dxa"/>
            <w:vAlign w:val="bottom"/>
            <w:shd w:val="clear" w:color="auto" w:fill="CFF0FC"/>
          </w:tcPr>
          <w:p>
            <w:pPr>
              <w:spacing w:after="0"/>
              <w:rPr>
                <w:sz w:val="22"/>
                <w:szCs w:val="22"/>
                <w:color w:val="auto"/>
              </w:rPr>
            </w:pPr>
          </w:p>
        </w:tc>
      </w:tr>
      <w:tr>
        <w:trPr>
          <w:trHeight w:val="248"/>
        </w:trPr>
        <w:tc>
          <w:tcPr>
            <w:tcW w:w="76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(47 )</w:t>
            </w:r>
          </w:p>
        </w:tc>
      </w:tr>
      <w:tr>
        <w:trPr>
          <w:trHeight w:val="255"/>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(507,496 )</w:t>
            </w:r>
          </w:p>
        </w:tc>
        <w:tc>
          <w:tcPr>
            <w:tcW w:w="2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(450,115 )</w:t>
            </w:r>
          </w:p>
        </w:tc>
      </w:tr>
      <w:tr>
        <w:trPr>
          <w:trHeight w:val="248"/>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111,674</w:t>
            </w:r>
          </w:p>
        </w:tc>
        <w:tc>
          <w:tcPr>
            <w:tcW w:w="28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49,803</w:t>
            </w:r>
          </w:p>
        </w:tc>
        <w:tc>
          <w:tcPr>
            <w:tcW w:w="100" w:type="dxa"/>
            <w:vAlign w:val="bottom"/>
            <w:tcBorders>
              <w:top w:val="single" w:sz="8" w:color="CFF0FC"/>
            </w:tcBorders>
          </w:tcPr>
          <w:p>
            <w:pPr>
              <w:spacing w:after="0"/>
              <w:rPr>
                <w:sz w:val="21"/>
                <w:szCs w:val="21"/>
                <w:color w:val="auto"/>
              </w:rPr>
            </w:pPr>
          </w:p>
        </w:tc>
      </w:tr>
      <w:tr>
        <w:trPr>
          <w:trHeight w:val="288"/>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371,233</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358,663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__________________</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5876290</wp:posOffset>
            </wp:positionH>
            <wp:positionV relativeFrom="paragraph">
              <wp:posOffset>-3434715</wp:posOffset>
            </wp:positionV>
            <wp:extent cx="179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5876290</wp:posOffset>
            </wp:positionH>
            <wp:positionV relativeFrom="paragraph">
              <wp:posOffset>-3417570</wp:posOffset>
            </wp:positionV>
            <wp:extent cx="1790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-3434715</wp:posOffset>
            </wp:positionV>
            <wp:extent cx="67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-3417570</wp:posOffset>
            </wp:positionV>
            <wp:extent cx="679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5876290</wp:posOffset>
            </wp:positionH>
            <wp:positionV relativeFrom="paragraph">
              <wp:posOffset>-2102485</wp:posOffset>
            </wp:positionV>
            <wp:extent cx="17907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907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-2102485</wp:posOffset>
            </wp:positionV>
            <wp:extent cx="6794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45" cy="5715"/>
                    </a:xfrm>
                    <a:prstGeom prst="rect">
                      <a:avLst/>
                    </a:prstGeom>
                    <a:noFill/>
                  </pic:spPr>
                </pic:pic>
              </a:graphicData>
            </a:graphic>
          </wp:anchor>
        </w:drawing>
        <w:drawing>
          <wp:anchor simplePos="0" relativeHeight="251657728" behindDoc="1" locked="0" layoutInCell="0" allowOverlap="1">
            <wp:simplePos x="0" y="0"/>
            <wp:positionH relativeFrom="column">
              <wp:posOffset>5876290</wp:posOffset>
            </wp:positionH>
            <wp:positionV relativeFrom="paragraph">
              <wp:posOffset>-508635</wp:posOffset>
            </wp:positionV>
            <wp:extent cx="17907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07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-508635</wp:posOffset>
            </wp:positionV>
            <wp:extent cx="6794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945" cy="5715"/>
                    </a:xfrm>
                    <a:prstGeom prst="rect">
                      <a:avLst/>
                    </a:prstGeom>
                    <a:noFill/>
                  </pic:spPr>
                </pic:pic>
              </a:graphicData>
            </a:graphic>
          </wp:anchor>
        </w:drawing>
        <w:drawing>
          <wp:anchor simplePos="0" relativeHeight="251657728" behindDoc="1" locked="0" layoutInCell="0" allowOverlap="1">
            <wp:simplePos x="0" y="0"/>
            <wp:positionH relativeFrom="column">
              <wp:posOffset>5876290</wp:posOffset>
            </wp:positionH>
            <wp:positionV relativeFrom="paragraph">
              <wp:posOffset>-170815</wp:posOffset>
            </wp:positionV>
            <wp:extent cx="1790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5876290</wp:posOffset>
            </wp:positionH>
            <wp:positionV relativeFrom="paragraph">
              <wp:posOffset>-153670</wp:posOffset>
            </wp:positionV>
            <wp:extent cx="1790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-170815</wp:posOffset>
            </wp:positionV>
            <wp:extent cx="679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-153670</wp:posOffset>
            </wp:positionV>
            <wp:extent cx="6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8" w:lineRule="exact"/>
        <w:rPr>
          <w:sz w:val="20"/>
          <w:szCs w:val="20"/>
          <w:color w:val="auto"/>
        </w:rPr>
      </w:pPr>
    </w:p>
    <w:p>
      <w:pPr>
        <w:ind w:left="440" w:right="220" w:hanging="433"/>
        <w:spacing w:after="0" w:line="227" w:lineRule="auto"/>
        <w:tabs>
          <w:tab w:leader="none" w:pos="440" w:val="left"/>
        </w:tabs>
        <w:numPr>
          <w:ilvl w:val="0"/>
          <w:numId w:val="3"/>
        </w:numPr>
        <w:rPr>
          <w:rFonts w:ascii="Arial" w:cs="Arial" w:eastAsia="Arial" w:hAnsi="Arial"/>
          <w:sz w:val="24"/>
          <w:szCs w:val="24"/>
          <w:color w:val="auto"/>
          <w:vertAlign w:val="superscript"/>
        </w:rPr>
      </w:pPr>
      <w:r>
        <w:rPr>
          <w:rFonts w:ascii="Arial" w:cs="Arial" w:eastAsia="Arial" w:hAnsi="Arial"/>
          <w:sz w:val="18"/>
          <w:szCs w:val="18"/>
          <w:color w:val="auto"/>
        </w:rPr>
        <w:t>The condensed balance sheet as of December 31, 2020 was derived from the audited financial statements included in the Company's Annual Report on Form 10-K for the year ended December 31, 2020.</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4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207"/>
        </w:trPr>
        <w:tc>
          <w:tcPr>
            <w:tcW w:w="5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4"/>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17,587</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17,788</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49,846</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83,989</w:t>
            </w:r>
          </w:p>
        </w:tc>
        <w:tc>
          <w:tcPr>
            <w:tcW w:w="100" w:type="dxa"/>
            <w:vAlign w:val="bottom"/>
            <w:shd w:val="clear" w:color="auto" w:fill="CFF0FC"/>
          </w:tcPr>
          <w:p>
            <w:pPr>
              <w:spacing w:after="0"/>
              <w:rPr>
                <w:sz w:val="22"/>
                <w:szCs w:val="22"/>
                <w:color w:val="auto"/>
              </w:rPr>
            </w:pPr>
          </w:p>
        </w:tc>
      </w:tr>
      <w:tr>
        <w:trPr>
          <w:trHeight w:val="248"/>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2"/>
        </w:trPr>
        <w:tc>
          <w:tcPr>
            <w:tcW w:w="5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29,143</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24,049</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77,615</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90,929</w:t>
            </w:r>
          </w:p>
        </w:tc>
        <w:tc>
          <w:tcPr>
            <w:tcW w:w="100" w:type="dxa"/>
            <w:vAlign w:val="bottom"/>
            <w:shd w:val="clear" w:color="auto" w:fill="CFF0FC"/>
          </w:tcPr>
          <w:p>
            <w:pPr>
              <w:spacing w:after="0"/>
              <w:rPr>
                <w:sz w:val="22"/>
                <w:szCs w:val="22"/>
                <w:color w:val="auto"/>
              </w:rPr>
            </w:pPr>
          </w:p>
        </w:tc>
      </w:tr>
      <w:tr>
        <w:trPr>
          <w:trHeight w:val="248"/>
        </w:trPr>
        <w:tc>
          <w:tcPr>
            <w:tcW w:w="55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11,085</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26,886</w:t>
            </w:r>
          </w:p>
        </w:tc>
        <w:tc>
          <w:tcPr>
            <w:tcW w:w="100" w:type="dxa"/>
            <w:vAlign w:val="bottom"/>
          </w:tcPr>
          <w:p>
            <w:pPr>
              <w:spacing w:after="0"/>
              <w:rPr>
                <w:sz w:val="21"/>
                <w:szCs w:val="21"/>
                <w:color w:val="auto"/>
              </w:rPr>
            </w:pPr>
          </w:p>
        </w:tc>
      </w:tr>
      <w:tr>
        <w:trPr>
          <w:trHeight w:val="248"/>
        </w:trPr>
        <w:tc>
          <w:tcPr>
            <w:tcW w:w="55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40,228</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32,683</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107,319</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8"/>
        </w:trPr>
        <w:tc>
          <w:tcPr>
            <w:tcW w:w="55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(22,641 )</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(14,895 )</w:t>
            </w: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(57,473 )</w:t>
            </w:r>
          </w:p>
        </w:tc>
        <w:tc>
          <w:tcPr>
            <w:tcW w:w="3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(33,826 )</w:t>
            </w:r>
          </w:p>
        </w:tc>
      </w:tr>
      <w:tr>
        <w:trPr>
          <w:trHeight w:val="262"/>
        </w:trPr>
        <w:tc>
          <w:tcPr>
            <w:tcW w:w="5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FF0FC"/>
          </w:tcPr>
          <w:p>
            <w:pPr>
              <w:spacing w:after="0"/>
              <w:rPr>
                <w:sz w:val="22"/>
                <w:szCs w:val="22"/>
                <w:color w:val="auto"/>
              </w:rPr>
            </w:pPr>
          </w:p>
        </w:tc>
      </w:tr>
      <w:tr>
        <w:trPr>
          <w:trHeight w:val="248"/>
        </w:trPr>
        <w:tc>
          <w:tcPr>
            <w:tcW w:w="55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(13 )</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(15 )</w:t>
            </w: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(90 )</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r>
      <w:tr>
        <w:trPr>
          <w:trHeight w:val="20"/>
        </w:trPr>
        <w:tc>
          <w:tcPr>
            <w:tcW w:w="5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5"/>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(22,584 )</w:t>
            </w:r>
          </w:p>
        </w:tc>
        <w:tc>
          <w:tcPr>
            <w:tcW w:w="32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(14,710 )</w:t>
            </w:r>
          </w:p>
        </w:tc>
        <w:tc>
          <w:tcPr>
            <w:tcW w:w="2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(57,381 )</w:t>
            </w:r>
          </w:p>
        </w:tc>
        <w:tc>
          <w:tcPr>
            <w:tcW w:w="3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(32,095 )</w:t>
            </w:r>
          </w:p>
        </w:tc>
      </w:tr>
      <w:tr>
        <w:trPr>
          <w:trHeight w:val="248"/>
        </w:trPr>
        <w:tc>
          <w:tcPr>
            <w:tcW w:w="558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(13,911 )</w:t>
            </w:r>
          </w:p>
        </w:tc>
      </w:tr>
      <w:tr>
        <w:trPr>
          <w:trHeight w:val="20"/>
        </w:trPr>
        <w:tc>
          <w:tcPr>
            <w:tcW w:w="5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8"/>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(22,584 )</w:t>
            </w: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(14,710 )</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(57,381 )</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(18,184 )</w:t>
            </w: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62"/>
        </w:trPr>
        <w:tc>
          <w:tcPr>
            <w:tcW w:w="55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(0.35 )</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(0.32 )</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(0.90 )</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(0.40 )</w:t>
            </w:r>
          </w:p>
        </w:tc>
      </w:tr>
      <w:tr>
        <w:trPr>
          <w:trHeight w:val="275"/>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to compute net loss per share, basic and diluted</w:t>
            </w:r>
          </w:p>
        </w:tc>
        <w:tc>
          <w:tcPr>
            <w:tcW w:w="240" w:type="dxa"/>
            <w:vAlign w:val="bottom"/>
            <w:tcBorders>
              <w:top w:val="single" w:sz="8" w:color="auto"/>
              <w:bottom w:val="single" w:sz="8" w:color="auto"/>
            </w:tcBorders>
            <w:shd w:val="clear" w:color="auto" w:fill="CFF0FC"/>
          </w:tcPr>
          <w:p>
            <w:pPr>
              <w:spacing w:after="0"/>
              <w:rPr>
                <w:sz w:val="23"/>
                <w:szCs w:val="23"/>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65,208,066</w:t>
            </w:r>
          </w:p>
        </w:tc>
        <w:tc>
          <w:tcPr>
            <w:tcW w:w="2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top w:val="single" w:sz="8" w:color="auto"/>
              <w:bottom w:val="single" w:sz="8" w:color="auto"/>
            </w:tcBorders>
            <w:shd w:val="clear" w:color="auto" w:fill="CFF0FC"/>
          </w:tcPr>
          <w:p>
            <w:pPr>
              <w:spacing w:after="0"/>
              <w:rPr>
                <w:sz w:val="23"/>
                <w:szCs w:val="23"/>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46,195,121</w:t>
            </w:r>
          </w:p>
        </w:tc>
        <w:tc>
          <w:tcPr>
            <w:tcW w:w="2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spacing w:after="0"/>
              <w:rPr>
                <w:sz w:val="23"/>
                <w:szCs w:val="2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63,759,585</w:t>
            </w:r>
          </w:p>
        </w:tc>
        <w:tc>
          <w:tcPr>
            <w:tcW w:w="2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top w:val="single" w:sz="8" w:color="auto"/>
              <w:bottom w:val="single" w:sz="8" w:color="auto"/>
            </w:tcBorders>
            <w:shd w:val="clear" w:color="auto" w:fill="CFF0FC"/>
          </w:tcPr>
          <w:p>
            <w:pPr>
              <w:spacing w:after="0"/>
              <w:rPr>
                <w:sz w:val="23"/>
                <w:szCs w:val="23"/>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45,992,786</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48"/>
        </w:trPr>
        <w:tc>
          <w:tcPr>
            <w:tcW w:w="55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5"/>
        </w:trPr>
        <w:tc>
          <w:tcPr>
            <w:tcW w:w="5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Unrealized gain (loss) on investments, net of tax</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(63 )</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(104 )</w:t>
            </w:r>
          </w:p>
        </w:tc>
      </w:tr>
      <w:tr>
        <w:trPr>
          <w:trHeight w:val="20"/>
        </w:trPr>
        <w:tc>
          <w:tcPr>
            <w:tcW w:w="5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8"/>
        </w:trPr>
        <w:tc>
          <w:tcPr>
            <w:tcW w:w="558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(22,547 )</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(14,773 )</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(57,282 )</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(18,288 )</w:t>
            </w:r>
          </w:p>
        </w:tc>
      </w:tr>
      <w:tr>
        <w:trPr>
          <w:trHeight w:val="20"/>
        </w:trPr>
        <w:tc>
          <w:tcPr>
            <w:tcW w:w="5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-1913890</wp:posOffset>
            </wp:positionV>
            <wp:extent cx="16192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1925" cy="5715"/>
                    </a:xfrm>
                    <a:prstGeom prst="rect">
                      <a:avLst/>
                    </a:prstGeom>
                    <a:noFill/>
                  </pic:spPr>
                </pic:pic>
              </a:graphicData>
            </a:graphic>
          </wp:anchor>
        </w:drawing>
        <w:drawing>
          <wp:anchor simplePos="0" relativeHeight="251657728" behindDoc="1" locked="0" layoutInCell="0" allowOverlap="1">
            <wp:simplePos x="0" y="0"/>
            <wp:positionH relativeFrom="column">
              <wp:posOffset>5203825</wp:posOffset>
            </wp:positionH>
            <wp:positionV relativeFrom="paragraph">
              <wp:posOffset>-1913890</wp:posOffset>
            </wp:positionV>
            <wp:extent cx="15367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3670" cy="571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-1913890</wp:posOffset>
            </wp:positionV>
            <wp:extent cx="1447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780" cy="571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-1913890</wp:posOffset>
            </wp:positionV>
            <wp:extent cx="6794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945" cy="571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-919480</wp:posOffset>
            </wp:positionV>
            <wp:extent cx="1619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-902970</wp:posOffset>
            </wp:positionV>
            <wp:extent cx="1619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5203825</wp:posOffset>
            </wp:positionH>
            <wp:positionV relativeFrom="paragraph">
              <wp:posOffset>-919480</wp:posOffset>
            </wp:positionV>
            <wp:extent cx="153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5203825</wp:posOffset>
            </wp:positionH>
            <wp:positionV relativeFrom="paragraph">
              <wp:posOffset>-902970</wp:posOffset>
            </wp:positionV>
            <wp:extent cx="1536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-919480</wp:posOffset>
            </wp:positionV>
            <wp:extent cx="1447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-902970</wp:posOffset>
            </wp:positionV>
            <wp:extent cx="1447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-919480</wp:posOffset>
            </wp:positionV>
            <wp:extent cx="679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-902970</wp:posOffset>
            </wp:positionV>
            <wp:extent cx="679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-544830</wp:posOffset>
            </wp:positionV>
            <wp:extent cx="16192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1925" cy="25400"/>
                    </a:xfrm>
                    <a:prstGeom prst="rect">
                      <a:avLst/>
                    </a:prstGeom>
                    <a:noFill/>
                  </pic:spPr>
                </pic:pic>
              </a:graphicData>
            </a:graphic>
          </wp:anchor>
        </w:drawing>
        <w:drawing>
          <wp:anchor simplePos="0" relativeHeight="251657728" behindDoc="1" locked="0" layoutInCell="0" allowOverlap="1">
            <wp:simplePos x="0" y="0"/>
            <wp:positionH relativeFrom="column">
              <wp:posOffset>5203825</wp:posOffset>
            </wp:positionH>
            <wp:positionV relativeFrom="paragraph">
              <wp:posOffset>-544830</wp:posOffset>
            </wp:positionV>
            <wp:extent cx="15367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3670" cy="25400"/>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-544830</wp:posOffset>
            </wp:positionV>
            <wp:extent cx="14478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780" cy="25400"/>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-544830</wp:posOffset>
            </wp:positionV>
            <wp:extent cx="6794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45" cy="2540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-192405</wp:posOffset>
            </wp:positionV>
            <wp:extent cx="16192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1925" cy="5715"/>
                    </a:xfrm>
                    <a:prstGeom prst="rect">
                      <a:avLst/>
                    </a:prstGeom>
                    <a:noFill/>
                  </pic:spPr>
                </pic:pic>
              </a:graphicData>
            </a:graphic>
          </wp:anchor>
        </w:drawing>
        <w:drawing>
          <wp:anchor simplePos="0" relativeHeight="251657728" behindDoc="1" locked="0" layoutInCell="0" allowOverlap="1">
            <wp:simplePos x="0" y="0"/>
            <wp:positionH relativeFrom="column">
              <wp:posOffset>5203825</wp:posOffset>
            </wp:positionH>
            <wp:positionV relativeFrom="paragraph">
              <wp:posOffset>-192405</wp:posOffset>
            </wp:positionV>
            <wp:extent cx="15367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3670" cy="571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-192405</wp:posOffset>
            </wp:positionV>
            <wp:extent cx="1447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780" cy="571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-192405</wp:posOffset>
            </wp:positionV>
            <wp:extent cx="6794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945" cy="5715"/>
                    </a:xfrm>
                    <a:prstGeom prst="rect">
                      <a:avLst/>
                    </a:prstGeom>
                    <a:noFill/>
                  </pic:spPr>
                </pic:pic>
              </a:graphicData>
            </a:graphic>
          </wp:anchor>
        </w:drawing>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69215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400" w:top="148" w:right="3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STATEMENTS OF STOCKHOLDERS’ EQUITY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93"/>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218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48,251,819</w:t>
            </w:r>
          </w:p>
        </w:tc>
        <w:tc>
          <w:tcPr>
            <w:tcW w:w="104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499,964</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(450,115 )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49,803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3260" w:type="dxa"/>
            <w:vAlign w:val="bottom"/>
          </w:tcPr>
          <w:p>
            <w:pPr>
              <w:spacing w:after="0"/>
              <w:rPr>
                <w:sz w:val="20"/>
                <w:szCs w:val="20"/>
                <w:color w:val="auto"/>
              </w:rPr>
            </w:pPr>
            <w:r>
              <w:rPr>
                <w:rFonts w:ascii="Arial" w:cs="Arial" w:eastAsia="Arial" w:hAnsi="Arial"/>
                <w:sz w:val="18"/>
                <w:szCs w:val="18"/>
                <w:color w:val="auto"/>
              </w:rPr>
              <w:t>Issuance of common stock in follow-on</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r>
              <w:rPr>
                <w:rFonts w:ascii="Arial" w:cs="Arial" w:eastAsia="Arial" w:hAnsi="Arial"/>
                <w:sz w:val="18"/>
                <w:szCs w:val="18"/>
                <w:color w:val="auto"/>
              </w:rPr>
              <w:t>offering, net of issuance costs</w:t>
            </w:r>
          </w:p>
        </w:tc>
        <w:tc>
          <w:tcPr>
            <w:tcW w:w="1140" w:type="dxa"/>
            <w:vAlign w:val="bottom"/>
          </w:tcPr>
          <w:p>
            <w:pPr>
              <w:jc w:val="right"/>
              <w:spacing w:after="0"/>
              <w:rPr>
                <w:sz w:val="20"/>
                <w:szCs w:val="20"/>
                <w:color w:val="auto"/>
              </w:rPr>
            </w:pPr>
            <w:r>
              <w:rPr>
                <w:rFonts w:ascii="Arial" w:cs="Arial" w:eastAsia="Arial" w:hAnsi="Arial"/>
                <w:sz w:val="18"/>
                <w:szCs w:val="18"/>
                <w:color w:val="auto"/>
              </w:rPr>
              <w:t>16,428,571</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107,712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107,712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322,507</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6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(15,554 )</w:t>
            </w:r>
          </w:p>
        </w:tc>
        <w:tc>
          <w:tcPr>
            <w:tcW w:w="1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(15,554 )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March 31,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65,002,897</w:t>
            </w:r>
          </w:p>
        </w:tc>
        <w:tc>
          <w:tcPr>
            <w:tcW w:w="104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611,733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(465,669 )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68,971</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w w:val="93"/>
              </w:rPr>
              <w:t>Issuance of common stock under the ESPP</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85,135</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6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(19,243 )</w:t>
            </w:r>
          </w:p>
        </w:tc>
        <w:tc>
          <w:tcPr>
            <w:tcW w:w="1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(19,243 )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June 30,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65,157,003</w:t>
            </w:r>
          </w:p>
        </w:tc>
        <w:tc>
          <w:tcPr>
            <w:tcW w:w="104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615,849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(484,912 )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92,113</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(22,584 )</w:t>
            </w:r>
          </w:p>
        </w:tc>
        <w:tc>
          <w:tcPr>
            <w:tcW w:w="10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(22,584 )</w:t>
            </w: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26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1140" w:type="dxa"/>
            <w:vAlign w:val="bottom"/>
          </w:tcPr>
          <w:p>
            <w:pPr>
              <w:jc w:val="right"/>
              <w:spacing w:after="0"/>
              <w:rPr>
                <w:sz w:val="20"/>
                <w:szCs w:val="20"/>
                <w:color w:val="auto"/>
              </w:rPr>
            </w:pPr>
            <w:r>
              <w:rPr>
                <w:rFonts w:ascii="Arial" w:cs="Arial" w:eastAsia="Arial" w:hAnsi="Arial"/>
                <w:sz w:val="18"/>
                <w:szCs w:val="18"/>
                <w:color w:val="auto"/>
              </w:rPr>
              <w:t>65,249,116</w:t>
            </w:r>
          </w:p>
        </w:tc>
        <w:tc>
          <w:tcPr>
            <w:tcW w:w="104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619,117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1"/>
                <w:szCs w:val="21"/>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(507,496 )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111,674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93"/>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218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88"/>
        </w:trPr>
        <w:tc>
          <w:tcPr>
            <w:tcW w:w="3260" w:type="dxa"/>
            <w:vAlign w:val="bottom"/>
          </w:tcPr>
          <w:p>
            <w:pPr>
              <w:spacing w:after="0"/>
              <w:rPr>
                <w:sz w:val="16"/>
                <w:szCs w:val="16"/>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26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140" w:type="dxa"/>
            <w:vAlign w:val="bottom"/>
          </w:tcPr>
          <w:p>
            <w:pPr>
              <w:jc w:val="right"/>
              <w:spacing w:after="0"/>
              <w:rPr>
                <w:sz w:val="20"/>
                <w:szCs w:val="20"/>
                <w:color w:val="auto"/>
              </w:rPr>
            </w:pPr>
            <w:r>
              <w:rPr>
                <w:rFonts w:ascii="Arial" w:cs="Arial" w:eastAsia="Arial" w:hAnsi="Arial"/>
                <w:sz w:val="18"/>
                <w:szCs w:val="18"/>
                <w:color w:val="auto"/>
              </w:rPr>
              <w:t>45,523,088</w:t>
            </w:r>
          </w:p>
        </w:tc>
        <w:tc>
          <w:tcPr>
            <w:tcW w:w="104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468,285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1"/>
                <w:szCs w:val="21"/>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(417,230 )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51,113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395,528</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6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12,205</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March 31,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45,918,616</w:t>
            </w:r>
          </w:p>
        </w:tc>
        <w:tc>
          <w:tcPr>
            <w:tcW w:w="104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474,455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(405,025 )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199,139</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w w:val="93"/>
              </w:rPr>
              <w:t>Issuance of common stock under the ESPP</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72,315</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(320 )</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55"/>
        </w:trPr>
        <w:tc>
          <w:tcPr>
            <w:tcW w:w="326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(15,679 )</w:t>
            </w:r>
          </w:p>
        </w:tc>
        <w:tc>
          <w:tcPr>
            <w:tcW w:w="1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(15,679 )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June 30,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46,190,070</w:t>
            </w:r>
          </w:p>
        </w:tc>
        <w:tc>
          <w:tcPr>
            <w:tcW w:w="104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479,516</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(420,704 )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33,332</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2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(63 )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62"/>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(14,710 )</w:t>
            </w:r>
          </w:p>
        </w:tc>
        <w:tc>
          <w:tcPr>
            <w:tcW w:w="10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(14,710 )</w:t>
            </w: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260" w:type="dxa"/>
            <w:vAlign w:val="bottom"/>
          </w:tcPr>
          <w:p>
            <w:pPr>
              <w:spacing w:after="0"/>
              <w:rPr>
                <w:sz w:val="20"/>
                <w:szCs w:val="20"/>
                <w:color w:val="auto"/>
              </w:rPr>
            </w:pPr>
            <w:r>
              <w:rPr>
                <w:rFonts w:ascii="Arial" w:cs="Arial" w:eastAsia="Arial" w:hAnsi="Arial"/>
                <w:sz w:val="18"/>
                <w:szCs w:val="18"/>
                <w:b w:val="1"/>
                <w:bCs w:val="1"/>
                <w:color w:val="auto"/>
              </w:rPr>
              <w:t>Balance at September 30, 2020</w:t>
            </w:r>
          </w:p>
        </w:tc>
        <w:tc>
          <w:tcPr>
            <w:tcW w:w="1140" w:type="dxa"/>
            <w:vAlign w:val="bottom"/>
          </w:tcPr>
          <w:p>
            <w:pPr>
              <w:jc w:val="right"/>
              <w:spacing w:after="0"/>
              <w:rPr>
                <w:sz w:val="20"/>
                <w:szCs w:val="20"/>
                <w:color w:val="auto"/>
              </w:rPr>
            </w:pPr>
            <w:r>
              <w:rPr>
                <w:rFonts w:ascii="Arial" w:cs="Arial" w:eastAsia="Arial" w:hAnsi="Arial"/>
                <w:sz w:val="18"/>
                <w:szCs w:val="18"/>
                <w:color w:val="auto"/>
              </w:rPr>
              <w:t>46,223,402</w:t>
            </w:r>
          </w:p>
        </w:tc>
        <w:tc>
          <w:tcPr>
            <w:tcW w:w="104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483,524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color w:val="auto"/>
                <w:highlight w:val="white"/>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(435,414 </w:t>
            </w:r>
            <w:r>
              <w:rPr>
                <w:rFonts w:ascii="Arial" w:cs="Arial" w:eastAsia="Arial" w:hAnsi="Arial"/>
                <w:sz w:val="18"/>
                <w:szCs w:val="18"/>
                <w:color w:val="auto"/>
                <w:highlight w:val="white"/>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48,064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-3703320</wp:posOffset>
            </wp:positionV>
            <wp:extent cx="13652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-3703320</wp:posOffset>
            </wp:positionV>
            <wp:extent cx="1193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93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-3703320</wp:posOffset>
            </wp:positionV>
            <wp:extent cx="1193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9380" cy="5715"/>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-3703320</wp:posOffset>
            </wp:positionV>
            <wp:extent cx="12763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635" cy="5715"/>
                    </a:xfrm>
                    <a:prstGeom prst="rect">
                      <a:avLst/>
                    </a:prstGeom>
                    <a:noFill/>
                  </pic:spPr>
                </pic:pic>
              </a:graphicData>
            </a:graphic>
          </wp:anchor>
        </w:drawing>
        <w:drawing>
          <wp:anchor simplePos="0" relativeHeight="251657728" behindDoc="1" locked="0" layoutInCell="0" allowOverlap="1">
            <wp:simplePos x="0" y="0"/>
            <wp:positionH relativeFrom="column">
              <wp:posOffset>6183630</wp:posOffset>
            </wp:positionH>
            <wp:positionV relativeFrom="paragraph">
              <wp:posOffset>-3703320</wp:posOffset>
            </wp:positionV>
            <wp:extent cx="11049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0490" cy="571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-3703320</wp:posOffset>
            </wp:positionV>
            <wp:extent cx="6794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945" cy="571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-192405</wp:posOffset>
            </wp:positionV>
            <wp:extent cx="4260850" cy="1930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60850" cy="193040"/>
                    </a:xfrm>
                    <a:prstGeom prst="rect">
                      <a:avLst/>
                    </a:prstGeom>
                    <a:noFill/>
                  </pic:spPr>
                </pic:pic>
              </a:graphicData>
            </a:graphic>
          </wp:anchor>
        </w:drawing>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69215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400" w:top="148"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78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78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4"/>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8"/>
        </w:trPr>
        <w:tc>
          <w:tcPr>
            <w:tcW w:w="78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(57,381 )</w:t>
            </w:r>
          </w:p>
        </w:tc>
        <w:tc>
          <w:tcPr>
            <w:tcW w:w="540" w:type="dxa"/>
            <w:vAlign w:val="bottom"/>
          </w:tcPr>
          <w:p>
            <w:pPr>
              <w:jc w:val="right"/>
              <w:ind w:right="35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(18,184 )</w:t>
            </w:r>
          </w:p>
        </w:tc>
      </w:tr>
      <w:tr>
        <w:trPr>
          <w:trHeight w:val="262"/>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9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8"/>
        </w:trPr>
        <w:tc>
          <w:tcPr>
            <w:tcW w:w="784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r>
      <w:tr>
        <w:trPr>
          <w:trHeight w:val="262"/>
        </w:trPr>
        <w:tc>
          <w:tcPr>
            <w:tcW w:w="7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FF0FC"/>
          </w:tcPr>
          <w:p>
            <w:pPr>
              <w:spacing w:after="0"/>
              <w:rPr>
                <w:sz w:val="22"/>
                <w:szCs w:val="22"/>
                <w:color w:val="auto"/>
              </w:rPr>
            </w:pPr>
          </w:p>
        </w:tc>
      </w:tr>
      <w:tr>
        <w:trPr>
          <w:trHeight w:val="248"/>
        </w:trPr>
        <w:tc>
          <w:tcPr>
            <w:tcW w:w="7840" w:type="dxa"/>
            <w:vAlign w:val="bottom"/>
          </w:tcPr>
          <w:p>
            <w:pPr>
              <w:ind w:left="380"/>
              <w:spacing w:after="0"/>
              <w:rPr>
                <w:sz w:val="20"/>
                <w:szCs w:val="20"/>
                <w:color w:val="auto"/>
              </w:rPr>
            </w:pPr>
            <w:r>
              <w:rPr>
                <w:rFonts w:ascii="Arial" w:cs="Arial" w:eastAsia="Arial" w:hAnsi="Arial"/>
                <w:sz w:val="18"/>
                <w:szCs w:val="18"/>
                <w:color w:val="auto"/>
              </w:rPr>
              <w:t>Amortization of premium (accretion of discounts) on investments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(341 )</w:t>
            </w:r>
          </w:p>
        </w:tc>
      </w:tr>
      <w:tr>
        <w:trPr>
          <w:trHeight w:val="262"/>
        </w:trPr>
        <w:tc>
          <w:tcPr>
            <w:tcW w:w="7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9,623</w:t>
            </w: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11,367</w:t>
            </w:r>
          </w:p>
        </w:tc>
        <w:tc>
          <w:tcPr>
            <w:tcW w:w="100" w:type="dxa"/>
            <w:vAlign w:val="bottom"/>
            <w:shd w:val="clear" w:color="auto" w:fill="CFF0FC"/>
          </w:tcPr>
          <w:p>
            <w:pPr>
              <w:spacing w:after="0"/>
              <w:rPr>
                <w:sz w:val="22"/>
                <w:szCs w:val="22"/>
                <w:color w:val="auto"/>
              </w:rPr>
            </w:pPr>
          </w:p>
        </w:tc>
      </w:tr>
      <w:tr>
        <w:trPr>
          <w:trHeight w:val="248"/>
        </w:trPr>
        <w:tc>
          <w:tcPr>
            <w:tcW w:w="7840" w:type="dxa"/>
            <w:vAlign w:val="bottom"/>
          </w:tcPr>
          <w:p>
            <w:pPr>
              <w:ind w:left="380"/>
              <w:spacing w:after="0"/>
              <w:rPr>
                <w:sz w:val="20"/>
                <w:szCs w:val="20"/>
                <w:color w:val="auto"/>
              </w:rPr>
            </w:pPr>
            <w:r>
              <w:rPr>
                <w:rFonts w:ascii="Arial" w:cs="Arial" w:eastAsia="Arial" w:hAnsi="Arial"/>
                <w:sz w:val="18"/>
                <w:szCs w:val="18"/>
                <w:color w:val="auto"/>
              </w:rPr>
              <w:t>Non-cash lease expense</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2,325</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21"/>
                <w:szCs w:val="21"/>
                <w:color w:val="auto"/>
              </w:rPr>
            </w:pPr>
          </w:p>
        </w:tc>
      </w:tr>
      <w:tr>
        <w:trPr>
          <w:trHeight w:val="262"/>
        </w:trPr>
        <w:tc>
          <w:tcPr>
            <w:tcW w:w="7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8"/>
        </w:trPr>
        <w:tc>
          <w:tcPr>
            <w:tcW w:w="7840" w:type="dxa"/>
            <w:vAlign w:val="bottom"/>
          </w:tcPr>
          <w:p>
            <w:pPr>
              <w:ind w:left="56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(89 )</w:t>
            </w:r>
          </w:p>
        </w:tc>
        <w:tc>
          <w:tcPr>
            <w:tcW w:w="5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(530 )</w:t>
            </w:r>
          </w:p>
        </w:tc>
      </w:tr>
      <w:tr>
        <w:trPr>
          <w:trHeight w:val="262"/>
        </w:trPr>
        <w:tc>
          <w:tcPr>
            <w:tcW w:w="78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(11,509 )</w:t>
            </w:r>
          </w:p>
        </w:tc>
      </w:tr>
      <w:tr>
        <w:trPr>
          <w:trHeight w:val="248"/>
        </w:trPr>
        <w:tc>
          <w:tcPr>
            <w:tcW w:w="7840" w:type="dxa"/>
            <w:vAlign w:val="bottom"/>
          </w:tcPr>
          <w:p>
            <w:pPr>
              <w:ind w:left="56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1,270</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r>
      <w:tr>
        <w:trPr>
          <w:trHeight w:val="262"/>
        </w:trPr>
        <w:tc>
          <w:tcPr>
            <w:tcW w:w="78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(1,358 )</w:t>
            </w:r>
          </w:p>
        </w:tc>
        <w:tc>
          <w:tcPr>
            <w:tcW w:w="5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(270 )</w:t>
            </w:r>
          </w:p>
        </w:tc>
      </w:tr>
      <w:tr>
        <w:trPr>
          <w:trHeight w:val="248"/>
        </w:trPr>
        <w:tc>
          <w:tcPr>
            <w:tcW w:w="7840" w:type="dxa"/>
            <w:vAlign w:val="bottom"/>
          </w:tcPr>
          <w:p>
            <w:pPr>
              <w:ind w:left="560"/>
              <w:spacing w:after="0"/>
              <w:rPr>
                <w:sz w:val="20"/>
                <w:szCs w:val="20"/>
                <w:color w:val="auto"/>
              </w:rPr>
            </w:pPr>
            <w:r>
              <w:rPr>
                <w:rFonts w:ascii="Arial" w:cs="Arial" w:eastAsia="Arial" w:hAnsi="Arial"/>
                <w:sz w:val="18"/>
                <w:szCs w:val="18"/>
                <w:color w:val="auto"/>
              </w:rPr>
              <w:t>Accrued liabilities and other long-term liabilities</w:t>
            </w:r>
          </w:p>
        </w:tc>
        <w:tc>
          <w:tcPr>
            <w:tcW w:w="9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(550 )</w:t>
            </w:r>
          </w:p>
        </w:tc>
        <w:tc>
          <w:tcPr>
            <w:tcW w:w="5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(9,303 )</w:t>
            </w:r>
          </w:p>
        </w:tc>
      </w:tr>
      <w:tr>
        <w:trPr>
          <w:trHeight w:val="255"/>
        </w:trPr>
        <w:tc>
          <w:tcPr>
            <w:tcW w:w="78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revenue</w:t>
            </w:r>
          </w:p>
        </w:tc>
        <w:tc>
          <w:tcPr>
            <w:tcW w:w="9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1"/>
              </w:rPr>
              <w:t>(47,271 )</w:t>
            </w:r>
          </w:p>
        </w:tc>
        <w:tc>
          <w:tcPr>
            <w:tcW w:w="5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46,766</w:t>
            </w:r>
          </w:p>
        </w:tc>
        <w:tc>
          <w:tcPr>
            <w:tcW w:w="100" w:type="dxa"/>
            <w:vAlign w:val="bottom"/>
            <w:shd w:val="clear" w:color="auto" w:fill="CFF0FC"/>
          </w:tcPr>
          <w:p>
            <w:pPr>
              <w:spacing w:after="0"/>
              <w:rPr>
                <w:sz w:val="22"/>
                <w:szCs w:val="22"/>
                <w:color w:val="auto"/>
              </w:rPr>
            </w:pPr>
          </w:p>
        </w:tc>
      </w:tr>
      <w:tr>
        <w:trPr>
          <w:trHeight w:val="20"/>
        </w:trPr>
        <w:tc>
          <w:tcPr>
            <w:tcW w:w="78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8"/>
        </w:trPr>
        <w:tc>
          <w:tcPr>
            <w:tcW w:w="7840" w:type="dxa"/>
            <w:vAlign w:val="bottom"/>
          </w:tcPr>
          <w:p>
            <w:pPr>
              <w:ind w:left="560"/>
              <w:spacing w:after="0"/>
              <w:rPr>
                <w:sz w:val="20"/>
                <w:szCs w:val="20"/>
                <w:color w:val="auto"/>
              </w:rPr>
            </w:pPr>
            <w:r>
              <w:rPr>
                <w:rFonts w:ascii="Arial" w:cs="Arial" w:eastAsia="Arial" w:hAnsi="Arial"/>
                <w:sz w:val="18"/>
                <w:szCs w:val="18"/>
                <w:color w:val="auto"/>
              </w:rPr>
              <w:t>Net cash (used in) provided by operating activities</w:t>
            </w:r>
          </w:p>
        </w:tc>
        <w:tc>
          <w:tcPr>
            <w:tcW w:w="9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(87,839 )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22,686</w:t>
            </w:r>
          </w:p>
        </w:tc>
        <w:tc>
          <w:tcPr>
            <w:tcW w:w="100" w:type="dxa"/>
            <w:vAlign w:val="bottom"/>
          </w:tcPr>
          <w:p>
            <w:pPr>
              <w:spacing w:after="0"/>
              <w:rPr>
                <w:sz w:val="21"/>
                <w:szCs w:val="21"/>
                <w:color w:val="auto"/>
              </w:rPr>
            </w:pPr>
          </w:p>
        </w:tc>
      </w:tr>
      <w:tr>
        <w:trPr>
          <w:trHeight w:val="255"/>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top w:val="single" w:sz="8" w:color="auto"/>
            </w:tcBorders>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40" w:type="dxa"/>
            <w:vAlign w:val="bottom"/>
            <w:tcBorders>
              <w:top w:val="single" w:sz="8" w:color="auto"/>
            </w:tcBorders>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8"/>
        </w:trPr>
        <w:tc>
          <w:tcPr>
            <w:tcW w:w="784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(1,364 )</w:t>
            </w:r>
          </w:p>
        </w:tc>
        <w:tc>
          <w:tcPr>
            <w:tcW w:w="5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(1,864 )</w:t>
            </w:r>
          </w:p>
        </w:tc>
      </w:tr>
      <w:tr>
        <w:trPr>
          <w:trHeight w:val="262"/>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investments</w:t>
            </w:r>
          </w:p>
        </w:tc>
        <w:tc>
          <w:tcPr>
            <w:tcW w:w="9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1"/>
              </w:rPr>
              <w:t>(99,898 )</w:t>
            </w:r>
          </w:p>
        </w:tc>
        <w:tc>
          <w:tcPr>
            <w:tcW w:w="5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(189,005 )</w:t>
            </w:r>
          </w:p>
        </w:tc>
      </w:tr>
      <w:tr>
        <w:trPr>
          <w:trHeight w:val="248"/>
        </w:trPr>
        <w:tc>
          <w:tcPr>
            <w:tcW w:w="7840" w:type="dxa"/>
            <w:vAlign w:val="bottom"/>
          </w:tcPr>
          <w:p>
            <w:pPr>
              <w:ind w:left="200"/>
              <w:spacing w:after="0"/>
              <w:rPr>
                <w:sz w:val="20"/>
                <w:szCs w:val="20"/>
                <w:color w:val="auto"/>
              </w:rPr>
            </w:pPr>
            <w:r>
              <w:rPr>
                <w:rFonts w:ascii="Arial" w:cs="Arial" w:eastAsia="Arial" w:hAnsi="Arial"/>
                <w:sz w:val="18"/>
                <w:szCs w:val="18"/>
                <w:color w:val="auto"/>
              </w:rPr>
              <w:t>Maturities of investments</w:t>
            </w:r>
          </w:p>
        </w:tc>
        <w:tc>
          <w:tcPr>
            <w:tcW w:w="9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123,996</w:t>
            </w:r>
          </w:p>
        </w:tc>
        <w:tc>
          <w:tcPr>
            <w:tcW w:w="2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152,696</w:t>
            </w:r>
          </w:p>
        </w:tc>
        <w:tc>
          <w:tcPr>
            <w:tcW w:w="100" w:type="dxa"/>
            <w:vAlign w:val="bottom"/>
          </w:tcPr>
          <w:p>
            <w:pPr>
              <w:spacing w:after="0"/>
              <w:rPr>
                <w:sz w:val="21"/>
                <w:szCs w:val="21"/>
                <w:color w:val="auto"/>
              </w:rPr>
            </w:pPr>
          </w:p>
        </w:tc>
      </w:tr>
      <w:tr>
        <w:trPr>
          <w:trHeight w:val="248"/>
        </w:trPr>
        <w:tc>
          <w:tcPr>
            <w:tcW w:w="78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cash provided by investing activities</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22,734</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(38,173 )</w:t>
            </w:r>
          </w:p>
        </w:tc>
      </w:tr>
      <w:tr>
        <w:trPr>
          <w:trHeight w:val="248"/>
        </w:trPr>
        <w:tc>
          <w:tcPr>
            <w:tcW w:w="78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2"/>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net of issuance costs</w:t>
            </w:r>
          </w:p>
        </w:tc>
        <w:tc>
          <w:tcPr>
            <w:tcW w:w="92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107,712</w:t>
            </w: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48"/>
        </w:trPr>
        <w:tc>
          <w:tcPr>
            <w:tcW w:w="7840" w:type="dxa"/>
            <w:vAlign w:val="bottom"/>
          </w:tcPr>
          <w:p>
            <w:pPr>
              <w:ind w:left="200"/>
              <w:spacing w:after="0"/>
              <w:rPr>
                <w:sz w:val="20"/>
                <w:szCs w:val="20"/>
                <w:color w:val="auto"/>
              </w:rPr>
            </w:pPr>
            <w:r>
              <w:rPr>
                <w:rFonts w:ascii="Arial" w:cs="Arial" w:eastAsia="Arial" w:hAnsi="Arial"/>
                <w:sz w:val="18"/>
                <w:szCs w:val="18"/>
                <w:color w:val="auto"/>
              </w:rPr>
              <w:t>Proceeds from employee stock purchase plan and exercise of stock options</w:t>
            </w:r>
          </w:p>
        </w:tc>
        <w:tc>
          <w:tcPr>
            <w:tcW w:w="9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2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21"/>
                <w:szCs w:val="21"/>
                <w:color w:val="auto"/>
              </w:rPr>
            </w:pPr>
          </w:p>
        </w:tc>
      </w:tr>
      <w:tr>
        <w:trPr>
          <w:trHeight w:val="248"/>
        </w:trPr>
        <w:tc>
          <w:tcPr>
            <w:tcW w:w="78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109,530</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8"/>
        </w:trPr>
        <w:tc>
          <w:tcPr>
            <w:tcW w:w="784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44,425</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(11,615 )</w:t>
            </w:r>
          </w:p>
        </w:tc>
      </w:tr>
      <w:tr>
        <w:trPr>
          <w:trHeight w:val="255"/>
        </w:trPr>
        <w:tc>
          <w:tcPr>
            <w:tcW w:w="7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92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192,776</w:t>
            </w:r>
          </w:p>
        </w:tc>
        <w:tc>
          <w:tcPr>
            <w:tcW w:w="2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189,342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8"/>
        </w:trPr>
        <w:tc>
          <w:tcPr>
            <w:tcW w:w="78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9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237,201</w:t>
            </w:r>
          </w:p>
        </w:tc>
        <w:tc>
          <w:tcPr>
            <w:tcW w:w="280" w:type="dxa"/>
            <w:vAlign w:val="bottom"/>
          </w:tcPr>
          <w:p>
            <w:pPr>
              <w:spacing w:after="0"/>
              <w:rPr>
                <w:sz w:val="21"/>
                <w:szCs w:val="21"/>
                <w:color w:val="auto"/>
              </w:rPr>
            </w:pPr>
          </w:p>
        </w:tc>
        <w:tc>
          <w:tcPr>
            <w:tcW w:w="5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177,727</w:t>
            </w:r>
          </w:p>
        </w:tc>
        <w:tc>
          <w:tcPr>
            <w:tcW w:w="100" w:type="dxa"/>
            <w:vAlign w:val="bottom"/>
          </w:tcPr>
          <w:p>
            <w:pPr>
              <w:spacing w:after="0"/>
              <w:rPr>
                <w:sz w:val="21"/>
                <w:szCs w:val="21"/>
                <w:color w:val="auto"/>
              </w:rPr>
            </w:pPr>
          </w:p>
        </w:tc>
      </w:tr>
      <w:tr>
        <w:trPr>
          <w:trHeight w:val="20"/>
        </w:trPr>
        <w:tc>
          <w:tcPr>
            <w:tcW w:w="7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78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8"/>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items:</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2"/>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 in accounts payable and accrued liabilities</w:t>
            </w:r>
          </w:p>
        </w:tc>
        <w:tc>
          <w:tcPr>
            <w:tcW w:w="920" w:type="dxa"/>
            <w:vAlign w:val="bottom"/>
            <w:shd w:val="clear" w:color="auto" w:fill="CFF0FC"/>
          </w:tcPr>
          <w:p>
            <w:pPr>
              <w:jc w:val="right"/>
              <w:ind w:right="73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5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5944870</wp:posOffset>
            </wp:positionH>
            <wp:positionV relativeFrom="paragraph">
              <wp:posOffset>-2672715</wp:posOffset>
            </wp:positionV>
            <wp:extent cx="17907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907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-2672715</wp:posOffset>
            </wp:positionV>
            <wp:extent cx="6794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45" cy="5715"/>
                    </a:xfrm>
                    <a:prstGeom prst="rect">
                      <a:avLst/>
                    </a:prstGeom>
                    <a:noFill/>
                  </pic:spPr>
                </pic:pic>
              </a:graphicData>
            </a:graphic>
          </wp:anchor>
        </w:drawing>
        <w:drawing>
          <wp:anchor simplePos="0" relativeHeight="251657728" behindDoc="1" locked="0" layoutInCell="0" allowOverlap="1">
            <wp:simplePos x="0" y="0"/>
            <wp:positionH relativeFrom="column">
              <wp:posOffset>5944870</wp:posOffset>
            </wp:positionH>
            <wp:positionV relativeFrom="paragraph">
              <wp:posOffset>-1675130</wp:posOffset>
            </wp:positionV>
            <wp:extent cx="17907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907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-1675130</wp:posOffset>
            </wp:positionV>
            <wp:extent cx="6794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45" cy="5715"/>
                    </a:xfrm>
                    <a:prstGeom prst="rect">
                      <a:avLst/>
                    </a:prstGeom>
                    <a:noFill/>
                  </pic:spPr>
                </pic:pic>
              </a:graphicData>
            </a:graphic>
          </wp:anchor>
        </w:drawing>
        <w:drawing>
          <wp:anchor simplePos="0" relativeHeight="251657728" behindDoc="1" locked="0" layoutInCell="0" allowOverlap="1">
            <wp:simplePos x="0" y="0"/>
            <wp:positionH relativeFrom="column">
              <wp:posOffset>5944870</wp:posOffset>
            </wp:positionH>
            <wp:positionV relativeFrom="paragraph">
              <wp:posOffset>-1010285</wp:posOffset>
            </wp:positionV>
            <wp:extent cx="17907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907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-1010285</wp:posOffset>
            </wp:positionV>
            <wp:extent cx="6794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45" cy="5715"/>
                    </a:xfrm>
                    <a:prstGeom prst="rect">
                      <a:avLst/>
                    </a:prstGeom>
                    <a:noFill/>
                  </pic:spPr>
                </pic:pic>
              </a:graphicData>
            </a:graphic>
          </wp:anchor>
        </w:drawing>
        <w:drawing>
          <wp:anchor simplePos="0" relativeHeight="251657728" behindDoc="1" locked="0" layoutInCell="0" allowOverlap="1">
            <wp:simplePos x="0" y="0"/>
            <wp:positionH relativeFrom="column">
              <wp:posOffset>5944870</wp:posOffset>
            </wp:positionH>
            <wp:positionV relativeFrom="paragraph">
              <wp:posOffset>-678180</wp:posOffset>
            </wp:positionV>
            <wp:extent cx="17907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907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-678180</wp:posOffset>
            </wp:positionV>
            <wp:extent cx="6794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571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33"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CytomX Therapeutics, Inc. (the “Company”) is a clinical-stage, oncology-focused biopharmaceutical company with a vision of transforming lives with safer, more effective therapies. The Company aims to build a commercial enterprise to maximize its impact on the treatment of cancer. The Company is advancing potential first-in-class and best-in-class antibody-based therapeutics created using its Probody® therapeutic technology platform that could meaningfully improve outcomes for cancer patients. Its proprietary and unique Probody technology platform is designed to enable “conditional activation” of antibody-based drugs in the tumor microenvironment while minimizing drug activity in healthy tissues and in circulation. The Company is located in South San Francisco, California and was incorporated in the state of Delaware in September 2010.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29" w:lineRule="exact"/>
        <w:rPr>
          <w:sz w:val="20"/>
          <w:szCs w:val="20"/>
          <w:color w:val="auto"/>
        </w:rPr>
      </w:pPr>
    </w:p>
    <w:p>
      <w:pPr>
        <w:jc w:val="both"/>
        <w:ind w:right="540"/>
        <w:spacing w:after="0" w:line="277" w:lineRule="auto"/>
        <w:rPr>
          <w:sz w:val="20"/>
          <w:szCs w:val="20"/>
          <w:color w:val="auto"/>
        </w:rPr>
      </w:pPr>
      <w:r>
        <w:rPr>
          <w:rFonts w:ascii="Arial" w:cs="Arial" w:eastAsia="Arial" w:hAnsi="Arial"/>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condensed balance sheet data, as of December 31, 2020, was derived from audited financial statements, but does not include all disclosures required by U.S. GAAP. The condensed results of operations for the three and nine months ended September 30, 2021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2020 filed with the SEC.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9" w:lineRule="exact"/>
        <w:rPr>
          <w:sz w:val="20"/>
          <w:szCs w:val="20"/>
          <w:color w:val="auto"/>
        </w:rPr>
      </w:pPr>
    </w:p>
    <w:p>
      <w:pPr>
        <w:ind w:right="820"/>
        <w:spacing w:after="0" w:line="290"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at the date of purchase to be cash equivalents.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a standby letter of credit issued pursuant to an office lease entered in December 2015.</w:t>
      </w:r>
    </w:p>
    <w:p>
      <w:pPr>
        <w:spacing w:after="0" w:line="236"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balance sheets that sum to the total of the amounts shown in the condensed statements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September 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301"/>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58"/>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198"/>
              <w:spacing w:after="0"/>
              <w:rPr>
                <w:sz w:val="20"/>
                <w:szCs w:val="20"/>
                <w:color w:val="auto"/>
              </w:rPr>
            </w:pPr>
            <w:r>
              <w:rPr>
                <w:rFonts w:ascii="Arial" w:cs="Arial" w:eastAsia="Arial" w:hAnsi="Arial"/>
                <w:sz w:val="14"/>
                <w:szCs w:val="14"/>
                <w:b w:val="1"/>
                <w:bCs w:val="1"/>
                <w:color w:val="auto"/>
                <w:w w:val="98"/>
              </w:rPr>
              <w:t>December 31,</w:t>
            </w:r>
          </w:p>
        </w:tc>
        <w:tc>
          <w:tcPr>
            <w:tcW w:w="380" w:type="dxa"/>
            <w:vAlign w:val="bottom"/>
          </w:tcPr>
          <w:p>
            <w:pPr>
              <w:spacing w:after="0"/>
              <w:rPr>
                <w:sz w:val="15"/>
                <w:szCs w:val="15"/>
                <w:color w:val="auto"/>
              </w:rPr>
            </w:pPr>
          </w:p>
        </w:tc>
      </w:tr>
      <w:tr>
        <w:trPr>
          <w:trHeight w:val="191"/>
        </w:trPr>
        <w:tc>
          <w:tcPr>
            <w:tcW w:w="4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r>
      <w:tr>
        <w:trPr>
          <w:trHeight w:val="192"/>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(in thousands)</w:t>
            </w: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64"/>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236,284</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191,859</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176,810</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188,425</w:t>
            </w:r>
          </w:p>
        </w:tc>
        <w:tc>
          <w:tcPr>
            <w:tcW w:w="380" w:type="dxa"/>
            <w:vAlign w:val="bottom"/>
            <w:shd w:val="clear" w:color="auto" w:fill="CFF0FC"/>
          </w:tcPr>
          <w:p>
            <w:pPr>
              <w:spacing w:after="0"/>
              <w:rPr>
                <w:sz w:val="22"/>
                <w:szCs w:val="22"/>
                <w:color w:val="auto"/>
              </w:rPr>
            </w:pPr>
          </w:p>
        </w:tc>
      </w:tr>
      <w:tr>
        <w:trPr>
          <w:trHeight w:val="248"/>
        </w:trPr>
        <w:tc>
          <w:tcPr>
            <w:tcW w:w="4280" w:type="dxa"/>
            <w:vAlign w:val="bottom"/>
          </w:tcPr>
          <w:p>
            <w:pPr>
              <w:ind w:left="20"/>
              <w:spacing w:after="0"/>
              <w:rPr>
                <w:sz w:val="20"/>
                <w:szCs w:val="20"/>
                <w:color w:val="auto"/>
              </w:rPr>
            </w:pPr>
            <w:r>
              <w:rPr>
                <w:rFonts w:ascii="Arial" w:cs="Arial" w:eastAsia="Arial" w:hAnsi="Arial"/>
                <w:sz w:val="18"/>
                <w:szCs w:val="18"/>
                <w:color w:val="auto"/>
              </w:rPr>
              <w:t>Restricted cash - non-current assets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380" w:type="dxa"/>
            <w:vAlign w:val="bottom"/>
          </w:tcPr>
          <w:p>
            <w:pPr>
              <w:spacing w:after="0"/>
              <w:rPr>
                <w:sz w:val="21"/>
                <w:szCs w:val="21"/>
                <w:color w:val="auto"/>
              </w:rPr>
            </w:pPr>
          </w:p>
        </w:tc>
      </w:tr>
      <w:tr>
        <w:trPr>
          <w:trHeight w:val="288"/>
        </w:trPr>
        <w:tc>
          <w:tcPr>
            <w:tcW w:w="4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237,201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192,776</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177,727</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189,342</w:t>
            </w:r>
          </w:p>
        </w:tc>
        <w:tc>
          <w:tcPr>
            <w:tcW w:w="380" w:type="dxa"/>
            <w:vAlign w:val="bottom"/>
            <w:shd w:val="clear" w:color="auto" w:fill="CFF0FC"/>
          </w:tcPr>
          <w:p>
            <w:pPr>
              <w:spacing w:after="0"/>
              <w:rPr>
                <w:sz w:val="24"/>
                <w:szCs w:val="24"/>
                <w:color w:val="auto"/>
              </w:rPr>
            </w:pPr>
          </w:p>
        </w:tc>
      </w:tr>
      <w:tr>
        <w:trPr>
          <w:trHeight w:val="658"/>
        </w:trPr>
        <w:tc>
          <w:tcPr>
            <w:tcW w:w="42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r>
      <w:tr>
        <w:trPr>
          <w:trHeight w:val="100"/>
        </w:trPr>
        <w:tc>
          <w:tcPr>
            <w:tcW w:w="4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3660775</wp:posOffset>
            </wp:positionH>
            <wp:positionV relativeFrom="paragraph">
              <wp:posOffset>-527685</wp:posOffset>
            </wp:positionV>
            <wp:extent cx="1536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3660775</wp:posOffset>
            </wp:positionH>
            <wp:positionV relativeFrom="paragraph">
              <wp:posOffset>-510540</wp:posOffset>
            </wp:positionV>
            <wp:extent cx="1536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-527685</wp:posOffset>
            </wp:positionV>
            <wp:extent cx="2133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3360" cy="8255"/>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-510540</wp:posOffset>
            </wp:positionV>
            <wp:extent cx="2133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3360" cy="8255"/>
                    </a:xfrm>
                    <a:prstGeom prst="rect">
                      <a:avLst/>
                    </a:prstGeom>
                    <a:noFill/>
                  </pic:spPr>
                </pic:pic>
              </a:graphicData>
            </a:graphic>
          </wp:anchor>
        </w:drawing>
        <w:drawing>
          <wp:anchor simplePos="0" relativeHeight="251657728" behindDoc="1" locked="0" layoutInCell="0" allowOverlap="1">
            <wp:simplePos x="0" y="0"/>
            <wp:positionH relativeFrom="column">
              <wp:posOffset>5876290</wp:posOffset>
            </wp:positionH>
            <wp:positionV relativeFrom="paragraph">
              <wp:posOffset>-527685</wp:posOffset>
            </wp:positionV>
            <wp:extent cx="136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5876290</wp:posOffset>
            </wp:positionH>
            <wp:positionV relativeFrom="paragraph">
              <wp:posOffset>-510540</wp:posOffset>
            </wp:positionV>
            <wp:extent cx="136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6890385</wp:posOffset>
            </wp:positionH>
            <wp:positionV relativeFrom="paragraph">
              <wp:posOffset>-527685</wp:posOffset>
            </wp:positionV>
            <wp:extent cx="247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7015" cy="8255"/>
                    </a:xfrm>
                    <a:prstGeom prst="rect">
                      <a:avLst/>
                    </a:prstGeom>
                    <a:noFill/>
                  </pic:spPr>
                </pic:pic>
              </a:graphicData>
            </a:graphic>
          </wp:anchor>
        </w:drawing>
        <w:drawing>
          <wp:anchor simplePos="0" relativeHeight="251657728" behindDoc="1" locked="0" layoutInCell="0" allowOverlap="1">
            <wp:simplePos x="0" y="0"/>
            <wp:positionH relativeFrom="column">
              <wp:posOffset>6890385</wp:posOffset>
            </wp:positionH>
            <wp:positionV relativeFrom="paragraph">
              <wp:posOffset>-510540</wp:posOffset>
            </wp:positionV>
            <wp:extent cx="247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701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29"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All investments have been classified as available-for-sale (“AFS”) and are carried at fair value as determined based upon quoted market prices or pricing models for similar securities at period end. Investments that are not required for use in current operations and that mature in more than 12 months are classified as long-term investments in the accompanying condensed balance sheets. The amortized cost of securities is adjusted for amortization of premiums and accretion of discounts to maturity. Dividend and interest income are recognized when earned. Realized gains and losses are included in earnings and are derived using the specific identification method for determining the cost of securities sold.</w:t>
      </w:r>
    </w:p>
    <w:p>
      <w:pPr>
        <w:spacing w:after="0" w:line="175"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The Company assesses impairment of its AFS debt securities investments at each reporting period. Unrealized gains resulting from the excess of the fair value over the amortized cost basis of an investment are reported as a component of accumulated other comprehensive income (loss), net of tax. Unrealized losses or impairments resulting from the fair value of the AFS debt security being below the amortized cost basis are evaluated, using the discounted cash flow model, for identification of credit losses and non-credit related losses. Any credit losses are charged to earnings against the allowance for credit losses of the security, limited to the difference between the fair value and the amortized cost basis of the security. Any difference between the fair value of the security and the amortized cost basis, less the allowance for credit losses, are reported in other comprehensive income (loss). Expected cash inflows due to improvements in credit are recognized through a reversal of the allowance for credit losses subject to the total allowance previously recognized.</w:t>
      </w:r>
    </w:p>
    <w:p>
      <w:pPr>
        <w:spacing w:after="0" w:line="164"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In the event of impairment of any security, if management (i) has the intent to sell such security or (ii) will more-likely-than-not be required to sell such security before recovery of its amortized cost basis, such AFS debt security’s amortized cost basis will be written down to its fair value through earnings along with any existing allowance for credit losses.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Comprehensive income (loss) represents all changes in stockholders’ equity except those resulting from distributions to stockholders. The Company’s non-credit related unrealized gains and losses on investments during the period represents the component of other comprehensive income (loss) that is excluded from the reported net loss.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9"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23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22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21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they are included when the sales or usage occur.</w:t>
      </w:r>
    </w:p>
    <w:p>
      <w:pPr>
        <w:sectPr>
          <w:pgSz w:w="11900" w:h="16838" w:orient="portrait"/>
          <w:cols w:equalWidth="0" w:num="1">
            <w:col w:w="11200"/>
          </w:cols>
          <w:pgMar w:left="320" w:top="135" w:right="37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88"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20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AbbVie Ireland Unlimited Company (“AbbVie”), one of the Company’s collaboration partners, entered into a license agreement with Seagen Inc, formerly Seattle Genetics, Inc. (“SGEN”) to license certain intellectual property rights. As part of the Company’s collaboration agreement with AbbVie, the Company is required to pay SGEN sublicense fees for certain milestone achievements and an annual maintenance fee. These sublicense fees are treated as reductions to the transaction price and combined with the performance obligation to which they relate.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29"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9"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219"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9"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color w:val="auto"/>
        </w:rPr>
        <w:t>The Company recognizes compensation costs related to stock options granted to employees based on the estimated fair value of the awards on the date of grant. The Company records forfeitures as they are incurred. The Company estimates the grant date fair value, and the resulting stock-based compensation expense, using the Black-Scholes option-pricing model. The grant date fair value of stock-based awards is expensed on a straight-line basis over the period during which the employee is required to provide service in exchange for the award (generally the vesting period).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48"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The Company estimates the fair value of its stock-based awards using the Black-Scholes option-pricing model, which requires the input of assumptions. The assumptions are as follows:</w:t>
      </w:r>
    </w:p>
    <w:p>
      <w:pPr>
        <w:spacing w:after="0" w:line="90" w:lineRule="exact"/>
        <w:rPr>
          <w:sz w:val="20"/>
          <w:szCs w:val="20"/>
          <w:color w:val="auto"/>
        </w:rPr>
      </w:pPr>
    </w:p>
    <w:p>
      <w:pPr>
        <w:jc w:val="both"/>
        <w:ind w:left="960" w:right="8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stock options represents the period that the stock options are expected to remain outstanding and is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vesting terms, exercise term and contractual lives of the options. The expected term of the ESPP shares is equal to the six-month look-back period.</w:t>
      </w:r>
    </w:p>
    <w:p>
      <w:pPr>
        <w:spacing w:after="0" w:line="75" w:lineRule="exact"/>
        <w:rPr>
          <w:sz w:val="20"/>
          <w:szCs w:val="20"/>
          <w:color w:val="auto"/>
        </w:rPr>
      </w:pPr>
    </w:p>
    <w:p>
      <w:pPr>
        <w:ind w:left="960" w:right="80"/>
        <w:spacing w:after="0" w:line="27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stock price volatility for the Company’s stock options is based on the historical stock price volatility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which is commensurate with the estimated expected term of the stock awards. Volatility for ESPP shares is equal to the Company’s historical volatility over a six-month offering period.</w:t>
      </w:r>
    </w:p>
    <w:p>
      <w:pPr>
        <w:spacing w:after="0" w:line="75" w:lineRule="exact"/>
        <w:rPr>
          <w:sz w:val="20"/>
          <w:szCs w:val="20"/>
          <w:color w:val="auto"/>
        </w:rPr>
      </w:pPr>
    </w:p>
    <w:p>
      <w:pPr>
        <w:ind w:left="960" w:right="340"/>
        <w:spacing w:after="0" w:line="290"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 expected term of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in effect at the time of grant.</w:t>
      </w:r>
    </w:p>
    <w:p>
      <w:pPr>
        <w:spacing w:after="0" w:line="63" w:lineRule="exact"/>
        <w:rPr>
          <w:sz w:val="20"/>
          <w:szCs w:val="20"/>
          <w:color w:val="auto"/>
        </w:rPr>
      </w:pPr>
    </w:p>
    <w:p>
      <w:pPr>
        <w:ind w:left="960" w:right="420"/>
        <w:spacing w:after="0" w:line="290"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expected dividend is assumed to be zero as the Company has never paid dividends and has no current plan to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its common stock.</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42"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63238"/>
        </w:rPr>
        <w:t>Adopted Accounting Pronouncements</w:t>
      </w:r>
    </w:p>
    <w:p>
      <w:pPr>
        <w:spacing w:after="0" w:line="129"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The amendments in this ASU simplify the accounting for income taxes by removing certain exceptions to the general principles of ASC 740 in order to reduce cost and complexity of its application. The ASU removes the exception related to the incremental approach for intra-period tax allocation as well as two exceptions related to accounting for outside basis differences of equity method investments and foreign subsidiaries. The ASU also amends the scope of ASC 740 related to a franchise tax (or similar tax) that is partially based on income; clarifies when a step-up in the tax basis of goodwill should be considered part of the business combination in which the book goodwill was originally recognized and when it should be considered a separate transaction; specifies that an entity is not required to allocate income tax expense to a legal entity that is both not subject to tax and disregarded by the taxing authority; and clarifies that all tax effects, both deferred and current, should be accounted for in the interim period that includes the enactment date. The Company adopted this ASU on January 1, 2021, and there was no material impact on the financial statements upon adoption of this ASU.</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33" w:lineRule="exact"/>
        <w:rPr>
          <w:sz w:val="20"/>
          <w:szCs w:val="20"/>
          <w:color w:val="auto"/>
        </w:rPr>
      </w:pPr>
    </w:p>
    <w:p>
      <w:pPr>
        <w:ind w:right="120"/>
        <w:spacing w:after="0" w:line="327"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common stock outstanding for the period. Diluted net loss per share is calculated using the weighted-average number of common shares outstanding, plus potential dilutive common stock during the period. Diluted net loss per share is the same as basic net loss per share since the effect of the potentially dilutive securities is anti-dilutive.</w:t>
      </w:r>
    </w:p>
    <w:p>
      <w:pPr>
        <w:spacing w:after="0" w:line="147" w:lineRule="exact"/>
        <w:rPr>
          <w:sz w:val="20"/>
          <w:szCs w:val="20"/>
          <w:color w:val="auto"/>
        </w:rPr>
      </w:pPr>
    </w:p>
    <w:p>
      <w:pPr>
        <w:ind w:right="140"/>
        <w:spacing w:after="0" w:line="290" w:lineRule="auto"/>
        <w:rPr>
          <w:sz w:val="20"/>
          <w:szCs w:val="20"/>
          <w:color w:val="auto"/>
        </w:rPr>
      </w:pPr>
      <w:r>
        <w:rPr>
          <w:rFonts w:ascii="Arial" w:cs="Arial" w:eastAsia="Arial" w:hAnsi="Arial"/>
          <w:sz w:val="18"/>
          <w:szCs w:val="18"/>
          <w:color w:val="auto"/>
        </w:rPr>
        <w:t>The following weighted-average outstanding shares of potentially dilutive securities are excluded from the computation of diluted net loss per share for the periods presented, because including them would have been anti-dilutive: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6"/>
                <w:szCs w:val="16"/>
                <w:color w:val="auto"/>
              </w:rPr>
            </w:pPr>
          </w:p>
        </w:tc>
        <w:tc>
          <w:tcPr>
            <w:tcW w:w="2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6"/>
                <w:szCs w:val="16"/>
                <w:color w:val="auto"/>
              </w:rPr>
            </w:pPr>
          </w:p>
        </w:tc>
      </w:tr>
      <w:tr>
        <w:trPr>
          <w:trHeight w:val="207"/>
        </w:trPr>
        <w:tc>
          <w:tcPr>
            <w:tcW w:w="4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40" w:type="dxa"/>
            <w:vAlign w:val="bottom"/>
            <w:tcBorders>
              <w:bottom w:val="single" w:sz="8" w:color="auto"/>
            </w:tcBorders>
            <w:gridSpan w:val="3"/>
          </w:tcPr>
          <w:p>
            <w:pPr>
              <w:jc w:val="center"/>
              <w:ind w:left="768"/>
              <w:spacing w:after="0"/>
              <w:rPr>
                <w:sz w:val="20"/>
                <w:szCs w:val="20"/>
                <w:color w:val="auto"/>
              </w:rPr>
            </w:pPr>
            <w:r>
              <w:rPr>
                <w:rFonts w:ascii="Arial" w:cs="Arial" w:eastAsia="Arial" w:hAnsi="Arial"/>
                <w:sz w:val="14"/>
                <w:szCs w:val="14"/>
                <w:b w:val="1"/>
                <w:bCs w:val="1"/>
                <w:color w:val="auto"/>
                <w:w w:val="89"/>
              </w:rPr>
              <w:t>September 30,</w:t>
            </w:r>
          </w:p>
        </w:tc>
        <w:tc>
          <w:tcPr>
            <w:tcW w:w="8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Borders>
              <w:bottom w:val="single" w:sz="8" w:color="auto"/>
            </w:tcBorders>
            <w:gridSpan w:val="3"/>
          </w:tcPr>
          <w:p>
            <w:pPr>
              <w:jc w:val="center"/>
              <w:ind w:left="728"/>
              <w:spacing w:after="0"/>
              <w:rPr>
                <w:sz w:val="20"/>
                <w:szCs w:val="20"/>
                <w:color w:val="auto"/>
              </w:rPr>
            </w:pPr>
            <w:r>
              <w:rPr>
                <w:rFonts w:ascii="Arial" w:cs="Arial" w:eastAsia="Arial" w:hAnsi="Arial"/>
                <w:sz w:val="14"/>
                <w:szCs w:val="14"/>
                <w:b w:val="1"/>
                <w:bCs w:val="1"/>
                <w:color w:val="auto"/>
                <w:w w:val="89"/>
              </w:rPr>
              <w:t>September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4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88"/>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and ESPP to purchase common stock</w:t>
            </w:r>
          </w:p>
        </w:tc>
        <w:tc>
          <w:tcPr>
            <w:tcW w:w="2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11,847,069</w:t>
            </w:r>
          </w:p>
        </w:tc>
        <w:tc>
          <w:tcPr>
            <w:tcW w:w="2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11,561,435</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11,840,661</w:t>
            </w:r>
          </w:p>
        </w:tc>
        <w:tc>
          <w:tcPr>
            <w:tcW w:w="2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11,414,085</w:t>
            </w:r>
          </w:p>
        </w:tc>
        <w:tc>
          <w:tcPr>
            <w:tcW w:w="100" w:type="dxa"/>
            <w:vAlign w:val="bottom"/>
            <w:shd w:val="clear" w:color="auto" w:fill="CFF0FC"/>
          </w:tcPr>
          <w:p>
            <w:pPr>
              <w:spacing w:after="0"/>
              <w:rPr>
                <w:sz w:val="24"/>
                <w:szCs w:val="24"/>
                <w:color w:val="auto"/>
              </w:rPr>
            </w:pPr>
          </w:p>
        </w:tc>
      </w:tr>
      <w:tr>
        <w:trPr>
          <w:trHeight w:val="658"/>
        </w:trPr>
        <w:tc>
          <w:tcPr>
            <w:tcW w:w="4420" w:type="dxa"/>
            <w:vAlign w:val="bottom"/>
            <w:tcBorders>
              <w:top w:val="single" w:sz="8" w:color="CFF0FC"/>
            </w:tcBorders>
          </w:tcPr>
          <w:p>
            <w:pPr>
              <w:spacing w:after="0"/>
              <w:rPr>
                <w:sz w:val="24"/>
                <w:szCs w:val="24"/>
                <w:color w:val="auto"/>
              </w:rPr>
            </w:pPr>
          </w:p>
        </w:tc>
        <w:tc>
          <w:tcPr>
            <w:tcW w:w="13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w:t>
            </w:r>
          </w:p>
        </w:tc>
        <w:tc>
          <w:tcPr>
            <w:tcW w:w="11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4"/>
        </w:trPr>
        <w:tc>
          <w:tcPr>
            <w:tcW w:w="44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-536575</wp:posOffset>
            </wp:positionV>
            <wp:extent cx="1619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-519430</wp:posOffset>
            </wp:positionV>
            <wp:extent cx="1619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5314315</wp:posOffset>
            </wp:positionH>
            <wp:positionV relativeFrom="paragraph">
              <wp:posOffset>-536575</wp:posOffset>
            </wp:positionV>
            <wp:extent cx="1536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5314315</wp:posOffset>
            </wp:positionH>
            <wp:positionV relativeFrom="paragraph">
              <wp:posOffset>-519430</wp:posOffset>
            </wp:positionV>
            <wp:extent cx="1536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-536575</wp:posOffset>
            </wp:positionV>
            <wp:extent cx="1536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-519430</wp:posOffset>
            </wp:positionV>
            <wp:extent cx="1536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-536575</wp:posOffset>
            </wp:positionV>
            <wp:extent cx="679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-519430</wp:posOffset>
            </wp:positionV>
            <wp:extent cx="679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and Investments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Level I: Inputs which include quoted prices in active markets for identical assets and liabilities.</w:t>
      </w:r>
    </w:p>
    <w:p>
      <w:pPr>
        <w:spacing w:after="0" w:line="129" w:lineRule="exact"/>
        <w:rPr>
          <w:sz w:val="20"/>
          <w:szCs w:val="20"/>
          <w:color w:val="auto"/>
        </w:rPr>
      </w:pPr>
    </w:p>
    <w:p>
      <w:pPr>
        <w:jc w:val="both"/>
        <w:ind w:left="960" w:right="60"/>
        <w:spacing w:after="0" w:line="277" w:lineRule="auto"/>
        <w:rPr>
          <w:sz w:val="20"/>
          <w:szCs w:val="20"/>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sz w:val="20"/>
          <w:szCs w:val="20"/>
          <w:color w:val="auto"/>
        </w:rPr>
      </w:pPr>
    </w:p>
    <w:p>
      <w:pPr>
        <w:ind w:left="960" w:right="620"/>
        <w:spacing w:after="0" w:line="290" w:lineRule="auto"/>
        <w:rPr>
          <w:sz w:val="20"/>
          <w:szCs w:val="20"/>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government bonds that are included in long-term and short-term investments.</w:t>
      </w:r>
    </w:p>
    <w:p>
      <w:pPr>
        <w:spacing w:after="0" w:line="186" w:lineRule="exact"/>
        <w:rPr>
          <w:sz w:val="20"/>
          <w:szCs w:val="20"/>
          <w:color w:val="auto"/>
        </w:rPr>
      </w:pPr>
    </w:p>
    <w:p>
      <w:pPr>
        <w:ind w:right="260"/>
        <w:spacing w:after="0" w:line="290" w:lineRule="auto"/>
        <w:rPr>
          <w:sz w:val="20"/>
          <w:szCs w:val="20"/>
          <w:color w:val="auto"/>
        </w:rPr>
      </w:pPr>
      <w:r>
        <w:rPr>
          <w:rFonts w:ascii="Arial" w:cs="Arial" w:eastAsia="Arial" w:hAnsi="Arial"/>
          <w:sz w:val="18"/>
          <w:szCs w:val="18"/>
          <w:color w:val="auto"/>
        </w:rPr>
        <w:t>The following tables set forth the fair value of the Company’s investments subject to fair value measurements on a recurring basis and the level of inputs used in such measurements: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0"/>
              </w:rPr>
              <w:t>September 30, 2021</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8"/>
        </w:trPr>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5"/>
                <w:szCs w:val="15"/>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5"/>
                <w:szCs w:val="15"/>
                <w:color w:val="auto"/>
              </w:rPr>
            </w:pPr>
          </w:p>
        </w:tc>
        <w:tc>
          <w:tcPr>
            <w:tcW w:w="86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Valuation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for Credit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Holding</w:t>
            </w:r>
          </w:p>
        </w:tc>
        <w:tc>
          <w:tcPr>
            <w:tcW w:w="140" w:type="dxa"/>
            <w:vAlign w:val="bottom"/>
          </w:tcPr>
          <w:p>
            <w:pPr>
              <w:spacing w:after="0"/>
              <w:rPr>
                <w:sz w:val="15"/>
                <w:szCs w:val="15"/>
                <w:color w:val="auto"/>
              </w:rPr>
            </w:pPr>
          </w:p>
        </w:tc>
        <w:tc>
          <w:tcPr>
            <w:tcW w:w="86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Holding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Aggregate</w:t>
            </w:r>
          </w:p>
        </w:tc>
      </w:tr>
      <w:tr>
        <w:trPr>
          <w:trHeight w:val="191"/>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Hierarchy</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gridSpan w:val="2"/>
          </w:tcPr>
          <w:p>
            <w:pPr>
              <w:spacing w:after="0"/>
              <w:rPr>
                <w:sz w:val="16"/>
                <w:szCs w:val="16"/>
                <w:color w:val="auto"/>
              </w:rPr>
            </w:pPr>
          </w:p>
        </w:tc>
      </w:tr>
      <w:tr>
        <w:trPr>
          <w:trHeight w:val="195"/>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1"/>
        </w:trPr>
        <w:tc>
          <w:tcPr>
            <w:tcW w:w="32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48"/>
        </w:trPr>
        <w:tc>
          <w:tcPr>
            <w:tcW w:w="3200" w:type="dxa"/>
            <w:vAlign w:val="bottom"/>
            <w:gridSpan w:val="2"/>
          </w:tcPr>
          <w:p>
            <w:pPr>
              <w:ind w:left="100"/>
              <w:spacing w:after="0"/>
              <w:rPr>
                <w:sz w:val="20"/>
                <w:szCs w:val="20"/>
                <w:color w:val="auto"/>
              </w:rPr>
            </w:pPr>
            <w:r>
              <w:rPr>
                <w:rFonts w:ascii="Arial" w:cs="Arial" w:eastAsia="Arial" w:hAnsi="Arial"/>
                <w:sz w:val="18"/>
                <w:szCs w:val="18"/>
                <w:color w:val="auto"/>
              </w:rPr>
              <w:t>Money market funds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Level I</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205,667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205,667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2"/>
        </w:trPr>
        <w:tc>
          <w:tcPr>
            <w:tcW w:w="3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Restricted cash (money market funds)</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Level I</w:t>
            </w: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917</w:t>
            </w:r>
          </w:p>
        </w:tc>
        <w:tc>
          <w:tcPr>
            <w:tcW w:w="1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48"/>
        </w:trPr>
        <w:tc>
          <w:tcPr>
            <w:tcW w:w="3200" w:type="dxa"/>
            <w:vAlign w:val="bottom"/>
            <w:gridSpan w:val="2"/>
          </w:tcPr>
          <w:p>
            <w:pPr>
              <w:ind w:left="100"/>
              <w:spacing w:after="0"/>
              <w:rPr>
                <w:sz w:val="20"/>
                <w:szCs w:val="20"/>
                <w:color w:val="auto"/>
              </w:rPr>
            </w:pPr>
            <w:r>
              <w:rPr>
                <w:rFonts w:ascii="Arial" w:cs="Arial" w:eastAsia="Arial" w:hAnsi="Arial"/>
                <w:sz w:val="18"/>
                <w:szCs w:val="18"/>
                <w:color w:val="auto"/>
              </w:rPr>
              <w:t>U.S. Government bonds - short term</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Level I</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5"/>
        </w:trPr>
        <w:tc>
          <w:tcPr>
            <w:tcW w:w="32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U.S. Government bonds - long term</w:t>
            </w:r>
          </w:p>
        </w:tc>
        <w:tc>
          <w:tcPr>
            <w:tcW w:w="9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Level I</w:t>
            </w:r>
          </w:p>
        </w:tc>
        <w:tc>
          <w:tcPr>
            <w:tcW w:w="6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99,917</w:t>
            </w:r>
          </w:p>
        </w:tc>
        <w:tc>
          <w:tcPr>
            <w:tcW w:w="18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99,969</w:t>
            </w: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r>
      <w:tr>
        <w:trPr>
          <w:trHeight w:val="248"/>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306,506</w:t>
            </w:r>
          </w:p>
        </w:tc>
        <w:tc>
          <w:tcPr>
            <w:tcW w:w="220" w:type="dxa"/>
            <w:vAlign w:val="bottom"/>
            <w:gridSpan w:val="2"/>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18"/>
        </w:trPr>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8"/>
        </w:trPr>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5"/>
                <w:szCs w:val="15"/>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5"/>
                <w:szCs w:val="15"/>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Valuation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for Credit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Holding</w:t>
            </w:r>
          </w:p>
        </w:tc>
        <w:tc>
          <w:tcPr>
            <w:tcW w:w="140" w:type="dxa"/>
            <w:vAlign w:val="bottom"/>
          </w:tcPr>
          <w:p>
            <w:pPr>
              <w:spacing w:after="0"/>
              <w:rPr>
                <w:sz w:val="15"/>
                <w:szCs w:val="15"/>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Holding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Aggregate</w:t>
            </w:r>
          </w:p>
        </w:tc>
      </w:tr>
      <w:tr>
        <w:trPr>
          <w:trHeight w:val="191"/>
        </w:trPr>
        <w:tc>
          <w:tcPr>
            <w:tcW w:w="3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Hierarchy</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r>
      <w:tr>
        <w:trPr>
          <w:trHeight w:val="195"/>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1"/>
        </w:trPr>
        <w:tc>
          <w:tcPr>
            <w:tcW w:w="32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48"/>
        </w:trPr>
        <w:tc>
          <w:tcPr>
            <w:tcW w:w="3200" w:type="dxa"/>
            <w:vAlign w:val="bottom"/>
            <w:gridSpan w:val="2"/>
          </w:tcPr>
          <w:p>
            <w:pPr>
              <w:ind w:left="100"/>
              <w:spacing w:after="0"/>
              <w:rPr>
                <w:sz w:val="20"/>
                <w:szCs w:val="20"/>
                <w:color w:val="auto"/>
              </w:rPr>
            </w:pPr>
            <w:r>
              <w:rPr>
                <w:rFonts w:ascii="Arial" w:cs="Arial" w:eastAsia="Arial" w:hAnsi="Arial"/>
                <w:sz w:val="18"/>
                <w:szCs w:val="18"/>
                <w:color w:val="auto"/>
              </w:rPr>
              <w:t>Money market funds</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Level I</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131,121</w:t>
            </w:r>
          </w:p>
        </w:tc>
        <w:tc>
          <w:tcPr>
            <w:tcW w:w="2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131,121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2"/>
        </w:trPr>
        <w:tc>
          <w:tcPr>
            <w:tcW w:w="3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Restricted cash (money market funds)</w:t>
            </w:r>
          </w:p>
        </w:tc>
        <w:tc>
          <w:tcPr>
            <w:tcW w:w="9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Level I</w:t>
            </w: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FF0FC"/>
          </w:tcPr>
          <w:p>
            <w:pPr>
              <w:spacing w:after="0"/>
              <w:rPr>
                <w:sz w:val="22"/>
                <w:szCs w:val="22"/>
                <w:color w:val="auto"/>
              </w:rPr>
            </w:pPr>
          </w:p>
        </w:tc>
      </w:tr>
      <w:tr>
        <w:trPr>
          <w:trHeight w:val="248"/>
        </w:trPr>
        <w:tc>
          <w:tcPr>
            <w:tcW w:w="3200" w:type="dxa"/>
            <w:vAlign w:val="bottom"/>
            <w:gridSpan w:val="2"/>
          </w:tcPr>
          <w:p>
            <w:pPr>
              <w:ind w:left="100"/>
              <w:spacing w:after="0"/>
              <w:rPr>
                <w:sz w:val="20"/>
                <w:szCs w:val="20"/>
                <w:color w:val="auto"/>
              </w:rPr>
            </w:pPr>
            <w:r>
              <w:rPr>
                <w:rFonts w:ascii="Arial" w:cs="Arial" w:eastAsia="Arial" w:hAnsi="Arial"/>
                <w:sz w:val="18"/>
                <w:szCs w:val="18"/>
                <w:color w:val="auto"/>
              </w:rPr>
              <w:t>U.S. Government bonds - short term</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Level I</w:t>
            </w: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124,254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124,260</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88"/>
        </w:trPr>
        <w:tc>
          <w:tcPr>
            <w:tcW w:w="32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securities</w:t>
            </w:r>
          </w:p>
        </w:tc>
        <w:tc>
          <w:tcPr>
            <w:tcW w:w="8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256,292</w:t>
            </w:r>
          </w:p>
        </w:tc>
        <w:tc>
          <w:tcPr>
            <w:tcW w:w="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256,298</w:t>
            </w:r>
          </w:p>
        </w:tc>
        <w:tc>
          <w:tcPr>
            <w:tcW w:w="20" w:type="dxa"/>
            <w:vAlign w:val="bottom"/>
            <w:tcBorders>
              <w:bottom w:val="single" w:sz="8" w:color="auto"/>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-1981835</wp:posOffset>
            </wp:positionV>
            <wp:extent cx="13652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4470400</wp:posOffset>
            </wp:positionH>
            <wp:positionV relativeFrom="paragraph">
              <wp:posOffset>-1981835</wp:posOffset>
            </wp:positionV>
            <wp:extent cx="1193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9380" cy="5715"/>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-1981835</wp:posOffset>
            </wp:positionV>
            <wp:extent cx="1193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9380" cy="5715"/>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-1981835</wp:posOffset>
            </wp:positionV>
            <wp:extent cx="1193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9380" cy="5715"/>
                    </a:xfrm>
                    <a:prstGeom prst="rect">
                      <a:avLst/>
                    </a:prstGeom>
                    <a:noFill/>
                  </pic:spPr>
                </pic:pic>
              </a:graphicData>
            </a:graphic>
          </wp:anchor>
        </w:drawing>
        <w:drawing>
          <wp:anchor simplePos="0" relativeHeight="251657728" behindDoc="1" locked="0" layoutInCell="0" allowOverlap="1">
            <wp:simplePos x="0" y="0"/>
            <wp:positionH relativeFrom="column">
              <wp:posOffset>6720205</wp:posOffset>
            </wp:positionH>
            <wp:positionV relativeFrom="paragraph">
              <wp:posOffset>-1981835</wp:posOffset>
            </wp:positionV>
            <wp:extent cx="5969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3686175</wp:posOffset>
            </wp:positionH>
            <wp:positionV relativeFrom="paragraph">
              <wp:posOffset>-24765</wp:posOffset>
            </wp:positionV>
            <wp:extent cx="127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3686175</wp:posOffset>
            </wp:positionH>
            <wp:positionV relativeFrom="paragraph">
              <wp:posOffset>-7620</wp:posOffset>
            </wp:positionV>
            <wp:extent cx="1276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4470400</wp:posOffset>
            </wp:positionH>
            <wp:positionV relativeFrom="paragraph">
              <wp:posOffset>-24765</wp:posOffset>
            </wp:positionV>
            <wp:extent cx="1104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4470400</wp:posOffset>
            </wp:positionH>
            <wp:positionV relativeFrom="paragraph">
              <wp:posOffset>-7620</wp:posOffset>
            </wp:positionV>
            <wp:extent cx="1104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-24765</wp:posOffset>
            </wp:positionV>
            <wp:extent cx="1104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-7620</wp:posOffset>
            </wp:positionV>
            <wp:extent cx="1104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-24765</wp:posOffset>
            </wp:positionV>
            <wp:extent cx="1104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-7620</wp:posOffset>
            </wp:positionV>
            <wp:extent cx="1104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-24765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-7620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4"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All long term investments consist of U.S. government bonds purchased in the second quarter of 2021 with contractual maturities of eighteen months, and no other securities have contractual maturities of greater than twelve months.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77"/>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295"/>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6"/>
                <w:szCs w:val="16"/>
                <w:color w:val="auto"/>
              </w:rPr>
            </w:pPr>
          </w:p>
        </w:tc>
      </w:tr>
      <w:tr>
        <w:trPr>
          <w:trHeight w:val="207"/>
        </w:trPr>
        <w:tc>
          <w:tcPr>
            <w:tcW w:w="7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5"/>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1"/>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clinical expenses</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10,803</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w:t>
            </w:r>
          </w:p>
        </w:tc>
        <w:tc>
          <w:tcPr>
            <w:tcW w:w="100" w:type="dxa"/>
            <w:vAlign w:val="bottom"/>
            <w:shd w:val="clear" w:color="auto" w:fill="CFF0FC"/>
          </w:tcPr>
          <w:p>
            <w:pPr>
              <w:spacing w:after="0"/>
              <w:rPr>
                <w:sz w:val="22"/>
                <w:szCs w:val="22"/>
                <w:color w:val="auto"/>
              </w:rPr>
            </w:pPr>
          </w:p>
        </w:tc>
      </w:tr>
      <w:tr>
        <w:trPr>
          <w:trHeight w:val="248"/>
        </w:trPr>
        <w:tc>
          <w:tcPr>
            <w:tcW w:w="7660" w:type="dxa"/>
            <w:vAlign w:val="bottom"/>
          </w:tcPr>
          <w:p>
            <w:pPr>
              <w:ind w:left="20"/>
              <w:spacing w:after="0"/>
              <w:rPr>
                <w:sz w:val="20"/>
                <w:szCs w:val="20"/>
                <w:color w:val="auto"/>
              </w:rPr>
            </w:pPr>
            <w:r>
              <w:rPr>
                <w:rFonts w:ascii="Arial" w:cs="Arial" w:eastAsia="Arial" w:hAnsi="Arial"/>
                <w:sz w:val="18"/>
                <w:szCs w:val="18"/>
                <w:color w:val="auto"/>
              </w:rPr>
              <w:t>Payroll and related expenses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7,822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8,362</w:t>
            </w:r>
          </w:p>
        </w:tc>
        <w:tc>
          <w:tcPr>
            <w:tcW w:w="100" w:type="dxa"/>
            <w:vAlign w:val="bottom"/>
          </w:tcPr>
          <w:p>
            <w:pPr>
              <w:spacing w:after="0"/>
              <w:rPr>
                <w:sz w:val="21"/>
                <w:szCs w:val="21"/>
                <w:color w:val="auto"/>
              </w:rPr>
            </w:pPr>
          </w:p>
        </w:tc>
      </w:tr>
      <w:tr>
        <w:trPr>
          <w:trHeight w:val="262"/>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Legal and professional expenses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FF0FC"/>
          </w:tcPr>
          <w:p>
            <w:pPr>
              <w:spacing w:after="0"/>
              <w:rPr>
                <w:sz w:val="22"/>
                <w:szCs w:val="22"/>
                <w:color w:val="auto"/>
              </w:rPr>
            </w:pPr>
          </w:p>
        </w:tc>
      </w:tr>
      <w:tr>
        <w:trPr>
          <w:trHeight w:val="248"/>
        </w:trPr>
        <w:tc>
          <w:tcPr>
            <w:tcW w:w="7660" w:type="dxa"/>
            <w:vAlign w:val="bottom"/>
          </w:tcPr>
          <w:p>
            <w:pPr>
              <w:ind w:left="20"/>
              <w:spacing w:after="0"/>
              <w:rPr>
                <w:sz w:val="20"/>
                <w:szCs w:val="20"/>
                <w:color w:val="auto"/>
              </w:rPr>
            </w:pPr>
            <w:r>
              <w:rPr>
                <w:rFonts w:ascii="Arial" w:cs="Arial" w:eastAsia="Arial" w:hAnsi="Arial"/>
                <w:sz w:val="18"/>
                <w:szCs w:val="18"/>
                <w:color w:val="auto"/>
              </w:rPr>
              <w:t>Operating lease liabilities - short term</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3,509</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1"/>
                <w:szCs w:val="21"/>
                <w:color w:val="auto"/>
              </w:rPr>
            </w:pPr>
          </w:p>
        </w:tc>
      </w:tr>
      <w:tr>
        <w:trPr>
          <w:trHeight w:val="255"/>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8"/>
        </w:trPr>
        <w:tc>
          <w:tcPr>
            <w:tcW w:w="766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25,167</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23,059</w:t>
            </w:r>
          </w:p>
        </w:tc>
        <w:tc>
          <w:tcPr>
            <w:tcW w:w="100" w:type="dxa"/>
            <w:vAlign w:val="bottom"/>
          </w:tcPr>
          <w:p>
            <w:pPr>
              <w:spacing w:after="0"/>
              <w:rPr>
                <w:sz w:val="21"/>
                <w:szCs w:val="2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5885180</wp:posOffset>
            </wp:positionH>
            <wp:positionV relativeFrom="paragraph">
              <wp:posOffset>-192405</wp:posOffset>
            </wp:positionV>
            <wp:extent cx="17907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907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-192405</wp:posOffset>
            </wp:positionV>
            <wp:extent cx="6794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945" cy="5715"/>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Research and Collaboration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by collaboration partners: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3"/>
              </w:rPr>
              <w:t>Nine Months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4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4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r>
      <w:tr>
        <w:trPr>
          <w:trHeight w:val="195"/>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1"/>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AbbVie</w:t>
            </w: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w:t>
            </w:r>
          </w:p>
        </w:tc>
        <w:tc>
          <w:tcPr>
            <w:tcW w:w="820" w:type="dxa"/>
            <w:vAlign w:val="bottom"/>
            <w:gridSpan w:val="2"/>
            <w:shd w:val="clear" w:color="auto" w:fill="CFF0FC"/>
          </w:tcPr>
          <w:p>
            <w:pPr>
              <w:jc w:val="right"/>
              <w:ind w:right="311"/>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62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6,172</w:t>
            </w:r>
          </w:p>
        </w:tc>
        <w:tc>
          <w:tcPr>
            <w:tcW w:w="760" w:type="dxa"/>
            <w:vAlign w:val="bottom"/>
            <w:gridSpan w:val="2"/>
            <w:shd w:val="clear" w:color="auto" w:fill="CFF0FC"/>
          </w:tcPr>
          <w:p>
            <w:pPr>
              <w:jc w:val="right"/>
              <w:ind w:right="311"/>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35,624</w:t>
            </w:r>
          </w:p>
        </w:tc>
        <w:tc>
          <w:tcPr>
            <w:tcW w:w="100" w:type="dxa"/>
            <w:vAlign w:val="bottom"/>
            <w:shd w:val="clear" w:color="auto" w:fill="CFF0FC"/>
          </w:tcPr>
          <w:p>
            <w:pPr>
              <w:spacing w:after="0"/>
              <w:rPr>
                <w:sz w:val="22"/>
                <w:szCs w:val="22"/>
                <w:color w:val="auto"/>
              </w:rPr>
            </w:pPr>
          </w:p>
        </w:tc>
      </w:tr>
      <w:tr>
        <w:trPr>
          <w:trHeight w:val="248"/>
        </w:trPr>
        <w:tc>
          <w:tcPr>
            <w:tcW w:w="4900" w:type="dxa"/>
            <w:vAlign w:val="bottom"/>
          </w:tcPr>
          <w:p>
            <w:pPr>
              <w:ind w:left="200"/>
              <w:spacing w:after="0"/>
              <w:rPr>
                <w:sz w:val="20"/>
                <w:szCs w:val="20"/>
                <w:color w:val="auto"/>
              </w:rPr>
            </w:pPr>
            <w:r>
              <w:rPr>
                <w:rFonts w:ascii="Arial" w:cs="Arial" w:eastAsia="Arial" w:hAnsi="Arial"/>
                <w:sz w:val="18"/>
                <w:szCs w:val="18"/>
                <w:color w:val="auto"/>
              </w:rPr>
              <w:t>Amgen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2,428</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1,633</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6,884</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21"/>
                <w:szCs w:val="21"/>
                <w:color w:val="auto"/>
              </w:rPr>
            </w:pPr>
          </w:p>
        </w:tc>
      </w:tr>
      <w:tr>
        <w:trPr>
          <w:trHeight w:val="262"/>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Astellas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w:t>
            </w:r>
          </w:p>
        </w:tc>
        <w:tc>
          <w:tcPr>
            <w:tcW w:w="3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14,575</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9,133</w:t>
            </w:r>
          </w:p>
        </w:tc>
        <w:tc>
          <w:tcPr>
            <w:tcW w:w="100" w:type="dxa"/>
            <w:vAlign w:val="bottom"/>
            <w:shd w:val="clear" w:color="auto" w:fill="CFF0FC"/>
          </w:tcPr>
          <w:p>
            <w:pPr>
              <w:spacing w:after="0"/>
              <w:rPr>
                <w:sz w:val="22"/>
                <w:szCs w:val="22"/>
                <w:color w:val="auto"/>
              </w:rPr>
            </w:pPr>
          </w:p>
        </w:tc>
      </w:tr>
      <w:tr>
        <w:trPr>
          <w:trHeight w:val="248"/>
        </w:trPr>
        <w:tc>
          <w:tcPr>
            <w:tcW w:w="4900" w:type="dxa"/>
            <w:vAlign w:val="bottom"/>
          </w:tcPr>
          <w:p>
            <w:pPr>
              <w:ind w:left="200"/>
              <w:spacing w:after="0"/>
              <w:rPr>
                <w:sz w:val="20"/>
                <w:szCs w:val="20"/>
                <w:color w:val="auto"/>
              </w:rPr>
            </w:pPr>
            <w:r>
              <w:rPr>
                <w:rFonts w:ascii="Arial" w:cs="Arial" w:eastAsia="Arial" w:hAnsi="Arial"/>
                <w:sz w:val="18"/>
                <w:szCs w:val="18"/>
                <w:color w:val="auto"/>
              </w:rPr>
              <w:t>Bristol Myers Squibb</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3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7,403</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22,215</w:t>
            </w:r>
          </w:p>
        </w:tc>
        <w:tc>
          <w:tcPr>
            <w:tcW w:w="2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32,225</w:t>
            </w:r>
          </w:p>
        </w:tc>
        <w:tc>
          <w:tcPr>
            <w:tcW w:w="100" w:type="dxa"/>
            <w:vAlign w:val="bottom"/>
          </w:tcPr>
          <w:p>
            <w:pPr>
              <w:spacing w:after="0"/>
              <w:rPr>
                <w:sz w:val="21"/>
                <w:szCs w:val="21"/>
                <w:color w:val="auto"/>
              </w:rPr>
            </w:pPr>
          </w:p>
        </w:tc>
      </w:tr>
      <w:tr>
        <w:trPr>
          <w:trHeight w:val="288"/>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17,587</w:t>
            </w:r>
          </w:p>
        </w:tc>
        <w:tc>
          <w:tcPr>
            <w:tcW w:w="3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17,788</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49,846</w:t>
            </w:r>
          </w:p>
        </w:tc>
        <w:tc>
          <w:tcPr>
            <w:tcW w:w="2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-24765</wp:posOffset>
            </wp:positionV>
            <wp:extent cx="20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-7620</wp:posOffset>
            </wp:positionV>
            <wp:extent cx="204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4470" cy="8255"/>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-24765</wp:posOffset>
            </wp:positionV>
            <wp:extent cx="187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7325" cy="8255"/>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-7620</wp:posOffset>
            </wp:positionV>
            <wp:extent cx="187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7325" cy="825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-24765</wp:posOffset>
            </wp:positionV>
            <wp:extent cx="1619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-7620</wp:posOffset>
            </wp:positionV>
            <wp:extent cx="1619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will co-develop a conditionally activated antibody-drug conjugate (“ADC")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and commercialization unless it opts-out. If the Company opts-out from participation of co-development of the CD71 conditionally activated ADC, which includes CX-2029, AbbVie will have sole right and responsibility for the further development, manufacturing and commercialization of such CD71 conditionally activated ADC.</w:t>
      </w:r>
    </w:p>
    <w:p>
      <w:pPr>
        <w:spacing w:after="0" w:line="230"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Under the CD71 Agreement, the Company received an upfront payment of $20.0 million in April 2016, and was eligible to initially receive up to $470.0 million in development, regulatory and commercial milestone payments, a 35% profit split on U.S. sales, and royalties on ex-U.S. sales at percentages in the high teens to low twenties if the Company participates in the co-development of the CD71 conditionally activated ADC subject to a reversion to a royalty on U.S. sales, and reduction in royalties on ex-U.S. sales, if the Company opts-out from the co-development of the CD71 conditionally activated ADC. The Company’s share of later stage co-development costs for each CD71 conditionally activated ADC is capped, provided that AbbVie may offset the Company’s co-development cost above the capped amounts from future payments such as milestone payments and royalties. In July 2017, the Company received a milestone payment of $14.0 million (net of payment of an associated sublicense fee of $1.0 million to SGEN under the Seattle Genetics Agreement) from AbbVie for achieving certain milestones required to be met to begin GLP toxicology studies under the CD71 Agreement. In May 2018, the United States Food and Drug Administration (“FDA”) cleared the IND application for CX-2029. As a result, the Company achieved the IND success criteria under the CD71 Agreement and received a $21.0 million milestone payment (net of the payment of an associated sublicense fee of $4.0 million to SGEN). In March 2020, the Company earned a $40.0 million milestone payment for satisfying the CD71 dose escalation success criteria under the CD71 Agreement.</w:t>
      </w:r>
    </w:p>
    <w:p>
      <w:pPr>
        <w:spacing w:after="0" w:line="2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Under the terms of the Discovery Agreement, AbbVie receives exclusive worldwide rights to develop and commercialize conditionally activated ADCs against up to two targets, one of which was selected in March 2017. The Company shall perform research services to discover the Probody therapeutics and create conditionally activated ADCs for the nominated collaboration targets. From that point, AbbVie</w:t>
      </w:r>
    </w:p>
    <w:p>
      <w:pPr>
        <w:sectPr>
          <w:pgSz w:w="11900" w:h="16838" w:orient="portrait"/>
          <w:cols w:equalWidth="0" w:num="1">
            <w:col w:w="11240"/>
          </w:cols>
          <w:pgMar w:left="320" w:top="135"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88" w:lineRule="exact"/>
        <w:rPr>
          <w:sz w:val="20"/>
          <w:szCs w:val="20"/>
          <w:color w:val="auto"/>
        </w:rPr>
      </w:pPr>
    </w:p>
    <w:p>
      <w:pPr>
        <w:ind w:right="340"/>
        <w:spacing w:after="0" w:line="290" w:lineRule="auto"/>
        <w:rPr>
          <w:sz w:val="20"/>
          <w:szCs w:val="20"/>
          <w:color w:val="auto"/>
        </w:rPr>
      </w:pPr>
      <w:r>
        <w:rPr>
          <w:rFonts w:ascii="Arial" w:cs="Arial" w:eastAsia="Arial" w:hAnsi="Arial"/>
          <w:sz w:val="18"/>
          <w:szCs w:val="18"/>
          <w:color w:val="auto"/>
        </w:rPr>
        <w:t>shall have sole right and responsibility for development and commercialization of products comprising or containing such conditionally activated ADCs (“Discovery Licensed Products”).</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Under the Discovery Agreement, the Company received an upfront payment of $10.0 million in April 2016 and subsequently earned an additional $10.0 million milestone payment triggered by selection of the second target by AbbVie in June 2019. The Company is also eligible to receive up to $265.0 million for each target, in development, regulatory and commercial milestone payments and royalties at percentages in the high single to low teens from commercial sales of any resulting conditionally activated ADCs. The second target was selected under the Discovery Agreement that allows AbbVie to select a target for developing a conditionally activated ADC or a Probody.</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The $40.0 million milestone payment earned in March 2020 for satisfying the CD71 dose escalation success criteria under the CD71 Agreement was included as part of the transaction price as it was unconstrained during the first quarter of 2020 and $26.6 million was recognized as revenue related to this milestone reflecting the percentage completed to-date on the project as of March 2020. The remainder is being recognized as revenues over the remaining estimated research service period through March 2023.</w:t>
      </w:r>
    </w:p>
    <w:p>
      <w:pPr>
        <w:spacing w:after="0" w:line="2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determined that the remaining potential milestone payments of both agreements, if recognized, are probable of significant revenue reversal as their achievement is highly dependent on factors outside the Company’s control. Therefore, these payments continue to be fully constrained and are not included in the transaction price as of September 30, 2021.</w:t>
      </w:r>
    </w:p>
    <w:p>
      <w:pPr>
        <w:spacing w:after="0" w:line="18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 recognized revenue of $2.9 million and $4.2 million for the three months ended September 30, 2021 and 2020, respectively, and $6.2 million and $35.6 million for the nine months ended September 30, 2021 and 2020, respectively, related to the AbbVie Agreements. As of September 30, 2021 and December 31, 2020, deferred revenue related to the CD71 Agreement performance obligation was $21.1 million and $25.2 million, respectively, and deferred revenue related to the Discovery Agreement performance obligation was $5.9 million and $8.0 million, respectively. No amounts were due from AbbVie as of both September 30, 2021 and December 31, 2020.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42"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On September 29, 2017, the Company and Amgen, Inc. (“Amgen”) entered into a Collaboration and License Agreement (the “Amgen Agreement”). Pursuant to the Amgen Agreement, the Company received an upfront payment of $40.0 million in October 2017. Concurrent with the entry into the Amgen Agreement, the Company and Amgen entered into a Share Purchase Agreement (the “Purchase Agreement”) pursuant to which Amgen purchased 1,156,069 shares of the Company’s common stock at a price of $17.30 per share (calculated based on a 20-day volume-weighted average price), for total proceeds of $20.0 million, which the Company received on October 6, 2017, the closing date of the transaction. The Company estimated a premium on the stock sold to Amgen of $0.5 million, which takes into account a discount due to the lack of marketability resulting from the six-month lockup period.</w:t>
      </w:r>
    </w:p>
    <w:p>
      <w:pPr>
        <w:spacing w:after="0" w:line="14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w:t>
      </w:r>
    </w:p>
    <w:p>
      <w:pPr>
        <w:spacing w:after="0" w:line="237"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Under the terms of the Amgen Agreement, as amended, the Company and Amgen will co-develop a conditionally activated T-cell engaging bispecific therapeutic targeting epidermal growth factor receptor (the “EGFR Products”). The Company is responsible for early-stage development of EGFR Products and Amgen will be responsible for late-stage development and commercialization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also eligible to receive up to $460.0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p>
    <w:p>
      <w:pPr>
        <w:spacing w:after="0" w:line="220"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Amgen also has the right to select a total of up to three targets, including the two additional targets discussed below. The Company and Amgen collaborate in the research and development of conditionally activated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w:t>
      </w:r>
    </w:p>
    <w:p>
      <w:pPr>
        <w:sectPr>
          <w:pgSz w:w="11900" w:h="16838" w:orient="portrait"/>
          <w:cols w:equalWidth="0" w:num="1">
            <w:col w:w="11240"/>
          </w:cols>
          <w:pgMar w:left="320" w:top="135"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Products, CytomX was initially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22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conditionally activated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13"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The Company recognized revenue of $2.4 million and $1.6 million for the three months ended September 30, 2021 and 2020, respectively, and $6.9 million and $7.0 million for the nine months ended September 30, 2021 and 2020, respectively, related to the Amgen Agreement. As of September 30, 2021 and December 31, 2020, deferred revenue related to the EGFR Products performance obligation was $23.5 million and $29.8 million, respectively. As of September 30, 2021 and December 31, 2020, deferred revenue related to the Amgen Other Products performance obligation was $1.6 million and $2.2 million, respectively. No amounts were due from Amgen as of both September 30, 2021 and December 31,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Pharma Inc.</w:t>
      </w:r>
    </w:p>
    <w:p>
      <w:pPr>
        <w:spacing w:after="0" w:line="12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236"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has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the participation is at the Company’s discretion.</w:t>
      </w:r>
    </w:p>
    <w:p>
      <w:pPr>
        <w:spacing w:after="0" w:line="205"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Pursuant to the Astellas Agreement, the consideration from Astellas is comprised of an upfront fee of $80.0 million and contingent payments for development, regulatory and sales milestones of up to an aggregate of approximately $1.6 billion. If Astellas exercises its Expansion Option for the two Additional Targets, the Company would be eligible to receive additional upfront and milestone payments aggregating to approximately $0.9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full time employee ("FTE") rate.</w:t>
      </w:r>
    </w:p>
    <w:p>
      <w:pPr>
        <w:spacing w:after="0" w:line="230"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The Company recognized revenue of $4.9 million and $4.5 million for the three months ended September 30, 2021 and 2020, respectively; and $14.6 million and $9.1 million for the nine months ended September 30, 2021 and 2020, respectively. Those revenues also included the research and development service revenue of $0.9 million and $0.5 million for the three months ended September 30, 2021 and 2020, respectively, and $2.6 million and $0.7 million for the nine months ended September 30, 2021 and 2020, respectively. As of September 30, 2021 and December 31, 2020, deferred revenue relating to the Astellas Agreement was $55.6 million and $67.6 million, respectively. The amount due from Astellas under the Astellas Agreement was $0.9 million and $0.8 million as of September 30, 2021 and December 31, 2020, respectively.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 Myers Squibb Company</w:t>
      </w:r>
    </w:p>
    <w:p>
      <w:pPr>
        <w:spacing w:after="0" w:line="129"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83" w:lineRule="exact"/>
        <w:rPr>
          <w:sz w:val="20"/>
          <w:szCs w:val="20"/>
          <w:color w:val="auto"/>
        </w:rPr>
      </w:pPr>
    </w:p>
    <w:p>
      <w:pPr>
        <w:ind w:right="320"/>
        <w:spacing w:after="0" w:line="290" w:lineRule="auto"/>
        <w:rPr>
          <w:sz w:val="20"/>
          <w:szCs w:val="20"/>
          <w:color w:val="auto"/>
        </w:rPr>
      </w:pPr>
      <w:r>
        <w:rPr>
          <w:rFonts w:ascii="Arial" w:cs="Arial" w:eastAsia="Arial" w:hAnsi="Arial"/>
          <w:sz w:val="18"/>
          <w:szCs w:val="18"/>
          <w:color w:val="auto"/>
        </w:rPr>
        <w:t>Under the terms of the BMS Agreement, the Company granted Bristol Myers Squibb exclusive worldwide rights to develop and commercialize Probody therapeutics for up to four oncology targets. Bristol Myers Squibb had additional rights to substitute up to two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63" w:lineRule="exact"/>
        <w:rPr>
          <w:sz w:val="20"/>
          <w:szCs w:val="20"/>
          <w:color w:val="auto"/>
        </w:rPr>
      </w:pPr>
    </w:p>
    <w:p>
      <w:pPr>
        <w:ind w:firstLine="45"/>
        <w:spacing w:after="0" w:line="300" w:lineRule="auto"/>
        <w:rPr>
          <w:sz w:val="20"/>
          <w:szCs w:val="20"/>
          <w:color w:val="auto"/>
        </w:rPr>
      </w:pPr>
      <w:r>
        <w:rPr>
          <w:rFonts w:ascii="Arial" w:cs="Arial" w:eastAsia="Arial" w:hAnsi="Arial"/>
          <w:sz w:val="17"/>
          <w:szCs w:val="17"/>
          <w:color w:val="auto"/>
        </w:rPr>
        <w:t>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166" w:lineRule="exact"/>
        <w:rPr>
          <w:sz w:val="20"/>
          <w:szCs w:val="20"/>
          <w:color w:val="auto"/>
        </w:rPr>
      </w:pPr>
    </w:p>
    <w:p>
      <w:pPr>
        <w:ind w:right="60"/>
        <w:spacing w:after="0" w:line="343" w:lineRule="auto"/>
        <w:rPr>
          <w:sz w:val="20"/>
          <w:szCs w:val="20"/>
          <w:color w:val="auto"/>
        </w:rPr>
      </w:pPr>
      <w:r>
        <w:rPr>
          <w:rFonts w:ascii="Arial" w:cs="Arial" w:eastAsia="Arial" w:hAnsi="Arial"/>
          <w:sz w:val="15"/>
          <w:szCs w:val="15"/>
          <w:color w:val="auto"/>
        </w:rPr>
        <w:t>Pursuant to the BMS Agreement, the financial consideration from Bristol Myers Squibb was comprised of an upfront payment of $50.0 million, and the Company was initially entitled to receive contingent payments of up to $25.0 million for additional targets and up to an aggregate of $1,192.0 million for development, regulatory and sales milestones. In addition, the Company was entitled to royalty payments in the mid-single digits to low double-digit percentages from potential future sales. The Company also received research and development service fees based on a prescribed FTE rate that was capped.</w:t>
      </w:r>
    </w:p>
    <w:p>
      <w:pPr>
        <w:spacing w:after="0" w:line="141"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On March 17, 2017, the Company and Bristol Myers Squibb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228"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Pursuant to Amendment 1, the financial consideration from Bristol Myers Squibb was comprised of an upfront payment of $200.0 million and the Company was initially eligible to receive contingent payments for development, regulatory and sales milestones of up to an aggregate of $3,586.0 million for the eight targets. The Company was also entitled to tiered mid-single to low double-digit percentage royalties from potential future sales. Amendment 1 did not change the term of the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176" w:lineRule="exact"/>
        <w:rPr>
          <w:sz w:val="20"/>
          <w:szCs w:val="20"/>
          <w:color w:val="auto"/>
        </w:rPr>
      </w:pPr>
    </w:p>
    <w:p>
      <w:pPr>
        <w:ind w:right="260"/>
        <w:spacing w:after="0" w:line="309" w:lineRule="auto"/>
        <w:rPr>
          <w:sz w:val="20"/>
          <w:szCs w:val="20"/>
          <w:color w:val="auto"/>
        </w:rPr>
      </w:pPr>
      <w:r>
        <w:rPr>
          <w:rFonts w:ascii="Arial" w:cs="Arial" w:eastAsia="Arial" w:hAnsi="Arial"/>
          <w:sz w:val="16"/>
          <w:szCs w:val="16"/>
          <w:color w:val="auto"/>
        </w:rPr>
        <w:t>The initial transaction price for the BMS Agreement and Amendment 1, collectively, was $272.8 million consisting of the upfront fees of $250.0 million, research and development service fees of $10.8 million and milestone payments received to date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BMS Agreement represents an obligation to continuously make the Probody therapeutic technology platform available to Bristol Myers Squibb. Therefore, the initial transaction price is recognized over the estimated research service period, which ends on April 25, 2025.</w:t>
      </w:r>
    </w:p>
    <w:p>
      <w:pPr>
        <w:spacing w:after="0" w:line="1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February 2020, Bristol Myers Squibb dosed the first patient in the Part 2 cohort expansion portion of its ongoing BMS-986249 clinical study for the CTLA-4 program, which triggered a $10.0 million milestone payment to the Company pursuant to the terms of the BMS Agreement. The $10.0 million milestone payment was recognized as revenue in the first quarter of 2020.</w:t>
      </w:r>
    </w:p>
    <w:p>
      <w:pPr>
        <w:spacing w:after="0" w:line="18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February 2021, the Company and Bristol Myers Squibb entered into Amendment Number 2 to amend the Collaboration and License Agreement (“Amendment 2”), as amended by Amendment 1. Subsequent to Amendment 2, Bristol Myers Squibb has the exclusive worldwide rights to develop and commercialize Probody therapeutics for up to five oncology targets. Under the terms of Amendment 2, the period for target selection has been extended and the Company will continue to collaborate with Bristol Myers Squibb to discover and conduct preclinical development of Probody therapeutics against targets selected by Bristol Myers Squibb over the estimated research period, which ends in April 2025. Pursuant to Amendment 2, the Company is eligible to receive contingent payments for development, regulatory and sales milestones of up to an aggregate of $1,779.0 million. It is also entitled to tiered mid-single to low double-digit percentage of royalties from potential future sales. In addition, the Company will no longer be entitled to receive the research and development service fee as part of the arrangement.</w:t>
      </w:r>
    </w:p>
    <w:p>
      <w:pPr>
        <w:spacing w:after="0" w:line="17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Company reevaluated the remaining potential milestone payments and determined that, if recognized, significant revenue reversal was still probable as the achievement of such milestones was highly dependent on factors outside the Company’s control. As a result, these payments were fully constrained and were not included in the transaction price on September 30, 2021.</w:t>
      </w:r>
    </w:p>
    <w:p>
      <w:pPr>
        <w:spacing w:after="0" w:line="18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Company recognized revenue of $7.4 million and $7.4 million for the three months ended September 30, 2021 and 2020, respectively and $22.2 million and $32.2 million for the nine months ended September 30, 2021 and 2020, respectively. As of September 30, 2021 and December 31, 2020, deferred revenue relating to the BMS Agreement was $106.2 million and $128.3 million, respectively. No amounts were due from Bristol Myers Squibb as of September 30, 2021 and December 31, 2020.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 Inc.</w:t>
      </w:r>
    </w:p>
    <w:p>
      <w:pPr>
        <w:spacing w:after="0" w:line="129"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In January 2014, the Company and ImmunoGen, Inc. (“ImmunoGen”) entered into the Research Collaboration Agreement (the “ImmunoGen Research Agreement”). The ImmunoGen Research Agreement provided the Company with the right to use ImmunoGen’s Antibody Drug Conjugate (“ADC”) technology in combination with the Company’s Probody therapeutic technology to create a conditionally activated ADC directed at one specified target under a research license, and to subsequently obtain an exclusive, worldwide development and commercialization license to use ImmunoGen’s ADC technology to develop and commercialize such conditionally activated ADCs. The Company made no upfront cash payment in connection with the execution of the agreement. Instead, the Company provided ImmunoGen with the rights to CytomX’s Probody therapeutic technology to create conditionally activated ADCs directed at two targets under the ImmunoGen Research Agreement and to subsequently obtain exclusive, worldwide development and commercialization licenses to develop and commercialize such conditionally activated ADCs. In February 2016, the Company exercised its option to obtain a development and commercialization license for praluzatamab ravtansine (CX-2009) pursuant to the terms of the ImmunoGen Research Agreement (the “CX-2009 License”).</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December 2019, the parties entered into a license agreement (the “ImmunoGen 2019 License”) pursuant to which the ImmunoGen Research Agreement (the ”ImmunoGen 2017 License”) for a target in December 2017, was terminated and ImmunoGen granted a license for all of ImmunoGen’s rights under the ImmunoGen 2017 License to the Company.</w:t>
      </w:r>
    </w:p>
    <w:p>
      <w:pPr>
        <w:spacing w:after="0" w:line="236"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In February 2020, the Company dosed the first patient in the praluzatamab ravtansine Phase 2 clinical trial and triggered a $3.0 million milestone payment to ImmunoGen pursuant to the CX-2009 License which continued to remain in effect following the termination of the ImmunoGen 2017 License in December 2019. The Company recorded a $3.0 million charge to research and development expense for the first quarter of 2020, in connection with this milestone payment to ImmunoGen.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total contract liabilities during the nine months ended September 30, 2021:</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Balance at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center"/>
              <w:ind w:right="184"/>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5"/>
                <w:szCs w:val="15"/>
                <w:color w:val="auto"/>
              </w:rPr>
            </w:pPr>
          </w:p>
        </w:tc>
      </w:tr>
      <w:tr>
        <w:trPr>
          <w:trHeight w:val="174"/>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44"/>
              <w:spacing w:after="0"/>
              <w:rPr>
                <w:sz w:val="20"/>
                <w:szCs w:val="20"/>
                <w:color w:val="auto"/>
              </w:rPr>
            </w:pPr>
            <w:r>
              <w:rPr>
                <w:rFonts w:ascii="Arial" w:cs="Arial" w:eastAsia="Arial" w:hAnsi="Arial"/>
                <w:sz w:val="14"/>
                <w:szCs w:val="14"/>
                <w:b w:val="1"/>
                <w:bCs w:val="1"/>
                <w:color w:val="auto"/>
                <w:w w:val="91"/>
              </w:rPr>
              <w:t>Beginning of</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center"/>
              <w:ind w:right="204"/>
              <w:spacing w:after="0"/>
              <w:rPr>
                <w:sz w:val="20"/>
                <w:szCs w:val="20"/>
                <w:color w:val="auto"/>
              </w:rPr>
            </w:pPr>
            <w:r>
              <w:rPr>
                <w:rFonts w:ascii="Arial" w:cs="Arial" w:eastAsia="Arial" w:hAnsi="Arial"/>
                <w:sz w:val="14"/>
                <w:szCs w:val="14"/>
                <w:b w:val="1"/>
                <w:bCs w:val="1"/>
                <w:color w:val="auto"/>
                <w:w w:val="98"/>
              </w:rPr>
              <w:t>End</w:t>
            </w:r>
          </w:p>
        </w:tc>
        <w:tc>
          <w:tcPr>
            <w:tcW w:w="100" w:type="dxa"/>
            <w:vAlign w:val="bottom"/>
          </w:tcPr>
          <w:p>
            <w:pPr>
              <w:spacing w:after="0"/>
              <w:rPr>
                <w:sz w:val="15"/>
                <w:szCs w:val="15"/>
                <w:color w:val="auto"/>
              </w:rPr>
            </w:pPr>
          </w:p>
        </w:tc>
      </w:tr>
      <w:tr>
        <w:trPr>
          <w:trHeight w:val="191"/>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1"/>
              </w:rPr>
              <w:t>Period</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Pr>
          <w:p>
            <w:pPr>
              <w:spacing w:after="0"/>
              <w:rPr>
                <w:sz w:val="16"/>
                <w:szCs w:val="16"/>
                <w:color w:val="auto"/>
              </w:rPr>
            </w:pPr>
          </w:p>
        </w:tc>
      </w:tr>
      <w:tr>
        <w:trPr>
          <w:trHeight w:val="195"/>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1"/>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440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261,130</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(47,271 )  $</w:t>
            </w:r>
          </w:p>
        </w:tc>
        <w:tc>
          <w:tcPr>
            <w:tcW w:w="1260" w:type="dxa"/>
            <w:vAlign w:val="bottom"/>
          </w:tcPr>
          <w:p>
            <w:pPr>
              <w:jc w:val="right"/>
              <w:spacing w:after="0"/>
              <w:rPr>
                <w:sz w:val="20"/>
                <w:szCs w:val="20"/>
                <w:color w:val="auto"/>
              </w:rPr>
            </w:pPr>
            <w:r>
              <w:rPr>
                <w:rFonts w:ascii="Arial" w:cs="Arial" w:eastAsia="Arial" w:hAnsi="Arial"/>
                <w:sz w:val="18"/>
                <w:szCs w:val="18"/>
                <w:color w:val="auto"/>
              </w:rPr>
              <w:t>213,859</w:t>
            </w:r>
          </w:p>
        </w:tc>
        <w:tc>
          <w:tcPr>
            <w:tcW w:w="100" w:type="dxa"/>
            <w:vAlign w:val="bottom"/>
          </w:tcPr>
          <w:p>
            <w:pPr>
              <w:spacing w:after="0"/>
              <w:rPr>
                <w:sz w:val="21"/>
                <w:szCs w:val="21"/>
                <w:color w:val="auto"/>
              </w:rPr>
            </w:pPr>
          </w:p>
        </w:tc>
      </w:tr>
    </w:tbl>
    <w:p>
      <w:pPr>
        <w:spacing w:after="0" w:line="281" w:lineRule="exact"/>
        <w:rPr>
          <w:sz w:val="20"/>
          <w:szCs w:val="20"/>
          <w:color w:val="auto"/>
        </w:rPr>
      </w:pPr>
    </w:p>
    <w:p>
      <w:pPr>
        <w:jc w:val="both"/>
        <w:ind w:right="40"/>
        <w:spacing w:after="0" w:line="273" w:lineRule="auto"/>
        <w:rPr>
          <w:sz w:val="20"/>
          <w:szCs w:val="20"/>
          <w:color w:val="auto"/>
        </w:rPr>
      </w:pPr>
      <w:r>
        <w:rPr>
          <w:rFonts w:ascii="Arial" w:cs="Arial" w:eastAsia="Arial" w:hAnsi="Arial"/>
          <w:sz w:val="18"/>
          <w:szCs w:val="18"/>
          <w:color w:val="auto"/>
        </w:rPr>
        <w:t>The Company expects that the $213.9 million of deferred revenue related to the following contracts as of September 30, 2021 will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78" w:lineRule="exact"/>
        <w:rPr>
          <w:sz w:val="20"/>
          <w:szCs w:val="20"/>
          <w:color w:val="auto"/>
        </w:rPr>
      </w:pPr>
    </w:p>
    <w:p>
      <w:pPr>
        <w:ind w:left="960" w:right="260"/>
        <w:spacing w:after="0" w:line="259" w:lineRule="auto"/>
        <w:rPr>
          <w:sz w:val="20"/>
          <w:szCs w:val="20"/>
          <w:color w:val="auto"/>
        </w:rPr>
      </w:pPr>
      <w:r>
        <w:rPr>
          <w:rFonts w:ascii="Arial" w:cs="Arial" w:eastAsia="Arial" w:hAnsi="Arial"/>
          <w:sz w:val="18"/>
          <w:szCs w:val="18"/>
          <w:color w:val="auto"/>
        </w:rPr>
        <w:t>The $21.1 million of deferred revenue related to the CD71 Agreement with AbbVie is expected to be recognized based on actual FTE effort and program progress until approximately March 2023.</w:t>
      </w:r>
    </w:p>
    <w:p>
      <w:pPr>
        <w:spacing w:after="0" w:line="63" w:lineRule="exact"/>
        <w:rPr>
          <w:sz w:val="20"/>
          <w:szCs w:val="20"/>
          <w:color w:val="auto"/>
        </w:rPr>
      </w:pPr>
    </w:p>
    <w:p>
      <w:pPr>
        <w:ind w:left="960" w:right="500"/>
        <w:spacing w:after="0" w:line="259" w:lineRule="auto"/>
        <w:rPr>
          <w:sz w:val="20"/>
          <w:szCs w:val="20"/>
          <w:color w:val="auto"/>
        </w:rPr>
      </w:pPr>
      <w:r>
        <w:rPr>
          <w:rFonts w:ascii="Arial" w:cs="Arial" w:eastAsia="Arial" w:hAnsi="Arial"/>
          <w:sz w:val="18"/>
          <w:szCs w:val="18"/>
          <w:color w:val="auto"/>
        </w:rPr>
        <w:t>The $0.4 million of deferred revenue related to the first target under the Discovery Agreement with AbbVie is expected to be recognized ratably until approximately April 2022.</w:t>
      </w:r>
    </w:p>
    <w:p>
      <w:pPr>
        <w:spacing w:after="0" w:line="63" w:lineRule="exact"/>
        <w:rPr>
          <w:sz w:val="20"/>
          <w:szCs w:val="20"/>
          <w:color w:val="auto"/>
        </w:rPr>
      </w:pPr>
    </w:p>
    <w:p>
      <w:pPr>
        <w:ind w:left="960" w:right="280"/>
        <w:spacing w:after="0" w:line="259" w:lineRule="auto"/>
        <w:rPr>
          <w:sz w:val="20"/>
          <w:szCs w:val="20"/>
          <w:color w:val="auto"/>
        </w:rPr>
      </w:pPr>
      <w:r>
        <w:rPr>
          <w:rFonts w:ascii="Arial" w:cs="Arial" w:eastAsia="Arial" w:hAnsi="Arial"/>
          <w:sz w:val="18"/>
          <w:szCs w:val="18"/>
          <w:color w:val="auto"/>
        </w:rPr>
        <w:t>The $5.5 million of deferred revenue related to the second target under the Discovery Agreement with AbbVie is expected to be recognized ratably until approximately June 2024.</w:t>
      </w:r>
    </w:p>
    <w:p>
      <w:pPr>
        <w:spacing w:after="0" w:line="63" w:lineRule="exact"/>
        <w:rPr>
          <w:sz w:val="20"/>
          <w:szCs w:val="20"/>
          <w:color w:val="auto"/>
        </w:rPr>
      </w:pPr>
    </w:p>
    <w:p>
      <w:pPr>
        <w:ind w:left="960" w:right="480"/>
        <w:spacing w:after="0" w:line="259" w:lineRule="auto"/>
        <w:rPr>
          <w:sz w:val="20"/>
          <w:szCs w:val="20"/>
          <w:color w:val="auto"/>
        </w:rPr>
      </w:pPr>
      <w:r>
        <w:rPr>
          <w:rFonts w:ascii="Arial" w:cs="Arial" w:eastAsia="Arial" w:hAnsi="Arial"/>
          <w:sz w:val="18"/>
          <w:szCs w:val="18"/>
          <w:color w:val="auto"/>
        </w:rPr>
        <w:t>The $23.5 million of deferred revenue related to the Amgen EGFR Products is expected to be recognized based on actual FTE effort and program progress until approximately September 2024.</w:t>
      </w:r>
    </w:p>
    <w:p>
      <w:pPr>
        <w:spacing w:after="0" w:line="63" w:lineRule="exact"/>
        <w:rPr>
          <w:sz w:val="20"/>
          <w:szCs w:val="20"/>
          <w:color w:val="auto"/>
        </w:rPr>
      </w:pPr>
    </w:p>
    <w:p>
      <w:pPr>
        <w:ind w:left="960" w:right="80"/>
        <w:spacing w:after="0" w:line="259" w:lineRule="auto"/>
        <w:rPr>
          <w:sz w:val="20"/>
          <w:szCs w:val="20"/>
          <w:color w:val="auto"/>
        </w:rPr>
      </w:pPr>
      <w:r>
        <w:rPr>
          <w:rFonts w:ascii="Arial" w:cs="Arial" w:eastAsia="Arial" w:hAnsi="Arial"/>
          <w:sz w:val="18"/>
          <w:szCs w:val="18"/>
          <w:color w:val="auto"/>
        </w:rPr>
        <w:t>The $1.6 million of deferred revenue related to the Amgen Other Products is expected to be recognized ratably until approximately September 2023.</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$55.6 million of deferred revenue related to the Astellas Agreement is expected to be recognized ratably until approximately March 2025.</w:t>
      </w:r>
    </w:p>
    <w:p>
      <w:pPr>
        <w:spacing w:after="0" w:line="12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$106.2 million of deferred revenue related to the BMS Agreement is expected to be recognized ratably until approximately April 2025.</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License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UCSB</w:t>
      </w:r>
    </w:p>
    <w:p>
      <w:pPr>
        <w:spacing w:after="0" w:line="1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an exclusive, worldwide license agreement with UCSB (the “UCSB Agreement”), relating to the use of certain patents and technology relating to its core technology, including its therapeutic antibodies, and to certain patent rights the Company co-owns with UCSB covering Probody antibodies and other pro-proteins.</w:t>
      </w:r>
    </w:p>
    <w:p>
      <w:pPr>
        <w:spacing w:after="0" w:line="236"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In February 2020, the Company recorded $0.8 million of sublicense fees triggered by the $10.0 million milestone payment from Bristol Myers Squibb’s dosing of the first patient in the Part 2 cohort expansion portion of its ongoing BMS-986249 clinical study for the CTLA-4 program. In March 2020, the Company incurred additional sublicense fees of $6.0 million related to the $80.0 million upfront fee received pursuant to the Astellas Agreement entered into in March 2020, and $1.4 million related to the $40.0 million milestone payment from AbbVie for satisfying the CD71 dose escalation success criteria under the CD71 Agreement in March 2020.</w:t>
      </w:r>
    </w:p>
    <w:p>
      <w:pPr>
        <w:spacing w:after="0" w:line="241"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The Company incurred no sublicense expenses for the three months ended September 30, 2021 and 2020, and $0.9 million and $9.1 million for the nine months ended September 30, 2021 and 2020, respectively, under the provisions of the UCSB Agreement. As of September 30, 2021 and December 31, 2020, there was no outstanding sublicense fee payable to UCSB.</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33" w:lineRule="exact"/>
        <w:rPr>
          <w:sz w:val="20"/>
          <w:szCs w:val="20"/>
          <w:color w:val="auto"/>
        </w:rPr>
      </w:pPr>
    </w:p>
    <w:p>
      <w:pPr>
        <w:ind w:right="540"/>
        <w:spacing w:after="0" w:line="269" w:lineRule="auto"/>
        <w:rPr>
          <w:sz w:val="20"/>
          <w:szCs w:val="20"/>
          <w:color w:val="auto"/>
        </w:rPr>
      </w:pPr>
      <w:r>
        <w:rPr>
          <w:rFonts w:ascii="Arial" w:cs="Arial" w:eastAsia="Arial" w:hAnsi="Arial"/>
          <w:sz w:val="18"/>
          <w:szCs w:val="18"/>
          <w:color w:val="auto"/>
        </w:rPr>
        <w:t>In January 2021, the Company completed an underwritten public offering of 14,285,714 shares of common stock at a price of $7.00 per share. The aggregate net proceeds received by the Company from the offering were approximately $93.6 million, after deducting underwriting discounts and commissions and offering expenses of $6.4 million. The Company also granted the underwriters the option for 30 days to purchase up to 2,142,857 additional shares of common stock at the public offering price, less the underwriting discounts and commissions. In February 2021, the underwriters exercised the option in full which resulted in additional net proceeds of $14.1 million to the Company, after deducting the underwriting discounts and commissions of $0.9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Activities under the Company’s stock option plans for the nine months ended September 30, 2021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680" w:type="dxa"/>
            <w:vAlign w:val="bottom"/>
          </w:tcPr>
          <w:p>
            <w:pPr>
              <w:spacing w:after="0"/>
              <w:rPr>
                <w:sz w:val="16"/>
                <w:szCs w:val="16"/>
                <w:color w:val="auto"/>
              </w:rPr>
            </w:pPr>
          </w:p>
        </w:tc>
        <w:tc>
          <w:tcPr>
            <w:tcW w:w="3460" w:type="dxa"/>
            <w:vAlign w:val="bottom"/>
            <w:tcBorders>
              <w:bottom w:val="single" w:sz="8" w:color="auto"/>
            </w:tcBorders>
            <w:gridSpan w:val="4"/>
          </w:tcPr>
          <w:p>
            <w:pPr>
              <w:jc w:val="right"/>
              <w:ind w:right="998"/>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6"/>
                <w:szCs w:val="16"/>
                <w:color w:val="auto"/>
              </w:rPr>
            </w:pPr>
          </w:p>
        </w:tc>
      </w:tr>
      <w:tr>
        <w:trPr>
          <w:trHeight w:val="178"/>
        </w:trPr>
        <w:tc>
          <w:tcPr>
            <w:tcW w:w="76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5"/>
                <w:szCs w:val="15"/>
                <w:color w:val="auto"/>
              </w:rPr>
            </w:pPr>
          </w:p>
        </w:tc>
      </w:tr>
      <w:tr>
        <w:trPr>
          <w:trHeight w:val="174"/>
        </w:trPr>
        <w:tc>
          <w:tcPr>
            <w:tcW w:w="76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r>
      <w:tr>
        <w:trPr>
          <w:trHeight w:val="174"/>
        </w:trPr>
        <w:tc>
          <w:tcPr>
            <w:tcW w:w="7680" w:type="dxa"/>
            <w:vAlign w:val="bottom"/>
          </w:tcPr>
          <w:p>
            <w:pPr>
              <w:spacing w:after="0"/>
              <w:rPr>
                <w:sz w:val="15"/>
                <w:szCs w:val="15"/>
                <w:color w:val="auto"/>
              </w:rPr>
            </w:pPr>
          </w:p>
        </w:tc>
        <w:tc>
          <w:tcPr>
            <w:tcW w:w="18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5"/>
                <w:szCs w:val="15"/>
                <w:color w:val="auto"/>
              </w:rPr>
            </w:pPr>
          </w:p>
        </w:tc>
        <w:tc>
          <w:tcPr>
            <w:tcW w:w="1360" w:type="dxa"/>
            <w:vAlign w:val="bottom"/>
          </w:tcPr>
          <w:p>
            <w:pPr>
              <w:jc w:val="center"/>
              <w:ind w:right="178"/>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5"/>
                <w:szCs w:val="15"/>
                <w:color w:val="auto"/>
              </w:rPr>
            </w:pPr>
          </w:p>
        </w:tc>
      </w:tr>
      <w:tr>
        <w:trPr>
          <w:trHeight w:val="191"/>
        </w:trPr>
        <w:tc>
          <w:tcPr>
            <w:tcW w:w="7680" w:type="dxa"/>
            <w:vAlign w:val="bottom"/>
          </w:tcPr>
          <w:p>
            <w:pPr>
              <w:spacing w:after="0"/>
              <w:rPr>
                <w:sz w:val="16"/>
                <w:szCs w:val="16"/>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6"/>
                <w:szCs w:val="16"/>
                <w:color w:val="auto"/>
              </w:rPr>
            </w:pPr>
          </w:p>
        </w:tc>
        <w:tc>
          <w:tcPr>
            <w:tcW w:w="136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r>
      <w:tr>
        <w:trPr>
          <w:trHeight w:val="248"/>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10,929,530</w:t>
            </w:r>
          </w:p>
        </w:tc>
        <w:tc>
          <w:tcPr>
            <w:tcW w:w="280" w:type="dxa"/>
            <w:vAlign w:val="bottom"/>
          </w:tcPr>
          <w:p>
            <w:pPr>
              <w:spacing w:after="0"/>
              <w:rPr>
                <w:sz w:val="21"/>
                <w:szCs w:val="21"/>
                <w:color w:val="auto"/>
              </w:rPr>
            </w:pPr>
          </w:p>
        </w:tc>
        <w:tc>
          <w:tcPr>
            <w:tcW w:w="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r>
      <w:tr>
        <w:trPr>
          <w:trHeight w:val="262"/>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granted</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4,107,097</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FF0FC"/>
          </w:tcPr>
          <w:p>
            <w:pPr>
              <w:spacing w:after="0"/>
              <w:rPr>
                <w:sz w:val="22"/>
                <w:szCs w:val="22"/>
                <w:color w:val="auto"/>
              </w:rPr>
            </w:pPr>
          </w:p>
        </w:tc>
      </w:tr>
      <w:tr>
        <w:trPr>
          <w:trHeight w:val="248"/>
        </w:trPr>
        <w:tc>
          <w:tcPr>
            <w:tcW w:w="768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(483,591 )</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r>
      <w:tr>
        <w:trPr>
          <w:trHeight w:val="255"/>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 forfeited/expired</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(3,047,079 )</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FF0FC"/>
          </w:tcPr>
          <w:p>
            <w:pPr>
              <w:spacing w:after="0"/>
              <w:rPr>
                <w:sz w:val="22"/>
                <w:szCs w:val="22"/>
                <w:color w:val="auto"/>
              </w:rPr>
            </w:pPr>
          </w:p>
        </w:tc>
      </w:tr>
      <w:tr>
        <w:trPr>
          <w:trHeight w:val="248"/>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Balances at September 30, 2021</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11,505,957</w:t>
            </w:r>
          </w:p>
        </w:tc>
        <w:tc>
          <w:tcPr>
            <w:tcW w:w="28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top w:val="single" w:sz="8" w:color="CFF0FC"/>
            </w:tcBorders>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Options exercisable at September 30, 2021</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5,708,010</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5885180</wp:posOffset>
            </wp:positionH>
            <wp:positionV relativeFrom="paragraph">
              <wp:posOffset>-396875</wp:posOffset>
            </wp:positionV>
            <wp:extent cx="17907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907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-396875</wp:posOffset>
            </wp:positionV>
            <wp:extent cx="6794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945" cy="5715"/>
                    </a:xfrm>
                    <a:prstGeom prst="rect">
                      <a:avLst/>
                    </a:prstGeom>
                    <a:noFill/>
                  </pic:spPr>
                </pic:pic>
              </a:graphicData>
            </a:graphic>
          </wp:anchor>
        </w:drawing>
        <w:drawing>
          <wp:anchor simplePos="0" relativeHeight="251657728" behindDoc="1" locked="0" layoutInCell="0" allowOverlap="1">
            <wp:simplePos x="0" y="0"/>
            <wp:positionH relativeFrom="column">
              <wp:posOffset>5885180</wp:posOffset>
            </wp:positionH>
            <wp:positionV relativeFrom="paragraph">
              <wp:posOffset>-24765</wp:posOffset>
            </wp:positionV>
            <wp:extent cx="1790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5885180</wp:posOffset>
            </wp:positionH>
            <wp:positionV relativeFrom="paragraph">
              <wp:posOffset>-7620</wp:posOffset>
            </wp:positionV>
            <wp:extent cx="1790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recorded related to options granted to employees and non-employees and employee stock purchase plan was as follows:</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4"/>
          </w:tcPr>
          <w:p>
            <w:pPr>
              <w:jc w:val="right"/>
              <w:ind w:right="47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r>
      <w:tr>
        <w:trPr>
          <w:trHeight w:val="207"/>
        </w:trPr>
        <w:tc>
          <w:tcPr>
            <w:tcW w:w="5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5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r>
      <w:tr>
        <w:trPr>
          <w:trHeight w:val="189"/>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0"/>
        </w:trPr>
        <w:tc>
          <w:tcPr>
            <w:tcW w:w="50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2"/>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580" w:type="dxa"/>
            <w:vAlign w:val="bottom"/>
            <w:gridSpan w:val="2"/>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54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4,213</w:t>
            </w:r>
          </w:p>
        </w:tc>
        <w:tc>
          <w:tcPr>
            <w:tcW w:w="560" w:type="dxa"/>
            <w:vAlign w:val="bottom"/>
            <w:gridSpan w:val="2"/>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5,317</w:t>
            </w:r>
          </w:p>
        </w:tc>
        <w:tc>
          <w:tcPr>
            <w:tcW w:w="120" w:type="dxa"/>
            <w:vAlign w:val="bottom"/>
            <w:shd w:val="clear" w:color="auto" w:fill="CFF0FC"/>
          </w:tcPr>
          <w:p>
            <w:pPr>
              <w:spacing w:after="0"/>
              <w:rPr>
                <w:sz w:val="22"/>
                <w:szCs w:val="22"/>
                <w:color w:val="auto"/>
              </w:rPr>
            </w:pPr>
          </w:p>
        </w:tc>
      </w:tr>
      <w:tr>
        <w:trPr>
          <w:trHeight w:val="248"/>
        </w:trPr>
        <w:tc>
          <w:tcPr>
            <w:tcW w:w="50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5,410</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120" w:type="dxa"/>
            <w:vAlign w:val="bottom"/>
          </w:tcPr>
          <w:p>
            <w:pPr>
              <w:spacing w:after="0"/>
              <w:rPr>
                <w:sz w:val="21"/>
                <w:szCs w:val="21"/>
                <w:color w:val="auto"/>
              </w:rPr>
            </w:pPr>
          </w:p>
        </w:tc>
      </w:tr>
      <w:tr>
        <w:trPr>
          <w:trHeight w:val="288"/>
        </w:trPr>
        <w:tc>
          <w:tcPr>
            <w:tcW w:w="50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3,841</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9,623</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11,367</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-24765</wp:posOffset>
            </wp:positionV>
            <wp:extent cx="1447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1447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-24765</wp:posOffset>
            </wp:positionV>
            <wp:extent cx="1276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-7620</wp:posOffset>
            </wp:positionV>
            <wp:extent cx="1276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-24765</wp:posOffset>
            </wp:positionV>
            <wp:extent cx="1276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-7620</wp:posOffset>
            </wp:positionV>
            <wp:extent cx="1276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-24765</wp:posOffset>
            </wp:positionV>
            <wp:extent cx="679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-7620</wp:posOffset>
            </wp:positionV>
            <wp:extent cx="679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29" w:lineRule="exact"/>
        <w:rPr>
          <w:sz w:val="20"/>
          <w:szCs w:val="20"/>
          <w:color w:val="auto"/>
        </w:rPr>
      </w:pPr>
    </w:p>
    <w:p>
      <w:pPr>
        <w:ind w:right="480"/>
        <w:spacing w:after="0" w:line="356" w:lineRule="auto"/>
        <w:rPr>
          <w:sz w:val="20"/>
          <w:szCs w:val="20"/>
          <w:color w:val="auto"/>
        </w:rPr>
      </w:pPr>
      <w:r>
        <w:rPr>
          <w:rFonts w:ascii="Arial" w:cs="Arial" w:eastAsia="Arial" w:hAnsi="Arial"/>
          <w:sz w:val="16"/>
          <w:szCs w:val="16"/>
          <w:color w:val="auto"/>
        </w:rPr>
        <w:t>On December 10, 2015, the Company entered into a lease (the “2016 Lease”) with HCP Oyster Point III LLC (the “Landlord”) to lease approximately 76,000 rentable square feet of office and laboratory space located in South San Francisco, California for the Company’s new corporate headquarters.</w:t>
      </w:r>
    </w:p>
    <w:p>
      <w:pPr>
        <w:spacing w:after="0" w:line="125" w:lineRule="exact"/>
        <w:rPr>
          <w:sz w:val="20"/>
          <w:szCs w:val="20"/>
          <w:color w:val="auto"/>
        </w:rPr>
      </w:pPr>
    </w:p>
    <w:p>
      <w:pPr>
        <w:ind w:right="80"/>
        <w:spacing w:after="0" w:line="321" w:lineRule="auto"/>
        <w:rPr>
          <w:sz w:val="20"/>
          <w:szCs w:val="20"/>
          <w:color w:val="auto"/>
        </w:rPr>
      </w:pPr>
      <w:r>
        <w:rPr>
          <w:rFonts w:ascii="Arial" w:cs="Arial" w:eastAsia="Arial" w:hAnsi="Arial"/>
          <w:sz w:val="17"/>
          <w:szCs w:val="17"/>
          <w:color w:val="auto"/>
        </w:rPr>
        <w:t>The term of the Lease commenced on October 1, 2016. The 2016 Lease has an initial term of ten years from the commencement date, and the Company has an option to extend the initial term for an additional five years at the then fair rental value as determined pursuant to the 2016 Lease.</w:t>
      </w:r>
    </w:p>
    <w:p>
      <w:pPr>
        <w:spacing w:after="0" w:line="148"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Lease provided for annual base rent of approximately $3.1 million in the first year of the lease term. The annual base rent for the second twelve months was approximately $4.3 million, which increases on an annual basis beginning from the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month to approximately $5.5 million for the tenth year of the lease. The Company utilized the full amount of the one-time improvement allowance of $12.6 million, of which $2.3 million is recoverable by the landlord through increased rent which continues through the expiration of the initial lease term.</w:t>
      </w:r>
    </w:p>
    <w:p>
      <w:pPr>
        <w:spacing w:after="0" w:line="205"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has recorded the $0.9 million Letter of Credit as non-current restricted cash on its balance sheet as of September 30, 2021 and December 31, 2020, respectively.</w:t>
      </w:r>
    </w:p>
    <w:p>
      <w:pPr>
        <w:spacing w:after="0" w:line="166"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Rent expense is recognized on a straight-line basis over the term of the lease and accordingly the Company records the difference between cash rent payments and the recognition of rent expense against the operating lease ROU asset. Rent expense for each of the three months ended September 30, 2021 and 2020 was $1.3 million. Rent expense for each of the nine months ended September 30, 2021 and 2020 was $3.8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are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0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0"/>
              </w:rPr>
              <w:t>September 30, 2021</w:t>
            </w:r>
          </w:p>
        </w:tc>
        <w:tc>
          <w:tcPr>
            <w:tcW w:w="220" w:type="dxa"/>
            <w:vAlign w:val="bottom"/>
          </w:tcPr>
          <w:p>
            <w:pPr>
              <w:spacing w:after="0"/>
              <w:rPr>
                <w:sz w:val="23"/>
                <w:szCs w:val="23"/>
                <w:color w:val="auto"/>
              </w:rPr>
            </w:pPr>
          </w:p>
        </w:tc>
        <w:tc>
          <w:tcPr>
            <w:tcW w:w="13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6"/>
              </w:rPr>
              <w:t>September 30, 2020</w:t>
            </w:r>
          </w:p>
        </w:tc>
        <w:tc>
          <w:tcPr>
            <w:tcW w:w="200" w:type="dxa"/>
            <w:vAlign w:val="bottom"/>
          </w:tcPr>
          <w:p>
            <w:pPr>
              <w:spacing w:after="0"/>
              <w:rPr>
                <w:sz w:val="23"/>
                <w:szCs w:val="23"/>
                <w:color w:val="auto"/>
              </w:rPr>
            </w:pPr>
          </w:p>
        </w:tc>
        <w:tc>
          <w:tcPr>
            <w:tcW w:w="138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4"/>
                <w:szCs w:val="14"/>
                <w:b w:val="1"/>
                <w:bCs w:val="1"/>
                <w:color w:val="auto"/>
                <w:w w:val="96"/>
              </w:rPr>
              <w:t>September 30, 2021</w:t>
            </w:r>
          </w:p>
        </w:tc>
        <w:tc>
          <w:tcPr>
            <w:tcW w:w="180" w:type="dxa"/>
            <w:vAlign w:val="bottom"/>
          </w:tcPr>
          <w:p>
            <w:pPr>
              <w:spacing w:after="0"/>
              <w:rPr>
                <w:sz w:val="23"/>
                <w:szCs w:val="23"/>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6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5"/>
              </w:rPr>
              <w:t>Cash paid for amounts included in the measurement of lease</w:t>
            </w: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1,273</w:t>
            </w:r>
          </w:p>
        </w:tc>
        <w:tc>
          <w:tcPr>
            <w:tcW w:w="96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1,239</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3,820</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0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spacing w:after="0"/>
              <w:rPr>
                <w:sz w:val="22"/>
                <w:szCs w:val="22"/>
                <w:color w:val="auto"/>
              </w:rPr>
            </w:pPr>
          </w:p>
        </w:tc>
        <w:tc>
          <w:tcPr>
            <w:tcW w:w="220" w:type="dxa"/>
            <w:vAlign w:val="bottom"/>
            <w:gridSpan w:val="2"/>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47"/>
        </w:trPr>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w w:val="99"/>
              </w:rPr>
              <w:t>Supplemental balance sheet information related to leases:</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5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20,170</w:t>
            </w:r>
          </w:p>
        </w:tc>
        <w:tc>
          <w:tcPr>
            <w:tcW w:w="180" w:type="dxa"/>
            <w:vAlign w:val="bottom"/>
            <w:shd w:val="clear" w:color="auto" w:fill="CFF0FC"/>
          </w:tcPr>
          <w:p>
            <w:pPr>
              <w:spacing w:after="0"/>
              <w:rPr>
                <w:sz w:val="24"/>
                <w:szCs w:val="24"/>
                <w:color w:val="auto"/>
              </w:rPr>
            </w:pPr>
          </w:p>
        </w:tc>
        <w:tc>
          <w:tcPr>
            <w:tcW w:w="52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22,495</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0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Current operating lease liabilities</w:t>
            </w:r>
          </w:p>
        </w:tc>
        <w:tc>
          <w:tcPr>
            <w:tcW w:w="100" w:type="dxa"/>
            <w:vAlign w:val="bottom"/>
            <w:tcBorders>
              <w:top w:val="single" w:sz="8" w:color="CFF0FC"/>
            </w:tcBorders>
          </w:tcPr>
          <w:p>
            <w:pPr>
              <w:spacing w:after="0"/>
              <w:rPr>
                <w:sz w:val="19"/>
                <w:szCs w:val="19"/>
                <w:color w:val="auto"/>
              </w:rPr>
            </w:pPr>
          </w:p>
        </w:tc>
        <w:tc>
          <w:tcPr>
            <w:tcW w:w="13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740" w:type="dxa"/>
            <w:vAlign w:val="bottom"/>
            <w:tcBorders>
              <w:top w:val="single" w:sz="8" w:color="CFF0FC"/>
            </w:tcBorders>
          </w:tcPr>
          <w:p>
            <w:pPr>
              <w:spacing w:after="0"/>
              <w:rPr>
                <w:sz w:val="19"/>
                <w:szCs w:val="19"/>
                <w:color w:val="auto"/>
              </w:rPr>
            </w:pPr>
          </w:p>
        </w:tc>
        <w:tc>
          <w:tcPr>
            <w:tcW w:w="64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18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Non-current operating lease liabilities</w:t>
            </w:r>
          </w:p>
        </w:tc>
        <w:tc>
          <w:tcPr>
            <w:tcW w:w="1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19,017</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21,675</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00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22,526</w:t>
            </w:r>
          </w:p>
        </w:tc>
        <w:tc>
          <w:tcPr>
            <w:tcW w:w="180" w:type="dxa"/>
            <w:vAlign w:val="bottom"/>
          </w:tcPr>
          <w:p>
            <w:pPr>
              <w:spacing w:after="0"/>
              <w:rPr>
                <w:sz w:val="22"/>
                <w:szCs w:val="22"/>
                <w:color w:val="auto"/>
              </w:rPr>
            </w:pPr>
          </w:p>
        </w:tc>
        <w:tc>
          <w:tcPr>
            <w:tcW w:w="5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24,870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w:t>
            </w:r>
          </w:p>
        </w:tc>
        <w:tc>
          <w:tcPr>
            <w:tcW w:w="1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w:t>
            </w:r>
          </w:p>
        </w:tc>
        <w:tc>
          <w:tcPr>
            <w:tcW w:w="1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8.25 %</w:t>
            </w: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8.25 %</w:t>
            </w:r>
          </w:p>
        </w:tc>
        <w:tc>
          <w:tcPr>
            <w:tcW w:w="0" w:type="dxa"/>
            <w:vAlign w:val="bottom"/>
          </w:tcPr>
          <w:p>
            <w:pPr>
              <w:spacing w:after="0"/>
              <w:rPr>
                <w:sz w:val="1"/>
                <w:szCs w:val="1"/>
                <w:color w:val="auto"/>
              </w:rPr>
            </w:pPr>
          </w:p>
        </w:tc>
      </w:tr>
      <w:tr>
        <w:trPr>
          <w:trHeight w:val="926"/>
        </w:trPr>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601"/>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6080760</wp:posOffset>
            </wp:positionH>
            <wp:positionV relativeFrom="paragraph">
              <wp:posOffset>-1857375</wp:posOffset>
            </wp:positionV>
            <wp:extent cx="187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732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-1840230</wp:posOffset>
            </wp:positionV>
            <wp:extent cx="187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7325" cy="825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-1857375</wp:posOffset>
            </wp:positionV>
            <wp:extent cx="1447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-1840230</wp:posOffset>
            </wp:positionV>
            <wp:extent cx="1447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-1504950</wp:posOffset>
            </wp:positionV>
            <wp:extent cx="18732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7325" cy="571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-1504950</wp:posOffset>
            </wp:positionV>
            <wp:extent cx="1447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4780" cy="57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8"/>
        </w:trPr>
        <w:tc>
          <w:tcPr>
            <w:tcW w:w="2920" w:type="dxa"/>
            <w:vAlign w:val="bottom"/>
          </w:tcPr>
          <w:p>
            <w:pPr>
              <w:spacing w:after="0"/>
              <w:rPr>
                <w:sz w:val="19"/>
                <w:szCs w:val="19"/>
                <w:color w:val="auto"/>
              </w:rPr>
            </w:pPr>
          </w:p>
        </w:tc>
        <w:tc>
          <w:tcPr>
            <w:tcW w:w="710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rPr>
              <w:t>CYTOMX THERAPEUTICS, INC.</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2920" w:type="dxa"/>
            <w:vAlign w:val="bottom"/>
          </w:tcPr>
          <w:p>
            <w:pPr>
              <w:spacing w:after="0"/>
              <w:rPr>
                <w:sz w:val="20"/>
                <w:szCs w:val="20"/>
                <w:color w:val="auto"/>
              </w:rPr>
            </w:pPr>
          </w:p>
        </w:tc>
        <w:tc>
          <w:tcPr>
            <w:tcW w:w="710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89"/>
              </w:rPr>
              <w:t>Notes to Condensed Financial Statements (Unaudited)—(Continued)</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0"/>
        </w:trPr>
        <w:tc>
          <w:tcPr>
            <w:tcW w:w="29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2021</w:t>
            </w:r>
          </w:p>
        </w:tc>
        <w:tc>
          <w:tcPr>
            <w:tcW w:w="100" w:type="dxa"/>
            <w:vAlign w:val="bottom"/>
          </w:tcPr>
          <w:p>
            <w:pPr>
              <w:spacing w:after="0"/>
              <w:rPr>
                <w:sz w:val="24"/>
                <w:szCs w:val="24"/>
                <w:color w:val="auto"/>
              </w:rPr>
            </w:pPr>
          </w:p>
        </w:tc>
      </w:tr>
      <w:tr>
        <w:trPr>
          <w:trHeight w:val="275"/>
        </w:trPr>
        <w:tc>
          <w:tcPr>
            <w:tcW w:w="292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(in thousands)</w:t>
            </w:r>
          </w:p>
        </w:tc>
      </w:tr>
      <w:tr>
        <w:trPr>
          <w:trHeight w:val="261"/>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2"/>
              </w:rPr>
              <w:t>Maturity of operating lease liabilities</w:t>
            </w:r>
          </w:p>
        </w:tc>
        <w:tc>
          <w:tcPr>
            <w:tcW w:w="69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8"/>
        </w:trPr>
        <w:tc>
          <w:tcPr>
            <w:tcW w:w="2920" w:type="dxa"/>
            <w:vAlign w:val="bottom"/>
          </w:tcPr>
          <w:p>
            <w:pPr>
              <w:ind w:left="120"/>
              <w:spacing w:after="0"/>
              <w:rPr>
                <w:sz w:val="20"/>
                <w:szCs w:val="20"/>
                <w:color w:val="auto"/>
              </w:rPr>
            </w:pPr>
            <w:r>
              <w:rPr>
                <w:rFonts w:ascii="Arial" w:cs="Arial" w:eastAsia="Arial" w:hAnsi="Arial"/>
                <w:sz w:val="18"/>
                <w:szCs w:val="18"/>
                <w:color w:val="auto"/>
              </w:rPr>
              <w:t>2021</w:t>
            </w:r>
          </w:p>
        </w:tc>
        <w:tc>
          <w:tcPr>
            <w:tcW w:w="7100" w:type="dxa"/>
            <w:vAlign w:val="bottom"/>
            <w:gridSpan w:val="2"/>
          </w:tcPr>
          <w:p>
            <w:pPr>
              <w:ind w:left="69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r>
      <w:tr>
        <w:trPr>
          <w:trHeight w:val="262"/>
        </w:trPr>
        <w:tc>
          <w:tcPr>
            <w:tcW w:w="2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2022</w:t>
            </w:r>
          </w:p>
        </w:tc>
        <w:tc>
          <w:tcPr>
            <w:tcW w:w="69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5,273</w:t>
            </w:r>
          </w:p>
        </w:tc>
        <w:tc>
          <w:tcPr>
            <w:tcW w:w="100" w:type="dxa"/>
            <w:vAlign w:val="bottom"/>
            <w:shd w:val="clear" w:color="auto" w:fill="CFF0FC"/>
          </w:tcPr>
          <w:p>
            <w:pPr>
              <w:spacing w:after="0"/>
              <w:rPr>
                <w:sz w:val="22"/>
                <w:szCs w:val="22"/>
                <w:color w:val="auto"/>
              </w:rPr>
            </w:pPr>
          </w:p>
        </w:tc>
      </w:tr>
      <w:tr>
        <w:trPr>
          <w:trHeight w:val="248"/>
        </w:trPr>
        <w:tc>
          <w:tcPr>
            <w:tcW w:w="2920" w:type="dxa"/>
            <w:vAlign w:val="bottom"/>
          </w:tcPr>
          <w:p>
            <w:pPr>
              <w:ind w:left="120"/>
              <w:spacing w:after="0"/>
              <w:rPr>
                <w:sz w:val="20"/>
                <w:szCs w:val="20"/>
                <w:color w:val="auto"/>
              </w:rPr>
            </w:pPr>
            <w:r>
              <w:rPr>
                <w:rFonts w:ascii="Arial" w:cs="Arial" w:eastAsia="Arial" w:hAnsi="Arial"/>
                <w:sz w:val="18"/>
                <w:szCs w:val="18"/>
                <w:color w:val="auto"/>
              </w:rPr>
              <w:t>2023</w:t>
            </w:r>
          </w:p>
        </w:tc>
        <w:tc>
          <w:tcPr>
            <w:tcW w:w="6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1"/>
                <w:szCs w:val="21"/>
                <w:color w:val="auto"/>
              </w:rPr>
            </w:pPr>
          </w:p>
        </w:tc>
      </w:tr>
      <w:tr>
        <w:trPr>
          <w:trHeight w:val="262"/>
        </w:trPr>
        <w:tc>
          <w:tcPr>
            <w:tcW w:w="2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2024</w:t>
            </w:r>
          </w:p>
        </w:tc>
        <w:tc>
          <w:tcPr>
            <w:tcW w:w="69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FF0FC"/>
          </w:tcPr>
          <w:p>
            <w:pPr>
              <w:spacing w:after="0"/>
              <w:rPr>
                <w:sz w:val="22"/>
                <w:szCs w:val="22"/>
                <w:color w:val="auto"/>
              </w:rPr>
            </w:pPr>
          </w:p>
        </w:tc>
      </w:tr>
      <w:tr>
        <w:trPr>
          <w:trHeight w:val="248"/>
        </w:trPr>
        <w:tc>
          <w:tcPr>
            <w:tcW w:w="2920" w:type="dxa"/>
            <w:vAlign w:val="bottom"/>
          </w:tcPr>
          <w:p>
            <w:pPr>
              <w:ind w:left="120"/>
              <w:spacing w:after="0"/>
              <w:rPr>
                <w:sz w:val="20"/>
                <w:szCs w:val="20"/>
                <w:color w:val="auto"/>
              </w:rPr>
            </w:pPr>
            <w:r>
              <w:rPr>
                <w:rFonts w:ascii="Arial" w:cs="Arial" w:eastAsia="Arial" w:hAnsi="Arial"/>
                <w:sz w:val="18"/>
                <w:szCs w:val="18"/>
                <w:color w:val="auto"/>
              </w:rPr>
              <w:t>2025 and beyond</w:t>
            </w:r>
          </w:p>
        </w:tc>
        <w:tc>
          <w:tcPr>
            <w:tcW w:w="69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10,116</w:t>
            </w:r>
          </w:p>
        </w:tc>
        <w:tc>
          <w:tcPr>
            <w:tcW w:w="100" w:type="dxa"/>
            <w:vAlign w:val="bottom"/>
          </w:tcPr>
          <w:p>
            <w:pPr>
              <w:spacing w:after="0"/>
              <w:rPr>
                <w:sz w:val="21"/>
                <w:szCs w:val="21"/>
                <w:color w:val="auto"/>
              </w:rPr>
            </w:pPr>
          </w:p>
        </w:tc>
      </w:tr>
      <w:tr>
        <w:trPr>
          <w:trHeight w:val="255"/>
        </w:trPr>
        <w:tc>
          <w:tcPr>
            <w:tcW w:w="2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lease payments</w:t>
            </w:r>
          </w:p>
        </w:tc>
        <w:tc>
          <w:tcPr>
            <w:tcW w:w="69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27,690</w:t>
            </w:r>
          </w:p>
        </w:tc>
        <w:tc>
          <w:tcPr>
            <w:tcW w:w="100" w:type="dxa"/>
            <w:vAlign w:val="bottom"/>
            <w:shd w:val="clear" w:color="auto" w:fill="CFF0FC"/>
          </w:tcPr>
          <w:p>
            <w:pPr>
              <w:spacing w:after="0"/>
              <w:rPr>
                <w:sz w:val="22"/>
                <w:szCs w:val="22"/>
                <w:color w:val="auto"/>
              </w:rPr>
            </w:pPr>
          </w:p>
        </w:tc>
      </w:tr>
      <w:tr>
        <w:trPr>
          <w:trHeight w:val="268"/>
        </w:trPr>
        <w:tc>
          <w:tcPr>
            <w:tcW w:w="2920" w:type="dxa"/>
            <w:vAlign w:val="bottom"/>
          </w:tcPr>
          <w:p>
            <w:pPr>
              <w:ind w:left="200"/>
              <w:spacing w:after="0"/>
              <w:rPr>
                <w:sz w:val="20"/>
                <w:szCs w:val="20"/>
                <w:color w:val="auto"/>
              </w:rPr>
            </w:pPr>
            <w:r>
              <w:rPr>
                <w:rFonts w:ascii="Arial" w:cs="Arial" w:eastAsia="Arial" w:hAnsi="Arial"/>
                <w:sz w:val="18"/>
                <w:szCs w:val="18"/>
                <w:color w:val="auto"/>
              </w:rPr>
              <w:t>Less imputed interest</w:t>
            </w:r>
          </w:p>
        </w:tc>
        <w:tc>
          <w:tcPr>
            <w:tcW w:w="6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(5,164 )</w:t>
            </w:r>
          </w:p>
        </w:tc>
      </w:tr>
      <w:tr>
        <w:trPr>
          <w:trHeight w:val="282"/>
        </w:trPr>
        <w:tc>
          <w:tcPr>
            <w:tcW w:w="2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Present value of lease liabilities</w:t>
            </w:r>
          </w:p>
        </w:tc>
        <w:tc>
          <w:tcPr>
            <w:tcW w:w="69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5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filed an Answer, Affirmative Defenses, and Counterclaims on May 26, 2020. Vytacera Bio, LLC filed its Answer to CytomX Therapeutics Inc.’s Counterclaims on June 5, 2020. On October 13, 2021, the Court granted the parties’ stipulation to stay all pending case deadlines except for certain matters. Thus, fact and expert discovery are presently stayed. The Company believes that the lawsuit is without merit and intends to vigorously defend itself and has not recorded any amount for claims associated with this lawsuit as of September 30, 2021.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5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records the effect of an enacted change in a tax law in the period that includes the enactment date in accordance with ASC 740. 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w:t>
      </w:r>
    </w:p>
    <w:p>
      <w:pPr>
        <w:spacing w:after="0" w:line="20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income tax benefit for the nine months ended September 30, 2020 was generated as a result of the recognition of net operating loss carryback under the CARES Act which generated a refund of income taxes paid for 2018. The Company maintains a full valuation allowance against its net deferred tax assets due to the Company’s history of losses as of September 30, 2021 and December 31, 2020</w:t>
      </w:r>
      <w:r>
        <w:rPr>
          <w:rFonts w:ascii="Arial" w:cs="Arial" w:eastAsia="Arial" w:hAnsi="Arial"/>
          <w:sz w:val="18"/>
          <w:szCs w:val="18"/>
          <w:i w:val="1"/>
          <w:iCs w:val="1"/>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2020, included in our Annual Report on Forms 10-K as filed with the U.S. Securities and Exchange Commission (“SEC”) on February 24, 2021.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We are a clinical-stage, oncology-focused biopharmaceutical company with a vision of transforming lives with safer, more effective therapies. We are advancing a robust pipeline of novel, potential first-in-class and best-in-class antibody-based therapeutics created using our Probody® technology platform. Probody therapeutics are designed to be conditionally activated in the tumor microenvironment, effectively enabling the targeting of cancer tissues more specifically, while minimizing deleterious activity in healthy tissues and in circulation. We achieve this “conditional activation” by modifying our therapeutic product candidates with a mask that is designed to block binding to target until the mask is removed by proteases. Proteases are enzymes that are more active in the tumor microenvironment than in normal tissue, potentially leading to an enrichment of therapeutic activity in the tumor. We believe this innovative approach, that we have pioneered, has the promise to improve cancer treatments in three ways by: (1) enhancing a product candidate’s therapeutic window, the balance between tolerability and activity; (2) allowing the pursuit of targets that were previously considered “undruggable,” due to their presence on normal tissues; and (3) improving combination therapies that are, otherwise, poorly tolerated. We have successfully applied our Probody technology to a variety of biologic modalities including antibodies, antibody drug conjugates (“ADCs”), T-cell bispecifics and cytokines; all of which are in various stages spanning discovery through clinical development.</w:t>
      </w:r>
    </w:p>
    <w:p>
      <w:pPr>
        <w:spacing w:after="0" w:line="180"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Our lead product candidates, praluzatamab ravtansine (CX-2009) and CX-2029, are two conditionally activated ADCs against the previously undruggable targets CD166 and CD71, respectively. These cancer targets were considered inaccessible to conventional ADCs due to their ubiquitous expression in many healthy tissues, but we believe they are potentially addressable with our Probody technology. Having demonstrated favorable tolerability and encouraging anti-tumor activity in separate dose-escalation Phase 1 studies, praluzatamab ravtansine, our wholly-owned conditionally activated ADC, and CX-2029, a conditionally activated ADC partnered with AbbVie, are currently in Phase 2 clinical studies.</w:t>
      </w:r>
    </w:p>
    <w:p>
      <w:pPr>
        <w:spacing w:after="0" w:line="175"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We are currently enrolling patients into a three-arm study of praluzatamab ravtansine in patients with human epidermal growth factor receptor 2 (“HER2”)-non-amplified breast cancer. Arms A and B will evaluate praluzatamab ravtansine monotherapy at 7 mg/kg administered every three weeks in patients with hormone receptor-positive (“HR+”)/HER2-non-amplified breast cancer and triple-negative breast cancer (“TNBC”), respectively. Arm C will evaluate praluzatamab ravtansine in combination with pacmilimab (CX-072), our wholly-owned PD-L1 inhibitor, in patients with TNBC. Approximately 40 evaluable patients will be enrolled into each arm of the study. While in August 2021, we announced that the COVID-19 pandemic had negatively impacted clinical trial site activation and patient enrollment, our continuing efforts to overcome this challenge, including opening additional sites in U.S., Europe, and Asia, as well as partnering with patient advocacy groups to encourage enrollment from underrepresented populations, have allowed us to maintain our current outlook for initial data from the praluzatamab ravtansine study in 2022. Additionally, CX-2029, the CD71-directed ADC, is being evaluated in four cohorts as a treatment for patients with squamous non-small cell lung cancer, head and neck squamous cell carcinoma, esophageal and gastro-esophageal junction cancers, and diffuse large B-cell lymphoma. Twenty-five evaluable patients are targeted for each cohort. Initial data from the CX-2029 study remains on track for the fourth quarter of 2021.</w:t>
      </w:r>
    </w:p>
    <w:p>
      <w:pPr>
        <w:spacing w:after="0" w:line="18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Our clinical-stage pipeline also includes cancer immunotherapeutic candidates against validated targets such as CTLA-4. Our partner, Bristol Myers Squibb, is conducting a randomized Phase 2 study evaluating BMS-986249, a Probody version of the CTLA-4-targeting antibody, ipilimumab, in combination with the anti PD-1 antibody, nivolumab, in patients with metastatic melanoma. In addition, BMS-986249 is being studied in combination with nivolumab in three additional indications: advanced hepatocellular carcinoma, metastatic castration-resistant prostate cancer and advanced TNBC. Bristol Myers Squibb also continues to evaluate BMS-986288, a Probody version of non-fucosylated ipilimumab, as monotherapy or in combination with nivolumab in a Phase 1 clinical trial.</w:t>
      </w:r>
    </w:p>
    <w:p>
      <w:pPr>
        <w:spacing w:after="0" w:line="19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have two preclinical agents in investigational new drug application (“IND”)-enabling studies. In partnership with Amgen, we are developing CX-904, a conditionally activated T-cell-engaging bispecific antibody candidate against the epidermal growth factor receptor (“EGFR”) on tumor cells and CD3 on T cells. We expect to file an IND for CX-904 in late 2021. CX-2043 is a lead candidate within our conditionally activated ADC program targeting the epithelial cell adhesion molecule (“EpCAM”), a widely expressed tumor antigen. CX-2043 has demonstrated potent anti-tumor activity across multiple cancer types and superior tolerability in animal models compared to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22" w:name="page23"/>
    <w:bookmarkEnd w:id="22"/>
    <w:p>
      <w:pPr>
        <w:jc w:val="both"/>
        <w:ind w:right="140"/>
        <w:spacing w:after="0" w:line="356" w:lineRule="auto"/>
        <w:rPr>
          <w:sz w:val="20"/>
          <w:szCs w:val="20"/>
          <w:color w:val="auto"/>
        </w:rPr>
      </w:pPr>
      <w:r>
        <w:rPr>
          <w:rFonts w:ascii="Arial" w:cs="Arial" w:eastAsia="Arial" w:hAnsi="Arial"/>
          <w:sz w:val="16"/>
          <w:szCs w:val="16"/>
          <w:color w:val="auto"/>
        </w:rPr>
        <w:t>corresponding unmasked ADC. We are also engaged in broad drug discovery efforts towards the generation of new clinical candidates for the treatment of cancer, including the application of our conditional activation platform to the engineering of novel, locally active cytokines, including interferon-alpha-2b.</w:t>
      </w:r>
    </w:p>
    <w:p>
      <w:pPr>
        <w:spacing w:after="0" w:line="125"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On January 25, 2021, we completed an underwritten public offering of 14,285,714 shares of common stock at a price of $7.00 per share. The aggregate net proceeds received by us from the offering were $93.6 million, after deducting underwriting discounts and commissions and offering expenses of $6.4 million. We also granted the underwriters the option, for 30 days, to purchase up to 2,142,857 additional shares of common stock at the public offering price, less the underwriting discounts and commissions. In February 2021, the underwriters exercised the option in full which resulted in additional net proceeds of $14.1 million to us, after deducting the underwriting discounts and commissions of $0.9 million.</w:t>
      </w:r>
    </w:p>
    <w:p>
      <w:pPr>
        <w:spacing w:after="0" w:line="175" w:lineRule="exact"/>
        <w:rPr>
          <w:sz w:val="20"/>
          <w:szCs w:val="20"/>
          <w:color w:val="auto"/>
        </w:rPr>
      </w:pPr>
    </w:p>
    <w:p>
      <w:pPr>
        <w:ind w:right="100"/>
        <w:spacing w:after="0" w:line="317" w:lineRule="auto"/>
        <w:rPr>
          <w:sz w:val="20"/>
          <w:szCs w:val="20"/>
          <w:color w:val="auto"/>
        </w:rPr>
      </w:pPr>
      <w:r>
        <w:rPr>
          <w:rFonts w:ascii="Arial" w:cs="Arial" w:eastAsia="Arial" w:hAnsi="Arial"/>
          <w:sz w:val="16"/>
          <w:szCs w:val="16"/>
          <w:color w:val="auto"/>
        </w:rPr>
        <w:t>We do not have any products approved for sale, and we continue to incur significant research and development and general administrative expenses related to our operations. We are not profitable and have incurred losses in each year since our founding in 2008. Our net loss was $22.6 million and $57.4 million and for the three and nine months ended September 30, 2021, respectively. As of September 30, 2021 and December 31, 2020, we had an accumulated deficit of $507.5 million and $450.1 million, respectively. We expect to continue to incur significant losses for the foreseeable future.</w:t>
      </w:r>
    </w:p>
    <w:p>
      <w:pPr>
        <w:spacing w:after="0" w:line="155"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including praluzatamab ravtansine, CX-2029, and pacmilimab, as well as any additional product candidates for which we initiate clinical studies in the future.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December 2019, a strain of novel coronavirus-caused disease (now commonly known as COVID-19) was reported to have surfaced in Wuhan, China. COVID-19 has since spread rapidly throughout many countries and has been declared to be a pandemic. In an effort to contain and mitigate the spread of COVID-19, many countries, including the United States, Canada and countries in Europe and Asia, have imposed unprecedented restrictions on travel, business operations and public gatherings, and there have been business closures and limitations on business operations, which have resulted in a substantial reduction in economic activity.</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March 2020, we announced the temporary pause in new patient enrollment and new site activation in our Phase 2 clinical trial of praluzatamab ravtansine as a result of the COVID-19 pandemic, primarily due to delays in patient enrollment and clinical site initiations, and the termination of the Phase 2 clinical trial of pacmilimab (CX-072) after a re-evaluation of the evolving clinical, competitive and commercial landscapes in immuno-oncology, taken together with impact of the COVID-19 pandemic. Since then, we have revised our strategy for developing praluzatamab ravtansine, and have initiated our Phase 2 clinical trial for praluzatamab ravtansine.</w:t>
      </w:r>
    </w:p>
    <w:p>
      <w:pPr>
        <w:spacing w:after="0" w:line="187"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COVID-19 outbreak and any preventative or protective actions that we, our collaboration partners or others have taken, or may take, in respect of the virus may result in further disruption for our clinical trials, including clinical trials for praluzatamab ravtansine and CX-2029, manufacturing, research, financial reporting capabilities and operations generally and could potentially impact our patients, partners, employees and third parties. Any resulting financial impact cannot be reasonably estimated at this time but may materially affect the business and our financial condition and results of operations. The extent to which the COVID-19 pandemic continues to impact our results will depend on future developments, which are highly uncertain and cannot be predicted, including new information which may emerge concerning the severity of COVID-19 and the actions necessary to contain the virus or treat its impact, among others. Currently, it is not possible to predict how long the pandemic will last or the extent or degree of its ongoing impact on economic activity, and our business. We do not know the full extent of any impact or delay on our business or our operations, including clinical trial activity, however, we will continue to monitor the COVID-19 situation closely and operate in accordance with all relevant health and safety guidelines as they evolve in response to changing public health conditions.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3" w:lineRule="exact"/>
        <w:rPr>
          <w:sz w:val="20"/>
          <w:szCs w:val="20"/>
          <w:color w:val="auto"/>
        </w:rPr>
      </w:pPr>
    </w:p>
    <w:p>
      <w:pPr>
        <w:ind w:right="520"/>
        <w:spacing w:after="0" w:line="356" w:lineRule="auto"/>
        <w:rPr>
          <w:sz w:val="20"/>
          <w:szCs w:val="20"/>
          <w:color w:val="auto"/>
        </w:rPr>
      </w:pPr>
      <w:r>
        <w:rPr>
          <w:rFonts w:ascii="Arial" w:cs="Arial" w:eastAsia="Arial" w:hAnsi="Arial"/>
          <w:sz w:val="16"/>
          <w:szCs w:val="16"/>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81" w:right="379" w:bottom="1440" w:gutter="0" w:footer="0" w:header="0"/>
        </w:sectPr>
      </w:pPr>
    </w:p>
    <w:bookmarkStart w:id="23" w:name="page24"/>
    <w:bookmarkEnd w:id="23"/>
    <w:p>
      <w:pPr>
        <w:ind w:right="80"/>
        <w:spacing w:after="0" w:line="269" w:lineRule="auto"/>
        <w:rPr>
          <w:sz w:val="20"/>
          <w:szCs w:val="20"/>
          <w:color w:val="auto"/>
        </w:rPr>
      </w:pPr>
      <w:r>
        <w:rPr>
          <w:rFonts w:ascii="Arial" w:cs="Arial" w:eastAsia="Arial" w:hAnsi="Arial"/>
          <w:sz w:val="18"/>
          <w:szCs w:val="18"/>
          <w:color w:val="auto"/>
        </w:rPr>
        <w:t>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2020. There have been no material changes to our critical accounting policies and estimates during the three and nine months ended September 30,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9" w:lineRule="exact"/>
        <w:rPr>
          <w:sz w:val="20"/>
          <w:szCs w:val="20"/>
          <w:color w:val="auto"/>
        </w:rPr>
      </w:pPr>
    </w:p>
    <w:p>
      <w:pPr>
        <w:ind w:right="100"/>
        <w:spacing w:after="0" w:line="307" w:lineRule="auto"/>
        <w:rPr>
          <w:sz w:val="20"/>
          <w:szCs w:val="20"/>
          <w:color w:val="auto"/>
        </w:rPr>
      </w:pPr>
      <w:r>
        <w:rPr>
          <w:rFonts w:ascii="Arial" w:cs="Arial" w:eastAsia="Arial" w:hAnsi="Arial"/>
          <w:sz w:val="16"/>
          <w:szCs w:val="16"/>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Astellas and Bristol Myers Squibb for research and development costs when incurred under our research, collaboration and license agreements with them are classified as revenue.</w:t>
      </w:r>
    </w:p>
    <w:p>
      <w:pPr>
        <w:spacing w:after="0" w:line="16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Astellas, Bristol Myers Squibb and any other collaboration partners, and as a result of the fluctuations in the research and development expenses we incur in the performance of assigned activities under these agreements.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AbbVie, one of our collaboration partners, entered into a license agreement with Seagen Inc. (“SGEN”) to license certain intellectual property rights. As part of our collaboration agreement with AbbVie, we received a sublicense to these intellectual property rights and therefore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176"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Examples include our Phase 2 clinical trials for praluzatamab ravtansine (CX-2009) and CX-2029 and potential future clinical trials for CX-2029 and for praluzatamab ravtansine in combination with pacmilimab (CX-072).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9"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9"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Interest income primarily consists of interest income from our cash equivalents and investments, and accretion of discounts or amortization of premiums on our investments.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gains and losses resulting from changes to currency exchange rates.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245" w:lineRule="exact"/>
        <w:rPr>
          <w:sz w:val="20"/>
          <w:szCs w:val="20"/>
          <w:color w:val="auto"/>
        </w:rPr>
      </w:pPr>
    </w:p>
    <w:p>
      <w:pPr>
        <w:jc w:val="both"/>
        <w:ind w:right="140"/>
        <w:spacing w:after="0" w:line="300" w:lineRule="auto"/>
        <w:rPr>
          <w:sz w:val="20"/>
          <w:szCs w:val="20"/>
          <w:color w:val="auto"/>
        </w:rPr>
      </w:pPr>
      <w:r>
        <w:rPr>
          <w:rFonts w:ascii="Arial" w:cs="Arial" w:eastAsia="Arial" w:hAnsi="Arial"/>
          <w:sz w:val="17"/>
          <w:szCs w:val="17"/>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0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We record the effect of an enacted change in a tax law in the period that includes the enactment date in accordance with ASC 740.</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and Nine Months Ended September 30, 2021 and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3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r>
      <w:tr>
        <w:trPr>
          <w:trHeight w:val="195"/>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1"/>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17,587</w:t>
            </w:r>
          </w:p>
        </w:tc>
        <w:tc>
          <w:tcPr>
            <w:tcW w:w="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17,788</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(201 )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49,846</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83,989</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(34,143 )</w:t>
            </w: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collaboration partner during the respective periods: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3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8"/>
                <w:szCs w:val="18"/>
                <w:color w:val="auto"/>
              </w:rPr>
            </w:pPr>
          </w:p>
        </w:tc>
      </w:tr>
      <w:tr>
        <w:trPr>
          <w:trHeight w:val="189"/>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0"/>
        </w:trPr>
        <w:tc>
          <w:tcPr>
            <w:tcW w:w="3860" w:type="dxa"/>
            <w:vAlign w:val="bottom"/>
          </w:tcPr>
          <w:p>
            <w:pPr>
              <w:ind w:left="200"/>
              <w:spacing w:after="0"/>
              <w:rPr>
                <w:sz w:val="20"/>
                <w:szCs w:val="20"/>
                <w:color w:val="auto"/>
              </w:rPr>
            </w:pPr>
            <w:r>
              <w:rPr>
                <w:rFonts w:ascii="Arial" w:cs="Arial" w:eastAsia="Arial" w:hAnsi="Arial"/>
                <w:sz w:val="18"/>
                <w:szCs w:val="18"/>
                <w:color w:val="auto"/>
              </w:rPr>
              <w:t>AbbVie</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2,867</w:t>
            </w:r>
          </w:p>
        </w:tc>
        <w:tc>
          <w:tcPr>
            <w:tcW w:w="4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4,209</w:t>
            </w:r>
          </w:p>
        </w:tc>
        <w:tc>
          <w:tcPr>
            <w:tcW w:w="2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(1,342 )</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6,172</w:t>
            </w:r>
          </w:p>
        </w:tc>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35,624</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(29,452 )</w:t>
            </w:r>
          </w:p>
        </w:tc>
      </w:tr>
      <w:tr>
        <w:trPr>
          <w:trHeight w:val="262"/>
        </w:trPr>
        <w:tc>
          <w:tcPr>
            <w:tcW w:w="3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Amgen</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6,884</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7,007</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(123 )</w:t>
            </w:r>
          </w:p>
        </w:tc>
      </w:tr>
      <w:tr>
        <w:trPr>
          <w:trHeight w:val="248"/>
        </w:trPr>
        <w:tc>
          <w:tcPr>
            <w:tcW w:w="3860" w:type="dxa"/>
            <w:vAlign w:val="bottom"/>
          </w:tcPr>
          <w:p>
            <w:pPr>
              <w:ind w:left="200"/>
              <w:spacing w:after="0"/>
              <w:rPr>
                <w:sz w:val="20"/>
                <w:szCs w:val="20"/>
                <w:color w:val="auto"/>
              </w:rPr>
            </w:pPr>
            <w:r>
              <w:rPr>
                <w:rFonts w:ascii="Arial" w:cs="Arial" w:eastAsia="Arial" w:hAnsi="Arial"/>
                <w:sz w:val="18"/>
                <w:szCs w:val="18"/>
                <w:color w:val="auto"/>
              </w:rPr>
              <w:t>Astellas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14,575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9,133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5,442</w:t>
            </w:r>
          </w:p>
        </w:tc>
        <w:tc>
          <w:tcPr>
            <w:tcW w:w="100" w:type="dxa"/>
            <w:vAlign w:val="bottom"/>
          </w:tcPr>
          <w:p>
            <w:pPr>
              <w:spacing w:after="0"/>
              <w:rPr>
                <w:sz w:val="21"/>
                <w:szCs w:val="21"/>
                <w:color w:val="auto"/>
              </w:rPr>
            </w:pPr>
          </w:p>
        </w:tc>
      </w:tr>
      <w:tr>
        <w:trPr>
          <w:trHeight w:val="255"/>
        </w:trPr>
        <w:tc>
          <w:tcPr>
            <w:tcW w:w="3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Bristol Myers Squibb</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7,405</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7,403</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22,215</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32,225</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(10,010 )</w:t>
            </w:r>
          </w:p>
        </w:tc>
      </w:tr>
      <w:tr>
        <w:trPr>
          <w:trHeight w:val="20"/>
        </w:trPr>
        <w:tc>
          <w:tcPr>
            <w:tcW w:w="38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8"/>
        </w:trPr>
        <w:tc>
          <w:tcPr>
            <w:tcW w:w="38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17,587</w:t>
            </w:r>
          </w:p>
        </w:tc>
        <w:tc>
          <w:tcPr>
            <w:tcW w:w="240" w:type="dxa"/>
            <w:vAlign w:val="bottom"/>
          </w:tcPr>
          <w:p>
            <w:pPr>
              <w:spacing w:after="0"/>
              <w:rPr>
                <w:sz w:val="21"/>
                <w:szCs w:val="21"/>
                <w:color w:val="auto"/>
              </w:rPr>
            </w:pPr>
          </w:p>
        </w:tc>
        <w:tc>
          <w:tcPr>
            <w:tcW w:w="240" w:type="dxa"/>
            <w:vAlign w:val="bottom"/>
          </w:tcPr>
          <w:p>
            <w:pPr>
              <w:jc w:val="right"/>
              <w:ind w:right="4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17,788</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(201 )</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49,846</w:t>
            </w:r>
          </w:p>
        </w:tc>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83,989</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(34,143 )</w:t>
            </w:r>
          </w:p>
        </w:tc>
      </w:tr>
      <w:tr>
        <w:trPr>
          <w:trHeight w:val="20"/>
        </w:trPr>
        <w:tc>
          <w:tcPr>
            <w:tcW w:w="3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3115310</wp:posOffset>
            </wp:positionH>
            <wp:positionV relativeFrom="paragraph">
              <wp:posOffset>-192405</wp:posOffset>
            </wp:positionV>
            <wp:extent cx="15367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3670" cy="5715"/>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-192405</wp:posOffset>
            </wp:positionV>
            <wp:extent cx="13652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-192405</wp:posOffset>
            </wp:positionV>
            <wp:extent cx="13652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5501640</wp:posOffset>
            </wp:positionH>
            <wp:positionV relativeFrom="paragraph">
              <wp:posOffset>-192405</wp:posOffset>
            </wp:positionV>
            <wp:extent cx="13652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-192405</wp:posOffset>
            </wp:positionV>
            <wp:extent cx="13652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-192405</wp:posOffset>
            </wp:positionV>
            <wp:extent cx="6794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945" cy="5715"/>
                    </a:xfrm>
                    <a:prstGeom prst="rect">
                      <a:avLst/>
                    </a:prstGeom>
                    <a:noFill/>
                  </pic:spPr>
                </pic:pic>
              </a:graphicData>
            </a:graphic>
          </wp:anchor>
        </w:drawing>
      </w:r>
    </w:p>
    <w:p>
      <w:pPr>
        <w:spacing w:after="0" w:line="234" w:lineRule="exact"/>
        <w:rPr>
          <w:sz w:val="20"/>
          <w:szCs w:val="20"/>
          <w:color w:val="auto"/>
        </w:rPr>
      </w:pPr>
    </w:p>
    <w:p>
      <w:pPr>
        <w:ind w:right="340"/>
        <w:spacing w:after="0" w:line="290" w:lineRule="auto"/>
        <w:rPr>
          <w:sz w:val="20"/>
          <w:szCs w:val="20"/>
          <w:color w:val="auto"/>
        </w:rPr>
      </w:pPr>
      <w:r>
        <w:rPr>
          <w:rFonts w:ascii="Arial" w:cs="Arial" w:eastAsia="Arial" w:hAnsi="Arial"/>
          <w:sz w:val="18"/>
          <w:szCs w:val="18"/>
          <w:color w:val="auto"/>
        </w:rPr>
        <w:t>Revenue for the three months ended September 30, 2021 was relatively flat as compared to the corresponding period of 2020 with the following notable variances:</w:t>
      </w:r>
    </w:p>
    <w:p>
      <w:pPr>
        <w:spacing w:after="0" w:line="63" w:lineRule="exact"/>
        <w:rPr>
          <w:sz w:val="20"/>
          <w:szCs w:val="20"/>
          <w:color w:val="auto"/>
        </w:rPr>
      </w:pPr>
    </w:p>
    <w:p>
      <w:pPr>
        <w:ind w:left="960" w:right="380"/>
        <w:spacing w:after="0" w:line="321" w:lineRule="auto"/>
        <w:rPr>
          <w:sz w:val="20"/>
          <w:szCs w:val="20"/>
          <w:color w:val="auto"/>
        </w:rPr>
      </w:pPr>
      <w:r>
        <w:rPr>
          <w:rFonts w:ascii="Arial" w:cs="Arial" w:eastAsia="Arial" w:hAnsi="Arial"/>
          <w:sz w:val="17"/>
          <w:szCs w:val="17"/>
          <w:color w:val="auto"/>
        </w:rPr>
        <w:t>revenue from AbbVie was lower by $1.3 million due to lower percentage of completion in the current quarter for the CD71 program given additional projected hours-to-completion and increase in the research period driven by the COVID-19 pandemic.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25" w:name="page26"/>
    <w:bookmarkEnd w:id="25"/>
    <w:p>
      <w:pPr>
        <w:ind w:left="960" w:right="360"/>
        <w:spacing w:after="0" w:line="356" w:lineRule="auto"/>
        <w:rPr>
          <w:sz w:val="20"/>
          <w:szCs w:val="20"/>
          <w:color w:val="auto"/>
        </w:rPr>
      </w:pPr>
      <w:r>
        <w:rPr>
          <w:rFonts w:ascii="Arial" w:cs="Arial" w:eastAsia="Arial" w:hAnsi="Arial"/>
          <w:sz w:val="16"/>
          <w:szCs w:val="16"/>
          <w:color w:val="auto"/>
        </w:rPr>
        <w:t>an increase in revenue from Amgen of $0.8 million driven by higher percentage of completion of the CX-904 project in the current quarter compared to the same period in the prior year under the Collaboration and License Agreement with Amgen (the “Amgen Agreement”);</w:t>
      </w:r>
    </w:p>
    <w:p>
      <w:pPr>
        <w:spacing w:after="0" w:line="125" w:lineRule="exact"/>
        <w:rPr>
          <w:sz w:val="20"/>
          <w:szCs w:val="20"/>
          <w:color w:val="auto"/>
        </w:rPr>
      </w:pPr>
    </w:p>
    <w:p>
      <w:pPr>
        <w:ind w:right="200"/>
        <w:spacing w:after="0" w:line="290" w:lineRule="auto"/>
        <w:rPr>
          <w:sz w:val="20"/>
          <w:szCs w:val="20"/>
          <w:color w:val="auto"/>
        </w:rPr>
      </w:pPr>
      <w:r>
        <w:rPr>
          <w:rFonts w:ascii="Arial" w:cs="Arial" w:eastAsia="Arial" w:hAnsi="Arial"/>
          <w:sz w:val="18"/>
          <w:szCs w:val="18"/>
          <w:color w:val="auto"/>
        </w:rPr>
        <w:t>The decrease in revenue of $34.1 million for the nine months ended September 30, 2021 compared to the corresponding period of 2020 was primarily due to:</w:t>
      </w:r>
    </w:p>
    <w:p>
      <w:pPr>
        <w:spacing w:after="0" w:line="63" w:lineRule="exact"/>
        <w:rPr>
          <w:sz w:val="20"/>
          <w:szCs w:val="20"/>
          <w:color w:val="auto"/>
        </w:rPr>
      </w:pPr>
    </w:p>
    <w:p>
      <w:pPr>
        <w:ind w:left="960" w:right="240"/>
        <w:spacing w:after="0" w:line="327" w:lineRule="auto"/>
        <w:rPr>
          <w:sz w:val="20"/>
          <w:szCs w:val="20"/>
          <w:color w:val="auto"/>
        </w:rPr>
      </w:pPr>
      <w:r>
        <w:rPr>
          <w:rFonts w:ascii="Arial" w:cs="Arial" w:eastAsia="Arial" w:hAnsi="Arial"/>
          <w:sz w:val="16"/>
          <w:szCs w:val="16"/>
          <w:color w:val="auto"/>
        </w:rPr>
        <w:t>a decrease in revenue of $29.5 million from AbbVie primarily due to the $40.0 million milestone payment earned in the first quarter of 2020 for satisfying the CD71 dose escalation success criteria milestone under the CD71 Co-Development and Licensing Agreement (the “CD71 Agreement”), of which $26.6 million was recognized reflecting the project percentage completion to date in the first quarter of 2020;</w:t>
      </w:r>
    </w:p>
    <w:p>
      <w:pPr>
        <w:spacing w:after="0" w:line="40" w:lineRule="exact"/>
        <w:rPr>
          <w:sz w:val="20"/>
          <w:szCs w:val="20"/>
          <w:color w:val="auto"/>
        </w:rPr>
      </w:pPr>
    </w:p>
    <w:p>
      <w:pPr>
        <w:ind w:left="960" w:right="100"/>
        <w:spacing w:after="0" w:line="277" w:lineRule="auto"/>
        <w:rPr>
          <w:sz w:val="20"/>
          <w:szCs w:val="20"/>
          <w:color w:val="auto"/>
        </w:rPr>
      </w:pPr>
      <w:r>
        <w:rPr>
          <w:rFonts w:ascii="Arial" w:cs="Arial" w:eastAsia="Arial" w:hAnsi="Arial"/>
          <w:sz w:val="18"/>
          <w:szCs w:val="18"/>
          <w:color w:val="auto"/>
        </w:rPr>
        <w:t>a decrease in revenue from Bristol Myers Squibb of $10.0 million due to the recognition in full of the $10.0 million milestone payment earned for achieving the dosing of first patient in the Part 2 cohort expansion of the ongoing CTLA-4 program by Bristol Myers Squibb in February 2020; partially offset by</w:t>
      </w:r>
    </w:p>
    <w:p>
      <w:pPr>
        <w:spacing w:after="0" w:line="75" w:lineRule="exact"/>
        <w:rPr>
          <w:sz w:val="20"/>
          <w:szCs w:val="20"/>
          <w:color w:val="auto"/>
        </w:rPr>
      </w:pPr>
    </w:p>
    <w:p>
      <w:pPr>
        <w:ind w:left="960" w:right="400"/>
        <w:spacing w:after="0" w:line="277" w:lineRule="auto"/>
        <w:rPr>
          <w:sz w:val="20"/>
          <w:szCs w:val="20"/>
          <w:color w:val="auto"/>
        </w:rPr>
      </w:pPr>
      <w:r>
        <w:rPr>
          <w:rFonts w:ascii="Arial" w:cs="Arial" w:eastAsia="Arial" w:hAnsi="Arial"/>
          <w:sz w:val="18"/>
          <w:szCs w:val="18"/>
          <w:color w:val="auto"/>
        </w:rPr>
        <w:t>an increase in revenue from Astellas of $5.4 million due to a full nine-month recognition of the $80.0 million upfront payment over the estimated research service period of five years under the Astellas Agreement entered into in March 2020, as well as the increased research services during the current period.</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4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r>
      <w:tr>
        <w:trPr>
          <w:trHeight w:val="195"/>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1"/>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29,143</w:t>
            </w:r>
          </w:p>
        </w:tc>
        <w:tc>
          <w:tcPr>
            <w:tcW w:w="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24,049</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77,615</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90,929</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(13,314 )</w:t>
            </w:r>
          </w:p>
        </w:tc>
      </w:tr>
    </w:tbl>
    <w:p>
      <w:pPr>
        <w:spacing w:after="0" w:line="254" w:lineRule="exact"/>
        <w:rPr>
          <w:sz w:val="20"/>
          <w:szCs w:val="20"/>
          <w:color w:val="auto"/>
        </w:rPr>
      </w:pPr>
    </w:p>
    <w:p>
      <w:pPr>
        <w:ind w:right="320"/>
        <w:spacing w:after="0" w:line="273" w:lineRule="auto"/>
        <w:rPr>
          <w:sz w:val="20"/>
          <w:szCs w:val="20"/>
          <w:color w:val="auto"/>
        </w:rPr>
      </w:pPr>
      <w:r>
        <w:rPr>
          <w:rFonts w:ascii="Arial" w:cs="Arial" w:eastAsia="Arial" w:hAnsi="Arial"/>
          <w:sz w:val="18"/>
          <w:szCs w:val="18"/>
          <w:color w:val="auto"/>
        </w:rPr>
        <w:t>Research and development expenses increased $5.1 million during the three months ended September 30, 2021 compared to the corresponding period in 2020. The change was driven mainly by an increase of $3.4 million in personnel related expenses, clinical trial expenses and consulting and contract services primarily related to of CX-2009 and CX-2029; and increase of $1.2 million in laboratory contracts and services and laboratory supplies and equipment expenses due to timing of manufacturing and tissue sampling activities.</w:t>
      </w:r>
    </w:p>
    <w:p>
      <w:pPr>
        <w:spacing w:after="0" w:line="239" w:lineRule="exact"/>
        <w:rPr>
          <w:sz w:val="20"/>
          <w:szCs w:val="20"/>
          <w:color w:val="auto"/>
        </w:rPr>
      </w:pPr>
    </w:p>
    <w:p>
      <w:pPr>
        <w:ind w:right="260"/>
        <w:spacing w:after="0" w:line="290" w:lineRule="auto"/>
        <w:rPr>
          <w:sz w:val="20"/>
          <w:szCs w:val="20"/>
          <w:color w:val="auto"/>
        </w:rPr>
      </w:pPr>
      <w:r>
        <w:rPr>
          <w:rFonts w:ascii="Arial" w:cs="Arial" w:eastAsia="Arial" w:hAnsi="Arial"/>
          <w:sz w:val="18"/>
          <w:szCs w:val="18"/>
          <w:color w:val="auto"/>
        </w:rPr>
        <w:t>Research and development expenses decreased $13.3 million during the nine months ended September 30, 2021 compared to the corresponding period in 2020. The decrease was mainly attributable to the following:</w:t>
      </w:r>
    </w:p>
    <w:p>
      <w:pPr>
        <w:spacing w:after="0" w:line="63" w:lineRule="exact"/>
        <w:rPr>
          <w:sz w:val="20"/>
          <w:szCs w:val="20"/>
          <w:color w:val="auto"/>
        </w:rPr>
      </w:pPr>
    </w:p>
    <w:p>
      <w:pPr>
        <w:ind w:left="960" w:right="420"/>
        <w:spacing w:after="0" w:line="294" w:lineRule="auto"/>
        <w:rPr>
          <w:sz w:val="20"/>
          <w:szCs w:val="20"/>
          <w:color w:val="auto"/>
        </w:rPr>
      </w:pPr>
      <w:r>
        <w:rPr>
          <w:rFonts w:ascii="Arial" w:cs="Arial" w:eastAsia="Arial" w:hAnsi="Arial"/>
          <w:sz w:val="17"/>
          <w:szCs w:val="17"/>
          <w:color w:val="auto"/>
        </w:rPr>
        <w:t>a decrease of $11.2 million in licensing expenses, of which $8.2 million related to UCSB sublicense fees incurred on payments to us from various collaboration partners upon the achievements of certain milestones as well as the upfront payment from Astellas pursuant to the Astellas Agreement; and $3.0 million to ImmunoGen pursuant to the CX-2009 License as we initiated the first dosing of a patient in the praluzatamab ravtansine (CX-2009) Phase 2 clinical trial in February 2020;</w:t>
      </w:r>
    </w:p>
    <w:p>
      <w:pPr>
        <w:spacing w:after="0" w:line="62" w:lineRule="exact"/>
        <w:rPr>
          <w:sz w:val="20"/>
          <w:szCs w:val="20"/>
          <w:color w:val="auto"/>
        </w:rPr>
      </w:pPr>
    </w:p>
    <w:p>
      <w:pPr>
        <w:ind w:left="960" w:right="320"/>
        <w:spacing w:after="0" w:line="290" w:lineRule="auto"/>
        <w:rPr>
          <w:sz w:val="20"/>
          <w:szCs w:val="20"/>
          <w:color w:val="auto"/>
        </w:rPr>
      </w:pPr>
      <w:r>
        <w:rPr>
          <w:rFonts w:ascii="Arial" w:cs="Arial" w:eastAsia="Arial" w:hAnsi="Arial"/>
          <w:sz w:val="18"/>
          <w:szCs w:val="18"/>
          <w:color w:val="auto"/>
        </w:rPr>
        <w:t>a decrease of $3.2 million in laboratory contracts and services due to timing of manufacturing activities, as well as $2.5 million decrease of clinical trial related expenses; partially offset by</w:t>
      </w:r>
    </w:p>
    <w:p>
      <w:pPr>
        <w:spacing w:after="0" w:line="63" w:lineRule="exact"/>
        <w:rPr>
          <w:sz w:val="20"/>
          <w:szCs w:val="20"/>
          <w:color w:val="auto"/>
        </w:rPr>
      </w:pPr>
    </w:p>
    <w:p>
      <w:pPr>
        <w:ind w:left="960" w:right="600"/>
        <w:spacing w:after="0" w:line="290" w:lineRule="auto"/>
        <w:rPr>
          <w:sz w:val="20"/>
          <w:szCs w:val="20"/>
          <w:color w:val="auto"/>
        </w:rPr>
      </w:pPr>
      <w:r>
        <w:rPr>
          <w:rFonts w:ascii="Arial" w:cs="Arial" w:eastAsia="Arial" w:hAnsi="Arial"/>
          <w:sz w:val="18"/>
          <w:szCs w:val="18"/>
          <w:color w:val="auto"/>
        </w:rPr>
        <w:t>an increase of $2.6 million in laboratory supplies and equipment expenses related to tissue sampling activities as well as consulting and contract services related to CX-2009 and CX-2029.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 presented: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4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Change</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6"/>
                <w:szCs w:val="16"/>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w w:val="96"/>
              </w:rPr>
              <w:t>External costs incurred by product candidate (target):</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0"/>
        </w:trPr>
        <w:tc>
          <w:tcPr>
            <w:tcW w:w="4480" w:type="dxa"/>
            <w:vAlign w:val="bottom"/>
          </w:tcPr>
          <w:p>
            <w:pPr>
              <w:ind w:left="20"/>
              <w:spacing w:after="0"/>
              <w:rPr>
                <w:sz w:val="20"/>
                <w:szCs w:val="20"/>
                <w:color w:val="auto"/>
              </w:rPr>
            </w:pPr>
            <w:r>
              <w:rPr>
                <w:rFonts w:ascii="Arial" w:cs="Arial" w:eastAsia="Arial" w:hAnsi="Arial"/>
                <w:sz w:val="18"/>
                <w:szCs w:val="18"/>
                <w:color w:val="auto"/>
              </w:rPr>
              <w:t>CX-072 (PD-L1)</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1,233</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923</w:t>
            </w:r>
          </w:p>
        </w:tc>
        <w:tc>
          <w:tcPr>
            <w:tcW w:w="2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22"/>
                <w:szCs w:val="22"/>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2,745</w:t>
            </w:r>
          </w:p>
        </w:tc>
        <w:tc>
          <w:tcPr>
            <w:tcW w:w="40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10,871</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(8,126 )</w:t>
            </w:r>
          </w:p>
        </w:tc>
      </w:tr>
      <w:tr>
        <w:trPr>
          <w:trHeight w:val="262"/>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CX-2009 (CD166)</w:t>
            </w: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7,823</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5,118</w:t>
            </w: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13,668</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12,597</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FF0FC"/>
          </w:tcPr>
          <w:p>
            <w:pPr>
              <w:spacing w:after="0"/>
              <w:rPr>
                <w:sz w:val="22"/>
                <w:szCs w:val="22"/>
                <w:color w:val="auto"/>
              </w:rPr>
            </w:pPr>
          </w:p>
        </w:tc>
      </w:tr>
      <w:tr>
        <w:trPr>
          <w:trHeight w:val="248"/>
        </w:trPr>
        <w:tc>
          <w:tcPr>
            <w:tcW w:w="4480" w:type="dxa"/>
            <w:vAlign w:val="bottom"/>
          </w:tcPr>
          <w:p>
            <w:pPr>
              <w:ind w:left="20"/>
              <w:spacing w:after="0"/>
              <w:rPr>
                <w:sz w:val="20"/>
                <w:szCs w:val="20"/>
                <w:color w:val="auto"/>
              </w:rPr>
            </w:pPr>
            <w:r>
              <w:rPr>
                <w:rFonts w:ascii="Arial" w:cs="Arial" w:eastAsia="Arial" w:hAnsi="Arial"/>
                <w:sz w:val="18"/>
                <w:szCs w:val="18"/>
                <w:color w:val="auto"/>
              </w:rPr>
              <w:t>CX-2029 (CD71)</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7,552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1"/>
                <w:szCs w:val="21"/>
                <w:color w:val="auto"/>
              </w:rPr>
            </w:pPr>
          </w:p>
        </w:tc>
      </w:tr>
      <w:tr>
        <w:trPr>
          <w:trHeight w:val="262"/>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wholly owned and partnered programs</w:t>
            </w: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5,494</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(2,972 )</w:t>
            </w:r>
          </w:p>
        </w:tc>
        <w:tc>
          <w:tcPr>
            <w:tcW w:w="22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16,653</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(8,986 )</w:t>
            </w:r>
          </w:p>
        </w:tc>
      </w:tr>
      <w:tr>
        <w:trPr>
          <w:trHeight w:val="248"/>
        </w:trPr>
        <w:tc>
          <w:tcPr>
            <w:tcW w:w="4480" w:type="dxa"/>
            <w:vAlign w:val="bottom"/>
          </w:tcPr>
          <w:p>
            <w:pPr>
              <w:ind w:left="20"/>
              <w:spacing w:after="0"/>
              <w:rPr>
                <w:sz w:val="20"/>
                <w:szCs w:val="20"/>
                <w:color w:val="auto"/>
              </w:rPr>
            </w:pPr>
            <w:r>
              <w:rPr>
                <w:rFonts w:ascii="Arial" w:cs="Arial" w:eastAsia="Arial" w:hAnsi="Arial"/>
                <w:sz w:val="18"/>
                <w:szCs w:val="18"/>
                <w:color w:val="auto"/>
              </w:rPr>
              <w:t>General research and development expenses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(482 )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9,582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5"/>
        </w:trPr>
        <w:tc>
          <w:tcPr>
            <w:tcW w:w="44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16,896</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13,343</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w:t>
            </w: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41,461</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54,984</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(13,523 )</w:t>
            </w:r>
          </w:p>
        </w:tc>
      </w:tr>
      <w:tr>
        <w:trPr>
          <w:trHeight w:val="255"/>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Internal Costs</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12,247</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10,706</w:t>
            </w:r>
          </w:p>
        </w:tc>
        <w:tc>
          <w:tcPr>
            <w:tcW w:w="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36,154</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35,945</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r>
      <w:tr>
        <w:trPr>
          <w:trHeight w:val="268"/>
        </w:trPr>
        <w:tc>
          <w:tcPr>
            <w:tcW w:w="448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Total research and development expenses</w:t>
            </w:r>
          </w:p>
        </w:tc>
        <w:tc>
          <w:tcPr>
            <w:tcW w:w="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29,143</w:t>
            </w:r>
          </w:p>
        </w:tc>
        <w:tc>
          <w:tcPr>
            <w:tcW w:w="220" w:type="dxa"/>
            <w:vAlign w:val="bottom"/>
            <w:shd w:val="clear" w:color="auto" w:fill="CFF0FC"/>
          </w:tcPr>
          <w:p>
            <w:pPr>
              <w:spacing w:after="0"/>
              <w:rPr>
                <w:sz w:val="23"/>
                <w:szCs w:val="23"/>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24,049</w:t>
            </w:r>
          </w:p>
        </w:tc>
        <w:tc>
          <w:tcPr>
            <w:tcW w:w="24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w:t>
            </w:r>
          </w:p>
        </w:tc>
        <w:tc>
          <w:tcPr>
            <w:tcW w:w="18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77,615</w:t>
            </w:r>
          </w:p>
        </w:tc>
        <w:tc>
          <w:tcPr>
            <w:tcW w:w="20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90,929</w:t>
            </w:r>
          </w:p>
        </w:tc>
        <w:tc>
          <w:tcPr>
            <w:tcW w:w="22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(13,314 )</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-24765</wp:posOffset>
            </wp:positionV>
            <wp:extent cx="1365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3456305</wp:posOffset>
            </wp:positionH>
            <wp:positionV relativeFrom="paragraph">
              <wp:posOffset>-7620</wp:posOffset>
            </wp:positionV>
            <wp:extent cx="136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-24765</wp:posOffset>
            </wp:positionV>
            <wp:extent cx="1447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-7620</wp:posOffset>
            </wp:positionV>
            <wp:extent cx="1447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4913630</wp:posOffset>
            </wp:positionH>
            <wp:positionV relativeFrom="paragraph">
              <wp:posOffset>-24765</wp:posOffset>
            </wp:positionV>
            <wp:extent cx="1193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4913630</wp:posOffset>
            </wp:positionH>
            <wp:positionV relativeFrom="paragraph">
              <wp:posOffset>-7620</wp:posOffset>
            </wp:positionV>
            <wp:extent cx="1193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5621020</wp:posOffset>
            </wp:positionH>
            <wp:positionV relativeFrom="paragraph">
              <wp:posOffset>-24765</wp:posOffset>
            </wp:positionV>
            <wp:extent cx="1276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5621020</wp:posOffset>
            </wp:positionH>
            <wp:positionV relativeFrom="paragraph">
              <wp:posOffset>-7620</wp:posOffset>
            </wp:positionV>
            <wp:extent cx="1276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-24765</wp:posOffset>
            </wp:positionV>
            <wp:extent cx="1447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-7620</wp:posOffset>
            </wp:positionV>
            <wp:extent cx="1447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94" w:lineRule="exact"/>
        <w:rPr>
          <w:sz w:val="20"/>
          <w:szCs w:val="20"/>
          <w:color w:val="auto"/>
        </w:rPr>
      </w:pPr>
    </w:p>
    <w:p>
      <w:pPr>
        <w:ind w:right="400"/>
        <w:spacing w:after="0" w:line="290" w:lineRule="auto"/>
        <w:rPr>
          <w:sz w:val="20"/>
          <w:szCs w:val="20"/>
          <w:color w:val="auto"/>
        </w:rPr>
      </w:pPr>
      <w:r>
        <w:rPr>
          <w:rFonts w:ascii="Arial" w:cs="Arial" w:eastAsia="Arial" w:hAnsi="Arial"/>
          <w:sz w:val="18"/>
          <w:szCs w:val="18"/>
          <w:color w:val="auto"/>
        </w:rPr>
        <w:t>The increase in research and development expenses for the three months ended September 30, 2021 compared to the corresponding period of 2020 was attributable to the following changes by project:</w:t>
      </w:r>
    </w:p>
    <w:p>
      <w:pPr>
        <w:spacing w:after="0" w:line="63" w:lineRule="exact"/>
        <w:rPr>
          <w:sz w:val="20"/>
          <w:szCs w:val="20"/>
          <w:color w:val="auto"/>
        </w:rPr>
      </w:pPr>
    </w:p>
    <w:p>
      <w:pPr>
        <w:ind w:left="960" w:right="120"/>
        <w:spacing w:after="0" w:line="356" w:lineRule="auto"/>
        <w:rPr>
          <w:sz w:val="20"/>
          <w:szCs w:val="20"/>
          <w:color w:val="auto"/>
        </w:rPr>
      </w:pPr>
      <w:r>
        <w:rPr>
          <w:rFonts w:ascii="Arial" w:cs="Arial" w:eastAsia="Arial" w:hAnsi="Arial"/>
          <w:sz w:val="16"/>
          <w:szCs w:val="16"/>
          <w:color w:val="auto"/>
        </w:rPr>
        <w:t>The increase in CX-2009 expenses was primarily due to increases in clinical trial expenses of $1.0 million, resulting from increase in patient enrollment activities and laboratory contract services of $3.2 million, resulting from the timing of manufacturing and other research activities.</w:t>
      </w:r>
    </w:p>
    <w:p>
      <w:pPr>
        <w:spacing w:after="0" w:line="18" w:lineRule="exact"/>
        <w:rPr>
          <w:sz w:val="20"/>
          <w:szCs w:val="20"/>
          <w:color w:val="auto"/>
        </w:rPr>
      </w:pPr>
    </w:p>
    <w:p>
      <w:pPr>
        <w:ind w:left="960" w:right="260"/>
        <w:spacing w:after="0" w:line="290" w:lineRule="auto"/>
        <w:rPr>
          <w:sz w:val="20"/>
          <w:szCs w:val="20"/>
          <w:color w:val="auto"/>
        </w:rPr>
      </w:pPr>
      <w:r>
        <w:rPr>
          <w:rFonts w:ascii="Arial" w:cs="Arial" w:eastAsia="Arial" w:hAnsi="Arial"/>
          <w:sz w:val="18"/>
          <w:szCs w:val="18"/>
          <w:color w:val="auto"/>
        </w:rPr>
        <w:t>The increase in CX-2029 expenses was primarily due to increases in clinical trial expenses of $1.0 million resulting from increase in patient enrollment activities.</w:t>
      </w:r>
    </w:p>
    <w:p>
      <w:pPr>
        <w:spacing w:after="0" w:line="63" w:lineRule="exact"/>
        <w:rPr>
          <w:sz w:val="20"/>
          <w:szCs w:val="20"/>
          <w:color w:val="auto"/>
        </w:rPr>
      </w:pPr>
    </w:p>
    <w:p>
      <w:pPr>
        <w:ind w:left="960" w:right="440"/>
        <w:spacing w:after="0" w:line="290" w:lineRule="auto"/>
        <w:rPr>
          <w:sz w:val="20"/>
          <w:szCs w:val="20"/>
          <w:color w:val="auto"/>
        </w:rPr>
      </w:pPr>
      <w:r>
        <w:rPr>
          <w:rFonts w:ascii="Arial" w:cs="Arial" w:eastAsia="Arial" w:hAnsi="Arial"/>
          <w:sz w:val="18"/>
          <w:szCs w:val="18"/>
          <w:color w:val="auto"/>
        </w:rPr>
        <w:t>The decrease in “Other wholly owned and partnered programs” was primarily due to a decrease of $2.7 million in laboratory contract and services related to the CX-904 project as it moved into IND application preparation phase.</w:t>
      </w:r>
    </w:p>
    <w:p>
      <w:pPr>
        <w:spacing w:after="0" w:line="171" w:lineRule="exact"/>
        <w:rPr>
          <w:sz w:val="20"/>
          <w:szCs w:val="20"/>
          <w:color w:val="auto"/>
        </w:rPr>
      </w:pPr>
    </w:p>
    <w:p>
      <w:pPr>
        <w:ind w:right="420"/>
        <w:spacing w:after="0" w:line="290" w:lineRule="auto"/>
        <w:rPr>
          <w:sz w:val="20"/>
          <w:szCs w:val="20"/>
          <w:color w:val="auto"/>
        </w:rPr>
      </w:pPr>
      <w:r>
        <w:rPr>
          <w:rFonts w:ascii="Arial" w:cs="Arial" w:eastAsia="Arial" w:hAnsi="Arial"/>
          <w:sz w:val="18"/>
          <w:szCs w:val="18"/>
          <w:color w:val="auto"/>
        </w:rPr>
        <w:t>The decrease in research and development expenses for the nine months ended September 30, 2021 compared to the corresponding period of 2020 was attributable to the following changes by project:</w:t>
      </w:r>
    </w:p>
    <w:p>
      <w:pPr>
        <w:spacing w:after="0" w:line="63" w:lineRule="exact"/>
        <w:rPr>
          <w:sz w:val="20"/>
          <w:szCs w:val="20"/>
          <w:color w:val="auto"/>
        </w:rPr>
      </w:pPr>
    </w:p>
    <w:p>
      <w:pPr>
        <w:ind w:left="960" w:right="120"/>
        <w:spacing w:after="0" w:line="300" w:lineRule="auto"/>
        <w:rPr>
          <w:sz w:val="20"/>
          <w:szCs w:val="20"/>
          <w:color w:val="auto"/>
        </w:rPr>
      </w:pPr>
      <w:r>
        <w:rPr>
          <w:rFonts w:ascii="Arial" w:cs="Arial" w:eastAsia="Arial" w:hAnsi="Arial"/>
          <w:sz w:val="17"/>
          <w:szCs w:val="17"/>
          <w:color w:val="auto"/>
        </w:rPr>
        <w:t>The decrease in CX-072 expenses was primarily due to a $6.2 million decrease in clinical trial related expenses and $1.4 million decrease in laboratory contract services as a result of the timing of manufacturing and other research activities in the CX-072 study and the termination of the CX-072-002 study to evaluate the anti-PD-L1 Probody CX-072 in combination with ipilimumab in melanoma.</w:t>
      </w:r>
    </w:p>
    <w:p>
      <w:pPr>
        <w:spacing w:after="0" w:line="59" w:lineRule="exact"/>
        <w:rPr>
          <w:sz w:val="20"/>
          <w:szCs w:val="20"/>
          <w:color w:val="auto"/>
        </w:rPr>
      </w:pPr>
    </w:p>
    <w:p>
      <w:pPr>
        <w:jc w:val="both"/>
        <w:ind w:left="960" w:right="60"/>
        <w:spacing w:after="0" w:line="317" w:lineRule="auto"/>
        <w:rPr>
          <w:sz w:val="20"/>
          <w:szCs w:val="20"/>
          <w:color w:val="auto"/>
        </w:rPr>
      </w:pPr>
      <w:r>
        <w:rPr>
          <w:rFonts w:ascii="Arial" w:cs="Arial" w:eastAsia="Arial" w:hAnsi="Arial"/>
          <w:sz w:val="16"/>
          <w:szCs w:val="16"/>
          <w:color w:val="auto"/>
        </w:rPr>
        <w:t>The decrease in “Other wholly owned and partnered programs” was primarily due to a $6.0 million sublicense fee payment to UCSB related to the $80.0 million upfront payment under the Astellas Agreement during the first quarter of 2020; a $4.2 million decrease in laboratory contract and services related to the CX-904 program as it moved into IND application preparation phase; partially offset by an increase of $1.1 million in laboratory contracts and services expenses related to the EpCAM program due to increase in pre-clinical activities.</w:t>
      </w:r>
    </w:p>
    <w:p>
      <w:pPr>
        <w:spacing w:after="0" w:line="48" w:lineRule="exact"/>
        <w:rPr>
          <w:sz w:val="20"/>
          <w:szCs w:val="20"/>
          <w:color w:val="auto"/>
        </w:rPr>
      </w:pPr>
    </w:p>
    <w:p>
      <w:pPr>
        <w:ind w:left="960" w:right="580"/>
        <w:spacing w:after="0" w:line="290" w:lineRule="auto"/>
        <w:rPr>
          <w:sz w:val="20"/>
          <w:szCs w:val="20"/>
          <w:color w:val="auto"/>
        </w:rPr>
      </w:pPr>
      <w:r>
        <w:rPr>
          <w:rFonts w:ascii="Arial" w:cs="Arial" w:eastAsia="Arial" w:hAnsi="Arial"/>
          <w:sz w:val="18"/>
          <w:szCs w:val="18"/>
          <w:color w:val="auto"/>
        </w:rPr>
        <w:t>The increase in CX-2029 expenses was primarily driven by a $2.5 million increase in clinical trial expenses and laboratory contract and services due to increase in patient enrollment activities.</w:t>
      </w:r>
    </w:p>
    <w:p>
      <w:pPr>
        <w:spacing w:after="0" w:line="63" w:lineRule="exact"/>
        <w:rPr>
          <w:sz w:val="20"/>
          <w:szCs w:val="20"/>
          <w:color w:val="auto"/>
        </w:rPr>
      </w:pPr>
    </w:p>
    <w:p>
      <w:pPr>
        <w:jc w:val="both"/>
        <w:ind w:left="960" w:right="120"/>
        <w:spacing w:after="0" w:line="277" w:lineRule="auto"/>
        <w:rPr>
          <w:sz w:val="20"/>
          <w:szCs w:val="20"/>
          <w:color w:val="auto"/>
        </w:rPr>
      </w:pPr>
      <w:r>
        <w:rPr>
          <w:rFonts w:ascii="Arial" w:cs="Arial" w:eastAsia="Arial" w:hAnsi="Arial"/>
          <w:sz w:val="18"/>
          <w:szCs w:val="18"/>
          <w:color w:val="auto"/>
        </w:rPr>
        <w:t>The increase in CX-2009 expenses was primarily driven by approximately $4.0 million increase in total expenses, of which $3.0 million was related to clinical trial studies and laboratory contract services due to increase in research activities; partially offset by a $3.0 million licensing payment to ImmunoGen incurred in the first quarter of 2020.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4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6"/>
                <w:szCs w:val="16"/>
                <w:color w:val="auto"/>
              </w:rPr>
            </w:pPr>
          </w:p>
        </w:tc>
      </w:tr>
      <w:tr>
        <w:trPr>
          <w:trHeight w:val="195"/>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1"/>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11,085</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8,634</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29,704</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26,886</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FF0FC"/>
          </w:tcPr>
          <w:p>
            <w:pPr>
              <w:spacing w:after="0"/>
              <w:rPr>
                <w:sz w:val="22"/>
                <w:szCs w:val="22"/>
                <w:color w:val="auto"/>
              </w:rPr>
            </w:pPr>
          </w:p>
        </w:tc>
      </w:tr>
    </w:tbl>
    <w:p>
      <w:pPr>
        <w:spacing w:after="0" w:line="2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General and administrative expenses increased by $2.5 million during the three months ended September 30, 2021 compared to the corresponding period in 2020. The increase was attributable to an increase of $1.3 million in personnel related and recruiting expenses as well as an increase of $1.2 million in in professional services.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27" w:name="page28"/>
    <w:bookmarkEnd w:id="27"/>
    <w:p>
      <w:pPr>
        <w:ind w:right="140"/>
        <w:spacing w:after="0" w:line="277" w:lineRule="auto"/>
        <w:rPr>
          <w:sz w:val="20"/>
          <w:szCs w:val="20"/>
          <w:color w:val="auto"/>
        </w:rPr>
      </w:pPr>
      <w:r>
        <w:rPr>
          <w:rFonts w:ascii="Arial" w:cs="Arial" w:eastAsia="Arial" w:hAnsi="Arial"/>
          <w:sz w:val="18"/>
          <w:szCs w:val="18"/>
          <w:color w:val="auto"/>
        </w:rPr>
        <w:t>General and administrative expenses increased by $2.8 million during the nine months ended September 30, 2021 compared to the corresponding period in 2020. The increase was attributable to an increase of $2.2 million in personnel related and recruiting expenses as well as an increase of $0.6 million in in professional services.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45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45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r>
      <w:tr>
        <w:trPr>
          <w:trHeight w:val="195"/>
        </w:trPr>
        <w:tc>
          <w:tcPr>
            <w:tcW w:w="4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1"/>
        </w:trPr>
        <w:tc>
          <w:tcPr>
            <w:tcW w:w="4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FF0FC"/>
          </w:tcPr>
          <w:p>
            <w:pPr>
              <w:jc w:val="right"/>
              <w:ind w:right="457"/>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(130 )</w:t>
            </w:r>
          </w:p>
        </w:tc>
        <w:tc>
          <w:tcPr>
            <w:tcW w:w="620" w:type="dxa"/>
            <w:vAlign w:val="bottom"/>
            <w:shd w:val="clear" w:color="auto" w:fill="CFF0FC"/>
          </w:tcPr>
          <w:p>
            <w:pPr>
              <w:jc w:val="right"/>
              <w:ind w:right="437"/>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182</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(1,548 )</w:t>
            </w:r>
          </w:p>
        </w:tc>
      </w:tr>
      <w:tr>
        <w:trPr>
          <w:trHeight w:val="248"/>
        </w:trPr>
        <w:tc>
          <w:tcPr>
            <w:tcW w:w="452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640" w:type="dxa"/>
            <w:vAlign w:val="bottom"/>
          </w:tcPr>
          <w:p>
            <w:pPr>
              <w:spacing w:after="0"/>
              <w:rPr>
                <w:sz w:val="21"/>
                <w:szCs w:val="21"/>
                <w:color w:val="auto"/>
              </w:rPr>
            </w:pPr>
          </w:p>
        </w:tc>
        <w:tc>
          <w:tcPr>
            <w:tcW w:w="520" w:type="dxa"/>
            <w:vAlign w:val="bottom"/>
            <w:gridSpan w:val="2"/>
          </w:tcPr>
          <w:p>
            <w:pPr>
              <w:jc w:val="right"/>
              <w:ind w:right="88"/>
              <w:spacing w:after="0"/>
              <w:rPr>
                <w:sz w:val="20"/>
                <w:szCs w:val="20"/>
                <w:color w:val="auto"/>
              </w:rPr>
            </w:pPr>
            <w:r>
              <w:rPr>
                <w:rFonts w:ascii="Arial" w:cs="Arial" w:eastAsia="Arial" w:hAnsi="Arial"/>
                <w:sz w:val="18"/>
                <w:szCs w:val="18"/>
                <w:color w:val="auto"/>
                <w:w w:val="91"/>
              </w:rPr>
              <w:t>(13 )</w:t>
            </w:r>
          </w:p>
        </w:tc>
        <w:tc>
          <w:tcPr>
            <w:tcW w:w="2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2"/>
          </w:tcPr>
          <w:p>
            <w:pPr>
              <w:jc w:val="right"/>
              <w:ind w:right="68"/>
              <w:spacing w:after="0"/>
              <w:rPr>
                <w:sz w:val="20"/>
                <w:szCs w:val="20"/>
                <w:color w:val="auto"/>
              </w:rPr>
            </w:pPr>
            <w:r>
              <w:rPr>
                <w:rFonts w:ascii="Arial" w:cs="Arial" w:eastAsia="Arial" w:hAnsi="Arial"/>
                <w:sz w:val="18"/>
                <w:szCs w:val="18"/>
                <w:color w:val="auto"/>
                <w:w w:val="91"/>
              </w:rPr>
              <w:t>(90 )</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(91 )</w:t>
            </w:r>
          </w:p>
        </w:tc>
      </w:tr>
      <w:tr>
        <w:trPr>
          <w:trHeight w:val="20"/>
        </w:trPr>
        <w:tc>
          <w:tcPr>
            <w:tcW w:w="4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8"/>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interest and other income</w:t>
            </w:r>
          </w:p>
        </w:tc>
        <w:tc>
          <w:tcPr>
            <w:tcW w:w="640" w:type="dxa"/>
            <w:vAlign w:val="bottom"/>
            <w:shd w:val="clear" w:color="auto" w:fill="CFF0FC"/>
          </w:tcPr>
          <w:p>
            <w:pPr>
              <w:jc w:val="right"/>
              <w:ind w:right="457"/>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23"/>
                <w:szCs w:val="23"/>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(128 )</w:t>
            </w:r>
          </w:p>
        </w:tc>
        <w:tc>
          <w:tcPr>
            <w:tcW w:w="620" w:type="dxa"/>
            <w:vAlign w:val="bottom"/>
            <w:shd w:val="clear" w:color="auto" w:fill="CFF0FC"/>
          </w:tcPr>
          <w:p>
            <w:pPr>
              <w:jc w:val="right"/>
              <w:ind w:right="437"/>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20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(1,639 )</w:t>
            </w: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-24765</wp:posOffset>
            </wp:positionV>
            <wp:extent cx="1447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-7620</wp:posOffset>
            </wp:positionV>
            <wp:extent cx="1447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-24765</wp:posOffset>
            </wp:positionV>
            <wp:extent cx="1447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-7620</wp:posOffset>
            </wp:positionV>
            <wp:extent cx="1447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-24765</wp:posOffset>
            </wp:positionV>
            <wp:extent cx="1276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-7620</wp:posOffset>
            </wp:positionV>
            <wp:extent cx="1276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-24765</wp:posOffset>
            </wp:positionV>
            <wp:extent cx="1276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-7620</wp:posOffset>
            </wp:positionV>
            <wp:extent cx="1276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-24765</wp:posOffset>
            </wp:positionV>
            <wp:extent cx="1276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-7620</wp:posOffset>
            </wp:positionV>
            <wp:extent cx="1276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63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29" w:lineRule="exact"/>
        <w:rPr>
          <w:sz w:val="20"/>
          <w:szCs w:val="20"/>
          <w:color w:val="auto"/>
        </w:rPr>
      </w:pPr>
    </w:p>
    <w:p>
      <w:pPr>
        <w:ind w:right="460"/>
        <w:spacing w:after="0" w:line="290" w:lineRule="auto"/>
        <w:rPr>
          <w:sz w:val="20"/>
          <w:szCs w:val="20"/>
          <w:color w:val="auto"/>
        </w:rPr>
      </w:pPr>
      <w:r>
        <w:rPr>
          <w:rFonts w:ascii="Arial" w:cs="Arial" w:eastAsia="Arial" w:hAnsi="Arial"/>
          <w:sz w:val="18"/>
          <w:szCs w:val="18"/>
          <w:color w:val="auto"/>
        </w:rPr>
        <w:t>Interest income decreased by $0.1 million and $1.5 million, respectively, during the three and nine months ended September 30, 2021 compared to the corresponding periods in 2020, primarily driven by lower interest rates in 2021.</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55" w:lineRule="exact"/>
        <w:rPr>
          <w:sz w:val="20"/>
          <w:szCs w:val="20"/>
          <w:color w:val="auto"/>
        </w:rPr>
      </w:pPr>
    </w:p>
    <w:p>
      <w:pPr>
        <w:ind w:right="160"/>
        <w:spacing w:after="0" w:line="290" w:lineRule="auto"/>
        <w:rPr>
          <w:sz w:val="20"/>
          <w:szCs w:val="20"/>
          <w:color w:val="auto"/>
        </w:rPr>
      </w:pPr>
      <w:r>
        <w:rPr>
          <w:rFonts w:ascii="Arial" w:cs="Arial" w:eastAsia="Arial" w:hAnsi="Arial"/>
          <w:sz w:val="18"/>
          <w:szCs w:val="18"/>
          <w:color w:val="auto"/>
        </w:rPr>
        <w:t>There was no income tax expense for the three months ended September 30, 2021 and 2020, respectively, as we were in a taxable loss position and we had minimal changes in our unrealized gain on available for sale debt securities.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Income tax benefit decreased by $13.9 million during the nine months ended September 30, 2021, compared to the corresponding period in 2020. The income tax benefit of $13.9 million for the nine months ended September 30, 2020 was generated due to the recognition of net operating loss carrybacks under the CARES Act, which generated a refund of taxes paid for 2018.</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Expenditures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9" w:lineRule="exact"/>
        <w:rPr>
          <w:sz w:val="20"/>
          <w:szCs w:val="20"/>
          <w:color w:val="auto"/>
        </w:rPr>
      </w:pPr>
    </w:p>
    <w:p>
      <w:pPr>
        <w:ind w:right="100"/>
        <w:spacing w:after="0" w:line="317" w:lineRule="auto"/>
        <w:rPr>
          <w:sz w:val="20"/>
          <w:szCs w:val="20"/>
          <w:color w:val="auto"/>
        </w:rPr>
      </w:pPr>
      <w:r>
        <w:rPr>
          <w:rFonts w:ascii="Arial" w:cs="Arial" w:eastAsia="Arial" w:hAnsi="Arial"/>
          <w:sz w:val="16"/>
          <w:szCs w:val="16"/>
          <w:color w:val="auto"/>
        </w:rPr>
        <w:t>As of September 30, 2021, we had cash, cash equivalents and investments of $336.3 million and an accumulated deficit of $507.5 million, compared to cash, cash equivalents and investments of $316.1 million and an accumulated deficit of $450.1 million as of December 31, 2020. To date, we have financed our operations primarily through sales of our common stock in conjunction with the IPO and subsequent stock offerings and through our at-the-market offering, sales of our convertible preferred securities prior to our IPO and payments received under our collaboration agreements.</w:t>
      </w:r>
    </w:p>
    <w:p>
      <w:pPr>
        <w:spacing w:after="0" w:line="155"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Based upon our current operating plan, we expect our existing capital resources will be sufficient to fund operations for a period of at least twelve months from the issuance date of the financial statements included in this report.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 candidates, including praluzatamab ravtansine (CX-2009), and CX-2029, and pacmilimab (CX-072) are highly uncertain, are subject to substantial risks and many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if they are successful, that the terms and conditions of such financing will be favorable to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Summary Statement of Cash Flows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5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jc w:val="center"/>
              <w:ind w:left="400"/>
              <w:spacing w:after="0"/>
              <w:rPr>
                <w:sz w:val="20"/>
                <w:szCs w:val="20"/>
                <w:color w:val="auto"/>
              </w:rPr>
            </w:pPr>
            <w:r>
              <w:rPr>
                <w:rFonts w:ascii="Arial" w:cs="Arial" w:eastAsia="Arial" w:hAnsi="Arial"/>
                <w:sz w:val="14"/>
                <w:szCs w:val="14"/>
                <w:b w:val="1"/>
                <w:bCs w:val="1"/>
                <w:color w:val="auto"/>
                <w:w w:val="93"/>
              </w:rPr>
              <w:t>Nine Months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4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left="380"/>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4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6"/>
                <w:szCs w:val="16"/>
                <w:color w:val="auto"/>
              </w:rPr>
            </w:pPr>
          </w:p>
        </w:tc>
      </w:tr>
      <w:tr>
        <w:trPr>
          <w:trHeight w:val="195"/>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jc w:val="center"/>
              <w:ind w:left="400"/>
              <w:spacing w:after="0"/>
              <w:rPr>
                <w:sz w:val="20"/>
                <w:szCs w:val="20"/>
                <w:color w:val="auto"/>
              </w:rPr>
            </w:pPr>
            <w:r>
              <w:rPr>
                <w:rFonts w:ascii="Arial" w:cs="Arial" w:eastAsia="Arial" w:hAnsi="Arial"/>
                <w:sz w:val="14"/>
                <w:szCs w:val="14"/>
                <w:b w:val="1"/>
                <w:bCs w:val="1"/>
                <w:color w:val="auto"/>
                <w:w w:val="89"/>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1"/>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(87,839 )</w:t>
            </w:r>
          </w:p>
        </w:tc>
        <w:tc>
          <w:tcPr>
            <w:tcW w:w="500" w:type="dxa"/>
            <w:vAlign w:val="bottom"/>
            <w:shd w:val="clear" w:color="auto" w:fill="CFF0FC"/>
          </w:tcPr>
          <w:p>
            <w:pPr>
              <w:jc w:val="right"/>
              <w:ind w:right="29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22,686</w:t>
            </w:r>
          </w:p>
        </w:tc>
        <w:tc>
          <w:tcPr>
            <w:tcW w:w="100" w:type="dxa"/>
            <w:vAlign w:val="bottom"/>
            <w:shd w:val="clear" w:color="auto" w:fill="CFF0FC"/>
          </w:tcPr>
          <w:p>
            <w:pPr>
              <w:spacing w:after="0"/>
              <w:rPr>
                <w:sz w:val="22"/>
                <w:szCs w:val="22"/>
                <w:color w:val="auto"/>
              </w:rPr>
            </w:pPr>
          </w:p>
        </w:tc>
      </w:tr>
      <w:tr>
        <w:trPr>
          <w:trHeight w:val="248"/>
        </w:trPr>
        <w:tc>
          <w:tcPr>
            <w:tcW w:w="496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22,734</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(38,173 )</w:t>
            </w:r>
          </w:p>
        </w:tc>
      </w:tr>
      <w:tr>
        <w:trPr>
          <w:trHeight w:val="255"/>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109,530</w:t>
            </w:r>
          </w:p>
        </w:tc>
        <w:tc>
          <w:tcPr>
            <w:tcW w:w="20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8"/>
        </w:trPr>
        <w:tc>
          <w:tcPr>
            <w:tcW w:w="49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44,425</w:t>
            </w:r>
          </w:p>
        </w:tc>
        <w:tc>
          <w:tcPr>
            <w:tcW w:w="200" w:type="dxa"/>
            <w:vAlign w:val="bottom"/>
          </w:tcPr>
          <w:p>
            <w:pPr>
              <w:spacing w:after="0"/>
              <w:rPr>
                <w:sz w:val="21"/>
                <w:szCs w:val="21"/>
                <w:color w:val="auto"/>
              </w:rPr>
            </w:pP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(11,615 )</w:t>
            </w:r>
          </w:p>
        </w:tc>
      </w:tr>
      <w:tr>
        <w:trPr>
          <w:trHeight w:val="20"/>
        </w:trPr>
        <w:tc>
          <w:tcPr>
            <w:tcW w:w="4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-192405</wp:posOffset>
            </wp:positionV>
            <wp:extent cx="13652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-192405</wp:posOffset>
            </wp:positionV>
            <wp:extent cx="6794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945" cy="571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29"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During the nine months ended September 30, 2021, cash used in operating activities was $87.8 million, which consisted of a net loss of $57.4 million and a net decrease of $44.7 million relating to the change of our net operating assets and liabilities, offset by non-cash charges of $14.3 million. The non-cash charges primarily consisted of $9.6 million in stock-based compensation, $2.3 million in non-cash lease expense, $2.1 million in depreciation and amortization and $0.3 million in amortization of premium on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 net decrease of $47.3 million in deferred revenue resulting from the continued recognition of deferred revenue from existing customers;</w:t>
      </w:r>
    </w:p>
    <w:p>
      <w:pPr>
        <w:spacing w:after="0" w:line="152" w:lineRule="exact"/>
        <w:rPr>
          <w:sz w:val="20"/>
          <w:szCs w:val="20"/>
          <w:color w:val="auto"/>
        </w:rPr>
      </w:pPr>
    </w:p>
    <w:p>
      <w:pPr>
        <w:ind w:left="960" w:right="160"/>
        <w:spacing w:after="0" w:line="290" w:lineRule="auto"/>
        <w:rPr>
          <w:sz w:val="20"/>
          <w:szCs w:val="20"/>
          <w:color w:val="auto"/>
        </w:rPr>
      </w:pPr>
      <w:r>
        <w:rPr>
          <w:rFonts w:ascii="Arial" w:cs="Arial" w:eastAsia="Arial" w:hAnsi="Arial"/>
          <w:sz w:val="18"/>
          <w:szCs w:val="18"/>
          <w:color w:val="auto"/>
        </w:rPr>
        <w:t>a decrease of $1.9 million in accounts payable, accrued and other long-term liabilities primarily due to timing of payments and an increase in research and clinical expenses; and</w:t>
      </w:r>
    </w:p>
    <w:p>
      <w:pPr>
        <w:spacing w:after="0" w:line="63" w:lineRule="exact"/>
        <w:rPr>
          <w:sz w:val="20"/>
          <w:szCs w:val="20"/>
          <w:color w:val="auto"/>
        </w:rPr>
      </w:pPr>
    </w:p>
    <w:p>
      <w:pPr>
        <w:ind w:left="960" w:right="80"/>
        <w:spacing w:after="0" w:line="290" w:lineRule="auto"/>
        <w:rPr>
          <w:sz w:val="20"/>
          <w:szCs w:val="20"/>
          <w:color w:val="auto"/>
        </w:rPr>
      </w:pPr>
      <w:r>
        <w:rPr>
          <w:rFonts w:ascii="Arial" w:cs="Arial" w:eastAsia="Arial" w:hAnsi="Arial"/>
          <w:sz w:val="18"/>
          <w:szCs w:val="18"/>
          <w:color w:val="auto"/>
        </w:rPr>
        <w:t>an increase of $4.5 million in cash flows from other assets, prepaid and other current assets primarily due to reduced advance payments to our third party manufacturing vendors and timing of payments.</w:t>
      </w:r>
    </w:p>
    <w:p>
      <w:pPr>
        <w:spacing w:after="0" w:line="171" w:lineRule="exact"/>
        <w:rPr>
          <w:sz w:val="20"/>
          <w:szCs w:val="20"/>
          <w:color w:val="auto"/>
        </w:rPr>
      </w:pPr>
    </w:p>
    <w:p>
      <w:pPr>
        <w:jc w:val="both"/>
        <w:ind w:right="60"/>
        <w:spacing w:after="0" w:line="294" w:lineRule="auto"/>
        <w:rPr>
          <w:sz w:val="20"/>
          <w:szCs w:val="20"/>
          <w:color w:val="auto"/>
        </w:rPr>
      </w:pPr>
      <w:r>
        <w:rPr>
          <w:rFonts w:ascii="Arial" w:cs="Arial" w:eastAsia="Arial" w:hAnsi="Arial"/>
          <w:sz w:val="17"/>
          <w:szCs w:val="17"/>
          <w:color w:val="auto"/>
        </w:rPr>
        <w:t>During the nine months ended September 30, 2020, cash provided by operating activities was $22.7 million, which consisted of a net loss of $18.2 million, adjusted by non-cash charges of $15.1 million and a net increase of $25.8 million relating to the change of our net operating assets and liabilities. The non-cash charges primarily consisted of $11.4 million in stock-based compensation, $2.1 million in non-cash lease expense and $1.9 million in depreciation and amortization, which amounts were partially offset by $0.3 million in accretion of discounts on our short-term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29" w:lineRule="exact"/>
        <w:rPr>
          <w:sz w:val="20"/>
          <w:szCs w:val="20"/>
          <w:color w:val="auto"/>
        </w:rPr>
      </w:pPr>
    </w:p>
    <w:p>
      <w:pPr>
        <w:ind w:left="960" w:right="20"/>
        <w:spacing w:after="0" w:line="294" w:lineRule="auto"/>
        <w:rPr>
          <w:sz w:val="20"/>
          <w:szCs w:val="20"/>
          <w:color w:val="auto"/>
        </w:rPr>
      </w:pPr>
      <w:r>
        <w:rPr>
          <w:rFonts w:ascii="Arial" w:cs="Arial" w:eastAsia="Arial" w:hAnsi="Arial"/>
          <w:sz w:val="17"/>
          <w:szCs w:val="17"/>
          <w:color w:val="auto"/>
        </w:rPr>
        <w:t>a net increase of $46.8 million in deferred revenue resulting primarily from the $80.0 million upfront payment from Astellas as well as the $40.0 million milestone payment from AbbVie, partially offset by the continued recognition of deferred revenue from existing and new customers, including the $26.6 million revenue recognized in the first quarter of 2020, which reflected the percentage completed to-date on the project under the CD71 Agreement when the $40.0 million milestone was earned in the first quarter of 2020;</w:t>
      </w:r>
    </w:p>
    <w:p>
      <w:pPr>
        <w:spacing w:after="0" w:line="62" w:lineRule="exact"/>
        <w:rPr>
          <w:sz w:val="20"/>
          <w:szCs w:val="20"/>
          <w:color w:val="auto"/>
        </w:rPr>
      </w:pPr>
    </w:p>
    <w:p>
      <w:pPr>
        <w:ind w:left="960"/>
        <w:spacing w:after="0" w:line="321" w:lineRule="auto"/>
        <w:rPr>
          <w:sz w:val="20"/>
          <w:szCs w:val="20"/>
          <w:color w:val="auto"/>
        </w:rPr>
      </w:pPr>
      <w:r>
        <w:rPr>
          <w:rFonts w:ascii="Arial" w:cs="Arial" w:eastAsia="Arial" w:hAnsi="Arial"/>
          <w:sz w:val="17"/>
          <w:szCs w:val="17"/>
          <w:color w:val="auto"/>
        </w:rPr>
        <w:t>a decrease of $11.5 million in cash flows from prepaid expenses and other current assets, which included a $13.1 million income tax receivable resulting from a carryback of net operating loss incurred in 2019 to the preceding years as permitted by the CARES Act;</w:t>
      </w:r>
    </w:p>
    <w:p>
      <w:pPr>
        <w:spacing w:after="0" w:line="4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decrease of $9.3 million in accrued liabilities primarily due to payment of $7.5 million for the ImmunoGen 2019 License;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nine months ended September 30, 2021, cash provided by investing activities was $22.7 million, which consisted of $124 million in proceeds received upon the maturity of short-term marketable securities, partially offset by $99.9 million used in the purchase of long-term investments and $1.4 million of capital expenditures used to purchase property and equipment.</w:t>
      </w:r>
    </w:p>
    <w:p>
      <w:pPr>
        <w:spacing w:after="0" w:line="1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nine months ended September 30, 2020, cash used in investing activities was $38.2 million, which consisted of $189.0 million used in the purchase of short-term investments and $1.9 million of capital expenditures used to purchase property and equipment, partially offset by $152.7 million in proceeds received upon the maturity of marketable securities.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10"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29" w:lineRule="exact"/>
        <w:rPr>
          <w:sz w:val="20"/>
          <w:szCs w:val="20"/>
          <w:color w:val="auto"/>
        </w:rPr>
      </w:pPr>
    </w:p>
    <w:p>
      <w:pPr>
        <w:ind w:right="300"/>
        <w:spacing w:after="0" w:line="356" w:lineRule="auto"/>
        <w:rPr>
          <w:sz w:val="20"/>
          <w:szCs w:val="20"/>
          <w:color w:val="auto"/>
        </w:rPr>
      </w:pPr>
      <w:r>
        <w:rPr>
          <w:rFonts w:ascii="Arial" w:cs="Arial" w:eastAsia="Arial" w:hAnsi="Arial"/>
          <w:sz w:val="16"/>
          <w:szCs w:val="16"/>
          <w:color w:val="auto"/>
        </w:rPr>
        <w:t>During the nine months ended September 30, 2021, cash provided by financing activities consisted of $107.7 million of net proceeds from the follow-on public offering and $1.8 million of proceeds from the exercise of stock options and employee stock purchases under the employee stock purchase plan.</w:t>
      </w:r>
    </w:p>
    <w:p>
      <w:pPr>
        <w:spacing w:after="0" w:line="125"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During the nine months ended September 30, 2020, cash provided by financing activities primarily consisted of proceeds from the exercise of stock options and employee stock purchases under the employee stock purchase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59" w:lineRule="exact"/>
        <w:rPr>
          <w:sz w:val="20"/>
          <w:szCs w:val="20"/>
          <w:color w:val="auto"/>
        </w:rPr>
      </w:pPr>
    </w:p>
    <w:p>
      <w:pPr>
        <w:ind w:right="200"/>
        <w:spacing w:after="0" w:line="290" w:lineRule="auto"/>
        <w:rPr>
          <w:sz w:val="20"/>
          <w:szCs w:val="20"/>
          <w:color w:val="auto"/>
        </w:rPr>
      </w:pPr>
      <w:r>
        <w:rPr>
          <w:rFonts w:ascii="Arial" w:cs="Arial" w:eastAsia="Arial" w:hAnsi="Arial"/>
          <w:sz w:val="18"/>
          <w:szCs w:val="18"/>
          <w:color w:val="auto"/>
        </w:rPr>
        <w:t>During the three and nine months ended September 30, 2021, there were no material changes in contractual obligations from the amounts disclosed in our Annual Report on Form 10-K for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have one primary business activity and operate as one reportable segment.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33"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 We had cash, cash equivalents and investments of $336.3 million as of September 30, 2021 and cash, cash equivalents and investments of $316.1 million as of December 31, 2020, which consists of bank deposits, money market funds and U.S. government bonds. Such interest-bearing instruments carry a degree of interest rate risk; however, historical fluctuations of interest income have not been significant.</w:t>
      </w:r>
    </w:p>
    <w:p>
      <w:pPr>
        <w:spacing w:after="0" w:line="226" w:lineRule="exact"/>
        <w:rPr>
          <w:sz w:val="20"/>
          <w:szCs w:val="20"/>
          <w:color w:val="auto"/>
        </w:rPr>
      </w:pPr>
    </w:p>
    <w:p>
      <w:pPr>
        <w:ind w:right="260"/>
        <w:spacing w:after="0" w:line="327" w:lineRule="auto"/>
        <w:rPr>
          <w:sz w:val="20"/>
          <w:szCs w:val="20"/>
          <w:color w:val="auto"/>
        </w:rPr>
      </w:pPr>
      <w:r>
        <w:rPr>
          <w:rFonts w:ascii="Arial" w:cs="Arial" w:eastAsia="Arial" w:hAnsi="Arial"/>
          <w:sz w:val="16"/>
          <w:szCs w:val="16"/>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September 30, 2021, a hypothetical 100 basis point change in interest rates would not have material effect in the fair value of the portfolio.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3"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 xml:space="preserve">Our management, with the participation of our Chief Executive Officer and Chief Financial Officer, has evaluated the effectiveness of our disclosure controls and procedures as of September 30, 2021, the end of the period covered by this Quarterly Report on Form 10-Q. Management’s assessment of internal control over financial reporting was conducted using the criteria defined in the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Based upon such evaluation, our Chief Executive Officer and Chief Financial Officer have concluded that our disclosure controls and procedures were effective at the reasonable assurance level as of such date.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three months ended September 30, 2021 that has materially affected, or is reasonably likely to materially affect, our internal control over financial reporting.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9" w:right="3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3" w:lineRule="exact"/>
        <w:rPr>
          <w:sz w:val="20"/>
          <w:szCs w:val="20"/>
          <w:color w:val="auto"/>
        </w:rPr>
      </w:pPr>
    </w:p>
    <w:p>
      <w:pPr>
        <w:ind w:right="180"/>
        <w:spacing w:after="0" w:line="290" w:lineRule="auto"/>
        <w:rPr>
          <w:sz w:val="20"/>
          <w:szCs w:val="20"/>
          <w:color w:val="auto"/>
        </w:rPr>
      </w:pPr>
      <w:r>
        <w:rPr>
          <w:rFonts w:ascii="Arial" w:cs="Arial" w:eastAsia="Arial" w:hAnsi="Arial"/>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We filed an Answer, Affirmative Defenses, and Counterclaims on May 26, 2020. Vytacera Bio, LLC filed its Answer to CytomX Therapeutics Inc.’s Counterclaims on June 5, 2020. On October 13, 2021, the Court granted the parties’ stipulation to stay all pending case deadlines except for certain matters. Thus, fact and expert discovery are presently stayed.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33"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spacing w:after="0" w:line="62" w:lineRule="exact"/>
        <w:rPr>
          <w:sz w:val="20"/>
          <w:szCs w:val="20"/>
          <w:color w:val="auto"/>
        </w:rPr>
      </w:pPr>
    </w:p>
    <w:p>
      <w:pPr>
        <w:ind w:left="960" w:right="540"/>
        <w:spacing w:after="0" w:line="290" w:lineRule="auto"/>
        <w:rPr>
          <w:sz w:val="20"/>
          <w:szCs w:val="20"/>
          <w:color w:val="auto"/>
        </w:rPr>
      </w:pPr>
      <w:r>
        <w:rPr>
          <w:rFonts w:ascii="Arial" w:cs="Arial" w:eastAsia="Arial" w:hAnsi="Arial"/>
          <w:sz w:val="18"/>
          <w:szCs w:val="18"/>
          <w:color w:val="auto"/>
        </w:rPr>
        <w:t>The COVID-19 pandemic or any future pandemic could adversely impact our business, including our research, clinical trials, including clinical trial site initiation and patient enrollment, and financial condition.</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We are a clinical-stage biopharmaceutical company with a limited operating history and have not generated any revenue from product sales.</w:t>
      </w:r>
    </w:p>
    <w:p>
      <w:pPr>
        <w:spacing w:after="0" w:line="152" w:lineRule="exact"/>
        <w:rPr>
          <w:sz w:val="20"/>
          <w:szCs w:val="20"/>
          <w:color w:val="auto"/>
        </w:rPr>
      </w:pPr>
    </w:p>
    <w:p>
      <w:pPr>
        <w:ind w:left="960" w:right="200"/>
        <w:spacing w:after="0" w:line="290" w:lineRule="auto"/>
        <w:rPr>
          <w:sz w:val="20"/>
          <w:szCs w:val="20"/>
          <w:color w:val="auto"/>
        </w:rPr>
      </w:pPr>
      <w:r>
        <w:rPr>
          <w:rFonts w:ascii="Arial" w:cs="Arial" w:eastAsia="Arial" w:hAnsi="Arial"/>
          <w:sz w:val="18"/>
          <w:szCs w:val="18"/>
          <w:color w:val="auto"/>
        </w:rPr>
        <w:t>We expect that we will need to raise substantial additional funds to advance development of our product candidates and we cannot guarantee that this additional funding will be available on acceptable terms or at all.</w:t>
      </w:r>
    </w:p>
    <w:p>
      <w:pPr>
        <w:spacing w:after="0" w:line="63" w:lineRule="exact"/>
        <w:rPr>
          <w:sz w:val="20"/>
          <w:szCs w:val="20"/>
          <w:color w:val="auto"/>
        </w:rPr>
      </w:pPr>
    </w:p>
    <w:p>
      <w:pPr>
        <w:ind w:left="960" w:right="140"/>
        <w:spacing w:after="0" w:line="290" w:lineRule="auto"/>
        <w:rPr>
          <w:sz w:val="20"/>
          <w:szCs w:val="20"/>
          <w:color w:val="auto"/>
        </w:rPr>
      </w:pPr>
      <w:r>
        <w:rPr>
          <w:rFonts w:ascii="Arial" w:cs="Arial" w:eastAsia="Arial" w:hAnsi="Arial"/>
          <w:sz w:val="18"/>
          <w:szCs w:val="18"/>
          <w:color w:val="auto"/>
        </w:rPr>
        <w:t>Clinical development involves a lengthy and expensive process with an uncertain outcome, and results of earlier studies and trials may not be predictive of future trial results.</w:t>
      </w:r>
    </w:p>
    <w:p>
      <w:pPr>
        <w:spacing w:after="0" w:line="63" w:lineRule="exact"/>
        <w:rPr>
          <w:sz w:val="20"/>
          <w:szCs w:val="20"/>
          <w:color w:val="auto"/>
        </w:rPr>
      </w:pPr>
    </w:p>
    <w:p>
      <w:pPr>
        <w:ind w:left="960" w:right="180"/>
        <w:spacing w:after="0" w:line="290" w:lineRule="auto"/>
        <w:rPr>
          <w:sz w:val="20"/>
          <w:szCs w:val="20"/>
          <w:color w:val="auto"/>
        </w:rPr>
      </w:pPr>
      <w:r>
        <w:rPr>
          <w:rFonts w:ascii="Arial" w:cs="Arial" w:eastAsia="Arial" w:hAnsi="Arial"/>
          <w:sz w:val="18"/>
          <w:szCs w:val="18"/>
          <w:color w:val="auto"/>
        </w:rPr>
        <w:t>Our product candidates are in early stages of development and may fail or suffer delays that materially and adversely affect their commercial viability.</w:t>
      </w:r>
    </w:p>
    <w:p>
      <w:pPr>
        <w:spacing w:after="0" w:line="63" w:lineRule="exact"/>
        <w:rPr>
          <w:sz w:val="20"/>
          <w:szCs w:val="20"/>
          <w:color w:val="auto"/>
        </w:rPr>
      </w:pPr>
    </w:p>
    <w:p>
      <w:pPr>
        <w:ind w:left="960" w:right="300"/>
        <w:spacing w:after="0" w:line="356" w:lineRule="auto"/>
        <w:rPr>
          <w:sz w:val="20"/>
          <w:szCs w:val="20"/>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 w:lineRule="exact"/>
        <w:rPr>
          <w:sz w:val="20"/>
          <w:szCs w:val="20"/>
          <w:color w:val="auto"/>
        </w:rPr>
      </w:pPr>
    </w:p>
    <w:p>
      <w:pPr>
        <w:ind w:left="960" w:right="80"/>
        <w:spacing w:after="0" w:line="277" w:lineRule="auto"/>
        <w:rPr>
          <w:sz w:val="20"/>
          <w:szCs w:val="20"/>
          <w:color w:val="auto"/>
        </w:rPr>
      </w:pPr>
      <w:r>
        <w:rPr>
          <w:rFonts w:ascii="Arial" w:cs="Arial" w:eastAsia="Arial" w:hAnsi="Arial"/>
          <w:sz w:val="18"/>
          <w:szCs w:val="18"/>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5" w:lineRule="exact"/>
        <w:rPr>
          <w:sz w:val="20"/>
          <w:szCs w:val="20"/>
          <w:color w:val="auto"/>
        </w:rPr>
      </w:pPr>
    </w:p>
    <w:p>
      <w:pPr>
        <w:ind w:left="960" w:right="380"/>
        <w:spacing w:after="0" w:line="290" w:lineRule="auto"/>
        <w:rPr>
          <w:sz w:val="20"/>
          <w:szCs w:val="20"/>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63" w:lineRule="exact"/>
        <w:rPr>
          <w:sz w:val="20"/>
          <w:szCs w:val="20"/>
          <w:color w:val="auto"/>
        </w:rPr>
      </w:pPr>
    </w:p>
    <w:p>
      <w:pPr>
        <w:ind w:left="960" w:right="260"/>
        <w:spacing w:after="0" w:line="290" w:lineRule="auto"/>
        <w:rPr>
          <w:sz w:val="20"/>
          <w:szCs w:val="20"/>
          <w:color w:val="auto"/>
        </w:rPr>
      </w:pPr>
      <w:r>
        <w:rPr>
          <w:rFonts w:ascii="Arial" w:cs="Arial" w:eastAsia="Arial" w:hAnsi="Arial"/>
          <w:sz w:val="18"/>
          <w:szCs w:val="18"/>
          <w:color w:val="auto"/>
        </w:rPr>
        <w:t>Our approach to the discovery and development of our therapeutic treatments is based on novel technologies that are unproven and may not result in marketable products.</w:t>
      </w:r>
    </w:p>
    <w:p>
      <w:pPr>
        <w:spacing w:after="0" w:line="63" w:lineRule="exact"/>
        <w:rPr>
          <w:sz w:val="20"/>
          <w:szCs w:val="20"/>
          <w:color w:val="auto"/>
        </w:rPr>
      </w:pPr>
    </w:p>
    <w:p>
      <w:pPr>
        <w:ind w:left="960" w:right="40"/>
        <w:spacing w:after="0" w:line="290" w:lineRule="auto"/>
        <w:rPr>
          <w:sz w:val="20"/>
          <w:szCs w:val="20"/>
          <w:color w:val="auto"/>
        </w:rPr>
      </w:pPr>
      <w:r>
        <w:rPr>
          <w:rFonts w:ascii="Arial" w:cs="Arial" w:eastAsia="Arial" w:hAnsi="Arial"/>
          <w:sz w:val="18"/>
          <w:szCs w:val="18"/>
          <w:color w:val="auto"/>
        </w:rPr>
        <w:t>The market may not be receptive to our product candidates based on a novel therapeutic modality, and we may not generate any future revenue from the sale or licensing of product candidates.</w:t>
      </w:r>
    </w:p>
    <w:p>
      <w:pPr>
        <w:spacing w:after="0" w:line="63" w:lineRule="exact"/>
        <w:rPr>
          <w:sz w:val="20"/>
          <w:szCs w:val="20"/>
          <w:color w:val="auto"/>
        </w:rPr>
      </w:pPr>
    </w:p>
    <w:p>
      <w:pPr>
        <w:jc w:val="both"/>
        <w:ind w:left="960" w:right="160"/>
        <w:spacing w:after="0" w:line="300" w:lineRule="auto"/>
        <w:rPr>
          <w:sz w:val="20"/>
          <w:szCs w:val="20"/>
          <w:color w:val="auto"/>
        </w:rPr>
      </w:pPr>
      <w:r>
        <w:rPr>
          <w:rFonts w:ascii="Arial" w:cs="Arial" w:eastAsia="Arial" w:hAnsi="Arial"/>
          <w:sz w:val="17"/>
          <w:szCs w:val="17"/>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9" w:lineRule="exact"/>
        <w:rPr>
          <w:sz w:val="20"/>
          <w:szCs w:val="20"/>
          <w:color w:val="auto"/>
        </w:rPr>
      </w:pPr>
    </w:p>
    <w:p>
      <w:pPr>
        <w:ind w:left="960" w:right="1340"/>
        <w:spacing w:after="0" w:line="321" w:lineRule="auto"/>
        <w:rPr>
          <w:sz w:val="20"/>
          <w:szCs w:val="20"/>
          <w:color w:val="auto"/>
        </w:rPr>
      </w:pPr>
      <w:r>
        <w:rPr>
          <w:rFonts w:ascii="Arial" w:cs="Arial" w:eastAsia="Arial" w:hAnsi="Arial"/>
          <w:sz w:val="17"/>
          <w:szCs w:val="17"/>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32" w:name="page33"/>
    <w:bookmarkEnd w:id="32"/>
    <w:p>
      <w:pPr>
        <w:ind w:left="960" w:right="80"/>
        <w:spacing w:after="0" w:line="277" w:lineRule="auto"/>
        <w:rPr>
          <w:sz w:val="20"/>
          <w:szCs w:val="20"/>
          <w:color w:val="auto"/>
        </w:rPr>
      </w:pPr>
      <w:r>
        <w:rPr>
          <w:rFonts w:ascii="Arial" w:cs="Arial" w:eastAsia="Arial" w:hAnsi="Arial"/>
          <w:sz w:val="18"/>
          <w:szCs w:val="18"/>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75" w:lineRule="exact"/>
        <w:rPr>
          <w:sz w:val="20"/>
          <w:szCs w:val="20"/>
          <w:color w:val="auto"/>
        </w:rPr>
      </w:pPr>
    </w:p>
    <w:p>
      <w:pPr>
        <w:ind w:left="960" w:right="340"/>
        <w:spacing w:after="0" w:line="273" w:lineRule="auto"/>
        <w:rPr>
          <w:sz w:val="20"/>
          <w:szCs w:val="20"/>
          <w:color w:val="auto"/>
        </w:rPr>
      </w:pPr>
      <w:r>
        <w:rPr>
          <w:rFonts w:ascii="Arial" w:cs="Arial" w:eastAsia="Arial" w:hAnsi="Arial"/>
          <w:sz w:val="18"/>
          <w:szCs w:val="18"/>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8"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5" w:lineRule="exact"/>
        <w:rPr>
          <w:sz w:val="20"/>
          <w:szCs w:val="20"/>
          <w:color w:val="auto"/>
        </w:rPr>
      </w:pPr>
    </w:p>
    <w:p>
      <w:pPr>
        <w:ind w:left="960" w:right="340"/>
        <w:spacing w:after="0" w:line="356" w:lineRule="auto"/>
        <w:rPr>
          <w:sz w:val="20"/>
          <w:szCs w:val="20"/>
          <w:color w:val="auto"/>
        </w:rPr>
      </w:pPr>
      <w:r>
        <w:rPr>
          <w:rFonts w:ascii="Arial" w:cs="Arial" w:eastAsia="Arial" w:hAnsi="Arial"/>
          <w:sz w:val="16"/>
          <w:szCs w:val="16"/>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8" w:lineRule="exact"/>
        <w:rPr>
          <w:sz w:val="20"/>
          <w:szCs w:val="20"/>
          <w:color w:val="auto"/>
        </w:rPr>
      </w:pPr>
    </w:p>
    <w:p>
      <w:pPr>
        <w:ind w:left="960" w:right="200"/>
        <w:spacing w:after="0" w:line="327" w:lineRule="auto"/>
        <w:rPr>
          <w:sz w:val="20"/>
          <w:szCs w:val="20"/>
          <w:color w:val="auto"/>
        </w:rPr>
      </w:pPr>
      <w:r>
        <w:rPr>
          <w:rFonts w:ascii="Arial" w:cs="Arial" w:eastAsia="Arial" w:hAnsi="Arial"/>
          <w:sz w:val="16"/>
          <w:szCs w:val="16"/>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stock price may be volatile and purchasers of our common stock could incur substantial losses.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33"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or any future pandemic could adversely impact our business, including our research, clinical trials, and financial condition.</w:t>
      </w:r>
    </w:p>
    <w:p>
      <w:pPr>
        <w:spacing w:after="0" w:line="16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Since then, COVID-19 has spread to multiple countries, including the United States and European and Asia-Pacific countries, including countries in which we have planned or active clinical trial sites, including for praluzatamab ravtansine (CX-2009). As COVID-19 and its variants continue to spread around the globe, we will likely continue to experience disruptions that could severely impact our business, research, including research for our partners or research of our partners, and clinical trials, including ongoing or planned clinical trials for praluzatamab ravtansine, CX-2029 and clinical trials of our partners, including Bristol Myers Squibb. These disruptions and impacts may include:</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or difficulties in enrolling patients in our clinical trials or the clinical trials of our partners;</w:t>
      </w:r>
    </w:p>
    <w:p>
      <w:pPr>
        <w:spacing w:after="0" w:line="129" w:lineRule="exact"/>
        <w:rPr>
          <w:sz w:val="20"/>
          <w:szCs w:val="20"/>
          <w:color w:val="auto"/>
        </w:rPr>
      </w:pPr>
    </w:p>
    <w:p>
      <w:pPr>
        <w:ind w:left="960" w:right="340"/>
        <w:spacing w:after="0" w:line="290" w:lineRule="auto"/>
        <w:rPr>
          <w:sz w:val="20"/>
          <w:szCs w:val="20"/>
          <w:color w:val="auto"/>
        </w:rPr>
      </w:pPr>
      <w:r>
        <w:rPr>
          <w:rFonts w:ascii="Arial" w:cs="Arial" w:eastAsia="Arial" w:hAnsi="Arial"/>
          <w:sz w:val="18"/>
          <w:szCs w:val="18"/>
          <w:color w:val="auto"/>
        </w:rPr>
        <w:t>delays or difficulties in clinical site initiation for praluzatamab ravtansine, CX-2029 or any other clinical trials we or our partners decide to initiate, including difficulties in recruiting clinical site investigators and clinical site staff;</w:t>
      </w:r>
    </w:p>
    <w:p>
      <w:pPr>
        <w:spacing w:after="0" w:line="63" w:lineRule="exact"/>
        <w:rPr>
          <w:sz w:val="20"/>
          <w:szCs w:val="20"/>
          <w:color w:val="auto"/>
        </w:rPr>
      </w:pPr>
    </w:p>
    <w:p>
      <w:pPr>
        <w:ind w:left="960" w:right="220"/>
        <w:spacing w:after="0" w:line="290" w:lineRule="auto"/>
        <w:rPr>
          <w:sz w:val="20"/>
          <w:szCs w:val="20"/>
          <w:color w:val="auto"/>
        </w:rPr>
      </w:pPr>
      <w:r>
        <w:rPr>
          <w:rFonts w:ascii="Arial" w:cs="Arial" w:eastAsia="Arial" w:hAnsi="Arial"/>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63" w:lineRule="exact"/>
        <w:rPr>
          <w:sz w:val="20"/>
          <w:szCs w:val="20"/>
          <w:color w:val="auto"/>
        </w:rPr>
      </w:pPr>
    </w:p>
    <w:p>
      <w:pPr>
        <w:ind w:left="960"/>
        <w:spacing w:after="0" w:line="290" w:lineRule="auto"/>
        <w:rPr>
          <w:sz w:val="20"/>
          <w:szCs w:val="20"/>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difficulty in interpreting clinical data due to patients being infected by COVID-19;</w:t>
      </w:r>
    </w:p>
    <w:p>
      <w:pPr>
        <w:spacing w:after="0" w:line="129" w:lineRule="exact"/>
        <w:rPr>
          <w:sz w:val="20"/>
          <w:szCs w:val="20"/>
          <w:color w:val="auto"/>
        </w:rPr>
      </w:pPr>
    </w:p>
    <w:p>
      <w:pPr>
        <w:ind w:left="960" w:right="380"/>
        <w:spacing w:after="0" w:line="356" w:lineRule="auto"/>
        <w:rPr>
          <w:sz w:val="20"/>
          <w:szCs w:val="20"/>
          <w:color w:val="auto"/>
        </w:rPr>
      </w:pPr>
      <w:r>
        <w:rPr>
          <w:rFonts w:ascii="Arial" w:cs="Arial" w:eastAsia="Arial" w:hAnsi="Arial"/>
          <w:sz w:val="16"/>
          <w:szCs w:val="16"/>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18" w:lineRule="exact"/>
        <w:rPr>
          <w:sz w:val="20"/>
          <w:szCs w:val="20"/>
          <w:color w:val="auto"/>
        </w:rPr>
      </w:pPr>
    </w:p>
    <w:p>
      <w:pPr>
        <w:ind w:left="960" w:right="2080"/>
        <w:spacing w:after="0" w:line="496" w:lineRule="auto"/>
        <w:rPr>
          <w:sz w:val="20"/>
          <w:szCs w:val="20"/>
          <w:color w:val="auto"/>
        </w:rPr>
      </w:pPr>
      <w:r>
        <w:rPr>
          <w:rFonts w:ascii="Arial" w:cs="Arial" w:eastAsia="Arial" w:hAnsi="Arial"/>
          <w:sz w:val="16"/>
          <w:szCs w:val="16"/>
          <w:color w:val="auto"/>
        </w:rPr>
        <w:t>delays in receiving approval from local regulatory authorities to initiate our or our partners’ planned clinical trials; delays in clinical sites receiving the supplies and materials needed to conduct our or our partners’ clinical trials;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4" w:right="359" w:bottom="1440" w:gutter="0" w:footer="0" w:header="0"/>
        </w:sectPr>
      </w:pPr>
    </w:p>
    <w:bookmarkStart w:id="33" w:name="page34"/>
    <w:bookmarkEnd w:id="33"/>
    <w:p>
      <w:pPr>
        <w:ind w:left="960" w:right="40"/>
        <w:spacing w:after="0" w:line="290" w:lineRule="auto"/>
        <w:rPr>
          <w:sz w:val="20"/>
          <w:szCs w:val="20"/>
          <w:color w:val="auto"/>
        </w:rPr>
      </w:pPr>
      <w:r>
        <w:rPr>
          <w:rFonts w:ascii="Arial" w:cs="Arial" w:eastAsia="Arial" w:hAnsi="Arial"/>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63" w:lineRule="exact"/>
        <w:rPr>
          <w:sz w:val="20"/>
          <w:szCs w:val="20"/>
          <w:color w:val="auto"/>
        </w:rPr>
      </w:pPr>
    </w:p>
    <w:p>
      <w:pPr>
        <w:ind w:left="960" w:right="40"/>
        <w:spacing w:after="0" w:line="356" w:lineRule="auto"/>
        <w:rPr>
          <w:sz w:val="20"/>
          <w:szCs w:val="20"/>
          <w:color w:val="auto"/>
        </w:rPr>
      </w:pPr>
      <w:r>
        <w:rPr>
          <w:rFonts w:ascii="Arial" w:cs="Arial" w:eastAsia="Arial" w:hAnsi="Arial"/>
          <w:sz w:val="16"/>
          <w:szCs w:val="16"/>
          <w:color w:val="auto"/>
        </w:rPr>
        <w:t>changes in local regulations as part of a response to the COVID-19 outbreak which may require us or our partners to change the ways in which clinical trials are conducted, which may result in unexpected costs, or cause us or our partners to discontinue the clinical trials altogether;</w:t>
      </w:r>
    </w:p>
    <w:p>
      <w:pPr>
        <w:spacing w:after="0" w:line="18" w:lineRule="exact"/>
        <w:rPr>
          <w:sz w:val="20"/>
          <w:szCs w:val="20"/>
          <w:color w:val="auto"/>
        </w:rPr>
      </w:pPr>
    </w:p>
    <w:p>
      <w:pPr>
        <w:ind w:left="960" w:right="380"/>
        <w:spacing w:after="0" w:line="290" w:lineRule="auto"/>
        <w:rPr>
          <w:sz w:val="20"/>
          <w:szCs w:val="20"/>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2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praluzatamab ravtansine as a result of the COVID-19 pandemic, primarily due to delays in patient enrollment and clinical site initiations, and the termination of the Phase 2 clinical trial of pacmilimab (CX-072) in combination with ipilimumab after a re-evaluation of the evolving clinical, competitive and commercial landscapes in immuno-oncology, taken together with impact of the COVID-19 pandemic. Since then, we have revised our strategy for developing praluzatamab ravtansine, including redesigning the study. While enrollment is ongoing for our Phase 2 clinical trial for praluzatamab ravtansine and the Phase 2 expansion cohorts for CX-2029, we cannot be certain of the continuing impact of the COVID-19 pandemic, including COVID-19 variants on clinical trial planning, or that site initiation, patient recruitment or other clinical trial activities will not continue to be delayed, discontinued or otherwise impacted.</w:t>
      </w:r>
    </w:p>
    <w:p>
      <w:pPr>
        <w:spacing w:after="0" w:line="191" w:lineRule="exact"/>
        <w:rPr>
          <w:sz w:val="20"/>
          <w:szCs w:val="20"/>
          <w:color w:val="auto"/>
        </w:rPr>
      </w:pPr>
    </w:p>
    <w:p>
      <w:pPr>
        <w:ind w:right="100"/>
        <w:spacing w:after="0" w:line="307" w:lineRule="auto"/>
        <w:rPr>
          <w:sz w:val="20"/>
          <w:szCs w:val="20"/>
          <w:color w:val="auto"/>
        </w:rPr>
      </w:pPr>
      <w:r>
        <w:rPr>
          <w:rFonts w:ascii="Arial" w:cs="Arial" w:eastAsia="Arial" w:hAnsi="Arial"/>
          <w:sz w:val="16"/>
          <w:szCs w:val="16"/>
          <w:color w:val="auto"/>
        </w:rPr>
        <w:t>Furthermore, the COVID-19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For example, in March 2020 we initiated a mandatory work-from-home program, limiting onsite activity to a substantially reduced level of laboratory research activities. Although we have gradually increased levels of such laboratory research activities, there can be no assurance that we will be able to continue to increase or maintain current levels of such activity. The COVID-19 pandemic and government limitations could further impact our ability to conduct business generally, including making timely payments, filing timely governmental and other business reports and filings, and otherwise comply with our obligations.</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global outbreak of COVID-19 continues to rapidly evolve, including with the discovery of new variants/mutations of the virus. The extent to which the COVID-19 pandemic continue to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2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September 30, 2021 and December 31, 2020, we had an accumulated deficit of $507.5 million and $450.1 million, respectively. Substantially all of our losses have resulted from expenses incurred in connection with our research and development programs and from general and administrative costs associated with our operations.</w:t>
      </w:r>
    </w:p>
    <w:p>
      <w:pPr>
        <w:spacing w:after="0" w:line="160"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4" w:right="359" w:bottom="1440" w:gutter="0" w:footer="0" w:header="0"/>
        </w:sectPr>
      </w:pPr>
    </w:p>
    <w:bookmarkStart w:id="34" w:name="page35"/>
    <w:bookmarkEnd w:id="34"/>
    <w:p>
      <w:pPr>
        <w:ind w:right="240"/>
        <w:spacing w:after="0" w:line="290" w:lineRule="auto"/>
        <w:rPr>
          <w:sz w:val="20"/>
          <w:szCs w:val="20"/>
          <w:color w:val="auto"/>
        </w:rPr>
      </w:pPr>
      <w:r>
        <w:rPr>
          <w:rFonts w:ascii="Arial" w:cs="Arial" w:eastAsia="Arial" w:hAnsi="Arial"/>
          <w:sz w:val="18"/>
          <w:szCs w:val="18"/>
          <w:color w:val="auto"/>
        </w:rPr>
        <w:t>could be if we had a longer operating history. We will need to transition from a company with a research and development focus to a company capable of supporting commercial activities. We may not be successful in such a transition.</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enroll patients in our Phase 2 clinical trial of praluzatamab ravtansine (CX-2009), our conditionally activated ADC candidate directed against CD166, as monotherapy or in combination with pacmilimab (CX-072) in patients with breast cancer, as we enroll patients in our Phase 2 expansion trial of CX-2029, our conditionally activated ADC candidate directed against CD71 in collaboration with AbbVie Inc., and as we advance into later trials and new trials for these and other programs.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75" w:lineRule="exact"/>
        <w:rPr>
          <w:sz w:val="20"/>
          <w:szCs w:val="20"/>
          <w:color w:val="auto"/>
        </w:rPr>
      </w:pPr>
    </w:p>
    <w:p>
      <w:pPr>
        <w:jc w:val="both"/>
        <w:ind w:right="200"/>
        <w:spacing w:after="0" w:line="327" w:lineRule="auto"/>
        <w:rPr>
          <w:sz w:val="20"/>
          <w:szCs w:val="20"/>
          <w:color w:val="auto"/>
        </w:rPr>
      </w:pPr>
      <w:r>
        <w:rPr>
          <w:rFonts w:ascii="Arial" w:cs="Arial" w:eastAsia="Arial" w:hAnsi="Arial"/>
          <w:sz w:val="16"/>
          <w:szCs w:val="16"/>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4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87"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As of September 30, 2021, we had $336.3 million in cash, cash equivalents and investments. We believe that our existing capital resources will be sufficient to fund our planned operations at least for the next twelve months from the date the financial statements included in this report are issued.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enroll patients in our Phase 2 clinical trial of praluzatamab ravtansine (CX-2009) as monotherapy or in combination with pacmilimab (CX-072) in patients with breast cancer, and as we enroll patients in our Phase 2 expansion trial of CX-2029.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29" w:lineRule="exact"/>
        <w:rPr>
          <w:sz w:val="20"/>
          <w:szCs w:val="20"/>
          <w:color w:val="auto"/>
        </w:rPr>
      </w:pPr>
    </w:p>
    <w:p>
      <w:pPr>
        <w:ind w:left="960" w:right="160"/>
        <w:spacing w:after="0" w:line="290" w:lineRule="auto"/>
        <w:rPr>
          <w:sz w:val="20"/>
          <w:szCs w:val="20"/>
          <w:color w:val="auto"/>
        </w:rPr>
      </w:pPr>
      <w:r>
        <w:rPr>
          <w:rFonts w:ascii="Arial" w:cs="Arial" w:eastAsia="Arial" w:hAnsi="Arial"/>
          <w:sz w:val="18"/>
          <w:szCs w:val="18"/>
          <w:color w:val="auto"/>
        </w:rPr>
        <w:t>the scope, timing and progress of our ongoing clinical trials as well as any other preclinical and clinical development activities which may be affected by, among other things, the COVID-19 pandemic;</w:t>
      </w:r>
    </w:p>
    <w:p>
      <w:pPr>
        <w:spacing w:after="0" w:line="63" w:lineRule="exact"/>
        <w:rPr>
          <w:sz w:val="20"/>
          <w:szCs w:val="20"/>
          <w:color w:val="auto"/>
        </w:rPr>
      </w:pPr>
    </w:p>
    <w:p>
      <w:pPr>
        <w:ind w:left="960"/>
        <w:spacing w:after="0" w:line="290" w:lineRule="auto"/>
        <w:rPr>
          <w:sz w:val="20"/>
          <w:szCs w:val="20"/>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3" w:lineRule="exact"/>
        <w:rPr>
          <w:sz w:val="20"/>
          <w:szCs w:val="20"/>
          <w:color w:val="auto"/>
        </w:rPr>
      </w:pPr>
    </w:p>
    <w:p>
      <w:pPr>
        <w:ind w:left="960" w:right="3580"/>
        <w:spacing w:after="0" w:line="437" w:lineRule="auto"/>
        <w:rPr>
          <w:sz w:val="20"/>
          <w:szCs w:val="20"/>
          <w:color w:val="auto"/>
        </w:rPr>
      </w:pPr>
      <w:r>
        <w:rPr>
          <w:rFonts w:ascii="Arial" w:cs="Arial" w:eastAsia="Arial" w:hAnsi="Arial"/>
          <w:sz w:val="16"/>
          <w:szCs w:val="16"/>
          <w:color w:val="auto"/>
        </w:rPr>
        <w:t>the number, scope and prioritization of preclinical and clinical programs we decide to pursue; the time and cost necessary to produce clinical supplies of our product candidates;</w:t>
      </w:r>
    </w:p>
    <w:p>
      <w:pPr>
        <w:spacing w:after="0" w:line="1" w:lineRule="exact"/>
        <w:rPr>
          <w:sz w:val="20"/>
          <w:szCs w:val="20"/>
          <w:color w:val="auto"/>
        </w:rPr>
      </w:pPr>
    </w:p>
    <w:p>
      <w:pPr>
        <w:ind w:left="960" w:right="320"/>
        <w:spacing w:after="0" w:line="290" w:lineRule="auto"/>
        <w:rPr>
          <w:sz w:val="20"/>
          <w:szCs w:val="20"/>
          <w:color w:val="auto"/>
        </w:rPr>
      </w:pPr>
      <w:r>
        <w:rPr>
          <w:rFonts w:ascii="Arial" w:cs="Arial" w:eastAsia="Arial" w:hAnsi="Arial"/>
          <w:sz w:val="18"/>
          <w:szCs w:val="18"/>
          <w:color w:val="auto"/>
        </w:rPr>
        <w:t>the time and cost necessary to scale our manufacturing capabilities prior to or following regulatory approval and commercial launch of any product candidates;</w:t>
      </w:r>
    </w:p>
    <w:p>
      <w:pPr>
        <w:spacing w:after="0" w:line="63" w:lineRule="exact"/>
        <w:rPr>
          <w:sz w:val="20"/>
          <w:szCs w:val="20"/>
          <w:color w:val="auto"/>
        </w:rPr>
      </w:pPr>
    </w:p>
    <w:p>
      <w:pPr>
        <w:ind w:left="960" w:right="180"/>
        <w:spacing w:after="0" w:line="290" w:lineRule="auto"/>
        <w:rPr>
          <w:sz w:val="20"/>
          <w:szCs w:val="20"/>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the timing and amount of payments we may receive or are obligated to pay under our collaboration agreements and license agreements;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81" w:right="359" w:bottom="1440" w:gutter="0" w:footer="0" w:header="0"/>
        </w:sectPr>
      </w:pPr>
    </w:p>
    <w:bookmarkStart w:id="35" w:name="page36"/>
    <w:bookmarkEnd w:id="35"/>
    <w:p>
      <w:pPr>
        <w:ind w:left="960" w:right="760"/>
        <w:spacing w:after="0" w:line="389" w:lineRule="auto"/>
        <w:rPr>
          <w:sz w:val="20"/>
          <w:szCs w:val="20"/>
          <w:color w:val="auto"/>
        </w:rPr>
      </w:pPr>
      <w:r>
        <w:rPr>
          <w:rFonts w:ascii="Arial" w:cs="Arial" w:eastAsia="Arial" w:hAnsi="Arial"/>
          <w:sz w:val="18"/>
          <w:szCs w:val="18"/>
          <w:color w:val="auto"/>
        </w:rPr>
        <w:t>our ability to maintain our current licenses and research and development programs and to establish new collaboration arrangements; the costs involved in prosecuting and enforcing patent and other intellectual property claims, including our ongoing litigation; the cost of any existing or future litigation to which we are or may become a party; the cost and timing of regulatory approvals; and</w:t>
      </w:r>
    </w:p>
    <w:p>
      <w:pPr>
        <w:ind w:left="960" w:right="20"/>
        <w:spacing w:after="0" w:line="290" w:lineRule="auto"/>
        <w:rPr>
          <w:sz w:val="20"/>
          <w:szCs w:val="20"/>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Astellas in March 2020.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including the COVID-19 pandemic.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75"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As is the case with all oncology drugs, our product candidates in clinical development or preclinical development go through a long process and have a high risk of failure or termination for strategic reasons. For example, in 2017, we initiated Phase 1/2 clinical trials of pacmilimab (CX-072), which expanded to a Phase 2 trial in 2019 evaluating the anti-PD-L1 conditionally activated therapeutic in combination with ipilimumab in melanoma. In March 2020, we made the strategic decision to terminate that trial. In 2017, we initiated a Phase 1/2 clinical trial of praluzatamab ravtansine (CX-2009) and in 2019, we initiated a Phase 2 expansion trial of praluzatamab ravtansine in patients with hormone receptor (“HR”)-positive, HER2- negative breast cancer. That Phase 2 expansion trial was paused in early 2020 due to COVID-19. In 2020, we revised our strategy for developing praluzatamab ravtansine and initiated a new Phase 2 clinical trial of praluzatamab ravtansine alone in either HR+/HER2 negative breast cancer or TNBC or in combination with pacmilimab in TNBC. In 2020, we initiated our Phase 2 clinical trial expansion cohorts of CX-2029, our conditionally activated ADC candidate directed against CD71 in collaboration with AbbVie, for the treatment of four types of cancer. In addition, in 2019, Bristol Myers Squibb initiated enrollment in the Phase 2 portion of its ongoing Phase 1/2 clinical trial for BMS-986249, an anti-CTLA-4 Probody, and initiated a Phase 1/2 trial for BMS-986288, a second anti-CTLA-4 Probody, both of which are underway. It is impossible to predict when or if any of our or our partner’s product candidates will prove effective and safe in humans or will receive regulatory approval. Before obtaining marketing approval from regulatory authorities for the sale of any product candidate, we or our partners must complete extensive clinical trials to demonstrate the safety and efficacy of our product candidates in humans. Commencement of clinical trials for programs beyond praluzatamab ravtansine, CX-2029, BMS-986249, BMS-986288, and pacmilimab is subject to finalizing the trial design and filing an IND or similar filing with the FDA or similar global health authorities. In addition, even if we file our IND or comparable submissions in other jurisdictions for these or other product candidates, including CX-2043 and CX-904,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including CX-2043 and CX-904.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36" w:name="page37"/>
    <w:bookmarkEnd w:id="36"/>
    <w:p>
      <w:pPr>
        <w:jc w:val="both"/>
        <w:ind w:right="180"/>
        <w:spacing w:after="0" w:line="300" w:lineRule="auto"/>
        <w:rPr>
          <w:sz w:val="20"/>
          <w:szCs w:val="20"/>
          <w:color w:val="auto"/>
        </w:rPr>
      </w:pPr>
      <w:r>
        <w:rPr>
          <w:rFonts w:ascii="Arial" w:cs="Arial" w:eastAsia="Arial" w:hAnsi="Arial"/>
          <w:sz w:val="17"/>
          <w:szCs w:val="17"/>
          <w:color w:val="auto"/>
        </w:rPr>
        <w:t>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59" w:lineRule="exact"/>
        <w:rPr>
          <w:sz w:val="20"/>
          <w:szCs w:val="20"/>
          <w:color w:val="auto"/>
        </w:rPr>
      </w:pPr>
    </w:p>
    <w:p>
      <w:pPr>
        <w:ind w:left="960" w:right="2600"/>
        <w:spacing w:after="0" w:line="389" w:lineRule="auto"/>
        <w:rPr>
          <w:sz w:val="20"/>
          <w:szCs w:val="20"/>
          <w:color w:val="auto"/>
        </w:rPr>
      </w:pPr>
      <w:r>
        <w:rPr>
          <w:rFonts w:ascii="Arial" w:cs="Arial" w:eastAsia="Arial" w:hAnsi="Arial"/>
          <w:sz w:val="18"/>
          <w:szCs w:val="18"/>
          <w:color w:val="auto"/>
        </w:rPr>
        <w:t>recruiting suitable patients to participate in a clinical trial, particularly in light of the COVID-19 pandemic; developing and validating any companion diagnostic to be used in a clinical trial;</w:t>
      </w:r>
    </w:p>
    <w:p>
      <w:pPr>
        <w:ind w:left="960" w:right="100"/>
        <w:spacing w:after="0" w:line="290" w:lineRule="auto"/>
        <w:rPr>
          <w:sz w:val="20"/>
          <w:szCs w:val="20"/>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obtaining regulatory clearance to commence a clinical trial;</w:t>
      </w:r>
    </w:p>
    <w:p>
      <w:pPr>
        <w:spacing w:after="0" w:line="129" w:lineRule="exact"/>
        <w:rPr>
          <w:sz w:val="20"/>
          <w:szCs w:val="20"/>
          <w:color w:val="auto"/>
        </w:rPr>
      </w:pPr>
    </w:p>
    <w:p>
      <w:pPr>
        <w:ind w:left="960" w:right="200"/>
        <w:spacing w:after="0" w:line="290" w:lineRule="auto"/>
        <w:rPr>
          <w:sz w:val="20"/>
          <w:szCs w:val="20"/>
          <w:color w:val="auto"/>
        </w:rPr>
      </w:pPr>
      <w:r>
        <w:rPr>
          <w:rFonts w:ascii="Arial" w:cs="Arial" w:eastAsia="Arial" w:hAnsi="Arial"/>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obtaining institutional review board (“IRB”) approval at each clinical trial site;</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having patients complete a clinical trial or return for post-treatment follow-up;</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clinical trial sites deviating from trial protocol or dropping out of a trial;</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adding new clinical trial sites;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manufacturing our product candidates in sufficient quality and quantity for use in clinical trials; or</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collaborators electing to not pursue development and commercialization of our product candidates.</w:t>
      </w:r>
    </w:p>
    <w:p>
      <w:pPr>
        <w:spacing w:after="0" w:line="236"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293" w:lineRule="exact"/>
        <w:rPr>
          <w:sz w:val="20"/>
          <w:szCs w:val="20"/>
          <w:color w:val="auto"/>
        </w:rPr>
      </w:pPr>
    </w:p>
    <w:p>
      <w:pPr>
        <w:spacing w:after="0" w:line="300"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5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We are very early in our development efforts, with only three product candidates, praluzatamab ravtansine (CX-2009), CX-2029, and pacmilimab (CX-072), currently in early-stage clinical development. In addition, Bristol Myers Squibb is currently evaluating BMS-986249, a CTLA-4-directed Probody therapeutic in a randomized cohort expansion trial of a Phase 1/2 clinical trial that it initiated in January 2018, and BMS-986288, a second anti-CTLA-4 Probody, in a Phase 1/2 trial it initiated in 2019.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176" w:lineRule="exact"/>
        <w:rPr>
          <w:sz w:val="20"/>
          <w:szCs w:val="20"/>
          <w:color w:val="auto"/>
        </w:rPr>
      </w:pPr>
    </w:p>
    <w:p>
      <w:pPr>
        <w:ind w:right="560"/>
        <w:spacing w:after="0" w:line="356"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8" w:lineRule="exact"/>
        <w:rPr>
          <w:sz w:val="20"/>
          <w:szCs w:val="20"/>
          <w:color w:val="auto"/>
        </w:rPr>
      </w:pPr>
    </w:p>
    <w:p>
      <w:pPr>
        <w:ind w:left="960" w:right="60"/>
        <w:spacing w:after="0" w:line="356" w:lineRule="auto"/>
        <w:rPr>
          <w:sz w:val="20"/>
          <w:szCs w:val="20"/>
          <w:color w:val="auto"/>
        </w:rPr>
      </w:pPr>
      <w:r>
        <w:rPr>
          <w:rFonts w:ascii="Arial" w:cs="Arial" w:eastAsia="Arial" w:hAnsi="Arial"/>
          <w:sz w:val="16"/>
          <w:szCs w:val="16"/>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18" w:lineRule="exact"/>
        <w:rPr>
          <w:sz w:val="20"/>
          <w:szCs w:val="20"/>
          <w:color w:val="auto"/>
        </w:rPr>
      </w:pPr>
    </w:p>
    <w:p>
      <w:pPr>
        <w:ind w:left="960"/>
        <w:spacing w:after="0" w:line="290" w:lineRule="auto"/>
        <w:rPr>
          <w:sz w:val="20"/>
          <w:szCs w:val="20"/>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63" w:lineRule="exact"/>
        <w:rPr>
          <w:sz w:val="20"/>
          <w:szCs w:val="20"/>
          <w:color w:val="auto"/>
        </w:rPr>
      </w:pPr>
    </w:p>
    <w:p>
      <w:pPr>
        <w:ind w:left="960" w:right="460"/>
        <w:spacing w:after="0" w:line="290" w:lineRule="auto"/>
        <w:rPr>
          <w:sz w:val="20"/>
          <w:szCs w:val="20"/>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in enrolling research subjects in clinical trials;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high drop-out rates of research subjects;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81" w:right="359" w:bottom="1440" w:gutter="0" w:footer="0" w:header="0"/>
        </w:sectPr>
      </w:pPr>
    </w:p>
    <w:bookmarkStart w:id="37" w:name="page38"/>
    <w:bookmarkEnd w:id="37"/>
    <w:p>
      <w:pPr>
        <w:ind w:left="960" w:right="820"/>
        <w:spacing w:after="0" w:line="290" w:lineRule="auto"/>
        <w:rPr>
          <w:sz w:val="20"/>
          <w:szCs w:val="20"/>
          <w:color w:val="auto"/>
        </w:rPr>
      </w:pPr>
      <w:r>
        <w:rPr>
          <w:rFonts w:ascii="Arial" w:cs="Arial" w:eastAsia="Arial" w:hAnsi="Arial"/>
          <w:sz w:val="18"/>
          <w:szCs w:val="18"/>
          <w:color w:val="auto"/>
        </w:rPr>
        <w:t>inadequate supply or quality of product candidate components or materials or other supplies necessary for the conduct of our or our collaborators’ clinical trials;</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greater than anticipated clinical trial costs;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 in the development or approval of companion diagnostic tests for our product candidates;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unfavorable FDA or other regulatory agency inspection and review of a clinical trial site;</w:t>
      </w:r>
    </w:p>
    <w:p>
      <w:pPr>
        <w:spacing w:after="0" w:line="129" w:lineRule="exact"/>
        <w:rPr>
          <w:sz w:val="20"/>
          <w:szCs w:val="20"/>
          <w:color w:val="auto"/>
        </w:rPr>
      </w:pPr>
    </w:p>
    <w:p>
      <w:pPr>
        <w:ind w:left="960" w:right="40"/>
        <w:spacing w:after="0" w:line="290" w:lineRule="auto"/>
        <w:rPr>
          <w:sz w:val="20"/>
          <w:szCs w:val="20"/>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3" w:lineRule="exact"/>
        <w:rPr>
          <w:sz w:val="20"/>
          <w:szCs w:val="20"/>
          <w:color w:val="auto"/>
        </w:rPr>
      </w:pPr>
    </w:p>
    <w:p>
      <w:pPr>
        <w:ind w:left="960" w:right="460"/>
        <w:spacing w:after="0" w:line="290" w:lineRule="auto"/>
        <w:rPr>
          <w:sz w:val="20"/>
          <w:szCs w:val="20"/>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varying interpretations of data by the FDA and similar foreign regulatory agencies.</w:t>
      </w:r>
    </w:p>
    <w:p>
      <w:pPr>
        <w:spacing w:after="0" w:line="23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could find that the therapeutics we or our collaborators pursue are not safe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76"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For example, in March 2020, we made the strategic decision to terminate our Phase 2 clinical trial evaluating pacmilimab in combination ipilimumab in melanoma. This decision followed a re-evaluation of the evolving clinical, competitive and commercial landscapes in immuno-oncology, taken together with impact of the COVID-19 pandemic.</w:t>
      </w:r>
    </w:p>
    <w:p>
      <w:pPr>
        <w:spacing w:after="0" w:line="276"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1"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we have reported preliminary data from our clinical trials of praluzatamab ravtansine (CX-2009), CX-2029, and pacmilimab (CX-072) at various meetings, conferences and Company-hosted public events. We also make assumptions, estimations, calculations and conclusions as part of our analyses of data, and we may not have received or had the opportunity to fully and carefully evaluate all data. Further, as a result of the COVID-19 pandemic or for other reasons, we may not be able to collect accurate or complete data at the time we collect such preliminary data, including as a result of the inability of sites to properly record data due to staffing limitations or the inability of patients to visit sites at scheduled times, the inability of CROs to access site data or for other reasons.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69"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474" w:right="399" w:bottom="1440" w:gutter="0" w:footer="0" w:header="0"/>
        </w:sectPr>
      </w:pPr>
    </w:p>
    <w:bookmarkStart w:id="38" w:name="page39"/>
    <w:bookmarkEnd w:id="38"/>
    <w:p>
      <w:pPr>
        <w:ind w:right="80"/>
        <w:spacing w:after="0" w:line="271"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5"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praluzatamab ravtansine (CX-2009), CX-2029, and pacmilimab (CX-072)).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176"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color w:val="auto"/>
        </w:rPr>
        <w:t>In May 2020, we reported that the administration of monotherapy pacmilimab has been generally well tolerated with the majority of treatment-related adverse events (“TRAEs”) as Grade 1/2. At that time, we also reported that of the 114 monotherapy patients treated with 10 mg/kg every two weeks and who were evaluable for safety, ten (9%) patients experienced a grade ≥3 TRAE, and two (2%) experienced grade ≥3 immune-related adverse events (“irAEs”), with two (2%) TRAEs leading to treatment discontinuation. In June 2019, we also reported that at the 10 mg/kg dose, the anti-drug antibody (“ADA”) rate was approximately 62%. While we do not believe this ADA is impacting our ability to reach targeted drug exposures, we cannot provide assurance that the rate will not change or that it will not later limit drug exposure or cause severe adverse events. We also cannot provide assurance that the rates and the types of adverse events will not increase with time as more patients are treated in ongoing or future studies.</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Administration of pacmilimab in combination with ipilimumab has been generally well tolerated with the majority of TRAEs as Grade 1/2. In October 2019, we reported that of the 27 patients treated across all combination doses, Grade 3/4 TRAEs were reported in nine (33%) patients and Grade 3/4 irAEs were reported in six (22%) patients. Of the 20 patients treated with ipilimumab at 3 mg/kg at varying doses of pacmilimab, Grade 3/4 TRAEs were reported in five (25%) patients and Grade 3/4 irAEs were reported in three (15%) patients. We cannot provide assurance that these rates and the types of adverse events will not increase over time with more patients being treated in future studies of our product candidates.</w:t>
      </w:r>
    </w:p>
    <w:p>
      <w:pPr>
        <w:spacing w:after="0" w:line="175" w:lineRule="exact"/>
        <w:rPr>
          <w:sz w:val="20"/>
          <w:szCs w:val="20"/>
          <w:color w:val="auto"/>
        </w:rPr>
      </w:pPr>
    </w:p>
    <w:p>
      <w:pPr>
        <w:ind w:right="120"/>
        <w:spacing w:after="0" w:line="317" w:lineRule="auto"/>
        <w:rPr>
          <w:sz w:val="20"/>
          <w:szCs w:val="20"/>
          <w:color w:val="auto"/>
        </w:rPr>
      </w:pPr>
      <w:r>
        <w:rPr>
          <w:rFonts w:ascii="Arial" w:cs="Arial" w:eastAsia="Arial" w:hAnsi="Arial"/>
          <w:sz w:val="16"/>
          <w:szCs w:val="16"/>
          <w:color w:val="auto"/>
        </w:rPr>
        <w:t>Administration of praluzatamab ravtansine has also been generally well tolerated with most reported TRAEs being Grade 1/2. In May 2020, we announced that 34/92 (37%) patients experienced a Grade 3/4 TRAE. The most common adverse event observed was ocular toxicity, an anticipated toxicity associated with the DM4 payload. Other Grade 3/4 TRAEs included liver function test abnormalities, gastrointestinal disorders and nervous system disorders. We cannot guarantee that these rates and the types of adverse events will not increase over time with more patients being treated in ongoing or future studies.</w:t>
      </w:r>
    </w:p>
    <w:p>
      <w:pPr>
        <w:spacing w:after="0" w:line="15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October 2019, we announced the initiation of our first Phase 2 clinical trial of pacmilimab at a dose level of 10 mg/kg in combination with ipilimumab at a dose level of 3 mg/kg. This dose of ipilimumab in combination with another PD agent, Opdivo® (nivolumab), is often not tolerated by patients. While we believe our Phase 1 clinical data supports this combination, only further clinical testing will determine whether such a combination is tolerable for patients. However, in March 2020, we made the strategic decision to terminate the Phase 2 study evaluating pacmilimab in combination with ipilimumab. This decision followed a re-evaluation of the evolving clinical, competitive and commercial landscapes in immuno-oncology, taken together with impact of the COVID-19 pandemic.</w:t>
      </w:r>
    </w:p>
    <w:p>
      <w:pPr>
        <w:spacing w:after="0" w:line="176"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The etiology of anemia is under investigation and is likely to be multi-factorial, including MMAE-related and CD71 expression on red blood cell precursors. While we believe these TRAEs are manageable, there can be no assurance that the rate or severity of any of these side effects will not increase over time with more patients being treated in ongoing or future studies.</w:t>
      </w:r>
    </w:p>
    <w:p>
      <w:pPr>
        <w:spacing w:after="0" w:line="175" w:lineRule="exact"/>
        <w:rPr>
          <w:sz w:val="20"/>
          <w:szCs w:val="20"/>
          <w:color w:val="auto"/>
        </w:rPr>
      </w:pPr>
    </w:p>
    <w:p>
      <w:pPr>
        <w:ind w:right="360"/>
        <w:spacing w:after="0" w:line="290" w:lineRule="auto"/>
        <w:rPr>
          <w:sz w:val="20"/>
          <w:szCs w:val="20"/>
          <w:color w:val="auto"/>
        </w:rPr>
      </w:pPr>
      <w:r>
        <w:rPr>
          <w:rFonts w:ascii="Arial" w:cs="Arial" w:eastAsia="Arial" w:hAnsi="Arial"/>
          <w:sz w:val="18"/>
          <w:szCs w:val="18"/>
          <w:color w:val="auto"/>
        </w:rPr>
        <w:t>Additionally, the Phase 2 clinical trial of BMS-986249 being conducted by Bristol Myers Squibb includes the administration of the product candidate at relatively high dosage levels, which could further exacerbate such risks. In our Phase 2 clinical trials with praluzatamab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39" w:name="page40"/>
    <w:bookmarkEnd w:id="39"/>
    <w:p>
      <w:pPr>
        <w:ind w:right="140"/>
        <w:spacing w:after="0" w:line="271" w:lineRule="auto"/>
        <w:rPr>
          <w:sz w:val="20"/>
          <w:szCs w:val="20"/>
          <w:color w:val="auto"/>
        </w:rPr>
      </w:pPr>
      <w:r>
        <w:rPr>
          <w:rFonts w:ascii="Arial" w:cs="Arial" w:eastAsia="Arial" w:hAnsi="Arial"/>
          <w:sz w:val="18"/>
          <w:szCs w:val="18"/>
          <w:color w:val="auto"/>
        </w:rPr>
        <w:t>ravtansine and CX-2029, we are targeting CD166 and CD71, respectively, targets that are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 could face similar or heightened risks depending on the modality. Similarly, the combination of EGFR and CD3 has been shown to induce significant toxicities in preclinical animal studies due to the widespread expression of each target.</w:t>
      </w:r>
    </w:p>
    <w:p>
      <w:pPr>
        <w:spacing w:after="0" w:line="187"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praluzatamab ravtansine, some patients stopped treatment due to ocular toxicity. While we are using ocular toxicity prophylactic measures in our Phase 2 clinical trial,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69"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authorities may withdraw their approval of the product or seize the product;</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15" w:lineRule="exact"/>
        <w:rPr>
          <w:sz w:val="20"/>
          <w:szCs w:val="20"/>
          <w:color w:val="auto"/>
        </w:rPr>
      </w:pPr>
    </w:p>
    <w:p>
      <w:pPr>
        <w:ind w:left="960" w:right="600"/>
        <w:spacing w:after="0" w:line="274" w:lineRule="auto"/>
        <w:rPr>
          <w:sz w:val="20"/>
          <w:szCs w:val="20"/>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subject to fines, injunctions or the imposition of civil or criminal penalties;</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could be sued and held liable for harm caused to patients;</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product may become less competitive; and</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reputation may suffer.</w:t>
      </w:r>
    </w:p>
    <w:p>
      <w:pPr>
        <w:spacing w:after="0" w:line="236"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66"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276" w:lineRule="exact"/>
        <w:rPr>
          <w:sz w:val="20"/>
          <w:szCs w:val="20"/>
          <w:color w:val="auto"/>
        </w:rPr>
      </w:pPr>
    </w:p>
    <w:p>
      <w:pPr>
        <w:jc w:val="both"/>
        <w:ind w:right="260"/>
        <w:spacing w:after="0" w:line="274"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78" w:lineRule="exact"/>
        <w:rPr>
          <w:sz w:val="20"/>
          <w:szCs w:val="20"/>
          <w:color w:val="auto"/>
        </w:rPr>
      </w:pPr>
    </w:p>
    <w:p>
      <w:pPr>
        <w:jc w:val="both"/>
        <w:ind w:right="460"/>
        <w:spacing w:after="0" w:line="27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ongoing COVID-19 pandemic;</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size and nature of the target patient population;</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eligibility criteria for the clinical trial;</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design of the clinical trial;</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0" w:name="page41"/>
    <w:bookmarkEnd w:id="40"/>
    <w:p>
      <w:pPr>
        <w:ind w:left="960"/>
        <w:spacing w:after="0"/>
        <w:rPr>
          <w:sz w:val="20"/>
          <w:szCs w:val="20"/>
          <w:color w:val="auto"/>
        </w:rPr>
      </w:pPr>
      <w:r>
        <w:rPr>
          <w:rFonts w:ascii="Arial" w:cs="Arial" w:eastAsia="Arial" w:hAnsi="Arial"/>
          <w:sz w:val="18"/>
          <w:szCs w:val="18"/>
          <w:color w:val="auto"/>
        </w:rPr>
        <w:t>the availability of an appropriate genomic screening test;</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perceived risks and benefits of the product candidate under study;</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efforts to facilitate timely enrollment in clinical trials;</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patient referral practices of physicians;</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ability to monitor patients adequately during and after treatment; and</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proximity and availability of clinical trial sites for prospective patients.</w:t>
      </w:r>
    </w:p>
    <w:p>
      <w:pPr>
        <w:spacing w:after="0" w:line="236"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For example, in March 2020, we announced a temporary pause in new patient enrollment and new site activation in our Phase 2 clinical trial of praluzatamab ravtansine as a result of the COVID-19 pandemic. We revised our strategy for praluzatamab ravtansine and in December 2020, we initiated a new Phase 2 clinical trial of praluzatamab ravtansine, expecting initial clinical data in the fourth quarter of 2021. However, in August 2021, we announced that primarily due to the COVID-19 pandemic, we anticipate initial clinical data from that trial in 2022. There can be no assurances that the COVID-19 pandemic will not continue to have a significant impact on our ability to complete our ongoing clinical trials and enroll patients in any planned or future clinical trials.</w:t>
      </w:r>
    </w:p>
    <w:p>
      <w:pPr>
        <w:spacing w:after="0" w:line="19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are currently several PD-1 and/or PD-L1 agents approved for a growing list of cancer types along with thousands of clinical trials exploring the use of PD-1 and PD-L1 agents. There can be no assurance that further trials with pacmilimab (CX-072) or our other drug candidates will not be adversely affected by a limited patient population. Our clinical trials of praluzatamab ravtansine and CX-2029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Our clinical trials of praluzatamab ravtansine and CX-2029 are also competing with thousands of clinical trials with alternative anti-cancer drugs in a similar class (e.g. antibody-drug conjugates), and certain arms of the clinical trials may be difficult to enroll due to the emerging standard of care for such indications in certain jurisdictions, including the United States. Any clinical trials of our product candidates initiated by our collaborators, including Bristol Myers Squibb’s ongoing Phase 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270" w:lineRule="exact"/>
        <w:rPr>
          <w:sz w:val="20"/>
          <w:szCs w:val="20"/>
          <w:color w:val="auto"/>
        </w:rPr>
      </w:pPr>
    </w:p>
    <w:p>
      <w:pPr>
        <w:ind w:right="260"/>
        <w:spacing w:after="0" w:line="274"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78"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praluzatamab ravtansine (CX-2009), CX-2029, and pacmilimab (CX-072).</w:t>
      </w:r>
    </w:p>
    <w:p>
      <w:pPr>
        <w:spacing w:after="0" w:line="19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41" w:name="page42"/>
    <w:bookmarkEnd w:id="41"/>
    <w:p>
      <w:pPr>
        <w:ind w:right="60"/>
        <w:spacing w:after="0" w:line="284" w:lineRule="auto"/>
        <w:rPr>
          <w:sz w:val="20"/>
          <w:szCs w:val="20"/>
          <w:color w:val="auto"/>
        </w:rPr>
      </w:pPr>
      <w:r>
        <w:rPr>
          <w:rFonts w:ascii="Arial" w:cs="Arial" w:eastAsia="Arial" w:hAnsi="Arial"/>
          <w:sz w:val="17"/>
          <w:szCs w:val="17"/>
          <w:color w:val="auto"/>
        </w:rPr>
        <w:t>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 2019 that in our pacmilimab trial at the 10 mg/kg dose, the ADA rate was approximately 62%. We do not believe the ADA rate is impacting our ability to reach targeted drug exposures. However, we cannot 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83" w:lineRule="exact"/>
        <w:rPr>
          <w:sz w:val="20"/>
          <w:szCs w:val="20"/>
          <w:color w:val="auto"/>
        </w:rPr>
      </w:pPr>
    </w:p>
    <w:p>
      <w:pPr>
        <w:ind w:right="60"/>
        <w:spacing w:after="0" w:line="327"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and CD71 in both healthy and diseased tissues is still developing. As a result, we cannot provide any assurance that we will be able to successfully identify and advance any product candidates to target novel, difficult-to-drug targets.</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believe the only clinical experience that the FDA and foreign regulatory authorities have with Probody-based therapeutics in oncology comes from praluzatamab ravtansine, CX-2029, BMS-986249, BMS-986288, and pacmilimab.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275"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BMS-986249, BMS-986288, and pacmilimab (CX-072)) for which there are existing approved therapies, such as approved agents targeting PD-L1, PD-1, or CTLA-4. Market acceptance of our product candidates will depend on, among other factors:</w:t>
      </w:r>
    </w:p>
    <w:p>
      <w:pPr>
        <w:spacing w:after="0" w:line="6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of our receipt of any marketing and commercialization approvals;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terms of any approvals and the countries in which approvals are obtained;</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safety and efficacy of our product candidates, including those being developed by our collaborators;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prevalence and severity of any adverse side effects associated with our product candidates;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limitations or warnings contained in any labeling approved by the FDA or other regulatory authority;</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availability of effective companion diagnostics;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relative convenience and ease of administration of our product candidates;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willingness of patients to accept any new methods of administration;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42" w:name="page43"/>
    <w:bookmarkEnd w:id="42"/>
    <w:p>
      <w:pPr>
        <w:ind w:left="960"/>
        <w:spacing w:after="0"/>
        <w:rPr>
          <w:sz w:val="20"/>
          <w:szCs w:val="20"/>
          <w:color w:val="auto"/>
        </w:rPr>
      </w:pPr>
      <w:r>
        <w:rPr>
          <w:rFonts w:ascii="Arial" w:cs="Arial" w:eastAsia="Arial" w:hAnsi="Arial"/>
          <w:sz w:val="18"/>
          <w:szCs w:val="18"/>
          <w:color w:val="auto"/>
        </w:rPr>
        <w:t>the success of our physician education programs;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availability of coverage and adequate reimbursement from government and third-party payors;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pricing of our products, particularly as compared to alternative treatments; and</w:t>
      </w:r>
    </w:p>
    <w:p>
      <w:pPr>
        <w:spacing w:after="0" w:line="129" w:lineRule="exact"/>
        <w:rPr>
          <w:sz w:val="20"/>
          <w:szCs w:val="20"/>
          <w:color w:val="auto"/>
        </w:rPr>
      </w:pPr>
    </w:p>
    <w:p>
      <w:pPr>
        <w:ind w:left="960" w:right="120"/>
        <w:spacing w:after="0" w:line="290" w:lineRule="auto"/>
        <w:rPr>
          <w:sz w:val="20"/>
          <w:szCs w:val="20"/>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171" w:lineRule="exact"/>
        <w:rPr>
          <w:sz w:val="20"/>
          <w:szCs w:val="20"/>
          <w:color w:val="auto"/>
        </w:rPr>
      </w:pPr>
    </w:p>
    <w:p>
      <w:pPr>
        <w:ind w:right="640"/>
        <w:spacing w:after="0" w:line="290"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8" w:lineRule="exact"/>
        <w:rPr>
          <w:sz w:val="20"/>
          <w:szCs w:val="20"/>
          <w:color w:val="auto"/>
        </w:rPr>
      </w:pPr>
    </w:p>
    <w:p>
      <w:pPr>
        <w:ind w:right="220"/>
        <w:spacing w:after="0" w:line="300"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Since 2013, we have entered into collaborations with AbbVie, Amgen, Astellas, Bristol Myers Squibb,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conditionally activated ADC. In July 2017, ImmunoGen discontinued the preclinical evaluation of one of its two programs being developed under our collaboration and in December 2019, licensed the other program to us, terminating their license agreement from us. In addition, in January 2019, Bristol Myers Squibb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Overall, collaborations involving our product candidates currently pose, and will continue to pose, the following risks to us:</w:t>
      </w:r>
    </w:p>
    <w:p>
      <w:pPr>
        <w:spacing w:after="0" w:line="129" w:lineRule="exact"/>
        <w:rPr>
          <w:sz w:val="20"/>
          <w:szCs w:val="20"/>
          <w:color w:val="auto"/>
        </w:rPr>
      </w:pPr>
    </w:p>
    <w:p>
      <w:pPr>
        <w:ind w:left="960" w:right="900"/>
        <w:spacing w:after="0" w:line="290" w:lineRule="auto"/>
        <w:rPr>
          <w:sz w:val="20"/>
          <w:szCs w:val="20"/>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 including, with respect to Bristol Myers Squibb, BMS-986249 and BMS-986288;</w:t>
      </w:r>
    </w:p>
    <w:p>
      <w:pPr>
        <w:spacing w:after="0" w:line="63" w:lineRule="exact"/>
        <w:rPr>
          <w:sz w:val="20"/>
          <w:szCs w:val="20"/>
          <w:color w:val="auto"/>
        </w:rPr>
      </w:pPr>
    </w:p>
    <w:p>
      <w:pPr>
        <w:ind w:left="960" w:right="540"/>
        <w:spacing w:after="0" w:line="327" w:lineRule="auto"/>
        <w:rPr>
          <w:sz w:val="20"/>
          <w:szCs w:val="20"/>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40"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spacing w:after="0" w:line="75" w:lineRule="exact"/>
        <w:rPr>
          <w:sz w:val="20"/>
          <w:szCs w:val="20"/>
          <w:color w:val="auto"/>
        </w:rPr>
      </w:pPr>
    </w:p>
    <w:p>
      <w:pPr>
        <w:ind w:left="960" w:right="160"/>
        <w:spacing w:after="0" w:line="277" w:lineRule="auto"/>
        <w:rPr>
          <w:sz w:val="20"/>
          <w:szCs w:val="20"/>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5" w:lineRule="exact"/>
        <w:rPr>
          <w:sz w:val="20"/>
          <w:szCs w:val="20"/>
          <w:color w:val="auto"/>
        </w:rPr>
      </w:pPr>
    </w:p>
    <w:p>
      <w:pPr>
        <w:ind w:left="960" w:right="40"/>
        <w:spacing w:after="0" w:line="277" w:lineRule="auto"/>
        <w:rPr>
          <w:sz w:val="20"/>
          <w:szCs w:val="20"/>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5" w:lineRule="exact"/>
        <w:rPr>
          <w:sz w:val="20"/>
          <w:szCs w:val="20"/>
          <w:color w:val="auto"/>
        </w:rPr>
      </w:pPr>
    </w:p>
    <w:p>
      <w:pPr>
        <w:ind w:left="960" w:right="640"/>
        <w:spacing w:after="0" w:line="290" w:lineRule="auto"/>
        <w:rPr>
          <w:sz w:val="20"/>
          <w:szCs w:val="20"/>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3" w:lineRule="exact"/>
        <w:rPr>
          <w:sz w:val="20"/>
          <w:szCs w:val="20"/>
          <w:color w:val="auto"/>
        </w:rPr>
      </w:pPr>
    </w:p>
    <w:p>
      <w:pPr>
        <w:ind w:left="960" w:right="180"/>
        <w:spacing w:after="0" w:line="277" w:lineRule="auto"/>
        <w:rPr>
          <w:sz w:val="20"/>
          <w:szCs w:val="20"/>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4" w:right="359" w:bottom="1440" w:gutter="0" w:footer="0" w:header="0"/>
        </w:sectPr>
      </w:pPr>
    </w:p>
    <w:bookmarkStart w:id="43" w:name="page44"/>
    <w:bookmarkEnd w:id="43"/>
    <w:p>
      <w:pPr>
        <w:ind w:left="960" w:right="640"/>
        <w:spacing w:after="0" w:line="290" w:lineRule="auto"/>
        <w:rPr>
          <w:sz w:val="20"/>
          <w:szCs w:val="20"/>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63" w:lineRule="exact"/>
        <w:rPr>
          <w:sz w:val="20"/>
          <w:szCs w:val="20"/>
          <w:color w:val="auto"/>
        </w:rPr>
      </w:pPr>
    </w:p>
    <w:p>
      <w:pPr>
        <w:ind w:left="960"/>
        <w:spacing w:after="0" w:line="356" w:lineRule="auto"/>
        <w:rPr>
          <w:sz w:val="20"/>
          <w:szCs w:val="20"/>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8" w:lineRule="exact"/>
        <w:rPr>
          <w:sz w:val="20"/>
          <w:szCs w:val="20"/>
          <w:color w:val="auto"/>
        </w:rPr>
      </w:pPr>
    </w:p>
    <w:p>
      <w:pPr>
        <w:ind w:left="960" w:right="1120"/>
        <w:spacing w:after="0" w:line="290" w:lineRule="auto"/>
        <w:rPr>
          <w:sz w:val="20"/>
          <w:szCs w:val="20"/>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1" w:lineRule="exact"/>
        <w:rPr>
          <w:sz w:val="20"/>
          <w:szCs w:val="20"/>
          <w:color w:val="auto"/>
        </w:rPr>
      </w:pPr>
    </w:p>
    <w:p>
      <w:pPr>
        <w:ind w:right="340"/>
        <w:spacing w:after="0" w:line="294"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77" w:lineRule="exact"/>
        <w:rPr>
          <w:sz w:val="20"/>
          <w:szCs w:val="20"/>
          <w:color w:val="auto"/>
        </w:rPr>
      </w:pPr>
    </w:p>
    <w:p>
      <w:pPr>
        <w:ind w:right="240"/>
        <w:spacing w:after="0" w:line="392"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309" w:lineRule="auto"/>
        <w:rPr>
          <w:sz w:val="20"/>
          <w:szCs w:val="20"/>
          <w:color w:val="auto"/>
        </w:rPr>
      </w:pPr>
      <w:r>
        <w:rPr>
          <w:rFonts w:ascii="Arial" w:cs="Arial" w:eastAsia="Arial" w:hAnsi="Arial"/>
          <w:sz w:val="16"/>
          <w:szCs w:val="16"/>
          <w:color w:val="auto"/>
        </w:rPr>
        <w:t>Substantially all of our revenue to date has been derived from our existing collaboration agreements, including, most recently, the agreement that we entered into with Astellas in March 2020,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162"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with them, and in January 2019, Bristol Myers Squibb terminated its programs for three targets that it had selected under our agreement with them.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spacing w:after="0" w:line="271" w:lineRule="exact"/>
        <w:rPr>
          <w:sz w:val="20"/>
          <w:szCs w:val="20"/>
          <w:color w:val="auto"/>
        </w:rPr>
      </w:pPr>
    </w:p>
    <w:p>
      <w:pPr>
        <w:ind w:right="180"/>
        <w:spacing w:after="0" w:line="290"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63" w:lineRule="exact"/>
        <w:rPr>
          <w:sz w:val="20"/>
          <w:szCs w:val="20"/>
          <w:color w:val="auto"/>
        </w:rPr>
      </w:pPr>
    </w:p>
    <w:p>
      <w:pPr>
        <w:ind w:right="260"/>
        <w:spacing w:after="0" w:line="309" w:lineRule="auto"/>
        <w:rPr>
          <w:sz w:val="20"/>
          <w:szCs w:val="20"/>
          <w:color w:val="auto"/>
        </w:rPr>
      </w:pPr>
      <w:r>
        <w:rPr>
          <w:rFonts w:ascii="Arial" w:cs="Arial" w:eastAsia="Arial" w:hAnsi="Arial"/>
          <w:sz w:val="16"/>
          <w:szCs w:val="16"/>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5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available capital resources or capital constraints we experience;</w:t>
      </w:r>
    </w:p>
    <w:p>
      <w:pPr>
        <w:spacing w:after="0" w:line="129" w:lineRule="exact"/>
        <w:rPr>
          <w:sz w:val="20"/>
          <w:szCs w:val="20"/>
          <w:color w:val="auto"/>
        </w:rPr>
      </w:pPr>
    </w:p>
    <w:p>
      <w:pPr>
        <w:ind w:left="960" w:right="100"/>
        <w:spacing w:after="0" w:line="290" w:lineRule="auto"/>
        <w:rPr>
          <w:sz w:val="20"/>
          <w:szCs w:val="20"/>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identify and enroll patients who meet clinical trial eligibility criteria;</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receipt of approvals by the FDA and other regulatory authorities and the timing thereof;</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other actions, decisions or rules issued by regulators;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manufacture and supply clinical trial materials to our clinical sites on a timely basis;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44" w:name="page45"/>
    <w:bookmarkEnd w:id="44"/>
    <w:p>
      <w:pPr>
        <w:ind w:left="960"/>
        <w:spacing w:after="0"/>
        <w:rPr>
          <w:sz w:val="20"/>
          <w:szCs w:val="20"/>
          <w:color w:val="auto"/>
        </w:rPr>
      </w:pPr>
      <w:r>
        <w:rPr>
          <w:rFonts w:ascii="Arial" w:cs="Arial" w:eastAsia="Arial" w:hAnsi="Arial"/>
          <w:sz w:val="18"/>
          <w:szCs w:val="18"/>
          <w:color w:val="auto"/>
        </w:rPr>
        <w:t>the efforts of our collaborators with respect to the commercialization of our products; and</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47"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For example, in March 2020, we announced the temporary pause in new patient enrollment and new site activation in our Phase 2 clinical trial of praluzatamab ravtansine (CX-2009) as a result of the COVID-19 pandemic and the termination of the Phase 2 clinical trial of pacmilimab (CX-072) in combination with ipilimumab after a re-evaluation of the evolving clinical, competitive and commercial landscapes in immuno-oncology, taken together with impact of the COVID-19 pandemic. Further, we continue to see an impact as a result of the COVID-19 pandemic on our efforts, including ongoing clinical trial site activation and patient enrollment for praluzatamab ravtansine.</w:t>
      </w:r>
    </w:p>
    <w:p>
      <w:pPr>
        <w:spacing w:after="0" w:line="175" w:lineRule="exact"/>
        <w:rPr>
          <w:sz w:val="20"/>
          <w:szCs w:val="20"/>
          <w:color w:val="auto"/>
        </w:rPr>
      </w:pPr>
    </w:p>
    <w:p>
      <w:pPr>
        <w:ind w:right="260"/>
        <w:spacing w:after="0" w:line="290"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and our business and results of operations may be harmed.</w:t>
      </w:r>
    </w:p>
    <w:p>
      <w:pPr>
        <w:spacing w:after="0" w:line="278" w:lineRule="exact"/>
        <w:rPr>
          <w:sz w:val="20"/>
          <w:szCs w:val="20"/>
          <w:color w:val="auto"/>
        </w:rPr>
      </w:pPr>
    </w:p>
    <w:p>
      <w:pPr>
        <w:ind w:right="100"/>
        <w:spacing w:after="0" w:line="392"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300" w:lineRule="auto"/>
        <w:rPr>
          <w:sz w:val="20"/>
          <w:szCs w:val="20"/>
          <w:color w:val="auto"/>
        </w:rPr>
      </w:pPr>
      <w:r>
        <w:rPr>
          <w:rFonts w:ascii="Arial" w:cs="Arial" w:eastAsia="Arial" w:hAnsi="Arial"/>
          <w:sz w:val="16"/>
          <w:szCs w:val="16"/>
          <w:color w:val="auto"/>
        </w:rPr>
        <w:t>Since commencing operations, we have entered into several collaboration agreements, including the agreement that we entered into with Astellas in March 2020.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87" w:lineRule="exact"/>
        <w:rPr>
          <w:sz w:val="20"/>
          <w:szCs w:val="20"/>
          <w:color w:val="auto"/>
        </w:rPr>
      </w:pPr>
    </w:p>
    <w:p>
      <w:pPr>
        <w:ind w:right="200"/>
        <w:spacing w:after="0" w:line="290"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63"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45" w:name="page46"/>
    <w:bookmarkEnd w:id="45"/>
    <w:p>
      <w:pPr>
        <w:jc w:val="both"/>
        <w:spacing w:after="0" w:line="327"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spacing w:after="0" w:line="163" w:lineRule="exact"/>
        <w:rPr>
          <w:sz w:val="20"/>
          <w:szCs w:val="20"/>
          <w:color w:val="auto"/>
        </w:rPr>
      </w:pPr>
    </w:p>
    <w:p>
      <w:pPr>
        <w:ind w:right="120"/>
        <w:spacing w:after="0" w:line="305"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271" w:lineRule="exact"/>
        <w:rPr>
          <w:sz w:val="20"/>
          <w:szCs w:val="20"/>
          <w:color w:val="auto"/>
        </w:rPr>
      </w:pPr>
    </w:p>
    <w:p>
      <w:pPr>
        <w:ind w:right="300"/>
        <w:spacing w:after="0" w:line="290" w:lineRule="auto"/>
        <w:rPr>
          <w:sz w:val="20"/>
          <w:szCs w:val="20"/>
          <w:color w:val="auto"/>
        </w:rPr>
      </w:pPr>
      <w:r>
        <w:rPr>
          <w:rFonts w:ascii="Arial" w:cs="Arial" w:eastAsia="Arial" w:hAnsi="Arial"/>
          <w:sz w:val="18"/>
          <w:szCs w:val="18"/>
          <w:b w:val="1"/>
          <w:bCs w:val="1"/>
          <w:i w:val="1"/>
          <w:iCs w:val="1"/>
          <w:color w:val="auto"/>
        </w:rPr>
        <w:t>We are currently conducting and will continue to conduct clinical trials and will contract with third-party manufacturers in foreign countries, which could expose us to risks that could have a material adverse effect on the success of our business.</w:t>
      </w:r>
    </w:p>
    <w:p>
      <w:pPr>
        <w:spacing w:after="0" w:line="6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enrolled or are planning to enroll patients in our clinical trials outside the United States, including in Europe, Australia and South Korea. Although the FDA may accept data from clinical trials conducted outside the United States, acceptance of this data is subject to certain conditions imposed by the FDA. For example, such clinical trials must be conducted in accordance with GCPs, and the FDA must be able to validate the data through an on-site inspection if deemed necessary. Conducting clinical trials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 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spacing w:after="0" w:line="2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rely on third-party contract manufacturers to manufacture our clinical trial and preclinical study product supplies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praluzatamab ravtansine (CX-2009), CX-2029, and pacmilimab (CX-072), our manufacturing supply chain includes several contract manufacturers, and failure by any of these manufacturers could result in interruptions of our clinical studies. For example, in November 2019, one of our contract manufacturers that manufactures pacmilimab experienced a production failure. If we had not been able to assure sufficient supplies of clinical trial drug product after the production failure, we may have been required to suspend any ongoing trials and postpone future trials. Although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46" w:name="page47"/>
    <w:bookmarkEnd w:id="46"/>
    <w:p>
      <w:pPr>
        <w:ind w:right="20"/>
        <w:spacing w:after="0" w:line="302" w:lineRule="auto"/>
        <w:rPr>
          <w:sz w:val="20"/>
          <w:szCs w:val="20"/>
          <w:color w:val="auto"/>
        </w:rPr>
      </w:pPr>
      <w:r>
        <w:rPr>
          <w:rFonts w:ascii="Arial" w:cs="Arial" w:eastAsia="Arial" w:hAnsi="Arial"/>
          <w:sz w:val="16"/>
          <w:szCs w:val="16"/>
          <w:color w:val="auto"/>
        </w:rPr>
        <w:t>we have taken sufficient steps to assure our current supply of pacmilimab clinical trial drug product for our ongoing clinical trial and planned clinical trials, there can be no assurance that we will not have future production failures, which could affect our ability to conduct our trials for praluzatamab ravtansine, CX-2029, pacmilimab or any other clinical trial drug candidates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praluzatamab ravtansine. At the end of 2018, ImmunoGen closed their clinical manufacturing facility in Norwood, MA. This site provided clinical manufacturing support for the praluzatamab ravtansine program. We completed transfer of the drug substance manufacturing process from ImmunoGen to a CMO, where we have an existing relationship and which has expertise in the manufacture of antibody-drug conjugates at a clinical and commercial scale. While the manufacturing transfer process has been completed, there can be no assurance that we will not experience a disruption in the supply of praluzatamab ravtansine as a result of such transfer or that we will not experience any other disruption in the manufacture of praluzatamab ravtansine.</w:t>
      </w:r>
    </w:p>
    <w:p>
      <w:pPr>
        <w:spacing w:after="0" w:line="16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pacmilimab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 inability to initiate or continue clinical trials of product candidates under development;</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 in submitting regulatory applications, or receiving regulatory approvals, for product candidates;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loss of the cooperation of a collaborator;</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requirements to cease distribution or to recall batches of our product candidates; and</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47"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clinical-stage conditionally activated ADCs, praluzatamab ravtansine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47" w:name="page48"/>
    <w:bookmarkEnd w:id="47"/>
    <w:p>
      <w:pPr>
        <w:ind w:right="260"/>
        <w:spacing w:after="0" w:line="321"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41"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It may prove more challenging than we anticipate to manufacture products that incorporate our Probody therapeutic technology. In order to conduct clinical trials of our product candidates, including our clinical trials for praluzatamab ravtansine (CX-2009), CX-2029, and pacmilimab (CX-072), we will need to manufacture them in large quantities. To date, we have generally been able to successfully manufacture praluzatamab ravtansine, CX-2029, and pacmilimab for our ongoing early-stage clinical trials. However, in November 2019, we had a production failure at one of our contract manufacturers that manufactured pacmilimab for our Phase 1/2 clinical trial and for our future trials. If we had not been able to assure sufficient supplies of clinical trial drug product after the production failure, we may have been required to suspend any ongoing trials and postpone future trials. Although we have taken sufficient steps to assure our current supply of pacmilimab clinical trial drug product for our planned clinical trials, there can be no assurance that we will not have future production failures, which could affect our ability to conduct our trials for praluzatamab ravtansine, CX-2029, pacmilimab or any other clinical trial drug candidates on our planned timeline or at all. Furthermore, in order to conduct later stage clinical trials of our product candidates, such as our Phase 2 clinical trial for praluzatamab ravtansine,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larger drug manufacturing capability, including praluzatamab ravtansine drug product for late-stage clinical trials and commercialization.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praluzatamab ravtansine, pacmilimab or any of our other product candidates, increase the life of drug stability of product candidates, or successfully complete the FDA’s bridging requirements, we may not be able to successfully obtain FDA approval and commercialize product candidates in a timely manner or at all.</w:t>
      </w:r>
    </w:p>
    <w:p>
      <w:pPr>
        <w:spacing w:after="0" w:line="176"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Additionally, we were dependent on ImmunoGen under our collaboration for certain steps in the manufacturing of clinical quantities of praluzatamab ravtansine. At the end of 2018, ImmunoGen closed their clinical manufacturing facility in Norwood, Massachusetts, which provided clinical manufacturing support for the praluzatamab ravtansine program. We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praluzatamab ravtansine in connection with such transfer or that we will not experience any other disruption in the manufacturing of praluzatamab ravtansine.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273" w:lineRule="exact"/>
        <w:rPr>
          <w:sz w:val="20"/>
          <w:szCs w:val="20"/>
          <w:color w:val="auto"/>
        </w:rPr>
      </w:pPr>
    </w:p>
    <w:p>
      <w:pPr>
        <w:ind w:right="160"/>
        <w:spacing w:after="0" w:line="290"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and indications, including praluzatamab ravtansine (CX-2009), CX-2029, and pacmilimab (CX-072).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including CX-2043 and CX-904,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 successfully.</w:t>
      </w:r>
    </w:p>
    <w:p>
      <w:pPr>
        <w:spacing w:after="0" w:line="12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will need to grow our organization substantially to continue development and pursue the potential commercialization of praluzatamab ravtansine (CX-2009), CX-2029, and pacmilimab (CX-072) and our other product candidates, including CX-2043 and CX-904,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48" w:name="page49"/>
    <w:bookmarkEnd w:id="48"/>
    <w:p>
      <w:pPr>
        <w:ind w:right="20"/>
        <w:spacing w:after="0" w:line="287" w:lineRule="auto"/>
        <w:rPr>
          <w:sz w:val="20"/>
          <w:szCs w:val="20"/>
          <w:color w:val="auto"/>
        </w:rPr>
      </w:pPr>
      <w:r>
        <w:rPr>
          <w:rFonts w:ascii="Arial" w:cs="Arial" w:eastAsia="Arial" w:hAnsi="Arial"/>
          <w:sz w:val="17"/>
          <w:szCs w:val="17"/>
          <w:color w:val="auto"/>
        </w:rPr>
        <w:t>candidates under such agreements progresses. In the future, we expect to also have to manage additional relationships with collaborators or partners,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83" w:lineRule="exact"/>
        <w:rPr>
          <w:sz w:val="20"/>
          <w:szCs w:val="20"/>
          <w:color w:val="auto"/>
        </w:rPr>
      </w:pPr>
    </w:p>
    <w:p>
      <w:pPr>
        <w:ind w:right="160"/>
        <w:spacing w:after="0" w:line="327"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6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praluzatamab ravtansine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pacmilimab (CX-072) is, in particular, highly competitive and the field is changing quickly. In March 2020, we made the strategic decision to terminate our Phase 2 study evaluating pacmilimab in combination ipilimumab. This decision followed a re-evaluation of the evolving clinical, competitive and commercial landscapes in immuno-oncology, taken together with impact of the COVID-19 pandemic.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71"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Amunix, BioAtla, Halozyme, Harpoon Therapeutics, Maverick Therapeutics, Revitope, Roche, Seagen, Werewolf Therapeutics, and Xilio are exploring antibody masking and/or conditional activation strategies, which could compete with our Probody platform. We are also aware of several companies that are developing ADCs, such as AbbVie, ADC Therapeutics, Daiichi Sankyo, Gilead, ImmunoGen, Mersana Therapeutics, Pfizer, Roche Holding Ltd., Seagen,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183"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49" w:name="page50"/>
    <w:bookmarkEnd w:id="49"/>
    <w:p>
      <w:pPr>
        <w:ind w:right="120"/>
        <w:spacing w:after="0" w:line="290" w:lineRule="auto"/>
        <w:rPr>
          <w:sz w:val="20"/>
          <w:szCs w:val="20"/>
          <w:color w:val="auto"/>
        </w:rPr>
      </w:pPr>
      <w:r>
        <w:rPr>
          <w:rFonts w:ascii="Arial" w:cs="Arial" w:eastAsia="Arial" w:hAnsi="Arial"/>
          <w:sz w:val="18"/>
          <w:szCs w:val="18"/>
          <w:color w:val="auto"/>
        </w:rPr>
        <w:t>the expense of developing and commercializing our product candidates. Such competitors could also recruit our employees, which could negatively impact our level of expertise and our ability to execute our business plan.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5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success largely depends on the continued service of key management, advisors and other specialized personnel, including Sean A. McCarthy, D.Phil., our president and chief executive officer, and Amy C. Peterson, M.D., our chief development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has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 and across the country.</w:t>
      </w:r>
    </w:p>
    <w:p>
      <w:pPr>
        <w:spacing w:after="0" w:line="2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75"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115"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81" w:right="359" w:bottom="1440" w:gutter="0" w:footer="0" w:header="0"/>
        </w:sectPr>
      </w:pPr>
    </w:p>
    <w:bookmarkStart w:id="50" w:name="page51"/>
    <w:bookmarkEnd w:id="50"/>
    <w:p>
      <w:pPr>
        <w:ind w:right="440"/>
        <w:spacing w:after="0" w:line="290"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exposed to significant product liability risks inherent in the development, testing, manufacturing and marketing of therapeutic treatments, including as a result of the clinical testing of praluzatamab ravtansine (CX-2009), CX-2029, BMS-986249, BMS-986288, pacmilimab (CX-072)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78"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278" w:lineRule="exact"/>
        <w:rPr>
          <w:sz w:val="20"/>
          <w:szCs w:val="20"/>
          <w:color w:val="auto"/>
        </w:rPr>
      </w:pPr>
    </w:p>
    <w:p>
      <w:pPr>
        <w:ind w:right="40"/>
        <w:spacing w:after="0" w:line="392"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302"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have gradually increased levels of our laboratory research activities, there can be no assurance that we will be able to continue to increase or maintain current levels of such activity or that the COVID-19 pandemic will not continue to impact our ability to conduct business.</w:t>
      </w:r>
    </w:p>
    <w:p>
      <w:pPr>
        <w:spacing w:after="0" w:line="171"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51" w:name="page52"/>
    <w:bookmarkEnd w:id="51"/>
    <w:p>
      <w:pPr>
        <w:ind w:right="60"/>
        <w:spacing w:after="0" w:line="317" w:lineRule="auto"/>
        <w:rPr>
          <w:sz w:val="20"/>
          <w:szCs w:val="20"/>
          <w:color w:val="auto"/>
        </w:rPr>
      </w:pPr>
      <w:r>
        <w:rPr>
          <w:rFonts w:ascii="Arial" w:cs="Arial" w:eastAsia="Arial" w:hAnsi="Arial"/>
          <w:sz w:val="16"/>
          <w:szCs w:val="16"/>
          <w:color w:val="auto"/>
        </w:rPr>
        <w:t>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29"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 Additionally, for the purpose of revenue recognition, we are required to estimate research service periods as well as the related cost to completion, of our research development program. Such estimates are inherently uncertain and may result in changes in estimates to financial statements in subsequent periods.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29"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spacing w:after="0" w:line="269" w:lineRule="auto"/>
        <w:rPr>
          <w:sz w:val="20"/>
          <w:szCs w:val="20"/>
          <w:color w:val="auto"/>
        </w:rPr>
      </w:pPr>
      <w:r>
        <w:rPr>
          <w:rFonts w:ascii="Arial" w:cs="Arial" w:eastAsia="Arial" w:hAnsi="Arial"/>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33" w:lineRule="exact"/>
        <w:rPr>
          <w:sz w:val="20"/>
          <w:szCs w:val="20"/>
          <w:color w:val="auto"/>
        </w:rPr>
      </w:pPr>
    </w:p>
    <w:p>
      <w:pPr>
        <w:ind w:right="600"/>
        <w:spacing w:after="0" w:line="290"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9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52" w:name="page53"/>
    <w:bookmarkEnd w:id="52"/>
    <w:p>
      <w:pPr>
        <w:ind w:right="520"/>
        <w:spacing w:after="0" w:line="290" w:lineRule="auto"/>
        <w:rPr>
          <w:sz w:val="20"/>
          <w:szCs w:val="20"/>
          <w:color w:val="auto"/>
        </w:rPr>
      </w:pPr>
      <w:r>
        <w:rPr>
          <w:rFonts w:ascii="Arial" w:cs="Arial" w:eastAsia="Arial" w:hAnsi="Arial"/>
          <w:sz w:val="18"/>
          <w:szCs w:val="18"/>
          <w:color w:val="auto"/>
        </w:rPr>
        <w:t>maintained as trade secrets. If third parties disclose or misappropriate our proprietary rights, it may materially and adversely affect our position in the market.</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63"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5" w:lineRule="exact"/>
        <w:rPr>
          <w:sz w:val="20"/>
          <w:szCs w:val="20"/>
          <w:color w:val="auto"/>
        </w:rPr>
      </w:pPr>
    </w:p>
    <w:p>
      <w:pPr>
        <w:ind w:right="20"/>
        <w:spacing w:after="0" w:line="317" w:lineRule="auto"/>
        <w:rPr>
          <w:sz w:val="20"/>
          <w:szCs w:val="20"/>
          <w:color w:val="auto"/>
        </w:rPr>
      </w:pPr>
      <w:r>
        <w:rPr>
          <w:rFonts w:ascii="Arial" w:cs="Arial" w:eastAsia="Arial" w:hAnsi="Arial"/>
          <w:sz w:val="16"/>
          <w:szCs w:val="16"/>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48" w:lineRule="exact"/>
        <w:rPr>
          <w:sz w:val="20"/>
          <w:szCs w:val="20"/>
          <w:color w:val="auto"/>
        </w:rPr>
      </w:pPr>
    </w:p>
    <w:p>
      <w:pPr>
        <w:ind w:left="960" w:right="360"/>
        <w:spacing w:after="0" w:line="290" w:lineRule="auto"/>
        <w:rPr>
          <w:sz w:val="20"/>
          <w:szCs w:val="20"/>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3" w:lineRule="exact"/>
        <w:rPr>
          <w:sz w:val="20"/>
          <w:szCs w:val="20"/>
          <w:color w:val="auto"/>
        </w:rPr>
      </w:pPr>
    </w:p>
    <w:p>
      <w:pPr>
        <w:ind w:left="960" w:right="720"/>
        <w:spacing w:after="0" w:line="290" w:lineRule="auto"/>
        <w:rPr>
          <w:sz w:val="20"/>
          <w:szCs w:val="20"/>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129" w:lineRule="exact"/>
        <w:rPr>
          <w:sz w:val="20"/>
          <w:szCs w:val="20"/>
          <w:color w:val="auto"/>
        </w:rPr>
      </w:pPr>
    </w:p>
    <w:p>
      <w:pPr>
        <w:ind w:left="960" w:right="1020"/>
        <w:spacing w:after="0" w:line="290" w:lineRule="auto"/>
        <w:rPr>
          <w:sz w:val="20"/>
          <w:szCs w:val="20"/>
          <w:color w:val="auto"/>
        </w:rPr>
      </w:pPr>
      <w:r>
        <w:rPr>
          <w:rFonts w:ascii="Arial" w:cs="Arial" w:eastAsia="Arial" w:hAnsi="Arial"/>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5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develop additional proprietary technologies that are patentable.</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40" w:lineRule="exact"/>
        <w:rPr>
          <w:sz w:val="20"/>
          <w:szCs w:val="20"/>
          <w:color w:val="auto"/>
        </w:rPr>
      </w:pPr>
    </w:p>
    <w:p>
      <w:pPr>
        <w:ind w:left="960" w:right="140"/>
        <w:spacing w:after="0" w:line="321" w:lineRule="auto"/>
        <w:rPr>
          <w:sz w:val="20"/>
          <w:szCs w:val="20"/>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sectPr>
      </w:pPr>
    </w:p>
    <w:bookmarkStart w:id="53" w:name="page54"/>
    <w:bookmarkEnd w:id="53"/>
    <w:p>
      <w:pPr>
        <w:ind w:right="360"/>
        <w:spacing w:after="0" w:line="290"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92"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83" w:lineRule="exact"/>
        <w:rPr>
          <w:sz w:val="20"/>
          <w:szCs w:val="20"/>
          <w:color w:val="auto"/>
        </w:rPr>
      </w:pPr>
    </w:p>
    <w:p>
      <w:pPr>
        <w:ind w:right="40"/>
        <w:spacing w:after="0" w:line="327" w:lineRule="auto"/>
        <w:rPr>
          <w:sz w:val="20"/>
          <w:szCs w:val="20"/>
          <w:color w:val="auto"/>
        </w:rPr>
      </w:pPr>
      <w:r>
        <w:rPr>
          <w:rFonts w:ascii="Arial" w:cs="Arial" w:eastAsia="Arial" w:hAnsi="Arial"/>
          <w:sz w:val="16"/>
          <w:szCs w:val="16"/>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9"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7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8"/>
          <w:szCs w:val="18"/>
          <w:i w:val="1"/>
          <w:iCs w:val="1"/>
          <w:color w:val="auto"/>
        </w:rPr>
        <w:t>inter alia</w:t>
      </w:r>
      <w:r>
        <w:rPr>
          <w:rFonts w:ascii="Arial" w:cs="Arial" w:eastAsia="Arial" w:hAnsi="Arial"/>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54" w:name="page55"/>
    <w:bookmarkEnd w:id="54"/>
    <w:p>
      <w:pPr>
        <w:ind w:right="100"/>
        <w:spacing w:after="0" w:line="273"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7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163"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69"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287" w:lineRule="exact"/>
        <w:rPr>
          <w:sz w:val="20"/>
          <w:szCs w:val="20"/>
          <w:color w:val="auto"/>
        </w:rPr>
      </w:pPr>
    </w:p>
    <w:p>
      <w:pPr>
        <w:jc w:val="both"/>
        <w:ind w:right="480"/>
        <w:spacing w:after="0" w:line="277"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75"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55" w:name="page56"/>
    <w:bookmarkEnd w:id="55"/>
    <w:p>
      <w:pPr>
        <w:ind w:right="220"/>
        <w:spacing w:after="0" w:line="317" w:lineRule="auto"/>
        <w:rPr>
          <w:sz w:val="20"/>
          <w:szCs w:val="20"/>
          <w:color w:val="auto"/>
        </w:rPr>
      </w:pPr>
      <w:r>
        <w:rPr>
          <w:rFonts w:ascii="Arial" w:cs="Arial" w:eastAsia="Arial" w:hAnsi="Arial"/>
          <w:sz w:val="16"/>
          <w:szCs w:val="16"/>
          <w:color w:val="auto"/>
        </w:rPr>
        <w:t>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55"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4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6"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2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75"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56" w:name="page57"/>
    <w:bookmarkEnd w:id="56"/>
    <w:p>
      <w:pPr>
        <w:jc w:val="both"/>
        <w:ind w:right="220"/>
        <w:spacing w:after="0" w:line="277"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75"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76" w:lineRule="exact"/>
        <w:rPr>
          <w:sz w:val="20"/>
          <w:szCs w:val="20"/>
          <w:color w:val="auto"/>
        </w:rPr>
      </w:pPr>
    </w:p>
    <w:p>
      <w:pPr>
        <w:spacing w:after="0" w:line="228" w:lineRule="exact"/>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Arial" w:cs="Arial" w:eastAsia="Arial" w:hAnsi="Arial"/>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92"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84" w:lineRule="exact"/>
        <w:rPr>
          <w:sz w:val="20"/>
          <w:szCs w:val="20"/>
          <w:color w:val="auto"/>
        </w:rPr>
      </w:pPr>
    </w:p>
    <w:p>
      <w:pPr>
        <w:ind w:right="460"/>
        <w:spacing w:after="0" w:line="300"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01" w:lineRule="exact"/>
        <w:rPr>
          <w:sz w:val="20"/>
          <w:szCs w:val="20"/>
          <w:color w:val="auto"/>
        </w:rPr>
      </w:pPr>
    </w:p>
    <w:p>
      <w:pPr>
        <w:ind w:right="160"/>
        <w:spacing w:after="0" w:line="290"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9"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33" w:lineRule="exact"/>
        <w:rPr>
          <w:sz w:val="20"/>
          <w:szCs w:val="20"/>
          <w:color w:val="auto"/>
        </w:rPr>
      </w:pPr>
    </w:p>
    <w:p>
      <w:pPr>
        <w:ind w:right="620"/>
        <w:spacing w:after="0" w:line="290" w:lineRule="auto"/>
        <w:rPr>
          <w:sz w:val="20"/>
          <w:szCs w:val="20"/>
          <w:color w:val="auto"/>
        </w:rPr>
      </w:pPr>
      <w:r>
        <w:rPr>
          <w:rFonts w:ascii="Arial" w:cs="Arial" w:eastAsia="Arial" w:hAnsi="Arial"/>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63"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at this time it is impossible to predict whether the COVID-19 pandemic will cause regulatory delays in the U.S. or foreign jurisdictions. It is possible that none of the product candidates we may develop will obtain the regulatory approvals necessary for us or our existing or future collaborators to begin selling them.</w:t>
      </w:r>
    </w:p>
    <w:p>
      <w:pPr>
        <w:spacing w:after="0" w:line="179"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uncertain impact of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69"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9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294"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58" w:name="page59"/>
    <w:bookmarkEnd w:id="58"/>
    <w:p>
      <w:pPr>
        <w:ind w:right="320"/>
        <w:spacing w:after="0" w:line="317" w:lineRule="auto"/>
        <w:rPr>
          <w:sz w:val="20"/>
          <w:szCs w:val="20"/>
          <w:color w:val="auto"/>
        </w:rPr>
      </w:pPr>
      <w:r>
        <w:rPr>
          <w:rFonts w:ascii="Arial" w:cs="Arial" w:eastAsia="Arial" w:hAnsi="Arial"/>
          <w:sz w:val="16"/>
          <w:szCs w:val="16"/>
          <w:color w:val="auto"/>
        </w:rPr>
        <w:t>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48" w:lineRule="exact"/>
        <w:rPr>
          <w:sz w:val="20"/>
          <w:szCs w:val="20"/>
          <w:color w:val="auto"/>
        </w:rPr>
      </w:pPr>
    </w:p>
    <w:p>
      <w:pPr>
        <w:ind w:left="960" w:right="240"/>
        <w:spacing w:after="0" w:line="290" w:lineRule="auto"/>
        <w:rPr>
          <w:sz w:val="20"/>
          <w:szCs w:val="20"/>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fines, warning letters or holds on clinical trials;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refusal by the FDA to approve pending applications or supplements to approved applications filed by us or our strategic partners;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suspension or revocation of product license approvals;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product seizure or detention or refusal to permit the import or export of products; and</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injunctions or the imposition of civil or criminal penalties.</w:t>
      </w:r>
    </w:p>
    <w:p>
      <w:pPr>
        <w:spacing w:after="0" w:line="236"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6"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the results of the 2020 U.S. Presidential Election may impact our business and industry. Namely,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whether or how these executive actions will be implemented, or whether they will be rescinded and replaced under the Biden administration. The policies and priorities of a new administration are unknown and could materially impact the regulations governing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176"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5" w:lineRule="exact"/>
        <w:rPr>
          <w:sz w:val="20"/>
          <w:szCs w:val="20"/>
          <w:color w:val="auto"/>
        </w:rPr>
      </w:pPr>
    </w:p>
    <w:p>
      <w:pPr>
        <w:ind w:right="600"/>
        <w:spacing w:after="0" w:line="321"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59" w:name="page60"/>
    <w:bookmarkEnd w:id="59"/>
    <w:p>
      <w:pPr>
        <w:ind w:right="40"/>
        <w:spacing w:after="0" w:line="288" w:lineRule="auto"/>
        <w:rPr>
          <w:sz w:val="20"/>
          <w:szCs w:val="20"/>
          <w:color w:val="auto"/>
        </w:rPr>
      </w:pPr>
      <w:r>
        <w:rPr>
          <w:rFonts w:ascii="Arial" w:cs="Arial" w:eastAsia="Arial" w:hAnsi="Arial"/>
          <w:sz w:val="17"/>
          <w:szCs w:val="17"/>
          <w:color w:val="auto"/>
        </w:rPr>
        <w:t>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FDA employees and stop critical activities.</w:t>
      </w:r>
    </w:p>
    <w:p>
      <w:pPr>
        <w:spacing w:after="0" w:line="176"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Separately, in response to the global pandemic of COVID-19,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Additionally, on April 15,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be appropriate.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15"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69"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or other challenges to the ACA, if any, will impact the ACA or our business.</w:t>
      </w:r>
    </w:p>
    <w:p>
      <w:pPr>
        <w:spacing w:after="0" w:line="162"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2, 2020 through December 31, 2021,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66" w:lineRule="exact"/>
        <w:rPr>
          <w:sz w:val="20"/>
          <w:szCs w:val="20"/>
          <w:color w:val="auto"/>
        </w:rPr>
      </w:pPr>
    </w:p>
    <w:p>
      <w:pPr>
        <w:ind w:right="540"/>
        <w:spacing w:after="0" w:line="321" w:lineRule="auto"/>
        <w:rPr>
          <w:sz w:val="20"/>
          <w:szCs w:val="20"/>
          <w:color w:val="auto"/>
        </w:rPr>
      </w:pPr>
      <w:r>
        <w:rPr>
          <w:rFonts w:ascii="Arial" w:cs="Arial" w:eastAsia="Arial" w:hAnsi="Arial"/>
          <w:sz w:val="17"/>
          <w:szCs w:val="17"/>
          <w:color w:val="auto"/>
        </w:rPr>
        <w:t>Moreover, payment methodologies, including payment for companion diagnostics, may be subject to changes in healthcare legislation and regulatory initiatives. For example, the Centers for Medicare &amp; Medicaid Services (“CMS”) has begun bundling the Medicare payments for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4" w:right="359" w:bottom="1440" w:gutter="0" w:footer="0" w:header="0"/>
        </w:sectPr>
      </w:pPr>
    </w:p>
    <w:bookmarkStart w:id="60" w:name="page61"/>
    <w:bookmarkEnd w:id="60"/>
    <w:p>
      <w:pPr>
        <w:spacing w:after="0" w:line="297" w:lineRule="auto"/>
        <w:rPr>
          <w:sz w:val="20"/>
          <w:szCs w:val="20"/>
          <w:color w:val="auto"/>
        </w:rPr>
      </w:pPr>
      <w:r>
        <w:rPr>
          <w:rFonts w:ascii="Arial" w:cs="Arial" w:eastAsia="Arial" w:hAnsi="Arial"/>
          <w:sz w:val="16"/>
          <w:szCs w:val="16"/>
          <w:color w:val="auto"/>
        </w:rPr>
        <w:t xml:space="preserve">certain laboratory tests ordered while a patient received services in a hospital outpatient setting. Additionally, CMS significantly altered the payment methodology under the Medicare Clinical Laboratory Fee Schedule (CLFS). Effective 2018, the CFLS is based on a weighted average of reported prices that private payors, Medicare Advantage plans, and Medicaid Managed Care plans pay for laboratory services. Further, in March 2018,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w:t>
      </w:r>
    </w:p>
    <w:p>
      <w:pPr>
        <w:spacing w:after="0" w:line="4" w:lineRule="exact"/>
        <w:rPr>
          <w:sz w:val="20"/>
          <w:szCs w:val="20"/>
          <w:color w:val="auto"/>
        </w:rPr>
      </w:pPr>
    </w:p>
    <w:p>
      <w:pPr>
        <w:jc w:val="both"/>
        <w:ind w:right="300" w:firstLine="7"/>
        <w:spacing w:after="0" w:line="316" w:lineRule="auto"/>
        <w:tabs>
          <w:tab w:leader="none" w:pos="223" w:val="left"/>
        </w:tabs>
        <w:numPr>
          <w:ilvl w:val="0"/>
          <w:numId w:val="4"/>
        </w:numPr>
        <w:rPr>
          <w:rFonts w:ascii="Arial" w:cs="Arial" w:eastAsia="Arial" w:hAnsi="Arial"/>
          <w:sz w:val="16"/>
          <w:szCs w:val="16"/>
          <w:color w:val="auto"/>
        </w:rPr>
      </w:pPr>
      <w:r>
        <w:rPr>
          <w:rFonts w:ascii="Arial" w:cs="Arial" w:eastAsia="Arial" w:hAnsi="Arial"/>
          <w:sz w:val="16"/>
          <w:szCs w:val="16"/>
          <w:color w:val="auto"/>
        </w:rPr>
        <w:t>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5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Furthermore, with the new Presidential administration and both houses of Congress under the control of one party, which has promoted substantial changes to the healthcare system and drug pricing rules, some changes are likely. If certain of these changes are implemented, it could have a materially adverse impact on the ability of biotechnology and pharmaceutical companies, like us, to obtain capital to further their research or develop their product candidates make it economically unfeasible for such companies to continue to develop needed new innovative therapies.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283" w:lineRule="exact"/>
        <w:rPr>
          <w:sz w:val="20"/>
          <w:szCs w:val="20"/>
          <w:color w:val="auto"/>
        </w:rPr>
      </w:pPr>
    </w:p>
    <w:p>
      <w:pPr>
        <w:ind w:right="600"/>
        <w:spacing w:after="0" w:line="356"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87" w:lineRule="exact"/>
        <w:rPr>
          <w:sz w:val="20"/>
          <w:szCs w:val="20"/>
          <w:color w:val="auto"/>
        </w:rPr>
      </w:pPr>
    </w:p>
    <w:p>
      <w:pPr>
        <w:ind w:left="960" w:right="60"/>
        <w:spacing w:after="0" w:line="271" w:lineRule="auto"/>
        <w:rPr>
          <w:sz w:val="20"/>
          <w:szCs w:val="20"/>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0" w:lineRule="exact"/>
        <w:rPr>
          <w:sz w:val="20"/>
          <w:szCs w:val="20"/>
          <w:color w:val="auto"/>
        </w:rPr>
      </w:pPr>
    </w:p>
    <w:p>
      <w:pPr>
        <w:ind w:left="960" w:right="20"/>
        <w:spacing w:after="0" w:line="269" w:lineRule="auto"/>
        <w:rPr>
          <w:sz w:val="20"/>
          <w:szCs w:val="20"/>
          <w:color w:val="auto"/>
        </w:rPr>
      </w:pPr>
      <w:r>
        <w:rPr>
          <w:rFonts w:ascii="Arial" w:cs="Arial" w:eastAsia="Arial" w:hAnsi="Arial"/>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84" w:lineRule="exact"/>
        <w:rPr>
          <w:sz w:val="20"/>
          <w:szCs w:val="20"/>
          <w:color w:val="auto"/>
        </w:rPr>
      </w:pPr>
    </w:p>
    <w:p>
      <w:pPr>
        <w:ind w:left="960" w:right="40"/>
        <w:spacing w:after="0" w:line="273" w:lineRule="auto"/>
        <w:rPr>
          <w:sz w:val="20"/>
          <w:szCs w:val="20"/>
          <w:color w:val="auto"/>
        </w:rPr>
      </w:pPr>
      <w:r>
        <w:rPr>
          <w:rFonts w:ascii="Arial" w:cs="Arial" w:eastAsia="Arial" w:hAnsi="Arial"/>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61" w:name="page62"/>
    <w:bookmarkEnd w:id="61"/>
    <w:p>
      <w:pPr>
        <w:ind w:left="960" w:right="180"/>
        <w:spacing w:after="0" w:line="290" w:lineRule="auto"/>
        <w:rPr>
          <w:sz w:val="20"/>
          <w:szCs w:val="20"/>
          <w:color w:val="auto"/>
        </w:rPr>
      </w:pPr>
      <w:r>
        <w:rPr>
          <w:rFonts w:ascii="Arial" w:cs="Arial" w:eastAsia="Arial" w:hAnsi="Arial"/>
          <w:sz w:val="18"/>
          <w:szCs w:val="18"/>
          <w:color w:val="auto"/>
        </w:rPr>
        <w:t>Anti-Kickback Statute, a person or entity does not need to have actual knowledge of the statute or specific intent to violate it in order to have committed a violation;</w:t>
      </w:r>
    </w:p>
    <w:p>
      <w:pPr>
        <w:spacing w:after="0" w:line="63" w:lineRule="exact"/>
        <w:rPr>
          <w:sz w:val="20"/>
          <w:szCs w:val="20"/>
          <w:color w:val="auto"/>
        </w:rPr>
      </w:pPr>
    </w:p>
    <w:p>
      <w:pPr>
        <w:ind w:left="960" w:right="400"/>
        <w:spacing w:after="0" w:line="288" w:lineRule="auto"/>
        <w:rPr>
          <w:sz w:val="20"/>
          <w:szCs w:val="20"/>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teaching hospitals and, beginning in 2022, certain other health care professionals, as well as ownership and investment interests held by the physicians described above and their immediate family members; and</w:t>
      </w:r>
    </w:p>
    <w:p>
      <w:pPr>
        <w:spacing w:after="0" w:line="69" w:lineRule="exact"/>
        <w:rPr>
          <w:sz w:val="20"/>
          <w:szCs w:val="20"/>
          <w:color w:val="auto"/>
        </w:rPr>
      </w:pPr>
    </w:p>
    <w:p>
      <w:pPr>
        <w:ind w:left="960" w:right="120"/>
        <w:spacing w:after="0" w:line="312" w:lineRule="auto"/>
        <w:rPr>
          <w:sz w:val="20"/>
          <w:szCs w:val="20"/>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spacing w:after="0" w:line="16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adverse regulatory inspection findings;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warning letters;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restrictions on, or prohibitions against, marketing our products;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restrictions on, or prohibitions against, importation or exportation of our products;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exclusion from participation in government-funded healthcare programs;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exclusion from eligibility for the award of government contracts for our products;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suspension or withdrawal of product approvals;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seizures or administrative detention of products;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injunctions; and</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civil and criminal penalties and fines.</w:t>
      </w:r>
    </w:p>
    <w:p>
      <w:pPr>
        <w:spacing w:after="0" w:line="343" w:lineRule="exact"/>
        <w:rPr>
          <w:sz w:val="20"/>
          <w:szCs w:val="20"/>
          <w:color w:val="auto"/>
        </w:rPr>
      </w:pPr>
    </w:p>
    <w:p>
      <w:pPr>
        <w:ind w:right="140"/>
        <w:spacing w:after="0" w:line="290"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4" w:right="359" w:bottom="1440" w:gutter="0" w:footer="0" w:header="0"/>
        </w:sectPr>
      </w:pPr>
    </w:p>
    <w:bookmarkStart w:id="62" w:name="page63"/>
    <w:bookmarkEnd w:id="62"/>
    <w:p>
      <w:pPr>
        <w:spacing w:after="0" w:line="284" w:lineRule="auto"/>
        <w:rPr>
          <w:sz w:val="20"/>
          <w:szCs w:val="20"/>
          <w:color w:val="auto"/>
        </w:rPr>
      </w:pPr>
      <w:r>
        <w:rPr>
          <w:rFonts w:ascii="Arial" w:cs="Arial" w:eastAsia="Arial" w:hAnsi="Arial"/>
          <w:sz w:val="17"/>
          <w:szCs w:val="17"/>
          <w:color w:val="auto"/>
        </w:rPr>
        <w:t>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287" w:lineRule="exact"/>
        <w:rPr>
          <w:sz w:val="20"/>
          <w:szCs w:val="20"/>
          <w:color w:val="auto"/>
        </w:rPr>
      </w:pPr>
    </w:p>
    <w:p>
      <w:pPr>
        <w:ind w:right="240"/>
        <w:spacing w:after="0" w:line="290" w:lineRule="auto"/>
        <w:rPr>
          <w:sz w:val="20"/>
          <w:szCs w:val="20"/>
          <w:color w:val="auto"/>
        </w:rPr>
      </w:pPr>
      <w:r>
        <w:rPr>
          <w:rFonts w:ascii="Arial" w:cs="Arial" w:eastAsia="Arial" w:hAnsi="Arial"/>
          <w:sz w:val="18"/>
          <w:szCs w:val="18"/>
          <w:b w:val="1"/>
          <w:bCs w:val="1"/>
          <w:i w:val="1"/>
          <w:iCs w:val="1"/>
          <w:color w:val="auto"/>
        </w:rPr>
        <w:t>We face regulation and potential liability related to the privacy, data protection and information security which may require significant resources and may adversely affect our business, operations and financial performance.</w:t>
      </w:r>
    </w:p>
    <w:p>
      <w:pPr>
        <w:spacing w:after="0" w:line="63"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The regulatory environment surrounding information security, data collection and privacy is increasingly demanding. We are subject to numerous U.S. federal and state laws and non-U.S. regulations governing the protection of personal and confidential information of our clinical subjects, clinical investigators, employees and vendors/business contacts, including in relation to medical records, credit card data and financial information. For example, on May 25, 2018, the European Union General Data Protection Regulation, or GDPR, became effective, implementing more stringent requirements in relation to our use of personal data relating to individuals located in the E.U. (and E.E.A.). The GDPR is directly applicable in all E.U. and E.E.A. member states. The GDPR significantly increased fining levels to up to 4% total worldwide annual turnover or up to €20 million (whichever is higher) for non-compliance with its requirements. Further, following the withdrawal of the United Kingdom from the E.U. and the expiry of the transition period, from January 1, 2021, we have to comply with the GDPR and separately the GDPR as implemented in the United Kingdom, with each regime having the ability to issue substantial fines. The relationship between the United Kingdom and the E.U. in relation to certain aspects of data protection law remains unclear, including how data transfers between E.U. member states and the United Kingdom will be treated. These changes may lead to additional compliance costs and could increase our overall risk. We will be subject to the GDPR where we have an E.U. presence or “establishment” (</w:t>
      </w:r>
      <w:r>
        <w:rPr>
          <w:rFonts w:ascii="Arial" w:cs="Arial" w:eastAsia="Arial" w:hAnsi="Arial"/>
          <w:sz w:val="17"/>
          <w:szCs w:val="17"/>
          <w:i w:val="1"/>
          <w:iCs w:val="1"/>
          <w:color w:val="auto"/>
        </w:rPr>
        <w:t>e.g</w:t>
      </w:r>
      <w:r>
        <w:rPr>
          <w:rFonts w:ascii="Arial" w:cs="Arial" w:eastAsia="Arial" w:hAnsi="Arial"/>
          <w:sz w:val="17"/>
          <w:szCs w:val="17"/>
          <w:color w:val="auto"/>
        </w:rPr>
        <w:t>., E.U. based subsidiary or operations), when conducting clinical trials with E.U. based data subjects (whether the trials are conducted directly by us or through a clinical vendor or collaborator) or offering approved products or services (if relevant) to E.U. and E.E.A. based data subjects (regardless of whether involving our E.U. based subsidiary or operations).</w:t>
      </w:r>
    </w:p>
    <w:p>
      <w:pPr>
        <w:spacing w:after="0" w:line="182"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GDPR sets out a number of requirements that must be complied with when handling the personal data of such data subjects within the E.U. and the E.E.A.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the new mandatory data breach regime. In particular, medical or health data, genetic data and biometric data where the latter is used to uniquely identify an individual (even, in certain situations, where such data is key coded) are all classified as “special category” data under GDPR and afford greater protection and require additional compliance obligations. Further, E.U. and EEA member states have a broad right to impose additional conditions – including restrictions – on these data categories. This is because the GDPR allows E.U. and E.E.A. member states to derogate from the requirements of the GDPR mainly in regard to specific processing situations (including special category data and processing for scientific or statistical purposes).</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will also be subject to evolving E.U. laws on data export, where we transfer data outside the E.U. (or E.E.A.) to group companies or third parties. Recent legal developments in Europe have created complexity and uncertainty regarding transfers of personal data from the E.E.A. to the United States. For example, on July 16, 2020, the Court of Justice of the European Union (CJEU) invalidated the EU-US Privacy Shield Framework (Privacy Shield) under which personal data could be transferred from the E.E.A. to United States entities which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These recent developments will require us to review and amend the legal mechanisms by which we transfer personal data from the E.E.A. to the United States.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63" w:name="page64"/>
    <w:bookmarkEnd w:id="63"/>
    <w:p>
      <w:pPr>
        <w:ind w:right="240"/>
        <w:spacing w:after="0" w:line="271" w:lineRule="auto"/>
        <w:rPr>
          <w:sz w:val="20"/>
          <w:szCs w:val="20"/>
          <w:color w:val="auto"/>
        </w:rPr>
      </w:pPr>
      <w:r>
        <w:rPr>
          <w:rFonts w:ascii="Arial" w:cs="Arial" w:eastAsia="Arial" w:hAnsi="Arial"/>
          <w:sz w:val="18"/>
          <w:szCs w:val="18"/>
          <w:color w:val="auto"/>
        </w:rPr>
        <w:t>Where we rely on third parties to carry out a number of services for us, including processing personal data on our behalf, we are required under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our customers to lose trust in us, which could have an adverse impact on our reputation and business.</w:t>
      </w:r>
    </w:p>
    <w:p>
      <w:pPr>
        <w:spacing w:after="0" w:line="187"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In recent years, U.S. and European lawmakers and regulators have expressed concern over electronic marketing and the use of third-party cookies, web beacons and similar technology for online behavioral advertising. In the E.U., marketing is defined broadly to include any promotional material and the rules specifically on e-marketing are currently set out in the ePrivacy Directive which will be replaced by a new ePrivacy Regulation. While the ePrivacy Regulation was originally intended to be adopted on May 25, 2018 (alongside the GDPR), it is still going through the European legislative process. The current draft of the ePrivacy Regulation imposes strict opt-in e-marketing rules with limited exceptions to business to business communications and significantly increases fining powers to the same levels as GDPR (see above). Regulation of cookies and web beacons may lead to broader restrictions on our online activities, including efforts to understand followers’ internet usage and promote ourselves to them.</w:t>
      </w:r>
    </w:p>
    <w:p>
      <w:pPr>
        <w:spacing w:after="0" w:line="164" w:lineRule="exact"/>
        <w:rPr>
          <w:sz w:val="20"/>
          <w:szCs w:val="20"/>
          <w:color w:val="auto"/>
        </w:rPr>
      </w:pPr>
    </w:p>
    <w:p>
      <w:pPr>
        <w:ind w:right="500"/>
        <w:spacing w:after="0" w:line="290" w:lineRule="auto"/>
        <w:rPr>
          <w:sz w:val="20"/>
          <w:szCs w:val="20"/>
          <w:color w:val="auto"/>
        </w:rPr>
      </w:pPr>
      <w:r>
        <w:rPr>
          <w:rFonts w:ascii="Arial" w:cs="Arial" w:eastAsia="Arial" w:hAnsi="Arial"/>
          <w:sz w:val="18"/>
          <w:szCs w:val="18"/>
          <w:color w:val="auto"/>
        </w:rPr>
        <w:t>We may find it necessary or desirable to join self-regulatory bodies or other privacy-related organizations, particularly relating to biopharmacy and/or scientific research, that require compliance with their rules pertaining to privacy and data security.</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the United States, California enacted the California Consumer Privacy Act (“CCPA”) on June 28, 2018,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92"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If any person, including any of our employees, clinical vendors or collaborators or those with whom we share such information, negligently disregards or intentionally breaches our established controls with respect to our clinical subject, clinical investigator or employee data, or otherwise mismanages or misappropriates that data, we could be subject to significant monetary damages, regulatory enforcement actions, fines and/or criminal prosecution in one or more jurisdictions. As above, under the GDPR there are significant new punishments for non-compliance which could result in a penalty of up to 4% of a firm’s global annual revenue. In addition, a data breach could result in negative publicity which could damage our reputation and have an adverse effect on our business, financial condition or results of operations.</w:t>
      </w:r>
    </w:p>
    <w:p>
      <w:pPr>
        <w:spacing w:after="0" w:line="192"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Efforts to comply with these and other data privacy and security restrictions that may be enacted could require us to modify our data processing practices and policies and increase the cost of our operations. 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w:t>
      </w:r>
    </w:p>
    <w:p>
      <w:pPr>
        <w:spacing w:after="0" w:line="284" w:lineRule="exact"/>
        <w:rPr>
          <w:sz w:val="20"/>
          <w:szCs w:val="20"/>
          <w:color w:val="auto"/>
        </w:rPr>
      </w:pPr>
    </w:p>
    <w:p>
      <w:pPr>
        <w:ind w:right="260"/>
        <w:spacing w:after="0" w:line="290"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81" w:right="359" w:bottom="1440" w:gutter="0" w:footer="0" w:header="0"/>
        </w:sectPr>
      </w:pPr>
    </w:p>
    <w:bookmarkStart w:id="64" w:name="page65"/>
    <w:bookmarkEnd w:id="64"/>
    <w:p>
      <w:pPr>
        <w:spacing w:after="0" w:line="302" w:lineRule="auto"/>
        <w:rPr>
          <w:sz w:val="20"/>
          <w:szCs w:val="20"/>
          <w:color w:val="auto"/>
        </w:rPr>
      </w:pPr>
      <w:r>
        <w:rPr>
          <w:rFonts w:ascii="Arial" w:cs="Arial" w:eastAsia="Arial" w:hAnsi="Arial"/>
          <w:sz w:val="16"/>
          <w:szCs w:val="16"/>
          <w:color w:val="auto"/>
        </w:rPr>
        <w:t>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26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91"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96"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79"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7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77" w:lineRule="exact"/>
        <w:rPr>
          <w:sz w:val="20"/>
          <w:szCs w:val="20"/>
          <w:color w:val="auto"/>
        </w:rPr>
      </w:pPr>
    </w:p>
    <w:p>
      <w:pPr>
        <w:ind w:right="140"/>
        <w:spacing w:after="0" w:line="321"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65" w:name="page66"/>
    <w:bookmarkEnd w:id="65"/>
    <w:p>
      <w:pPr>
        <w:spacing w:after="0" w:line="285" w:lineRule="auto"/>
        <w:rPr>
          <w:sz w:val="20"/>
          <w:szCs w:val="20"/>
          <w:color w:val="auto"/>
        </w:rPr>
      </w:pPr>
      <w:r>
        <w:rPr>
          <w:rFonts w:ascii="Arial" w:cs="Arial" w:eastAsia="Arial" w:hAnsi="Arial"/>
          <w:sz w:val="17"/>
          <w:szCs w:val="17"/>
          <w:color w:val="auto"/>
        </w:rPr>
        <w:t>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79"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condition. Even after an orphan product is approved, the FDA can subsequently approve the same drug or therapeutic biologic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66" w:lineRule="exact"/>
        <w:rPr>
          <w:sz w:val="20"/>
          <w:szCs w:val="20"/>
          <w:color w:val="auto"/>
        </w:rPr>
      </w:pPr>
    </w:p>
    <w:p>
      <w:pPr>
        <w:ind w:right="180"/>
        <w:spacing w:after="0" w:line="356" w:lineRule="auto"/>
        <w:rPr>
          <w:sz w:val="20"/>
          <w:szCs w:val="20"/>
          <w:color w:val="auto"/>
        </w:rPr>
      </w:pPr>
      <w:r>
        <w:rPr>
          <w:rFonts w:ascii="Arial" w:cs="Arial" w:eastAsia="Arial" w:hAnsi="Arial"/>
          <w:sz w:val="16"/>
          <w:szCs w:val="16"/>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33" w:lineRule="exact"/>
        <w:rPr>
          <w:sz w:val="20"/>
          <w:szCs w:val="20"/>
          <w:color w:val="auto"/>
        </w:rPr>
      </w:pPr>
    </w:p>
    <w:p>
      <w:pPr>
        <w:ind w:right="420"/>
        <w:spacing w:after="0" w:line="290"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3" w:lineRule="exact"/>
        <w:rPr>
          <w:sz w:val="20"/>
          <w:szCs w:val="20"/>
          <w:color w:val="auto"/>
        </w:rPr>
      </w:pPr>
    </w:p>
    <w:p>
      <w:pPr>
        <w:ind w:right="660"/>
        <w:spacing w:after="0" w:line="290"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3" w:lineRule="exact"/>
        <w:rPr>
          <w:sz w:val="20"/>
          <w:szCs w:val="20"/>
          <w:color w:val="auto"/>
        </w:rPr>
      </w:pPr>
    </w:p>
    <w:p>
      <w:pPr>
        <w:ind w:left="960" w:right="200"/>
        <w:spacing w:after="0" w:line="290" w:lineRule="auto"/>
        <w:rPr>
          <w:sz w:val="20"/>
          <w:szCs w:val="20"/>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3" w:lineRule="exact"/>
        <w:rPr>
          <w:sz w:val="20"/>
          <w:szCs w:val="20"/>
          <w:color w:val="auto"/>
        </w:rPr>
      </w:pPr>
    </w:p>
    <w:p>
      <w:pPr>
        <w:ind w:left="960" w:right="100"/>
        <w:spacing w:after="0" w:line="290" w:lineRule="auto"/>
        <w:rPr>
          <w:sz w:val="20"/>
          <w:szCs w:val="20"/>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63" w:lineRule="exact"/>
        <w:rPr>
          <w:sz w:val="20"/>
          <w:szCs w:val="20"/>
          <w:color w:val="auto"/>
        </w:rPr>
      </w:pPr>
    </w:p>
    <w:p>
      <w:pPr>
        <w:ind w:left="960" w:right="280"/>
        <w:spacing w:after="0" w:line="290" w:lineRule="auto"/>
        <w:rPr>
          <w:sz w:val="20"/>
          <w:szCs w:val="20"/>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3" w:lineRule="exact"/>
        <w:rPr>
          <w:sz w:val="20"/>
          <w:szCs w:val="20"/>
          <w:color w:val="auto"/>
        </w:rPr>
      </w:pPr>
    </w:p>
    <w:p>
      <w:pPr>
        <w:ind w:left="960" w:right="300"/>
        <w:spacing w:after="0" w:line="290" w:lineRule="auto"/>
        <w:rPr>
          <w:sz w:val="20"/>
          <w:szCs w:val="20"/>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3" w:lineRule="exact"/>
        <w:rPr>
          <w:sz w:val="20"/>
          <w:szCs w:val="20"/>
          <w:color w:val="auto"/>
        </w:rPr>
      </w:pPr>
    </w:p>
    <w:p>
      <w:pPr>
        <w:ind w:left="960" w:right="540"/>
        <w:spacing w:after="0" w:line="290" w:lineRule="auto"/>
        <w:rPr>
          <w:sz w:val="20"/>
          <w:szCs w:val="20"/>
          <w:color w:val="auto"/>
        </w:rPr>
      </w:pPr>
      <w:r>
        <w:rPr>
          <w:rFonts w:ascii="Arial" w:cs="Arial" w:eastAsia="Arial" w:hAnsi="Arial"/>
          <w:sz w:val="18"/>
          <w:szCs w:val="18"/>
          <w:color w:val="auto"/>
        </w:rPr>
        <w:t>any intellectual property infringement lawsuit or opposition, interference or cancellation proceeding in which we may become involved, including the ongoing patent infringement lawsuit brought by Vytacera against us;</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additions and departures of key personnel;</w:t>
      </w:r>
    </w:p>
    <w:p>
      <w:pPr>
        <w:spacing w:after="0" w:line="129" w:lineRule="exact"/>
        <w:rPr>
          <w:sz w:val="20"/>
          <w:szCs w:val="20"/>
          <w:color w:val="auto"/>
        </w:rPr>
      </w:pPr>
    </w:p>
    <w:p>
      <w:pPr>
        <w:ind w:left="960" w:right="360"/>
        <w:spacing w:after="0" w:line="290" w:lineRule="auto"/>
        <w:rPr>
          <w:sz w:val="20"/>
          <w:szCs w:val="20"/>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3" w:lineRule="exact"/>
        <w:rPr>
          <w:sz w:val="20"/>
          <w:szCs w:val="20"/>
          <w:color w:val="auto"/>
        </w:rPr>
      </w:pPr>
    </w:p>
    <w:p>
      <w:pPr>
        <w:ind w:left="960" w:right="140"/>
        <w:spacing w:after="0" w:line="290" w:lineRule="auto"/>
        <w:rPr>
          <w:sz w:val="20"/>
          <w:szCs w:val="20"/>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3" w:lineRule="exact"/>
        <w:rPr>
          <w:sz w:val="20"/>
          <w:szCs w:val="20"/>
          <w:color w:val="auto"/>
        </w:rPr>
      </w:pPr>
    </w:p>
    <w:p>
      <w:pPr>
        <w:ind w:left="960" w:right="3820"/>
        <w:spacing w:after="0" w:line="415" w:lineRule="auto"/>
        <w:rPr>
          <w:sz w:val="20"/>
          <w:szCs w:val="20"/>
          <w:color w:val="auto"/>
        </w:rPr>
      </w:pPr>
      <w:r>
        <w:rPr>
          <w:rFonts w:ascii="Arial" w:cs="Arial" w:eastAsia="Arial" w:hAnsi="Arial"/>
          <w:sz w:val="18"/>
          <w:szCs w:val="18"/>
          <w:color w:val="auto"/>
        </w:rPr>
        <w:t>regulatory developments affecting our product candidates or those of our competitors; and changes in general market and economic conditions.</w:t>
      </w:r>
    </w:p>
    <w:p>
      <w:pPr>
        <w:spacing w:after="0" w:line="63" w:lineRule="exact"/>
        <w:rPr>
          <w:sz w:val="20"/>
          <w:szCs w:val="20"/>
          <w:color w:val="auto"/>
        </w:rPr>
      </w:pPr>
    </w:p>
    <w:p>
      <w:pPr>
        <w:ind w:right="260"/>
        <w:spacing w:after="0" w:line="290"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66" w:name="page67"/>
    <w:bookmarkEnd w:id="66"/>
    <w:p>
      <w:pPr>
        <w:ind w:right="60"/>
        <w:spacing w:after="0" w:line="290" w:lineRule="auto"/>
        <w:rPr>
          <w:sz w:val="20"/>
          <w:szCs w:val="20"/>
          <w:color w:val="auto"/>
        </w:rPr>
      </w:pPr>
      <w:r>
        <w:rPr>
          <w:rFonts w:ascii="Arial" w:cs="Arial" w:eastAsia="Arial" w:hAnsi="Arial"/>
          <w:sz w:val="18"/>
          <w:szCs w:val="18"/>
          <w:color w:val="auto"/>
        </w:rPr>
        <w:t>substantially. We believe that quarterly comparisons of our financial results are not necessarily meaningful and should not be relied upon as an indication of our future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1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stock price is volatile. Since our initial public offering (“IPO”), our stock had low and high sales prices in the range of $3.60 and $35.00 per share. The market price for our common stock may be influenced by many factors, including the other risks described in this section titled “Risk Factors” and the following:</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results of clinical trials and preclinical studies of our product candidates, or those of our competitors or our collaborators;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success of competitive products or technologies;</w:t>
      </w:r>
    </w:p>
    <w:p>
      <w:pPr>
        <w:spacing w:after="0" w:line="129" w:lineRule="exact"/>
        <w:rPr>
          <w:sz w:val="20"/>
          <w:szCs w:val="20"/>
          <w:color w:val="auto"/>
        </w:rPr>
      </w:pPr>
    </w:p>
    <w:p>
      <w:pPr>
        <w:ind w:left="960" w:right="300"/>
        <w:spacing w:after="0" w:line="290" w:lineRule="auto"/>
        <w:rPr>
          <w:sz w:val="20"/>
          <w:szCs w:val="20"/>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40" w:lineRule="exact"/>
        <w:rPr>
          <w:sz w:val="20"/>
          <w:szCs w:val="20"/>
          <w:color w:val="auto"/>
        </w:rPr>
      </w:pPr>
    </w:p>
    <w:p>
      <w:pPr>
        <w:ind w:left="960" w:right="40"/>
        <w:spacing w:after="0" w:line="356" w:lineRule="auto"/>
        <w:rPr>
          <w:sz w:val="20"/>
          <w:szCs w:val="20"/>
          <w:color w:val="auto"/>
        </w:rPr>
      </w:pPr>
      <w:r>
        <w:rPr>
          <w:rFonts w:ascii="Arial" w:cs="Arial" w:eastAsia="Arial" w:hAnsi="Arial"/>
          <w:sz w:val="16"/>
          <w:szCs w:val="16"/>
          <w:color w:val="auto"/>
        </w:rPr>
        <w:t>the extent to which the COVID-19 pandemic and related governmental regulations and restrictions may impact our business, including our research, clinical trials, manufacturing and financial condition, as well as the impact of other pandemics, natural disasters and other calamities;</w:t>
      </w:r>
    </w:p>
    <w:p>
      <w:pPr>
        <w:spacing w:after="0" w:line="18" w:lineRule="exact"/>
        <w:rPr>
          <w:sz w:val="20"/>
          <w:szCs w:val="20"/>
          <w:color w:val="auto"/>
        </w:rPr>
      </w:pPr>
    </w:p>
    <w:p>
      <w:pPr>
        <w:ind w:left="960" w:right="2100"/>
        <w:spacing w:after="0" w:line="437" w:lineRule="auto"/>
        <w:rPr>
          <w:sz w:val="20"/>
          <w:szCs w:val="20"/>
          <w:color w:val="auto"/>
        </w:rPr>
      </w:pPr>
      <w:r>
        <w:rPr>
          <w:rFonts w:ascii="Arial" w:cs="Arial" w:eastAsia="Arial" w:hAnsi="Arial"/>
          <w:sz w:val="16"/>
          <w:szCs w:val="16"/>
          <w:color w:val="auto"/>
        </w:rPr>
        <w:t>actual or anticipated variations in our financial results or those of companies that are perceived to be similar to us; the success of our efforts to acquire or in-license additional technologies, products or product candidates;</w:t>
      </w:r>
    </w:p>
    <w:p>
      <w:pPr>
        <w:spacing w:after="0" w:line="1" w:lineRule="exact"/>
        <w:rPr>
          <w:sz w:val="20"/>
          <w:szCs w:val="20"/>
          <w:color w:val="auto"/>
        </w:rPr>
      </w:pPr>
    </w:p>
    <w:p>
      <w:pPr>
        <w:ind w:left="960"/>
        <w:spacing w:after="0" w:line="290" w:lineRule="auto"/>
        <w:rPr>
          <w:sz w:val="20"/>
          <w:szCs w:val="20"/>
          <w:color w:val="auto"/>
        </w:rPr>
      </w:pPr>
      <w:r>
        <w:rPr>
          <w:rFonts w:ascii="Arial" w:cs="Arial" w:eastAsia="Arial" w:hAnsi="Arial"/>
          <w:sz w:val="18"/>
          <w:szCs w:val="18"/>
          <w:color w:val="auto"/>
        </w:rPr>
        <w:t>developments concerning any existing or future collaborations, including but not limited to those with our sources of manufacturing supply and our commercialization partners;</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market conditions in the pharmaceutical and biotechnology sectors;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40" w:lineRule="exact"/>
        <w:rPr>
          <w:sz w:val="20"/>
          <w:szCs w:val="20"/>
          <w:color w:val="auto"/>
        </w:rPr>
      </w:pPr>
    </w:p>
    <w:p>
      <w:pPr>
        <w:ind w:left="960" w:right="280"/>
        <w:spacing w:after="0" w:line="290" w:lineRule="auto"/>
        <w:rPr>
          <w:sz w:val="20"/>
          <w:szCs w:val="20"/>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or inability to raise additional capital and the terms on which we raise it;</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recruitment or departure of key personnel;</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the structure of healthcare payment systems;</w:t>
      </w:r>
    </w:p>
    <w:p>
      <w:pPr>
        <w:spacing w:after="0" w:line="129" w:lineRule="exact"/>
        <w:rPr>
          <w:sz w:val="20"/>
          <w:szCs w:val="20"/>
          <w:color w:val="auto"/>
        </w:rPr>
      </w:pPr>
    </w:p>
    <w:p>
      <w:pPr>
        <w:ind w:left="960" w:right="260"/>
        <w:spacing w:after="0" w:line="290" w:lineRule="auto"/>
        <w:rPr>
          <w:sz w:val="20"/>
          <w:szCs w:val="20"/>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announcement and expectation of additional financing efforts;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speculation in the press or investment community;</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trading volume of our common stock;</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sales of our common stock by us or our stockholders;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concentrated ownership of our common stock;</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accounting principles;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terrorist acts, acts of war or periods of widespread civil unrest;</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81" w:right="359" w:bottom="1440" w:gutter="0" w:footer="0" w:header="0"/>
        </w:sectPr>
      </w:pPr>
    </w:p>
    <w:bookmarkStart w:id="67" w:name="page68"/>
    <w:bookmarkEnd w:id="67"/>
    <w:p>
      <w:pPr>
        <w:ind w:left="960"/>
        <w:spacing w:after="0"/>
        <w:rPr>
          <w:sz w:val="20"/>
          <w:szCs w:val="20"/>
          <w:color w:val="auto"/>
        </w:rPr>
      </w:pPr>
      <w:r>
        <w:rPr>
          <w:rFonts w:ascii="Arial" w:cs="Arial" w:eastAsia="Arial" w:hAnsi="Arial"/>
          <w:sz w:val="18"/>
          <w:szCs w:val="18"/>
          <w:color w:val="auto"/>
        </w:rPr>
        <w:t>natural disasters and other calamities; and</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economic, industry and market conditions.</w:t>
      </w:r>
    </w:p>
    <w:p>
      <w:pPr>
        <w:spacing w:after="0" w:line="236"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The stock markets in general, and the markets for pharmaceutical, biopharmaceutical and biotechnology stocks in particular, have experienced extreme volatility, including as a result of the COVID-19 pandemic, that has been often unrelated to the operating performance of the issuer. These broad market and industry factors may seriously harm the market price of our common stock, regardless of our operating performance.</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29"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January and February 2021, we sold 16,428,571 shares of our common stock at $7.00 per share in an underwritten public offering.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71" w:lineRule="exact"/>
        <w:rPr>
          <w:sz w:val="20"/>
          <w:szCs w:val="20"/>
          <w:color w:val="auto"/>
        </w:rPr>
      </w:pPr>
    </w:p>
    <w:p>
      <w:pPr>
        <w:ind w:right="780"/>
        <w:spacing w:after="0" w:line="290"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3"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29"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2" w:lineRule="exact"/>
        <w:rPr>
          <w:sz w:val="20"/>
          <w:szCs w:val="20"/>
          <w:color w:val="auto"/>
        </w:rPr>
      </w:pPr>
    </w:p>
    <w:p>
      <w:pPr>
        <w:ind w:right="120"/>
        <w:spacing w:after="0" w:line="290"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of September 30, 2021, our executive officers, directors, holders of 5% or more of our capital stock based on publicly available filings made with the SEC and their respective affiliates beneficially owned approximately 21%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4" w:right="359" w:bottom="1440" w:gutter="0" w:footer="0" w:header="0"/>
        </w:sectPr>
      </w:pPr>
    </w:p>
    <w:bookmarkStart w:id="68" w:name="page69"/>
    <w:bookmarkEnd w:id="68"/>
    <w:p>
      <w:pPr>
        <w:ind w:right="880"/>
        <w:spacing w:after="0" w:line="356"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prohibition on actions by our stockholders by written consent;</w:t>
      </w:r>
    </w:p>
    <w:p>
      <w:pPr>
        <w:spacing w:after="0" w:line="129" w:lineRule="exact"/>
        <w:rPr>
          <w:sz w:val="20"/>
          <w:szCs w:val="20"/>
          <w:color w:val="auto"/>
        </w:rPr>
      </w:pPr>
    </w:p>
    <w:p>
      <w:pPr>
        <w:ind w:left="960"/>
        <w:spacing w:after="0" w:line="271" w:lineRule="auto"/>
        <w:rPr>
          <w:sz w:val="20"/>
          <w:szCs w:val="20"/>
          <w:color w:val="auto"/>
        </w:rPr>
      </w:pPr>
      <w:r>
        <w:rPr>
          <w:rFonts w:ascii="Arial" w:cs="Arial" w:eastAsia="Arial" w:hAnsi="Arial"/>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8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5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division of our board of directors into three classes, serving staggered terms of three years each; and</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3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94" w:lineRule="exact"/>
        <w:rPr>
          <w:sz w:val="20"/>
          <w:szCs w:val="20"/>
          <w:color w:val="auto"/>
        </w:rPr>
      </w:pPr>
    </w:p>
    <w:p>
      <w:pPr>
        <w:ind w:right="280"/>
        <w:spacing w:after="0" w:line="290"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3"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w:t>
      </w:r>
    </w:p>
    <w:p>
      <w:pPr>
        <w:spacing w:after="0" w:line="170"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However, if we are not able to comply with the requirements of Section 404,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9" w:right="359" w:bottom="1440" w:gutter="0" w:footer="0" w:header="0"/>
        </w:sectPr>
      </w:pPr>
    </w:p>
    <w:bookmarkStart w:id="69" w:name="page70"/>
    <w:bookmarkEnd w:id="69"/>
    <w:p>
      <w:pPr>
        <w:ind w:right="380"/>
        <w:spacing w:after="0" w:line="290"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3"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83" w:lineRule="exact"/>
        <w:rPr>
          <w:sz w:val="20"/>
          <w:szCs w:val="20"/>
          <w:color w:val="auto"/>
        </w:rPr>
      </w:pPr>
    </w:p>
    <w:p>
      <w:pPr>
        <w:ind w:right="100"/>
        <w:spacing w:after="0" w:line="309" w:lineRule="auto"/>
        <w:rPr>
          <w:sz w:val="20"/>
          <w:szCs w:val="20"/>
          <w:color w:val="auto"/>
        </w:rPr>
      </w:pPr>
      <w:r>
        <w:rPr>
          <w:rFonts w:ascii="Arial" w:cs="Arial" w:eastAsia="Arial" w:hAnsi="Arial"/>
          <w:sz w:val="16"/>
          <w:szCs w:val="16"/>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spacing w:after="0" w:line="27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5"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129"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66"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70" w:name="page71"/>
    <w:bookmarkEnd w:id="70"/>
    <w:p>
      <w:pPr>
        <w:spacing w:after="0" w:line="271" w:lineRule="auto"/>
        <w:rPr>
          <w:sz w:val="20"/>
          <w:szCs w:val="20"/>
          <w:color w:val="auto"/>
        </w:rPr>
      </w:pPr>
      <w:r>
        <w:rPr>
          <w:rFonts w:ascii="Arial" w:cs="Arial" w:eastAsia="Arial" w:hAnsi="Arial"/>
          <w:sz w:val="18"/>
          <w:szCs w:val="18"/>
          <w:color w:val="auto"/>
        </w:rPr>
        <w:t>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87"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high acquisition costs;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lack of experience in late-stage product development and commercialization;</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difficulties in assimilating employees and corporate cultures;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failure to retain key management and other personnel;</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need to write down assets or recognize impairment charges;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36"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28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77"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286" w:lineRule="exact"/>
        <w:rPr>
          <w:sz w:val="20"/>
          <w:szCs w:val="20"/>
          <w:color w:val="auto"/>
        </w:rPr>
      </w:pPr>
    </w:p>
    <w:p>
      <w:pPr>
        <w:ind w:right="440"/>
        <w:spacing w:after="0" w:line="290" w:lineRule="auto"/>
        <w:rPr>
          <w:sz w:val="20"/>
          <w:szCs w:val="20"/>
          <w:color w:val="auto"/>
        </w:rPr>
      </w:pPr>
      <w:r>
        <w:rPr>
          <w:rFonts w:ascii="Arial" w:cs="Arial" w:eastAsia="Arial" w:hAnsi="Arial"/>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information technology and other internal infrastructure systems and those of our CROs and contractors and consultants, including corporate firewalls, servers, leased lines and connection to the Internet, face the risk of systemic failure and may be vulnerable to damage from computer viruses, unauthorized access, natural disasters, terrorism, war and telecommunication and electrical failures. Such events could cause interruptions of our operations. For instance, the loss of data from any current or future clinical trial or data from any preclinical studies involving our product candidates could result in delays in our development and regulatory filing efforts and significantly increase our costs. These challenges have been made more difficult by the COVID-19 pandemic and resulting shelter-in-place and stay-at-home restrictions, which are driving greater dependency on remote working technology and electronic monitoring of clinical trial sites. To the extent that any disruption or security breach were to result in a loss of, or damage to, our data, or inappropriate disclosure of confidential or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71" w:name="page72"/>
    <w:bookmarkEnd w:id="71"/>
    <w:p>
      <w:pPr>
        <w:ind w:right="60"/>
        <w:spacing w:after="0" w:line="290" w:lineRule="auto"/>
        <w:rPr>
          <w:sz w:val="20"/>
          <w:szCs w:val="20"/>
          <w:color w:val="auto"/>
        </w:rPr>
      </w:pPr>
      <w:r>
        <w:rPr>
          <w:rFonts w:ascii="Arial" w:cs="Arial" w:eastAsia="Arial" w:hAnsi="Arial"/>
          <w:sz w:val="18"/>
          <w:szCs w:val="18"/>
          <w:color w:val="auto"/>
        </w:rPr>
        <w:t>proprietary information, we could incur liability, recovery of our data could take a prolonged period of time, and the development of our research or product candidates could be delayed.</w:t>
      </w:r>
    </w:p>
    <w:p>
      <w:pPr>
        <w:spacing w:after="0" w:line="278"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our information, including the theft of our intellectual property, and could expose us to liability, which could cause our business and reputation to suffer.</w:t>
      </w:r>
    </w:p>
    <w:p>
      <w:pPr>
        <w:spacing w:after="0" w:line="63"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The size and complexity of our information technology systems, and those of third-party vendors with whom we contract, and the volume of data we retain, make such systems potentially vulnerable to breakdown, malicious intrusion, security breaches and other cyber-attacks. Information security risks have significantly increased in recent years in part due to the proliferation of new technologies and the increased sophistication and activities of organized crime, hackers, terrorists and other external parties, including foreign private parties and state actors. A security breach or privacy violation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Additionally, theft of our intellectual property or proprietary business information could require substantial expenditures to remedy.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 Moreover, the prevalent use of mobile devices that access confidential information increases the risk of data security breaches, which could lead to the loss of confidential information, trade secrets or other intellectual property. 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3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78" w:lineRule="exact"/>
        <w:rPr>
          <w:sz w:val="20"/>
          <w:szCs w:val="20"/>
          <w:color w:val="auto"/>
        </w:rPr>
      </w:pPr>
    </w:p>
    <w:p>
      <w:pPr>
        <w:ind w:right="560"/>
        <w:spacing w:after="0" w:line="290" w:lineRule="auto"/>
        <w:rPr>
          <w:sz w:val="20"/>
          <w:szCs w:val="20"/>
          <w:color w:val="auto"/>
        </w:rPr>
      </w:pPr>
      <w:r>
        <w:rPr>
          <w:rFonts w:ascii="Arial" w:cs="Arial" w:eastAsia="Arial" w:hAnsi="Arial"/>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63" w:lineRule="exact"/>
        <w:rPr>
          <w:sz w:val="20"/>
          <w:szCs w:val="20"/>
          <w:color w:val="auto"/>
        </w:rPr>
      </w:pPr>
    </w:p>
    <w:p>
      <w:pPr>
        <w:jc w:val="both"/>
        <w:ind w:right="140"/>
        <w:spacing w:after="0" w:line="290"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In addition, it is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72" w:name="page73"/>
    <w:bookmarkEnd w:id="72"/>
    <w:p>
      <w:pPr>
        <w:spacing w:after="0" w:line="271" w:lineRule="auto"/>
        <w:rPr>
          <w:sz w:val="20"/>
          <w:szCs w:val="20"/>
          <w:color w:val="auto"/>
        </w:rPr>
      </w:pPr>
      <w:r>
        <w:rPr>
          <w:rFonts w:ascii="Arial" w:cs="Arial" w:eastAsia="Arial" w:hAnsi="Arial"/>
          <w:sz w:val="18"/>
          <w:szCs w:val="18"/>
          <w:color w:val="auto"/>
        </w:rPr>
        <w:t>uncertain if and to what extent various states will conform to the Tax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 result in significant one-time charges, and could increase our future tax expense. Recent presidential candidate proposals for U.S. tax legislation could have a material adverse effect on our future business, financial condition and results of operations.</w:t>
      </w:r>
    </w:p>
    <w:p>
      <w:pPr>
        <w:spacing w:after="0" w:line="294" w:lineRule="exact"/>
        <w:rPr>
          <w:sz w:val="20"/>
          <w:szCs w:val="20"/>
          <w:color w:val="auto"/>
        </w:rPr>
      </w:pPr>
    </w:p>
    <w:p>
      <w:pPr>
        <w:ind w:right="260"/>
        <w:spacing w:after="0" w:line="290"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Shares or of Company Equity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474"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13"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Exhibit</w:t>
      </w:r>
    </w:p>
    <w:p>
      <w:pPr>
        <w:spacing w:after="0" w:line="24" w:lineRule="exact"/>
        <w:rPr>
          <w:sz w:val="20"/>
          <w:szCs w:val="20"/>
          <w:color w:val="auto"/>
        </w:rPr>
      </w:pPr>
    </w:p>
    <w:p>
      <w:pPr>
        <w:ind w:left="400"/>
        <w:spacing w:after="0"/>
        <w:tabs>
          <w:tab w:leader="none" w:pos="36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15875</wp:posOffset>
            </wp:positionV>
            <wp:extent cx="45593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59300" cy="8255"/>
                    </a:xfrm>
                    <a:prstGeom prst="rect">
                      <a:avLst/>
                    </a:prstGeom>
                    <a:noFill/>
                  </pic:spPr>
                </pic:pic>
              </a:graphicData>
            </a:graphic>
          </wp:anchor>
        </w:drawing>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87"/>
              </w:rPr>
              <w:t>3.1</w:t>
            </w:r>
          </w:p>
        </w:tc>
        <w:tc>
          <w:tcPr>
            <w:tcW w:w="5820" w:type="dxa"/>
            <w:vAlign w:val="bottom"/>
            <w:gridSpan w:val="16"/>
          </w:tcPr>
          <w:p>
            <w:pPr>
              <w:spacing w:after="0"/>
              <w:rPr>
                <w:rFonts w:ascii="Arial" w:cs="Arial" w:eastAsia="Arial" w:hAnsi="Arial"/>
                <w:sz w:val="18"/>
                <w:szCs w:val="18"/>
                <w:color w:val="0000FF"/>
              </w:rPr>
            </w:pPr>
            <w:hyperlink r:id="rId236">
              <w:r>
                <w:rPr>
                  <w:rFonts w:ascii="Arial" w:cs="Arial" w:eastAsia="Arial" w:hAnsi="Arial"/>
                  <w:sz w:val="18"/>
                  <w:szCs w:val="18"/>
                  <w:color w:val="0000FF"/>
                </w:rPr>
                <w:t>Amended and Restated Certificate of Incorporation.</w:t>
              </w:r>
            </w:hyperlink>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9"/>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87"/>
              </w:rPr>
              <w:t>3.2</w:t>
            </w:r>
          </w:p>
        </w:tc>
        <w:tc>
          <w:tcPr>
            <w:tcW w:w="5420" w:type="dxa"/>
            <w:vAlign w:val="bottom"/>
            <w:tcBorders>
              <w:bottom w:val="single" w:sz="8" w:color="0000FF"/>
            </w:tcBorders>
            <w:gridSpan w:val="11"/>
          </w:tcPr>
          <w:p>
            <w:pPr>
              <w:spacing w:after="0"/>
              <w:rPr>
                <w:rFonts w:ascii="Arial" w:cs="Arial" w:eastAsia="Arial" w:hAnsi="Arial"/>
                <w:sz w:val="16"/>
                <w:szCs w:val="16"/>
                <w:color w:val="0000FF"/>
                <w:w w:val="92"/>
              </w:rPr>
            </w:pPr>
            <w:hyperlink r:id="rId237">
              <w:r>
                <w:rPr>
                  <w:rFonts w:ascii="Arial" w:cs="Arial" w:eastAsia="Arial" w:hAnsi="Arial"/>
                  <w:sz w:val="16"/>
                  <w:szCs w:val="16"/>
                  <w:color w:val="0000FF"/>
                  <w:w w:val="92"/>
                </w:rPr>
                <w:t>Certificate of Amendment to Amended and Restated Certificate of Incorporation of</w:t>
              </w:r>
            </w:hyperlink>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5820" w:type="dxa"/>
            <w:vAlign w:val="bottom"/>
            <w:gridSpan w:val="16"/>
          </w:tcPr>
          <w:p>
            <w:pPr>
              <w:spacing w:after="0" w:line="181" w:lineRule="exact"/>
              <w:rPr>
                <w:rFonts w:ascii="Arial" w:cs="Arial" w:eastAsia="Arial" w:hAnsi="Arial"/>
                <w:sz w:val="16"/>
                <w:szCs w:val="16"/>
                <w:color w:val="0000FF"/>
              </w:rPr>
            </w:pPr>
            <w:hyperlink r:id="rId237">
              <w:r>
                <w:rPr>
                  <w:rFonts w:ascii="Arial" w:cs="Arial" w:eastAsia="Arial" w:hAnsi="Arial"/>
                  <w:sz w:val="16"/>
                  <w:szCs w:val="16"/>
                  <w:color w:val="0000FF"/>
                </w:rPr>
                <w:t>CytomX Therapeutics, Inc.</w:t>
              </w:r>
            </w:hyperlink>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87"/>
              </w:rPr>
              <w:t>3.3</w:t>
            </w:r>
          </w:p>
        </w:tc>
        <w:tc>
          <w:tcPr>
            <w:tcW w:w="2300" w:type="dxa"/>
            <w:vAlign w:val="bottom"/>
            <w:tcBorders>
              <w:bottom w:val="single" w:sz="8" w:color="0000FF"/>
            </w:tcBorders>
            <w:gridSpan w:val="5"/>
          </w:tcPr>
          <w:p>
            <w:pPr>
              <w:spacing w:after="0"/>
              <w:rPr>
                <w:rFonts w:ascii="Arial" w:cs="Arial" w:eastAsia="Arial" w:hAnsi="Arial"/>
                <w:sz w:val="18"/>
                <w:szCs w:val="18"/>
                <w:color w:val="0000FF"/>
                <w:w w:val="88"/>
              </w:rPr>
            </w:pPr>
            <w:hyperlink r:id="rId238">
              <w:r>
                <w:rPr>
                  <w:rFonts w:ascii="Arial" w:cs="Arial" w:eastAsia="Arial" w:hAnsi="Arial"/>
                  <w:sz w:val="18"/>
                  <w:szCs w:val="18"/>
                  <w:color w:val="0000FF"/>
                  <w:w w:val="88"/>
                </w:rPr>
                <w:t>Amended and Restated Bylaws.</w:t>
              </w:r>
            </w:hyperlink>
          </w:p>
        </w:tc>
        <w:tc>
          <w:tcPr>
            <w:tcW w:w="20" w:type="dxa"/>
            <w:vAlign w:val="bottom"/>
            <w:tcBorders>
              <w:bottom w:val="single" w:sz="8" w:color="0000EE"/>
            </w:tcBorders>
          </w:tcPr>
          <w:p>
            <w:pPr>
              <w:spacing w:after="0"/>
              <w:rPr>
                <w:sz w:val="24"/>
                <w:szCs w:val="24"/>
                <w:color w:val="auto"/>
              </w:rPr>
            </w:pPr>
          </w:p>
        </w:tc>
        <w:tc>
          <w:tcPr>
            <w:tcW w:w="3500" w:type="dxa"/>
            <w:vAlign w:val="bottom"/>
            <w:gridSpan w:val="10"/>
          </w:tcPr>
          <w:p>
            <w:pPr>
              <w:spacing w:after="0"/>
              <w:rPr>
                <w:sz w:val="24"/>
                <w:szCs w:val="24"/>
                <w:color w:val="auto"/>
              </w:rPr>
            </w:pPr>
          </w:p>
        </w:tc>
      </w:tr>
      <w:tr>
        <w:trPr>
          <w:trHeight w:val="437"/>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87"/>
              </w:rPr>
              <w:t>4.1</w:t>
            </w:r>
          </w:p>
        </w:tc>
        <w:tc>
          <w:tcPr>
            <w:tcW w:w="5820" w:type="dxa"/>
            <w:vAlign w:val="bottom"/>
            <w:gridSpan w:val="16"/>
          </w:tcPr>
          <w:p>
            <w:pPr>
              <w:spacing w:after="0"/>
              <w:rPr>
                <w:sz w:val="20"/>
                <w:szCs w:val="20"/>
                <w:color w:val="auto"/>
              </w:rPr>
            </w:pPr>
            <w:r>
              <w:rPr>
                <w:rFonts w:ascii="Arial" w:cs="Arial" w:eastAsia="Arial" w:hAnsi="Arial"/>
                <w:sz w:val="18"/>
                <w:szCs w:val="18"/>
                <w:color w:val="auto"/>
              </w:rPr>
              <w:t>Reference is made to Exhibits 3.1 through 3.2.</w:t>
            </w:r>
          </w:p>
        </w:tc>
      </w:tr>
      <w:tr>
        <w:trPr>
          <w:trHeight w:val="375"/>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87"/>
              </w:rPr>
              <w:t>4.2</w:t>
            </w:r>
          </w:p>
        </w:tc>
        <w:tc>
          <w:tcPr>
            <w:tcW w:w="2680" w:type="dxa"/>
            <w:vAlign w:val="bottom"/>
            <w:tcBorders>
              <w:bottom w:val="single" w:sz="8" w:color="0000FF"/>
            </w:tcBorders>
            <w:gridSpan w:val="8"/>
          </w:tcPr>
          <w:p>
            <w:pPr>
              <w:spacing w:after="0"/>
              <w:rPr>
                <w:rFonts w:ascii="Arial" w:cs="Arial" w:eastAsia="Arial" w:hAnsi="Arial"/>
                <w:sz w:val="18"/>
                <w:szCs w:val="18"/>
                <w:color w:val="0000FF"/>
                <w:w w:val="90"/>
              </w:rPr>
            </w:pPr>
            <w:hyperlink r:id="rId239">
              <w:r>
                <w:rPr>
                  <w:rFonts w:ascii="Arial" w:cs="Arial" w:eastAsia="Arial" w:hAnsi="Arial"/>
                  <w:sz w:val="18"/>
                  <w:szCs w:val="18"/>
                  <w:color w:val="0000FF"/>
                  <w:w w:val="90"/>
                </w:rPr>
                <w:t>Specimen Common Stock Certificate</w:t>
              </w:r>
            </w:hyperlink>
          </w:p>
        </w:tc>
        <w:tc>
          <w:tcPr>
            <w:tcW w:w="20" w:type="dxa"/>
            <w:vAlign w:val="bottom"/>
            <w:tcBorders>
              <w:bottom w:val="single" w:sz="8" w:color="0000EE"/>
            </w:tcBorders>
          </w:tcPr>
          <w:p>
            <w:pPr>
              <w:spacing w:after="0"/>
              <w:rPr>
                <w:sz w:val="24"/>
                <w:szCs w:val="24"/>
                <w:color w:val="auto"/>
              </w:rPr>
            </w:pPr>
          </w:p>
        </w:tc>
        <w:tc>
          <w:tcPr>
            <w:tcW w:w="3120" w:type="dxa"/>
            <w:vAlign w:val="bottom"/>
            <w:gridSpan w:val="7"/>
          </w:tcPr>
          <w:p>
            <w:pPr>
              <w:spacing w:after="0"/>
              <w:rPr>
                <w:sz w:val="24"/>
                <w:szCs w:val="24"/>
                <w:color w:val="auto"/>
              </w:rPr>
            </w:pPr>
          </w:p>
        </w:tc>
      </w:tr>
      <w:tr>
        <w:trPr>
          <w:trHeight w:val="39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87"/>
              </w:rPr>
              <w:t>4.3</w:t>
            </w:r>
          </w:p>
        </w:tc>
        <w:tc>
          <w:tcPr>
            <w:tcW w:w="5660" w:type="dxa"/>
            <w:vAlign w:val="bottom"/>
            <w:tcBorders>
              <w:bottom w:val="single" w:sz="8" w:color="0000FF"/>
            </w:tcBorders>
            <w:gridSpan w:val="12"/>
          </w:tcPr>
          <w:p>
            <w:pPr>
              <w:spacing w:after="0"/>
              <w:rPr>
                <w:rFonts w:ascii="Arial" w:cs="Arial" w:eastAsia="Arial" w:hAnsi="Arial"/>
                <w:sz w:val="18"/>
                <w:szCs w:val="18"/>
                <w:color w:val="0000FF"/>
                <w:w w:val="90"/>
              </w:rPr>
            </w:pPr>
            <w:hyperlink r:id="rId240">
              <w:r>
                <w:rPr>
                  <w:rFonts w:ascii="Arial" w:cs="Arial" w:eastAsia="Arial" w:hAnsi="Arial"/>
                  <w:sz w:val="18"/>
                  <w:szCs w:val="18"/>
                  <w:color w:val="0000FF"/>
                  <w:w w:val="90"/>
                </w:rPr>
                <w:t>Description of Registrant’s Securities Registered Pursuant to Section 12 of the</w:t>
              </w:r>
            </w:hyperlink>
          </w:p>
        </w:tc>
        <w:tc>
          <w:tcPr>
            <w:tcW w:w="160" w:type="dxa"/>
            <w:vAlign w:val="bottom"/>
            <w:gridSpan w:val="4"/>
          </w:tcPr>
          <w:p>
            <w:pPr>
              <w:spacing w:after="0"/>
              <w:rPr>
                <w:sz w:val="24"/>
                <w:szCs w:val="24"/>
                <w:color w:val="auto"/>
              </w:rPr>
            </w:pPr>
          </w:p>
        </w:tc>
      </w:tr>
      <w:tr>
        <w:trPr>
          <w:trHeight w:val="208"/>
        </w:trPr>
        <w:tc>
          <w:tcPr>
            <w:tcW w:w="1040" w:type="dxa"/>
            <w:vAlign w:val="bottom"/>
          </w:tcPr>
          <w:p>
            <w:pPr>
              <w:spacing w:after="0"/>
              <w:rPr>
                <w:sz w:val="18"/>
                <w:szCs w:val="18"/>
                <w:color w:val="auto"/>
              </w:rPr>
            </w:pPr>
          </w:p>
        </w:tc>
        <w:tc>
          <w:tcPr>
            <w:tcW w:w="5820" w:type="dxa"/>
            <w:vAlign w:val="bottom"/>
            <w:gridSpan w:val="16"/>
          </w:tcPr>
          <w:p>
            <w:pPr>
              <w:spacing w:after="0"/>
              <w:rPr>
                <w:rFonts w:ascii="Arial" w:cs="Arial" w:eastAsia="Arial" w:hAnsi="Arial"/>
                <w:sz w:val="18"/>
                <w:szCs w:val="18"/>
                <w:color w:val="0000FF"/>
              </w:rPr>
            </w:pPr>
            <w:hyperlink r:id="rId240">
              <w:r>
                <w:rPr>
                  <w:rFonts w:ascii="Arial" w:cs="Arial" w:eastAsia="Arial" w:hAnsi="Arial"/>
                  <w:sz w:val="18"/>
                  <w:szCs w:val="18"/>
                  <w:color w:val="0000FF"/>
                </w:rPr>
                <w:t>Securities Exchange Act of 1934.</w:t>
              </w:r>
            </w:hyperlink>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gridSpan w:val="4"/>
            <w:shd w:val="clear" w:color="auto" w:fill="0000FF"/>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85"/>
              </w:rPr>
              <w:t>31.1</w:t>
            </w:r>
          </w:p>
        </w:tc>
        <w:tc>
          <w:tcPr>
            <w:tcW w:w="5820" w:type="dxa"/>
            <w:vAlign w:val="bottom"/>
            <w:gridSpan w:val="16"/>
          </w:tcPr>
          <w:p>
            <w:pPr>
              <w:spacing w:after="0"/>
              <w:rPr>
                <w:rFonts w:ascii="Arial" w:cs="Arial" w:eastAsia="Arial" w:hAnsi="Arial"/>
                <w:sz w:val="18"/>
                <w:szCs w:val="18"/>
                <w:color w:val="0000FF"/>
                <w:w w:val="92"/>
              </w:rPr>
            </w:pPr>
            <w:hyperlink w:anchor="page76">
              <w:r>
                <w:rPr>
                  <w:rFonts w:ascii="Arial" w:cs="Arial" w:eastAsia="Arial" w:hAnsi="Arial"/>
                  <w:sz w:val="18"/>
                  <w:szCs w:val="18"/>
                  <w:color w:val="0000FF"/>
                  <w:w w:val="92"/>
                </w:rPr>
                <w:t>Certification of Chief Executive Officer required by Rule 13a-14(a) or Rule 15d-</w:t>
              </w:r>
            </w:hyperlink>
          </w:p>
        </w:tc>
      </w:tr>
      <w:tr>
        <w:trPr>
          <w:trHeight w:val="208"/>
        </w:trPr>
        <w:tc>
          <w:tcPr>
            <w:tcW w:w="1040" w:type="dxa"/>
            <w:vAlign w:val="bottom"/>
          </w:tcPr>
          <w:p>
            <w:pPr>
              <w:spacing w:after="0"/>
              <w:rPr>
                <w:sz w:val="18"/>
                <w:szCs w:val="18"/>
                <w:color w:val="auto"/>
              </w:rPr>
            </w:pPr>
          </w:p>
        </w:tc>
        <w:tc>
          <w:tcPr>
            <w:tcW w:w="44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14(a).</w:t>
              </w:r>
            </w:hyperlink>
          </w:p>
        </w:tc>
        <w:tc>
          <w:tcPr>
            <w:tcW w:w="20" w:type="dxa"/>
            <w:vAlign w:val="bottom"/>
            <w:tcBorders>
              <w:top w:val="single" w:sz="8" w:color="0000FF"/>
              <w:bottom w:val="single" w:sz="8" w:color="0000EE"/>
            </w:tcBorders>
          </w:tcPr>
          <w:p>
            <w:pPr>
              <w:spacing w:after="0"/>
              <w:rPr>
                <w:sz w:val="18"/>
                <w:szCs w:val="18"/>
                <w:color w:val="auto"/>
              </w:rPr>
            </w:pPr>
          </w:p>
        </w:tc>
        <w:tc>
          <w:tcPr>
            <w:tcW w:w="5340" w:type="dxa"/>
            <w:vAlign w:val="bottom"/>
            <w:tcBorders>
              <w:top w:val="single" w:sz="8" w:color="0000FF"/>
            </w:tcBorders>
            <w:gridSpan w:val="13"/>
          </w:tcPr>
          <w:p>
            <w:pPr>
              <w:spacing w:after="0"/>
              <w:rPr>
                <w:sz w:val="18"/>
                <w:szCs w:val="18"/>
                <w:color w:val="auto"/>
              </w:rPr>
            </w:pPr>
          </w:p>
        </w:tc>
        <w:tc>
          <w:tcPr>
            <w:tcW w:w="20" w:type="dxa"/>
            <w:vAlign w:val="bottom"/>
          </w:tcPr>
          <w:p>
            <w:pPr>
              <w:spacing w:after="0"/>
              <w:rPr>
                <w:sz w:val="18"/>
                <w:szCs w:val="18"/>
                <w:color w:val="auto"/>
              </w:rPr>
            </w:pPr>
          </w:p>
        </w:tc>
      </w:tr>
      <w:tr>
        <w:trPr>
          <w:trHeight w:val="39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85"/>
              </w:rPr>
              <w:t>31.2</w:t>
            </w:r>
          </w:p>
        </w:tc>
        <w:tc>
          <w:tcPr>
            <w:tcW w:w="576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77">
              <w:r>
                <w:rPr>
                  <w:rFonts w:ascii="Arial" w:cs="Arial" w:eastAsia="Arial" w:hAnsi="Arial"/>
                  <w:sz w:val="18"/>
                  <w:szCs w:val="18"/>
                  <w:color w:val="0000FF"/>
                  <w:w w:val="92"/>
                </w:rPr>
                <w:t>Certification of Chief Financial Officer required by Rule 13a-14(a) or Rule 15d-</w:t>
              </w:r>
            </w:hyperlink>
          </w:p>
        </w:tc>
        <w:tc>
          <w:tcPr>
            <w:tcW w:w="60" w:type="dxa"/>
            <w:vAlign w:val="bottom"/>
            <w:gridSpan w:val="2"/>
          </w:tcPr>
          <w:p>
            <w:pPr>
              <w:spacing w:after="0"/>
              <w:rPr>
                <w:sz w:val="24"/>
                <w:szCs w:val="24"/>
                <w:color w:val="auto"/>
              </w:rPr>
            </w:pPr>
          </w:p>
        </w:tc>
      </w:tr>
      <w:tr>
        <w:trPr>
          <w:trHeight w:val="208"/>
        </w:trPr>
        <w:tc>
          <w:tcPr>
            <w:tcW w:w="1040" w:type="dxa"/>
            <w:vAlign w:val="bottom"/>
          </w:tcPr>
          <w:p>
            <w:pPr>
              <w:spacing w:after="0"/>
              <w:rPr>
                <w:sz w:val="18"/>
                <w:szCs w:val="18"/>
                <w:color w:val="auto"/>
              </w:rPr>
            </w:pPr>
          </w:p>
        </w:tc>
        <w:tc>
          <w:tcPr>
            <w:tcW w:w="440" w:type="dxa"/>
            <w:vAlign w:val="bottom"/>
            <w:tcBorders>
              <w:bottom w:val="single" w:sz="8" w:color="0000FF"/>
            </w:tcBorders>
          </w:tcPr>
          <w:p>
            <w:pP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14(a).</w:t>
              </w:r>
            </w:hyperlink>
          </w:p>
        </w:tc>
        <w:tc>
          <w:tcPr>
            <w:tcW w:w="20" w:type="dxa"/>
            <w:vAlign w:val="bottom"/>
            <w:tcBorders>
              <w:bottom w:val="single" w:sz="8" w:color="0000EE"/>
            </w:tcBorders>
          </w:tcPr>
          <w:p>
            <w:pPr>
              <w:spacing w:after="0"/>
              <w:rPr>
                <w:sz w:val="18"/>
                <w:szCs w:val="18"/>
                <w:color w:val="auto"/>
              </w:rPr>
            </w:pPr>
          </w:p>
        </w:tc>
        <w:tc>
          <w:tcPr>
            <w:tcW w:w="5360" w:type="dxa"/>
            <w:vAlign w:val="bottom"/>
            <w:gridSpan w:val="14"/>
          </w:tcPr>
          <w:p>
            <w:pPr>
              <w:spacing w:after="0"/>
              <w:rPr>
                <w:sz w:val="18"/>
                <w:szCs w:val="18"/>
                <w:color w:val="auto"/>
              </w:rPr>
            </w:pPr>
          </w:p>
        </w:tc>
      </w:tr>
      <w:tr>
        <w:trPr>
          <w:trHeight w:val="396"/>
        </w:trPr>
        <w:tc>
          <w:tcPr>
            <w:tcW w:w="1040" w:type="dxa"/>
            <w:vAlign w:val="bottom"/>
          </w:tcPr>
          <w:p>
            <w:pPr>
              <w:jc w:val="center"/>
              <w:ind w:right="271"/>
              <w:spacing w:after="0"/>
              <w:rPr>
                <w:sz w:val="20"/>
                <w:szCs w:val="20"/>
                <w:color w:val="auto"/>
              </w:rPr>
            </w:pPr>
            <w:r>
              <w:rPr>
                <w:rFonts w:ascii="Arial" w:cs="Arial" w:eastAsia="Arial" w:hAnsi="Arial"/>
                <w:sz w:val="18"/>
                <w:szCs w:val="18"/>
                <w:color w:val="auto"/>
                <w:w w:val="95"/>
              </w:rPr>
              <w:t>32.1*</w:t>
            </w:r>
          </w:p>
        </w:tc>
        <w:tc>
          <w:tcPr>
            <w:tcW w:w="5820" w:type="dxa"/>
            <w:vAlign w:val="bottom"/>
            <w:tcBorders>
              <w:bottom w:val="single" w:sz="8" w:color="0000FF"/>
            </w:tcBorders>
            <w:gridSpan w:val="16"/>
          </w:tcPr>
          <w:p>
            <w:pPr>
              <w:spacing w:after="0"/>
              <w:rPr>
                <w:rFonts w:ascii="Arial" w:cs="Arial" w:eastAsia="Arial" w:hAnsi="Arial"/>
                <w:sz w:val="18"/>
                <w:szCs w:val="18"/>
                <w:color w:val="0000FF"/>
                <w:w w:val="92"/>
              </w:rPr>
            </w:pPr>
            <w:hyperlink w:anchor="page78">
              <w:r>
                <w:rPr>
                  <w:rFonts w:ascii="Arial" w:cs="Arial" w:eastAsia="Arial" w:hAnsi="Arial"/>
                  <w:sz w:val="18"/>
                  <w:szCs w:val="18"/>
                  <w:color w:val="0000FF"/>
                  <w:w w:val="92"/>
                </w:rPr>
                <w:t>Certification of Chief Executive Officer required by Rule 13a-14(b) or Rule 15d-</w:t>
              </w:r>
            </w:hyperlink>
          </w:p>
        </w:tc>
      </w:tr>
      <w:tr>
        <w:trPr>
          <w:trHeight w:val="208"/>
        </w:trPr>
        <w:tc>
          <w:tcPr>
            <w:tcW w:w="1040" w:type="dxa"/>
            <w:vAlign w:val="bottom"/>
          </w:tcPr>
          <w:p>
            <w:pPr>
              <w:spacing w:after="0"/>
              <w:rPr>
                <w:sz w:val="18"/>
                <w:szCs w:val="18"/>
                <w:color w:val="auto"/>
              </w:rPr>
            </w:pPr>
          </w:p>
        </w:tc>
        <w:tc>
          <w:tcPr>
            <w:tcW w:w="572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78">
              <w:r>
                <w:rPr>
                  <w:rFonts w:ascii="Arial" w:cs="Arial" w:eastAsia="Arial" w:hAnsi="Arial"/>
                  <w:sz w:val="18"/>
                  <w:szCs w:val="18"/>
                  <w:color w:val="0000FF"/>
                  <w:w w:val="90"/>
                </w:rPr>
                <w:t>14(b) and Section 1350 of Chapter 63 of Title 18 of the United States Code (18</w:t>
              </w:r>
            </w:hyperlink>
          </w:p>
        </w:tc>
        <w:tc>
          <w:tcPr>
            <w:tcW w:w="100" w:type="dxa"/>
            <w:vAlign w:val="bottom"/>
            <w:gridSpan w:val="3"/>
          </w:tcPr>
          <w:p>
            <w:pPr>
              <w:spacing w:after="0"/>
              <w:rPr>
                <w:sz w:val="18"/>
                <w:szCs w:val="18"/>
                <w:color w:val="auto"/>
              </w:rPr>
            </w:pPr>
          </w:p>
        </w:tc>
      </w:tr>
      <w:tr>
        <w:trPr>
          <w:trHeight w:val="208"/>
        </w:trPr>
        <w:tc>
          <w:tcPr>
            <w:tcW w:w="1040" w:type="dxa"/>
            <w:vAlign w:val="bottom"/>
          </w:tcPr>
          <w:p>
            <w:pPr>
              <w:spacing w:after="0"/>
              <w:rPr>
                <w:sz w:val="18"/>
                <w:szCs w:val="18"/>
                <w:color w:val="auto"/>
              </w:rPr>
            </w:pPr>
          </w:p>
        </w:tc>
        <w:tc>
          <w:tcPr>
            <w:tcW w:w="5820" w:type="dxa"/>
            <w:vAlign w:val="bottom"/>
            <w:gridSpan w:val="16"/>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U.S.C. §1350).</w:t>
              </w:r>
            </w:hyperlink>
          </w:p>
        </w:tc>
      </w:tr>
      <w:tr>
        <w:trPr>
          <w:trHeight w:val="20"/>
        </w:trPr>
        <w:tc>
          <w:tcPr>
            <w:tcW w:w="1040" w:type="dxa"/>
            <w:vAlign w:val="bottom"/>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466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6"/>
        </w:trPr>
        <w:tc>
          <w:tcPr>
            <w:tcW w:w="1040" w:type="dxa"/>
            <w:vAlign w:val="bottom"/>
          </w:tcPr>
          <w:p>
            <w:pPr>
              <w:jc w:val="center"/>
              <w:ind w:right="271"/>
              <w:spacing w:after="0"/>
              <w:rPr>
                <w:sz w:val="20"/>
                <w:szCs w:val="20"/>
                <w:color w:val="auto"/>
              </w:rPr>
            </w:pPr>
            <w:r>
              <w:rPr>
                <w:rFonts w:ascii="Arial" w:cs="Arial" w:eastAsia="Arial" w:hAnsi="Arial"/>
                <w:sz w:val="18"/>
                <w:szCs w:val="18"/>
                <w:color w:val="auto"/>
                <w:w w:val="95"/>
              </w:rPr>
              <w:t>32.2*</w:t>
            </w:r>
          </w:p>
        </w:tc>
        <w:tc>
          <w:tcPr>
            <w:tcW w:w="5820" w:type="dxa"/>
            <w:vAlign w:val="bottom"/>
            <w:gridSpan w:val="16"/>
          </w:tcPr>
          <w:p>
            <w:pPr>
              <w:spacing w:after="0"/>
              <w:rPr>
                <w:rFonts w:ascii="Arial" w:cs="Arial" w:eastAsia="Arial" w:hAnsi="Arial"/>
                <w:sz w:val="18"/>
                <w:szCs w:val="18"/>
                <w:color w:val="0000FF"/>
                <w:w w:val="93"/>
              </w:rPr>
            </w:pPr>
            <w:hyperlink w:anchor="page79">
              <w:r>
                <w:rPr>
                  <w:rFonts w:ascii="Arial" w:cs="Arial" w:eastAsia="Arial" w:hAnsi="Arial"/>
                  <w:sz w:val="18"/>
                  <w:szCs w:val="18"/>
                  <w:color w:val="0000FF"/>
                  <w:w w:val="93"/>
                </w:rPr>
                <w:t>Certification of Chief Financial Officer required by Rule 13a-14(b) or Rule 15d-</w:t>
              </w:r>
            </w:hyperlink>
          </w:p>
        </w:tc>
      </w:tr>
      <w:tr>
        <w:trPr>
          <w:trHeight w:val="208"/>
        </w:trPr>
        <w:tc>
          <w:tcPr>
            <w:tcW w:w="1040" w:type="dxa"/>
            <w:vAlign w:val="bottom"/>
          </w:tcPr>
          <w:p>
            <w:pPr>
              <w:spacing w:after="0"/>
              <w:rPr>
                <w:sz w:val="18"/>
                <w:szCs w:val="18"/>
                <w:color w:val="auto"/>
              </w:rPr>
            </w:pPr>
          </w:p>
        </w:tc>
        <w:tc>
          <w:tcPr>
            <w:tcW w:w="572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14(b) and Section 1350 of Chapter 63 of Title 18 of the United States Code (18</w:t>
              </w:r>
            </w:hyperlink>
          </w:p>
        </w:tc>
        <w:tc>
          <w:tcPr>
            <w:tcW w:w="40" w:type="dxa"/>
            <w:vAlign w:val="bottom"/>
            <w:tcBorders>
              <w:top w:val="single" w:sz="8" w:color="0000FF"/>
            </w:tcBorders>
          </w:tcPr>
          <w:p>
            <w:pPr>
              <w:spacing w:after="0"/>
              <w:rPr>
                <w:sz w:val="18"/>
                <w:szCs w:val="18"/>
                <w:color w:val="auto"/>
              </w:rPr>
            </w:pPr>
          </w:p>
        </w:tc>
        <w:tc>
          <w:tcPr>
            <w:tcW w:w="60" w:type="dxa"/>
            <w:vAlign w:val="bottom"/>
            <w:gridSpan w:val="2"/>
          </w:tcPr>
          <w:p>
            <w:pPr>
              <w:spacing w:after="0"/>
              <w:rPr>
                <w:sz w:val="18"/>
                <w:szCs w:val="18"/>
                <w:color w:val="auto"/>
              </w:rPr>
            </w:pPr>
          </w:p>
        </w:tc>
      </w:tr>
      <w:tr>
        <w:trPr>
          <w:trHeight w:val="208"/>
        </w:trPr>
        <w:tc>
          <w:tcPr>
            <w:tcW w:w="1040" w:type="dxa"/>
            <w:vAlign w:val="bottom"/>
          </w:tcPr>
          <w:p>
            <w:pPr>
              <w:spacing w:after="0"/>
              <w:rPr>
                <w:sz w:val="18"/>
                <w:szCs w:val="18"/>
                <w:color w:val="auto"/>
              </w:rPr>
            </w:pPr>
          </w:p>
        </w:tc>
        <w:tc>
          <w:tcPr>
            <w:tcW w:w="5820" w:type="dxa"/>
            <w:vAlign w:val="bottom"/>
            <w:gridSpan w:val="16"/>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U.S.C. §1350).</w:t>
              </w:r>
            </w:hyperlink>
          </w:p>
        </w:tc>
      </w:tr>
      <w:tr>
        <w:trPr>
          <w:trHeight w:val="20"/>
        </w:trPr>
        <w:tc>
          <w:tcPr>
            <w:tcW w:w="1040" w:type="dxa"/>
            <w:vAlign w:val="bottom"/>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4720" w:type="dxa"/>
            <w:vAlign w:val="bottom"/>
            <w:gridSpan w:val="13"/>
          </w:tcPr>
          <w:p>
            <w:pPr>
              <w:spacing w:after="0" w:line="20" w:lineRule="exact"/>
              <w:rPr>
                <w:sz w:val="1"/>
                <w:szCs w:val="1"/>
                <w:color w:val="auto"/>
              </w:rPr>
            </w:pPr>
          </w:p>
        </w:tc>
      </w:tr>
      <w:tr>
        <w:trPr>
          <w:trHeight w:val="435"/>
        </w:trPr>
        <w:tc>
          <w:tcPr>
            <w:tcW w:w="1040" w:type="dxa"/>
            <w:vAlign w:val="bottom"/>
          </w:tcPr>
          <w:p>
            <w:pPr>
              <w:jc w:val="center"/>
              <w:ind w:right="271"/>
              <w:spacing w:after="0"/>
              <w:rPr>
                <w:sz w:val="20"/>
                <w:szCs w:val="20"/>
                <w:color w:val="auto"/>
              </w:rPr>
            </w:pPr>
            <w:r>
              <w:rPr>
                <w:rFonts w:ascii="Arial" w:cs="Arial" w:eastAsia="Arial" w:hAnsi="Arial"/>
                <w:sz w:val="18"/>
                <w:szCs w:val="18"/>
                <w:color w:val="auto"/>
                <w:w w:val="92"/>
              </w:rPr>
              <w:t>101.INS</w:t>
            </w:r>
          </w:p>
        </w:tc>
        <w:tc>
          <w:tcPr>
            <w:tcW w:w="5820" w:type="dxa"/>
            <w:vAlign w:val="bottom"/>
            <w:gridSpan w:val="16"/>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w:t>
            </w:r>
          </w:p>
        </w:tc>
      </w:tr>
      <w:tr>
        <w:trPr>
          <w:trHeight w:val="228"/>
        </w:trPr>
        <w:tc>
          <w:tcPr>
            <w:tcW w:w="1040" w:type="dxa"/>
            <w:vAlign w:val="bottom"/>
          </w:tcPr>
          <w:p>
            <w:pPr>
              <w:spacing w:after="0"/>
              <w:rPr>
                <w:sz w:val="19"/>
                <w:szCs w:val="19"/>
                <w:color w:val="auto"/>
              </w:rPr>
            </w:pPr>
          </w:p>
        </w:tc>
        <w:tc>
          <w:tcPr>
            <w:tcW w:w="5820" w:type="dxa"/>
            <w:vAlign w:val="bottom"/>
            <w:gridSpan w:val="16"/>
          </w:tcPr>
          <w:p>
            <w:pPr>
              <w:spacing w:after="0"/>
              <w:rPr>
                <w:sz w:val="20"/>
                <w:szCs w:val="20"/>
                <w:color w:val="auto"/>
              </w:rPr>
            </w:pPr>
            <w:r>
              <w:rPr>
                <w:rFonts w:ascii="Arial" w:cs="Arial" w:eastAsia="Arial" w:hAnsi="Arial"/>
                <w:sz w:val="18"/>
                <w:szCs w:val="18"/>
                <w:color w:val="auto"/>
                <w:w w:val="97"/>
              </w:rPr>
              <w:t>Interactive Data File because its XBRL tags are embedded within the Inline</w:t>
            </w:r>
          </w:p>
        </w:tc>
      </w:tr>
      <w:tr>
        <w:trPr>
          <w:trHeight w:val="229"/>
        </w:trPr>
        <w:tc>
          <w:tcPr>
            <w:tcW w:w="1040" w:type="dxa"/>
            <w:vAlign w:val="bottom"/>
          </w:tcPr>
          <w:p>
            <w:pPr>
              <w:spacing w:after="0"/>
              <w:rPr>
                <w:sz w:val="19"/>
                <w:szCs w:val="19"/>
                <w:color w:val="auto"/>
              </w:rPr>
            </w:pPr>
          </w:p>
        </w:tc>
        <w:tc>
          <w:tcPr>
            <w:tcW w:w="5820" w:type="dxa"/>
            <w:vAlign w:val="bottom"/>
            <w:gridSpan w:val="16"/>
          </w:tcPr>
          <w:p>
            <w:pPr>
              <w:spacing w:after="0"/>
              <w:rPr>
                <w:sz w:val="20"/>
                <w:szCs w:val="20"/>
                <w:color w:val="auto"/>
              </w:rPr>
            </w:pPr>
            <w:r>
              <w:rPr>
                <w:rFonts w:ascii="Arial" w:cs="Arial" w:eastAsia="Arial" w:hAnsi="Arial"/>
                <w:sz w:val="18"/>
                <w:szCs w:val="18"/>
                <w:color w:val="auto"/>
              </w:rPr>
              <w:t>XBRL document</w:t>
            </w:r>
          </w:p>
        </w:tc>
      </w:tr>
      <w:tr>
        <w:trPr>
          <w:trHeight w:val="41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90"/>
              </w:rPr>
              <w:t>101.SCH</w:t>
            </w:r>
          </w:p>
        </w:tc>
        <w:tc>
          <w:tcPr>
            <w:tcW w:w="58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1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94"/>
              </w:rPr>
              <w:t>101.CAL</w:t>
            </w:r>
          </w:p>
        </w:tc>
        <w:tc>
          <w:tcPr>
            <w:tcW w:w="582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1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92"/>
              </w:rPr>
              <w:t>101.DEF</w:t>
            </w:r>
          </w:p>
        </w:tc>
        <w:tc>
          <w:tcPr>
            <w:tcW w:w="582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1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95"/>
              </w:rPr>
              <w:t>101.LAB</w:t>
            </w:r>
          </w:p>
        </w:tc>
        <w:tc>
          <w:tcPr>
            <w:tcW w:w="582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16"/>
        </w:trPr>
        <w:tc>
          <w:tcPr>
            <w:tcW w:w="1040" w:type="dxa"/>
            <w:vAlign w:val="bottom"/>
          </w:tcPr>
          <w:p>
            <w:pPr>
              <w:jc w:val="center"/>
              <w:ind w:right="271"/>
              <w:spacing w:after="0"/>
              <w:rPr>
                <w:sz w:val="20"/>
                <w:szCs w:val="20"/>
                <w:color w:val="auto"/>
              </w:rPr>
            </w:pPr>
            <w:r>
              <w:rPr>
                <w:rFonts w:ascii="Arial" w:cs="Arial" w:eastAsia="Arial" w:hAnsi="Arial"/>
                <w:sz w:val="18"/>
                <w:szCs w:val="18"/>
                <w:color w:val="auto"/>
                <w:w w:val="88"/>
              </w:rPr>
              <w:t>101.PRE</w:t>
            </w:r>
          </w:p>
        </w:tc>
        <w:tc>
          <w:tcPr>
            <w:tcW w:w="582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87" w:lineRule="exact"/>
        <w:rPr>
          <w:sz w:val="20"/>
          <w:szCs w:val="20"/>
          <w:color w:val="auto"/>
        </w:rPr>
      </w:pPr>
    </w:p>
    <w:p>
      <w:pPr>
        <w:ind w:left="1360" w:right="280" w:hanging="843"/>
        <w:spacing w:after="0" w:line="290" w:lineRule="auto"/>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18237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19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Pr>
          <w:p>
            <w:pPr>
              <w:spacing w:after="0"/>
              <w:rPr>
                <w:sz w:val="16"/>
                <w:szCs w:val="16"/>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416"/>
        </w:trPr>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10/19/2015</w:t>
            </w:r>
          </w:p>
        </w:tc>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97"/>
        </w:trPr>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w w:val="92"/>
              </w:rPr>
              <w:t>6/23/2020</w:t>
            </w:r>
          </w:p>
        </w:tc>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10"/>
        </w:trPr>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10/19/2015</w:t>
            </w:r>
          </w:p>
        </w:tc>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32"/>
        </w:trPr>
        <w:tc>
          <w:tcPr>
            <w:tcW w:w="8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w w:val="92"/>
              </w:rPr>
              <w:t>9/28/2015</w:t>
            </w:r>
          </w:p>
        </w:tc>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23"/>
        </w:trPr>
        <w:tc>
          <w:tcPr>
            <w:tcW w:w="8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71"/>
              <w:spacing w:after="0"/>
              <w:rPr>
                <w:sz w:val="20"/>
                <w:szCs w:val="20"/>
                <w:color w:val="auto"/>
              </w:rPr>
            </w:pPr>
            <w:r>
              <w:rPr>
                <w:rFonts w:ascii="Arial" w:cs="Arial" w:eastAsia="Arial" w:hAnsi="Arial"/>
                <w:sz w:val="18"/>
                <w:szCs w:val="18"/>
                <w:color w:val="auto"/>
                <w:w w:val="91"/>
              </w:rPr>
              <w:t>8/6/2020</w:t>
            </w:r>
          </w:p>
        </w:tc>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87"/>
              </w:rPr>
              <w:t>4.4</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0" w:lineRule="exact"/>
        <w:rPr>
          <w:sz w:val="20"/>
          <w:szCs w:val="20"/>
          <w:color w:val="auto"/>
        </w:rPr>
      </w:pPr>
    </w:p>
    <w:p>
      <w:pPr>
        <w:spacing w:after="0" w:line="215"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3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58"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3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0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0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0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0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316"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385" w:lineRule="exact"/>
        <w:rPr>
          <w:sz w:val="20"/>
          <w:szCs w:val="20"/>
          <w:color w:val="auto"/>
        </w:rPr>
      </w:pPr>
    </w:p>
    <w:p>
      <w:pPr>
        <w:sectPr>
          <w:pgSz w:w="11900" w:h="16838" w:orient="portrait"/>
          <w:cols w:equalWidth="0" w:num="2">
            <w:col w:w="7180" w:space="240"/>
            <w:col w:w="3760"/>
          </w:cols>
          <w:pgMar w:left="320" w:top="363" w:right="399" w:bottom="1440" w:gutter="0" w:footer="0" w:header="0"/>
        </w:sectPr>
      </w:pPr>
    </w:p>
    <w:p>
      <w:pPr>
        <w:spacing w:after="0" w:line="38" w:lineRule="exact"/>
        <w:rPr>
          <w:sz w:val="20"/>
          <w:szCs w:val="20"/>
          <w:color w:val="auto"/>
        </w:rPr>
      </w:pPr>
    </w:p>
    <w:p>
      <w:pPr>
        <w:ind w:right="20" w:firstLine="7"/>
        <w:spacing w:after="0" w:line="327" w:lineRule="auto"/>
        <w:tabs>
          <w:tab w:leader="none" w:pos="13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63" w:right="399" w:bottom="1440" w:gutter="0" w:footer="0" w:header="0"/>
          <w:type w:val="continuous"/>
        </w:sectPr>
      </w:pPr>
    </w:p>
    <w:bookmarkStart w:id="74" w:name="page75"/>
    <w:bookmarkEnd w:id="74"/>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CytomX Therapeutics, Inc.</w:t>
      </w:r>
    </w:p>
    <w:p>
      <w:pPr>
        <w:spacing w:after="0" w:line="347" w:lineRule="exact"/>
        <w:rPr>
          <w:sz w:val="20"/>
          <w:szCs w:val="20"/>
          <w:color w:val="auto"/>
        </w:rPr>
      </w:pPr>
    </w:p>
    <w:p>
      <w:pPr>
        <w:ind w:left="20"/>
        <w:spacing w:after="0"/>
        <w:tabs>
          <w:tab w:leader="none" w:pos="6340" w:val="left"/>
          <w:tab w:leader="none" w:pos="822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22860</wp:posOffset>
            </wp:positionV>
            <wp:extent cx="28206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37"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Sean A. McCarthy, D. Phil.</w:t>
      </w:r>
    </w:p>
    <w:p>
      <w:pPr>
        <w:spacing w:after="0" w:line="48" w:lineRule="exact"/>
        <w:rPr>
          <w:sz w:val="20"/>
          <w:szCs w:val="20"/>
          <w:color w:val="auto"/>
        </w:rPr>
      </w:pPr>
    </w:p>
    <w:p>
      <w:pPr>
        <w:ind w:left="7200"/>
        <w:spacing w:after="0"/>
        <w:rPr>
          <w:sz w:val="20"/>
          <w:szCs w:val="20"/>
          <w:color w:val="auto"/>
        </w:rPr>
      </w:pPr>
      <w:r>
        <w:rPr>
          <w:rFonts w:ascii="Arial" w:cs="Arial" w:eastAsia="Arial" w:hAnsi="Arial"/>
          <w:sz w:val="17"/>
          <w:szCs w:val="17"/>
          <w:b w:val="1"/>
          <w:bCs w:val="1"/>
          <w:color w:val="auto"/>
        </w:rPr>
        <w:t>President, Chief Executive Officer and Director</w:t>
      </w:r>
    </w:p>
    <w:p>
      <w:pPr>
        <w:spacing w:after="0" w:line="38"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(Principal Executive Officer)</w:t>
      </w:r>
    </w:p>
    <w:p>
      <w:pPr>
        <w:spacing w:after="0" w:line="342" w:lineRule="exact"/>
        <w:rPr>
          <w:sz w:val="20"/>
          <w:szCs w:val="20"/>
          <w:color w:val="auto"/>
        </w:rPr>
      </w:pPr>
    </w:p>
    <w:p>
      <w:pPr>
        <w:ind w:left="20"/>
        <w:spacing w:after="0"/>
        <w:tabs>
          <w:tab w:leader="none" w:pos="6340" w:val="left"/>
          <w:tab w:leader="none" w:pos="83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Carlos Campoy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22860</wp:posOffset>
            </wp:positionV>
            <wp:extent cx="28206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37"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Carlos Campoy</w:t>
      </w:r>
    </w:p>
    <w:p>
      <w:pPr>
        <w:spacing w:after="0" w:line="48"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Chief Financial Officer</w:t>
      </w:r>
    </w:p>
    <w:p>
      <w:pPr>
        <w:spacing w:after="0" w:line="26"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21" w:lineRule="exact"/>
        <w:rPr>
          <w:sz w:val="20"/>
          <w:szCs w:val="20"/>
          <w:color w:val="auto"/>
        </w:rPr>
      </w:pPr>
    </w:p>
    <w:p>
      <w:pPr>
        <w:jc w:val="center"/>
        <w:ind w:left="678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363" w:right="4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President and Chief Executive Officer of CytomX Therapeutics, Inc., certify that:</w:t>
      </w:r>
    </w:p>
    <w:p>
      <w:pPr>
        <w:spacing w:after="0" w:line="129" w:lineRule="exact"/>
        <w:rPr>
          <w:sz w:val="20"/>
          <w:szCs w:val="20"/>
          <w:color w:val="auto"/>
        </w:rPr>
      </w:pPr>
    </w:p>
    <w:p>
      <w:pPr>
        <w:ind w:left="960" w:hanging="44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35" w:lineRule="exact"/>
        <w:rPr>
          <w:rFonts w:ascii="Arial" w:cs="Arial" w:eastAsia="Arial" w:hAnsi="Arial"/>
          <w:sz w:val="18"/>
          <w:szCs w:val="18"/>
          <w:color w:val="auto"/>
        </w:rPr>
      </w:pPr>
    </w:p>
    <w:p>
      <w:pPr>
        <w:jc w:val="both"/>
        <w:ind w:left="960" w:right="140" w:hanging="443"/>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960" w:right="100" w:hanging="443"/>
        <w:spacing w:after="0" w:line="321"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ind w:left="960" w:right="80" w:hanging="443"/>
        <w:spacing w:after="0" w:line="229" w:lineRule="exact"/>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15d-15(e)) and internal control over financial reporting (as defined in Exchange Act Rules 13a-15(f) and</w:t>
      </w: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27" w:lineRule="exact"/>
        <w:rPr>
          <w:rFonts w:ascii="Arial" w:cs="Arial" w:eastAsia="Arial" w:hAnsi="Arial"/>
          <w:sz w:val="16"/>
          <w:szCs w:val="16"/>
          <w:color w:val="auto"/>
        </w:rPr>
      </w:pPr>
    </w:p>
    <w:p>
      <w:pPr>
        <w:ind w:left="1460" w:hanging="434"/>
        <w:spacing w:after="0" w:line="277"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460" w:right="20" w:hanging="434"/>
        <w:spacing w:after="0" w:line="277"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right="100" w:hanging="434"/>
        <w:spacing w:after="0" w:line="356" w:lineRule="auto"/>
        <w:tabs>
          <w:tab w:leader="none" w:pos="14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6"/>
          <w:szCs w:val="16"/>
          <w:color w:val="auto"/>
        </w:rPr>
      </w:pPr>
    </w:p>
    <w:p>
      <w:pPr>
        <w:ind w:left="1460" w:right="100" w:hanging="434"/>
        <w:spacing w:after="0" w:line="277"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960" w:right="40" w:hanging="443"/>
        <w:spacing w:after="0" w:line="356"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16"/>
          <w:szCs w:val="16"/>
          <w:color w:val="auto"/>
        </w:rPr>
      </w:pPr>
    </w:p>
    <w:p>
      <w:pPr>
        <w:ind w:left="1460" w:right="340" w:hanging="434"/>
        <w:spacing w:after="0" w:line="356" w:lineRule="auto"/>
        <w:tabs>
          <w:tab w:leader="none" w:pos="14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6"/>
          <w:szCs w:val="16"/>
          <w:color w:val="auto"/>
        </w:rPr>
      </w:pPr>
    </w:p>
    <w:p>
      <w:pPr>
        <w:ind w:left="1460" w:right="40" w:hanging="434"/>
        <w:spacing w:after="0" w:line="290"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Date: November 4, 2021</w:t>
            </w:r>
          </w:p>
        </w:tc>
        <w:tc>
          <w:tcPr>
            <w:tcW w:w="2520" w:type="dxa"/>
            <w:vAlign w:val="bottom"/>
          </w:tcPr>
          <w:p>
            <w:pPr>
              <w:ind w:left="17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c>
          <w:tcPr>
            <w:tcW w:w="580" w:type="dxa"/>
            <w:vAlign w:val="bottom"/>
          </w:tcPr>
          <w:p>
            <w:pPr>
              <w:spacing w:after="0"/>
              <w:rPr>
                <w:sz w:val="21"/>
                <w:szCs w:val="21"/>
                <w:color w:val="auto"/>
              </w:rPr>
            </w:pPr>
          </w:p>
        </w:tc>
      </w:tr>
      <w:tr>
        <w:trPr>
          <w:trHeight w:val="235"/>
        </w:trPr>
        <w:tc>
          <w:tcPr>
            <w:tcW w:w="3520" w:type="dxa"/>
            <w:vAlign w:val="bottom"/>
          </w:tcPr>
          <w:p>
            <w:pPr>
              <w:spacing w:after="0"/>
              <w:rPr>
                <w:sz w:val="20"/>
                <w:szCs w:val="20"/>
                <w:color w:val="auto"/>
              </w:rPr>
            </w:pPr>
          </w:p>
        </w:tc>
        <w:tc>
          <w:tcPr>
            <w:tcW w:w="2520" w:type="dxa"/>
            <w:vAlign w:val="bottom"/>
          </w:tcPr>
          <w:p>
            <w:pPr>
              <w:ind w:left="174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Sean A. McCarthy</w:t>
            </w:r>
          </w:p>
        </w:tc>
        <w:tc>
          <w:tcPr>
            <w:tcW w:w="580" w:type="dxa"/>
            <w:vAlign w:val="bottom"/>
          </w:tcPr>
          <w:p>
            <w:pPr>
              <w:spacing w:after="0"/>
              <w:rPr>
                <w:sz w:val="20"/>
                <w:szCs w:val="20"/>
                <w:color w:val="auto"/>
              </w:rPr>
            </w:pPr>
          </w:p>
        </w:tc>
      </w:tr>
      <w:tr>
        <w:trPr>
          <w:trHeight w:val="255"/>
        </w:trPr>
        <w:tc>
          <w:tcPr>
            <w:tcW w:w="3520" w:type="dxa"/>
            <w:vAlign w:val="bottom"/>
          </w:tcPr>
          <w:p>
            <w:pPr>
              <w:spacing w:after="0"/>
              <w:rPr>
                <w:sz w:val="22"/>
                <w:szCs w:val="22"/>
                <w:color w:val="auto"/>
              </w:rPr>
            </w:pPr>
          </w:p>
        </w:tc>
        <w:tc>
          <w:tcPr>
            <w:tcW w:w="2520" w:type="dxa"/>
            <w:vAlign w:val="bottom"/>
          </w:tcPr>
          <w:p>
            <w:pPr>
              <w:ind w:left="174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80" w:type="dxa"/>
            <w:vAlign w:val="bottom"/>
          </w:tcPr>
          <w:p>
            <w:pPr>
              <w:spacing w:after="0"/>
              <w:rPr>
                <w:sz w:val="22"/>
                <w:szCs w:val="22"/>
                <w:color w:val="auto"/>
              </w:rPr>
            </w:pPr>
          </w:p>
        </w:tc>
      </w:tr>
      <w:tr>
        <w:trPr>
          <w:trHeight w:val="584"/>
        </w:trPr>
        <w:tc>
          <w:tcPr>
            <w:tcW w:w="35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 Carlos Campoy, Chief Financial Officer of CytomX Therapeutics, Inc., certify that:</w:t>
      </w:r>
    </w:p>
    <w:p>
      <w:pPr>
        <w:spacing w:after="0" w:line="129" w:lineRule="exact"/>
        <w:rPr>
          <w:sz w:val="20"/>
          <w:szCs w:val="20"/>
          <w:color w:val="auto"/>
        </w:rPr>
      </w:pPr>
    </w:p>
    <w:p>
      <w:pPr>
        <w:ind w:left="960" w:hanging="44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35" w:lineRule="exact"/>
        <w:rPr>
          <w:rFonts w:ascii="Arial" w:cs="Arial" w:eastAsia="Arial" w:hAnsi="Arial"/>
          <w:sz w:val="18"/>
          <w:szCs w:val="18"/>
          <w:color w:val="auto"/>
        </w:rPr>
      </w:pPr>
    </w:p>
    <w:p>
      <w:pPr>
        <w:jc w:val="both"/>
        <w:ind w:left="960" w:right="140" w:hanging="443"/>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960" w:right="100" w:hanging="443"/>
        <w:spacing w:after="0" w:line="321"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ind w:left="960" w:right="80" w:hanging="443"/>
        <w:spacing w:after="0" w:line="229" w:lineRule="exact"/>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15d-15(e)) and internal control over financial reporting (as defined in Exchange Act Rules 13a-15(f) and</w:t>
      </w: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27" w:lineRule="exact"/>
        <w:rPr>
          <w:rFonts w:ascii="Arial" w:cs="Arial" w:eastAsia="Arial" w:hAnsi="Arial"/>
          <w:sz w:val="16"/>
          <w:szCs w:val="16"/>
          <w:color w:val="auto"/>
        </w:rPr>
      </w:pPr>
    </w:p>
    <w:p>
      <w:pPr>
        <w:ind w:left="1460" w:hanging="434"/>
        <w:spacing w:after="0" w:line="277" w:lineRule="auto"/>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460" w:right="20" w:hanging="434"/>
        <w:spacing w:after="0" w:line="277" w:lineRule="auto"/>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right="100" w:hanging="434"/>
        <w:spacing w:after="0" w:line="356" w:lineRule="auto"/>
        <w:tabs>
          <w:tab w:leader="none" w:pos="14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6"/>
          <w:szCs w:val="16"/>
          <w:color w:val="auto"/>
        </w:rPr>
      </w:pPr>
    </w:p>
    <w:p>
      <w:pPr>
        <w:ind w:left="1460" w:right="100" w:hanging="434"/>
        <w:spacing w:after="0" w:line="277" w:lineRule="auto"/>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960" w:right="40" w:hanging="443"/>
        <w:spacing w:after="0" w:line="356"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16"/>
          <w:szCs w:val="16"/>
          <w:color w:val="auto"/>
        </w:rPr>
      </w:pPr>
    </w:p>
    <w:p>
      <w:pPr>
        <w:ind w:left="1460" w:right="340" w:hanging="434"/>
        <w:spacing w:after="0" w:line="356" w:lineRule="auto"/>
        <w:tabs>
          <w:tab w:leader="none" w:pos="14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6"/>
          <w:szCs w:val="16"/>
          <w:color w:val="auto"/>
        </w:rPr>
      </w:pPr>
    </w:p>
    <w:p>
      <w:pPr>
        <w:ind w:left="1460" w:right="40" w:hanging="434"/>
        <w:spacing w:after="0" w:line="290" w:lineRule="auto"/>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Date: November 4, 2021</w:t>
            </w:r>
          </w:p>
        </w:tc>
        <w:tc>
          <w:tcPr>
            <w:tcW w:w="2520" w:type="dxa"/>
            <w:vAlign w:val="bottom"/>
          </w:tcPr>
          <w:p>
            <w:pPr>
              <w:ind w:left="17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Campoy</w:t>
            </w:r>
          </w:p>
        </w:tc>
        <w:tc>
          <w:tcPr>
            <w:tcW w:w="580" w:type="dxa"/>
            <w:vAlign w:val="bottom"/>
          </w:tcPr>
          <w:p>
            <w:pPr>
              <w:spacing w:after="0"/>
              <w:rPr>
                <w:sz w:val="21"/>
                <w:szCs w:val="21"/>
                <w:color w:val="auto"/>
              </w:rPr>
            </w:pPr>
          </w:p>
        </w:tc>
      </w:tr>
      <w:tr>
        <w:trPr>
          <w:trHeight w:val="235"/>
        </w:trPr>
        <w:tc>
          <w:tcPr>
            <w:tcW w:w="3520" w:type="dxa"/>
            <w:vAlign w:val="bottom"/>
          </w:tcPr>
          <w:p>
            <w:pPr>
              <w:spacing w:after="0"/>
              <w:rPr>
                <w:sz w:val="20"/>
                <w:szCs w:val="20"/>
                <w:color w:val="auto"/>
              </w:rPr>
            </w:pPr>
          </w:p>
        </w:tc>
        <w:tc>
          <w:tcPr>
            <w:tcW w:w="2520" w:type="dxa"/>
            <w:vAlign w:val="bottom"/>
          </w:tcPr>
          <w:p>
            <w:pPr>
              <w:ind w:left="174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Carlos Campoy</w:t>
            </w:r>
          </w:p>
        </w:tc>
        <w:tc>
          <w:tcPr>
            <w:tcW w:w="580" w:type="dxa"/>
            <w:vAlign w:val="bottom"/>
          </w:tcPr>
          <w:p>
            <w:pPr>
              <w:spacing w:after="0"/>
              <w:rPr>
                <w:sz w:val="20"/>
                <w:szCs w:val="20"/>
                <w:color w:val="auto"/>
              </w:rPr>
            </w:pPr>
          </w:p>
        </w:tc>
      </w:tr>
      <w:tr>
        <w:trPr>
          <w:trHeight w:val="255"/>
        </w:trPr>
        <w:tc>
          <w:tcPr>
            <w:tcW w:w="3520" w:type="dxa"/>
            <w:vAlign w:val="bottom"/>
          </w:tcPr>
          <w:p>
            <w:pPr>
              <w:spacing w:after="0"/>
              <w:rPr>
                <w:sz w:val="22"/>
                <w:szCs w:val="22"/>
                <w:color w:val="auto"/>
              </w:rPr>
            </w:pPr>
          </w:p>
        </w:tc>
        <w:tc>
          <w:tcPr>
            <w:tcW w:w="2520" w:type="dxa"/>
            <w:vAlign w:val="bottom"/>
          </w:tcPr>
          <w:p>
            <w:pPr>
              <w:ind w:left="174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80" w:type="dxa"/>
            <w:vAlign w:val="bottom"/>
          </w:tcPr>
          <w:p>
            <w:pPr>
              <w:spacing w:after="0"/>
              <w:rPr>
                <w:sz w:val="22"/>
                <w:szCs w:val="22"/>
                <w:color w:val="auto"/>
              </w:rPr>
            </w:pPr>
          </w:p>
        </w:tc>
      </w:tr>
      <w:tr>
        <w:trPr>
          <w:trHeight w:val="584"/>
        </w:trPr>
        <w:tc>
          <w:tcPr>
            <w:tcW w:w="35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ind w:right="200"/>
        <w:spacing w:after="0" w:line="327" w:lineRule="auto"/>
        <w:rPr>
          <w:sz w:val="20"/>
          <w:szCs w:val="20"/>
          <w:color w:val="auto"/>
        </w:rPr>
      </w:pPr>
      <w:r>
        <w:rPr>
          <w:rFonts w:ascii="Arial" w:cs="Arial" w:eastAsia="Arial" w:hAnsi="Arial"/>
          <w:sz w:val="16"/>
          <w:szCs w:val="16"/>
          <w:color w:val="auto"/>
        </w:rPr>
        <w:t>In connection with the Quarterly Report of CytomX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September 30, 2021,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Sean A. McCarthy, President and Chief Executive Officer of the Company, certify, pursuant to 18 U.S.C. Section 1350, as adopted pursuant to Section 906 of the Sarbanes-Oxley Act of 2002 (the “</w:t>
      </w:r>
      <w:r>
        <w:rPr>
          <w:rFonts w:ascii="Arial" w:cs="Arial" w:eastAsia="Arial" w:hAnsi="Arial"/>
          <w:sz w:val="16"/>
          <w:szCs w:val="16"/>
          <w:u w:val="single" w:color="auto"/>
          <w:color w:val="auto"/>
        </w:rPr>
        <w:t>Act</w:t>
      </w:r>
      <w:r>
        <w:rPr>
          <w:rFonts w:ascii="Arial" w:cs="Arial" w:eastAsia="Arial" w:hAnsi="Arial"/>
          <w:sz w:val="16"/>
          <w:szCs w:val="16"/>
          <w:color w:val="auto"/>
        </w:rPr>
        <w:t>”), that:</w:t>
      </w:r>
    </w:p>
    <w:p>
      <w:pPr>
        <w:spacing w:after="0" w:line="40" w:lineRule="exact"/>
        <w:rPr>
          <w:sz w:val="20"/>
          <w:szCs w:val="20"/>
          <w:color w:val="auto"/>
        </w:rPr>
      </w:pPr>
    </w:p>
    <w:p>
      <w:pPr>
        <w:ind w:left="440" w:hanging="433"/>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8" w:lineRule="exact"/>
        <w:rPr>
          <w:rFonts w:ascii="Arial" w:cs="Arial" w:eastAsia="Arial" w:hAnsi="Arial"/>
          <w:sz w:val="18"/>
          <w:szCs w:val="18"/>
          <w:color w:val="auto"/>
        </w:rPr>
      </w:pPr>
    </w:p>
    <w:p>
      <w:pPr>
        <w:ind w:left="440" w:hanging="433"/>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Date: November 4, 2021</w:t>
            </w:r>
          </w:p>
        </w:tc>
        <w:tc>
          <w:tcPr>
            <w:tcW w:w="2440" w:type="dxa"/>
            <w:vAlign w:val="bottom"/>
          </w:tcPr>
          <w:p>
            <w:pPr>
              <w:ind w:left="176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A. McCarthy</w:t>
            </w:r>
          </w:p>
        </w:tc>
      </w:tr>
      <w:tr>
        <w:trPr>
          <w:trHeight w:val="223"/>
        </w:trPr>
        <w:tc>
          <w:tcPr>
            <w:tcW w:w="3520" w:type="dxa"/>
            <w:vAlign w:val="bottom"/>
          </w:tcPr>
          <w:p>
            <w:pPr>
              <w:spacing w:after="0"/>
              <w:rPr>
                <w:sz w:val="19"/>
                <w:szCs w:val="19"/>
                <w:color w:val="auto"/>
              </w:rPr>
            </w:pPr>
          </w:p>
        </w:tc>
        <w:tc>
          <w:tcPr>
            <w:tcW w:w="2440" w:type="dxa"/>
            <w:vAlign w:val="bottom"/>
          </w:tcPr>
          <w:p>
            <w:pPr>
              <w:ind w:left="1760"/>
              <w:spacing w:after="0"/>
              <w:rPr>
                <w:sz w:val="20"/>
                <w:szCs w:val="20"/>
                <w:color w:val="auto"/>
              </w:rPr>
            </w:pPr>
            <w:r>
              <w:rPr>
                <w:rFonts w:ascii="Arial" w:cs="Arial" w:eastAsia="Arial" w:hAnsi="Arial"/>
                <w:sz w:val="18"/>
                <w:szCs w:val="18"/>
                <w:color w:val="auto"/>
              </w:rPr>
              <w:t>Name:</w:t>
            </w:r>
          </w:p>
        </w:tc>
        <w:tc>
          <w:tcPr>
            <w:tcW w:w="4700" w:type="dxa"/>
            <w:vAlign w:val="bottom"/>
          </w:tcPr>
          <w:p>
            <w:pPr>
              <w:ind w:left="20"/>
              <w:spacing w:after="0"/>
              <w:rPr>
                <w:sz w:val="20"/>
                <w:szCs w:val="20"/>
                <w:color w:val="auto"/>
              </w:rPr>
            </w:pPr>
            <w:r>
              <w:rPr>
                <w:rFonts w:ascii="Arial" w:cs="Arial" w:eastAsia="Arial" w:hAnsi="Arial"/>
                <w:sz w:val="18"/>
                <w:szCs w:val="18"/>
                <w:color w:val="auto"/>
              </w:rPr>
              <w:t>Sean A. McCarthy</w:t>
            </w:r>
          </w:p>
        </w:tc>
      </w:tr>
      <w:tr>
        <w:trPr>
          <w:trHeight w:val="241"/>
        </w:trPr>
        <w:tc>
          <w:tcPr>
            <w:tcW w:w="3520" w:type="dxa"/>
            <w:vAlign w:val="bottom"/>
          </w:tcPr>
          <w:p>
            <w:pPr>
              <w:spacing w:after="0"/>
              <w:rPr>
                <w:sz w:val="20"/>
                <w:szCs w:val="20"/>
                <w:color w:val="auto"/>
              </w:rPr>
            </w:pPr>
          </w:p>
        </w:tc>
        <w:tc>
          <w:tcPr>
            <w:tcW w:w="2440" w:type="dxa"/>
            <w:vAlign w:val="bottom"/>
          </w:tcPr>
          <w:p>
            <w:pPr>
              <w:ind w:left="1760"/>
              <w:spacing w:after="0"/>
              <w:rPr>
                <w:sz w:val="20"/>
                <w:szCs w:val="20"/>
                <w:color w:val="auto"/>
              </w:rPr>
            </w:pPr>
            <w:r>
              <w:rPr>
                <w:rFonts w:ascii="Arial" w:cs="Arial" w:eastAsia="Arial" w:hAnsi="Arial"/>
                <w:sz w:val="18"/>
                <w:szCs w:val="18"/>
                <w:color w:val="auto"/>
              </w:rPr>
              <w:t>Title:</w:t>
            </w:r>
          </w:p>
        </w:tc>
        <w:tc>
          <w:tcPr>
            <w:tcW w:w="47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40" w:lineRule="exact"/>
        <w:rPr>
          <w:sz w:val="20"/>
          <w:szCs w:val="20"/>
          <w:color w:val="auto"/>
        </w:rPr>
      </w:pPr>
    </w:p>
    <w:p>
      <w:pPr>
        <w:ind w:right="340"/>
        <w:spacing w:after="0" w:line="327"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158115</wp:posOffset>
            </wp:positionV>
            <wp:extent cx="71583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ind w:right="200"/>
        <w:spacing w:after="0" w:line="300"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September 30, 2021,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Carlos Campoy, Chief Financial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9" w:lineRule="exact"/>
        <w:rPr>
          <w:sz w:val="20"/>
          <w:szCs w:val="20"/>
          <w:color w:val="auto"/>
        </w:rPr>
      </w:pPr>
    </w:p>
    <w:p>
      <w:pPr>
        <w:ind w:left="440" w:hanging="433"/>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8" w:lineRule="exact"/>
        <w:rPr>
          <w:rFonts w:ascii="Arial" w:cs="Arial" w:eastAsia="Arial" w:hAnsi="Arial"/>
          <w:sz w:val="18"/>
          <w:szCs w:val="18"/>
          <w:color w:val="auto"/>
        </w:rPr>
      </w:pPr>
    </w:p>
    <w:p>
      <w:pPr>
        <w:ind w:left="440" w:hanging="433"/>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Date: November 4, 2021</w:t>
            </w:r>
          </w:p>
        </w:tc>
        <w:tc>
          <w:tcPr>
            <w:tcW w:w="2440" w:type="dxa"/>
            <w:vAlign w:val="bottom"/>
          </w:tcPr>
          <w:p>
            <w:pPr>
              <w:ind w:left="176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Carlos Campoy</w:t>
            </w:r>
          </w:p>
        </w:tc>
      </w:tr>
      <w:tr>
        <w:trPr>
          <w:trHeight w:val="223"/>
        </w:trPr>
        <w:tc>
          <w:tcPr>
            <w:tcW w:w="3520" w:type="dxa"/>
            <w:vAlign w:val="bottom"/>
          </w:tcPr>
          <w:p>
            <w:pPr>
              <w:spacing w:after="0"/>
              <w:rPr>
                <w:sz w:val="19"/>
                <w:szCs w:val="19"/>
                <w:color w:val="auto"/>
              </w:rPr>
            </w:pPr>
          </w:p>
        </w:tc>
        <w:tc>
          <w:tcPr>
            <w:tcW w:w="2440" w:type="dxa"/>
            <w:vAlign w:val="bottom"/>
          </w:tcPr>
          <w:p>
            <w:pPr>
              <w:ind w:left="1760"/>
              <w:spacing w:after="0"/>
              <w:rPr>
                <w:sz w:val="20"/>
                <w:szCs w:val="20"/>
                <w:color w:val="auto"/>
              </w:rPr>
            </w:pPr>
            <w:r>
              <w:rPr>
                <w:rFonts w:ascii="Arial" w:cs="Arial" w:eastAsia="Arial" w:hAnsi="Arial"/>
                <w:sz w:val="18"/>
                <w:szCs w:val="18"/>
                <w:color w:val="auto"/>
              </w:rPr>
              <w:t>Name:</w:t>
            </w:r>
          </w:p>
        </w:tc>
        <w:tc>
          <w:tcPr>
            <w:tcW w:w="4700" w:type="dxa"/>
            <w:vAlign w:val="bottom"/>
          </w:tcPr>
          <w:p>
            <w:pPr>
              <w:ind w:left="20"/>
              <w:spacing w:after="0"/>
              <w:rPr>
                <w:sz w:val="20"/>
                <w:szCs w:val="20"/>
                <w:color w:val="auto"/>
              </w:rPr>
            </w:pPr>
            <w:r>
              <w:rPr>
                <w:rFonts w:ascii="Arial" w:cs="Arial" w:eastAsia="Arial" w:hAnsi="Arial"/>
                <w:sz w:val="18"/>
                <w:szCs w:val="18"/>
                <w:color w:val="auto"/>
              </w:rPr>
              <w:t>Carlos Campoy</w:t>
            </w:r>
          </w:p>
        </w:tc>
      </w:tr>
      <w:tr>
        <w:trPr>
          <w:trHeight w:val="241"/>
        </w:trPr>
        <w:tc>
          <w:tcPr>
            <w:tcW w:w="3520" w:type="dxa"/>
            <w:vAlign w:val="bottom"/>
          </w:tcPr>
          <w:p>
            <w:pPr>
              <w:spacing w:after="0"/>
              <w:rPr>
                <w:sz w:val="20"/>
                <w:szCs w:val="20"/>
                <w:color w:val="auto"/>
              </w:rPr>
            </w:pPr>
          </w:p>
        </w:tc>
        <w:tc>
          <w:tcPr>
            <w:tcW w:w="2440" w:type="dxa"/>
            <w:vAlign w:val="bottom"/>
          </w:tcPr>
          <w:p>
            <w:pPr>
              <w:ind w:left="1760"/>
              <w:spacing w:after="0"/>
              <w:rPr>
                <w:sz w:val="20"/>
                <w:szCs w:val="20"/>
                <w:color w:val="auto"/>
              </w:rPr>
            </w:pPr>
            <w:r>
              <w:rPr>
                <w:rFonts w:ascii="Arial" w:cs="Arial" w:eastAsia="Arial" w:hAnsi="Arial"/>
                <w:sz w:val="18"/>
                <w:szCs w:val="18"/>
                <w:color w:val="auto"/>
              </w:rPr>
              <w:t>Title:</w:t>
            </w:r>
          </w:p>
        </w:tc>
        <w:tc>
          <w:tcPr>
            <w:tcW w:w="4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40" w:lineRule="exact"/>
        <w:rPr>
          <w:sz w:val="20"/>
          <w:szCs w:val="20"/>
          <w:color w:val="auto"/>
        </w:rPr>
      </w:pPr>
    </w:p>
    <w:p>
      <w:pPr>
        <w:ind w:right="340"/>
        <w:spacing w:after="0" w:line="327"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294640</wp:posOffset>
            </wp:positionV>
            <wp:extent cx="71583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upperLetter"/>
      <w:start w:val="61"/>
    </w:lvl>
  </w:abstractNum>
  <w:abstractNum w:abstractNumId="4">
    <w:nsid w:val="79E2A9E3"/>
    <w:multiLevelType w:val="hybridMultilevel"/>
    <w:lvl w:ilvl="0">
      <w:lvlJc w:val="left"/>
      <w:lvlText w:val="%1"/>
      <w:numFmt w:val="decimal"/>
      <w:start w:val="104"/>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36" Type="http://schemas.openxmlformats.org/officeDocument/2006/relationships/hyperlink" Target="https://www.sec.gov/Archives/edgar/data/0001501989/000119312515347080/d78795dex31.htm" TargetMode="External"/><Relationship Id="rId237" Type="http://schemas.openxmlformats.org/officeDocument/2006/relationships/hyperlink" Target="https://www.sec.gov/Archives/edgar/data/1501989/000119312520176532/d920733dex31.htm" TargetMode="External"/><Relationship Id="rId238" Type="http://schemas.openxmlformats.org/officeDocument/2006/relationships/hyperlink" Target="https://www.sec.gov/Archives/edgar/data/0001501989/000119312515347080/d78795dex32.htm" TargetMode="External"/><Relationship Id="rId239" Type="http://schemas.openxmlformats.org/officeDocument/2006/relationships/hyperlink" Target="https://www.sec.gov/Archives/edgar/data/0001501989/000119312515329662/d948537dex41.htm" TargetMode="External"/><Relationship Id="rId240" Type="http://schemas.openxmlformats.org/officeDocument/2006/relationships/hyperlink" Target="https://www.sec.gov/Archives/edgar/data/1501989/000156459020037722/ctmx-ex44_2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2021-11-04T15:46:39Z</dcterms:created>
  <dcterms:modified xsi:type="dcterms:W3CDTF">2021-11-04T15:46:39Z</dcterms:modified>
</cp:coreProperties>
</file>