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151765</wp:posOffset>
            </wp:positionH>
            <wp:positionV relativeFrom="page">
              <wp:posOffset>167640</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183515</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76835</wp:posOffset>
            </wp:positionV>
            <wp:extent cx="1451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105410</wp:posOffset>
            </wp:positionV>
            <wp:extent cx="1451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241" w:lineRule="exact"/>
        <w:rPr>
          <w:sz w:val="24"/>
          <w:szCs w:val="24"/>
          <w:color w:val="auto"/>
        </w:rPr>
      </w:pPr>
    </w:p>
    <w:p>
      <w:pPr>
        <w:ind w:left="1"/>
        <w:spacing w:after="0"/>
        <w:rPr>
          <w:sz w:val="20"/>
          <w:szCs w:val="20"/>
          <w:color w:val="auto"/>
        </w:rPr>
      </w:pPr>
      <w:r>
        <w:rPr>
          <w:rFonts w:ascii="Arial" w:cs="Arial" w:eastAsia="Arial" w:hAnsi="Arial"/>
          <w:sz w:val="17"/>
          <w:szCs w:val="17"/>
          <w:b w:val="1"/>
          <w:bCs w:val="1"/>
          <w:color w:val="auto"/>
        </w:rPr>
        <w:t>(Mark One)</w:t>
      </w:r>
    </w:p>
    <w:p>
      <w:pPr>
        <w:spacing w:after="0" w:line="17" w:lineRule="exact"/>
        <w:rPr>
          <w:sz w:val="24"/>
          <w:szCs w:val="24"/>
          <w:color w:val="auto"/>
        </w:rPr>
      </w:pPr>
    </w:p>
    <w:p>
      <w:pPr>
        <w:ind w:left="501" w:hanging="501"/>
        <w:spacing w:after="0"/>
        <w:tabs>
          <w:tab w:leader="none" w:pos="501"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94" w:lineRule="exact"/>
        <w:rPr>
          <w:sz w:val="24"/>
          <w:szCs w:val="24"/>
          <w:color w:val="auto"/>
        </w:rPr>
      </w:pPr>
    </w:p>
    <w:p>
      <w:pPr>
        <w:ind w:left="501" w:hanging="501"/>
        <w:spacing w:after="0"/>
        <w:tabs>
          <w:tab w:leader="none" w:pos="501"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001-37587</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-273685</wp:posOffset>
            </wp:positionV>
            <wp:extent cx="14516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80010</wp:posOffset>
            </wp:positionV>
            <wp:extent cx="14516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213" w:lineRule="exact"/>
        <w:rPr>
          <w:sz w:val="24"/>
          <w:szCs w:val="24"/>
          <w:color w:val="auto"/>
        </w:rPr>
      </w:pPr>
    </w:p>
    <w:tbl>
      <w:tblPr>
        <w:tblLayout w:type="fixed"/>
        <w:tblInd w:w="2001" w:type="dxa"/>
        <w:tblCellMar>
          <w:top w:w="0" w:type="dxa"/>
          <w:left w:w="0" w:type="dxa"/>
          <w:bottom w:w="0" w:type="dxa"/>
          <w:right w:w="0" w:type="dxa"/>
        </w:tblCellMar>
      </w:tblPr>
      <w:tr>
        <w:trPr>
          <w:trHeight w:val="195"/>
        </w:trPr>
        <w:tc>
          <w:tcPr>
            <w:tcW w:w="3920" w:type="dxa"/>
            <w:vAlign w:val="bottom"/>
          </w:tcPr>
          <w:p>
            <w:pPr>
              <w:jc w:val="center"/>
              <w:ind w:right="2128"/>
              <w:spacing w:after="0"/>
              <w:rPr>
                <w:sz w:val="20"/>
                <w:szCs w:val="20"/>
                <w:color w:val="auto"/>
              </w:rPr>
            </w:pPr>
            <w:r>
              <w:rPr>
                <w:rFonts w:ascii="Arial" w:cs="Arial" w:eastAsia="Arial" w:hAnsi="Arial"/>
                <w:sz w:val="17"/>
                <w:szCs w:val="17"/>
                <w:b w:val="1"/>
                <w:bCs w:val="1"/>
                <w:color w:val="auto"/>
                <w:w w:val="91"/>
              </w:rPr>
              <w:t>Delaware</w:t>
            </w:r>
          </w:p>
        </w:tc>
        <w:tc>
          <w:tcPr>
            <w:tcW w:w="3240" w:type="dxa"/>
            <w:vAlign w:val="bottom"/>
          </w:tcPr>
          <w:p>
            <w:pPr>
              <w:jc w:val="center"/>
              <w:ind w:left="2128"/>
              <w:spacing w:after="0"/>
              <w:rPr>
                <w:sz w:val="20"/>
                <w:szCs w:val="20"/>
                <w:color w:val="auto"/>
              </w:rPr>
            </w:pPr>
            <w:r>
              <w:rPr>
                <w:rFonts w:ascii="Arial" w:cs="Arial" w:eastAsia="Arial" w:hAnsi="Arial"/>
                <w:sz w:val="17"/>
                <w:szCs w:val="17"/>
                <w:b w:val="1"/>
                <w:bCs w:val="1"/>
                <w:color w:val="auto"/>
                <w:w w:val="88"/>
              </w:rPr>
              <w:t>27-3521219</w:t>
            </w:r>
          </w:p>
        </w:tc>
      </w:tr>
      <w:tr>
        <w:trPr>
          <w:trHeight w:val="137"/>
        </w:trPr>
        <w:tc>
          <w:tcPr>
            <w:tcW w:w="3920" w:type="dxa"/>
            <w:vAlign w:val="bottom"/>
          </w:tcPr>
          <w:p>
            <w:pPr>
              <w:jc w:val="center"/>
              <w:ind w:right="2108"/>
              <w:spacing w:after="0" w:line="137" w:lineRule="exact"/>
              <w:rPr>
                <w:sz w:val="20"/>
                <w:szCs w:val="20"/>
                <w:color w:val="auto"/>
              </w:rPr>
            </w:pPr>
            <w:r>
              <w:rPr>
                <w:rFonts w:ascii="Arial" w:cs="Arial" w:eastAsia="Arial" w:hAnsi="Arial"/>
                <w:sz w:val="13"/>
                <w:szCs w:val="13"/>
                <w:b w:val="1"/>
                <w:bCs w:val="1"/>
                <w:color w:val="auto"/>
                <w:w w:val="93"/>
              </w:rPr>
              <w:t>(State or other jurisdiction of</w:t>
            </w:r>
          </w:p>
        </w:tc>
        <w:tc>
          <w:tcPr>
            <w:tcW w:w="3240" w:type="dxa"/>
            <w:vAlign w:val="bottom"/>
          </w:tcPr>
          <w:p>
            <w:pPr>
              <w:jc w:val="center"/>
              <w:ind w:left="2128"/>
              <w:spacing w:after="0" w:line="137" w:lineRule="exact"/>
              <w:rPr>
                <w:sz w:val="20"/>
                <w:szCs w:val="20"/>
                <w:color w:val="auto"/>
              </w:rPr>
            </w:pPr>
            <w:r>
              <w:rPr>
                <w:rFonts w:ascii="Arial" w:cs="Arial" w:eastAsia="Arial" w:hAnsi="Arial"/>
                <w:sz w:val="13"/>
                <w:szCs w:val="13"/>
                <w:b w:val="1"/>
                <w:bCs w:val="1"/>
                <w:color w:val="auto"/>
                <w:w w:val="96"/>
              </w:rPr>
              <w:t>(I.R.S. Employer</w:t>
            </w:r>
          </w:p>
        </w:tc>
      </w:tr>
      <w:tr>
        <w:trPr>
          <w:trHeight w:val="170"/>
        </w:trPr>
        <w:tc>
          <w:tcPr>
            <w:tcW w:w="3920" w:type="dxa"/>
            <w:vAlign w:val="bottom"/>
          </w:tcPr>
          <w:p>
            <w:pPr>
              <w:jc w:val="center"/>
              <w:ind w:right="2128"/>
              <w:spacing w:after="0"/>
              <w:rPr>
                <w:sz w:val="20"/>
                <w:szCs w:val="20"/>
                <w:color w:val="auto"/>
              </w:rPr>
            </w:pPr>
            <w:r>
              <w:rPr>
                <w:rFonts w:ascii="Arial" w:cs="Arial" w:eastAsia="Arial" w:hAnsi="Arial"/>
                <w:sz w:val="13"/>
                <w:szCs w:val="13"/>
                <w:b w:val="1"/>
                <w:bCs w:val="1"/>
                <w:color w:val="auto"/>
                <w:w w:val="92"/>
              </w:rPr>
              <w:t>incorporation or organization)</w:t>
            </w:r>
          </w:p>
        </w:tc>
        <w:tc>
          <w:tcPr>
            <w:tcW w:w="3240" w:type="dxa"/>
            <w:vAlign w:val="bottom"/>
          </w:tcPr>
          <w:p>
            <w:pPr>
              <w:jc w:val="center"/>
              <w:ind w:left="2128"/>
              <w:spacing w:after="0"/>
              <w:rPr>
                <w:sz w:val="20"/>
                <w:szCs w:val="20"/>
                <w:color w:val="auto"/>
              </w:rPr>
            </w:pPr>
            <w:r>
              <w:rPr>
                <w:rFonts w:ascii="Arial" w:cs="Arial" w:eastAsia="Arial" w:hAnsi="Arial"/>
                <w:sz w:val="13"/>
                <w:szCs w:val="13"/>
                <w:b w:val="1"/>
                <w:bCs w:val="1"/>
                <w:color w:val="auto"/>
                <w:w w:val="94"/>
              </w:rPr>
              <w:t>Identification No.)</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151 Oyster Point Blvd., Suite 400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 San Francisco, CA 94080</w:t>
      </w:r>
    </w:p>
    <w:p>
      <w:pPr>
        <w:jc w:val="center"/>
        <w:ind w:right="39"/>
        <w:spacing w:after="0"/>
        <w:rPr>
          <w:sz w:val="20"/>
          <w:szCs w:val="20"/>
          <w:color w:val="auto"/>
        </w:rPr>
      </w:pPr>
      <w:r>
        <w:rPr>
          <w:rFonts w:ascii="Arial" w:cs="Arial" w:eastAsia="Arial" w:hAnsi="Arial"/>
          <w:sz w:val="17"/>
          <w:szCs w:val="17"/>
          <w:b w:val="1"/>
          <w:bCs w:val="1"/>
          <w:color w:val="auto"/>
        </w:rPr>
        <w:t>(650) 515-3185</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82550</wp:posOffset>
            </wp:positionV>
            <wp:extent cx="14516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222" w:lineRule="exact"/>
        <w:rPr>
          <w:sz w:val="24"/>
          <w:szCs w:val="24"/>
          <w:color w:val="auto"/>
        </w:rPr>
      </w:pPr>
    </w:p>
    <w:p>
      <w:pPr>
        <w:ind w:left="1" w:right="180"/>
        <w:spacing w:after="0" w:line="302" w:lineRule="auto"/>
        <w:rPr>
          <w:sz w:val="20"/>
          <w:szCs w:val="20"/>
          <w:color w:val="auto"/>
        </w:rPr>
      </w:pPr>
      <w:r>
        <w:rPr>
          <w:rFonts w:ascii="Arial" w:cs="Arial" w:eastAsia="Arial" w:hAnsi="Arial"/>
          <w:sz w:val="14"/>
          <w:szCs w:val="14"/>
          <w:color w:val="auto"/>
        </w:rPr>
        <w:t>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1"/>
        <w:spacing w:after="0" w:line="196" w:lineRule="exact"/>
        <w:tabs>
          <w:tab w:leader="none" w:pos="700" w:val="left"/>
          <w:tab w:leader="none" w:pos="1420" w:val="left"/>
        </w:tabs>
        <w:rPr>
          <w:sz w:val="20"/>
          <w:szCs w:val="20"/>
          <w:color w:val="auto"/>
        </w:rPr>
      </w:pPr>
      <w:r>
        <w:rPr>
          <w:rFonts w:ascii="Arial" w:cs="Arial" w:eastAsia="Arial" w:hAnsi="Arial"/>
          <w:sz w:val="17"/>
          <w:szCs w:val="17"/>
          <w:color w:val="auto"/>
        </w:rPr>
        <w:t>90 days.</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ind w:left="1" w:right="36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1" w:right="60"/>
        <w:spacing w:after="0" w:line="25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 w:type="dxa"/>
        <w:tblCellMar>
          <w:top w:w="0" w:type="dxa"/>
          <w:left w:w="0" w:type="dxa"/>
          <w:bottom w:w="0" w:type="dxa"/>
          <w:right w:w="0" w:type="dxa"/>
        </w:tblCellMar>
      </w:tblPr>
      <w:tr>
        <w:trPr>
          <w:trHeight w:val="260"/>
        </w:trPr>
        <w:tc>
          <w:tcPr>
            <w:tcW w:w="34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2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ind w:left="300"/>
              <w:spacing w:after="0"/>
              <w:rPr>
                <w:sz w:val="20"/>
                <w:szCs w:val="20"/>
                <w:color w:val="auto"/>
              </w:rPr>
            </w:pPr>
            <w:r>
              <w:rPr>
                <w:rFonts w:ascii="Arial" w:cs="Arial" w:eastAsia="Arial" w:hAnsi="Arial"/>
                <w:sz w:val="17"/>
                <w:szCs w:val="17"/>
                <w:color w:val="auto"/>
              </w:rPr>
              <w:t>Accelerated filer</w:t>
            </w:r>
          </w:p>
        </w:tc>
        <w:tc>
          <w:tcPr>
            <w:tcW w:w="18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3460" w:type="dxa"/>
            <w:vAlign w:val="bottom"/>
          </w:tcPr>
          <w:p>
            <w:pPr>
              <w:spacing w:after="0"/>
              <w:rPr>
                <w:sz w:val="20"/>
                <w:szCs w:val="20"/>
                <w:color w:val="auto"/>
              </w:rPr>
            </w:pPr>
            <w:r>
              <w:rPr>
                <w:rFonts w:ascii="Arial" w:cs="Arial" w:eastAsia="Arial" w:hAnsi="Arial"/>
                <w:sz w:val="17"/>
                <w:szCs w:val="17"/>
                <w:color w:val="auto"/>
              </w:rPr>
              <w:t>Non-accelerated filer</w:t>
            </w:r>
          </w:p>
        </w:tc>
        <w:tc>
          <w:tcPr>
            <w:tcW w:w="212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ind w:left="300"/>
              <w:spacing w:after="0"/>
              <w:rPr>
                <w:sz w:val="20"/>
                <w:szCs w:val="20"/>
                <w:color w:val="auto"/>
              </w:rPr>
            </w:pPr>
            <w:r>
              <w:rPr>
                <w:rFonts w:ascii="Arial" w:cs="Arial" w:eastAsia="Arial" w:hAnsi="Arial"/>
                <w:sz w:val="17"/>
                <w:szCs w:val="17"/>
                <w:color w:val="auto"/>
              </w:rPr>
              <w:t>Smaller reporting company</w:t>
            </w:r>
          </w:p>
        </w:tc>
        <w:tc>
          <w:tcPr>
            <w:tcW w:w="18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34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12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69" w:lineRule="exact"/>
        <w:rPr>
          <w:sz w:val="24"/>
          <w:szCs w:val="24"/>
          <w:color w:val="auto"/>
        </w:rPr>
      </w:pPr>
    </w:p>
    <w:p>
      <w:pPr>
        <w:ind w:left="1" w:right="540"/>
        <w:spacing w:after="0" w:line="24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5" w:lineRule="exact"/>
        <w:rPr>
          <w:sz w:val="24"/>
          <w:szCs w:val="24"/>
          <w:color w:val="auto"/>
        </w:rPr>
      </w:pPr>
    </w:p>
    <w:p>
      <w:pPr>
        <w:ind w:left="1"/>
        <w:spacing w:after="0" w:line="196" w:lineRule="exact"/>
        <w:tabs>
          <w:tab w:leader="none" w:pos="7660" w:val="left"/>
          <w:tab w:leader="none" w:pos="8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tbl>
      <w:tblPr>
        <w:tblLayout w:type="fixed"/>
        <w:tblInd w:w="1"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Trading</w:t>
            </w:r>
          </w:p>
        </w:tc>
        <w:tc>
          <w:tcPr>
            <w:tcW w:w="5140" w:type="dxa"/>
            <w:vAlign w:val="bottom"/>
          </w:tcPr>
          <w:p>
            <w:pPr>
              <w:spacing w:after="0"/>
              <w:rPr>
                <w:sz w:val="16"/>
                <w:szCs w:val="16"/>
                <w:color w:val="auto"/>
              </w:rPr>
            </w:pPr>
          </w:p>
        </w:tc>
      </w:tr>
      <w:tr>
        <w:trPr>
          <w:trHeight w:val="196"/>
        </w:trPr>
        <w:tc>
          <w:tcPr>
            <w:tcW w:w="44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Title of each class</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Symbol(s)</w:t>
            </w:r>
          </w:p>
        </w:tc>
        <w:tc>
          <w:tcPr>
            <w:tcW w:w="5140" w:type="dxa"/>
            <w:vAlign w:val="bottom"/>
          </w:tcPr>
          <w:p>
            <w:pPr>
              <w:jc w:val="center"/>
              <w:spacing w:after="0"/>
              <w:rPr>
                <w:sz w:val="20"/>
                <w:szCs w:val="20"/>
                <w:color w:val="auto"/>
              </w:rPr>
            </w:pPr>
            <w:r>
              <w:rPr>
                <w:rFonts w:ascii="Arial" w:cs="Arial" w:eastAsia="Arial" w:hAnsi="Arial"/>
                <w:sz w:val="15"/>
                <w:szCs w:val="15"/>
                <w:b w:val="1"/>
                <w:bCs w:val="1"/>
                <w:color w:val="auto"/>
                <w:w w:val="87"/>
              </w:rPr>
              <w:t>Name of each exchange on which registered</w:t>
            </w:r>
          </w:p>
        </w:tc>
      </w:tr>
      <w:tr>
        <w:trPr>
          <w:trHeight w:val="184"/>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Common Stock, $0.00001 par value per share</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CTMX</w:t>
            </w:r>
          </w:p>
        </w:tc>
        <w:tc>
          <w:tcPr>
            <w:tcW w:w="100" w:type="dxa"/>
            <w:vAlign w:val="bottom"/>
          </w:tcPr>
          <w:p>
            <w:pPr>
              <w:spacing w:after="0"/>
              <w:rPr>
                <w:sz w:val="16"/>
                <w:szCs w:val="16"/>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Nasdaq Global Select Market</w:t>
            </w:r>
          </w:p>
        </w:tc>
      </w:tr>
    </w:tbl>
    <w:p>
      <w:pPr>
        <w:spacing w:after="0" w:line="84" w:lineRule="exact"/>
        <w:rPr>
          <w:sz w:val="24"/>
          <w:szCs w:val="24"/>
          <w:color w:val="auto"/>
        </w:rPr>
      </w:pPr>
    </w:p>
    <w:p>
      <w:pPr>
        <w:ind w:left="1"/>
        <w:spacing w:after="0"/>
        <w:rPr>
          <w:sz w:val="20"/>
          <w:szCs w:val="20"/>
          <w:color w:val="auto"/>
        </w:rPr>
      </w:pPr>
      <w:r>
        <w:rPr>
          <w:rFonts w:ascii="Arial" w:cs="Arial" w:eastAsia="Arial" w:hAnsi="Arial"/>
          <w:sz w:val="17"/>
          <w:szCs w:val="17"/>
          <w:color w:val="auto"/>
        </w:rPr>
        <w:t>As of April 30, 2019, the registrant had 45,311,464 shares of common stock, $0.00001 par value per share, outstanding.</w:t>
      </w:r>
    </w:p>
    <w:p>
      <w:pPr>
        <w:spacing w:after="0" w:line="202" w:lineRule="exact"/>
        <w:rPr>
          <w:sz w:val="24"/>
          <w:szCs w:val="24"/>
          <w:color w:val="auto"/>
        </w:rPr>
      </w:pPr>
    </w:p>
    <w:p>
      <w:pPr>
        <w:ind w:left="5681"/>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313055</wp:posOffset>
            </wp:positionV>
            <wp:extent cx="729869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3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183515</wp:posOffset>
            </wp:positionV>
            <wp:extent cx="72574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199390</wp:posOffset>
            </wp:positionV>
            <wp:extent cx="72574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7620"/>
                    </a:xfrm>
                    <a:prstGeom prst="rect">
                      <a:avLst/>
                    </a:prstGeom>
                    <a:noFill/>
                  </pic:spPr>
                </pic:pic>
              </a:graphicData>
            </a:graphic>
          </wp:anchor>
        </w:drawing>
        <w:t>CYTOMX THERAPEUTICS,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10-Q FOR THE QUARTER ENDED MARCH 31, 2019</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5"/>
          </w:tcPr>
          <w:p>
            <w:pPr>
              <w:jc w:val="center"/>
              <w:ind w:right="1920"/>
              <w:spacing w:after="0"/>
              <w:rPr>
                <w:sz w:val="20"/>
                <w:szCs w:val="20"/>
                <w:color w:val="auto"/>
              </w:rPr>
            </w:pPr>
            <w:r>
              <w:rPr>
                <w:rFonts w:ascii="Arial" w:cs="Arial" w:eastAsia="Arial" w:hAnsi="Arial"/>
                <w:sz w:val="17"/>
                <w:szCs w:val="17"/>
                <w:b w:val="1"/>
                <w:bCs w:val="1"/>
                <w:color w:val="auto"/>
                <w:w w:val="99"/>
              </w:rPr>
              <w:t>PART I – FINANCIAL INFORMATION</w:t>
            </w:r>
          </w:p>
        </w:tc>
        <w:tc>
          <w:tcPr>
            <w:tcW w:w="2240" w:type="dxa"/>
            <w:vAlign w:val="bottom"/>
          </w:tcPr>
          <w:p>
            <w:pPr>
              <w:spacing w:after="0"/>
              <w:rPr>
                <w:sz w:val="18"/>
                <w:szCs w:val="18"/>
                <w:color w:val="auto"/>
              </w:rPr>
            </w:pPr>
          </w:p>
        </w:tc>
      </w:tr>
      <w:tr>
        <w:trPr>
          <w:trHeight w:val="273"/>
        </w:trPr>
        <w:tc>
          <w:tcPr>
            <w:tcW w:w="10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200" w:type="dxa"/>
            <w:vAlign w:val="bottom"/>
            <w:tcBorders>
              <w:bottom w:val="single" w:sz="8" w:color="0000EE"/>
            </w:tcBorders>
            <w:gridSpan w:val="8"/>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Financial Statements (unaudited)</w:t>
              </w:r>
            </w:hyperlink>
          </w:p>
        </w:tc>
        <w:tc>
          <w:tcPr>
            <w:tcW w:w="5980" w:type="dxa"/>
            <w:vAlign w:val="bottom"/>
            <w:gridSpan w:val="8"/>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79"/>
        </w:trPr>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80" w:type="dxa"/>
            <w:vAlign w:val="bottom"/>
            <w:gridSpan w:val="16"/>
          </w:tcPr>
          <w:p>
            <w:pPr>
              <w:spacing w:after="0" w:line="179" w:lineRule="exact"/>
              <w:rPr>
                <w:rFonts w:ascii="Arial" w:cs="Arial" w:eastAsia="Arial" w:hAnsi="Arial"/>
                <w:sz w:val="17"/>
                <w:szCs w:val="17"/>
                <w:color w:val="0000EE"/>
              </w:rPr>
            </w:pPr>
            <w:hyperlink w:anchor="page5">
              <w:r>
                <w:rPr>
                  <w:rFonts w:ascii="Arial" w:cs="Arial" w:eastAsia="Arial" w:hAnsi="Arial"/>
                  <w:sz w:val="17"/>
                  <w:szCs w:val="17"/>
                  <w:color w:val="0000EE"/>
                </w:rPr>
                <w:t>Condensed Balance Sheets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5</w:t>
            </w:r>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9"/>
        </w:trPr>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80" w:type="dxa"/>
            <w:vAlign w:val="bottom"/>
            <w:gridSpan w:val="16"/>
          </w:tcPr>
          <w:p>
            <w:pPr>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Condensed Statements of Operations and Comprehensive Loss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6</w:t>
            </w:r>
          </w:p>
        </w:tc>
      </w:tr>
      <w:tr>
        <w:trPr>
          <w:trHeight w:val="179"/>
        </w:trPr>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60" w:type="dxa"/>
            <w:vAlign w:val="bottom"/>
            <w:tcBorders>
              <w:top w:val="single" w:sz="8" w:color="0000EE"/>
            </w:tcBorders>
            <w:gridSpan w:val="14"/>
          </w:tcPr>
          <w:p>
            <w:pPr>
              <w:spacing w:after="0" w:line="179" w:lineRule="exact"/>
              <w:rPr>
                <w:rFonts w:ascii="Arial" w:cs="Arial" w:eastAsia="Arial" w:hAnsi="Arial"/>
                <w:sz w:val="17"/>
                <w:szCs w:val="17"/>
                <w:color w:val="0000EE"/>
              </w:rPr>
            </w:pPr>
            <w:hyperlink w:anchor="page7">
              <w:r>
                <w:rPr>
                  <w:rFonts w:ascii="Arial" w:cs="Arial" w:eastAsia="Arial" w:hAnsi="Arial"/>
                  <w:sz w:val="17"/>
                  <w:szCs w:val="17"/>
                  <w:color w:val="0000EE"/>
                </w:rPr>
                <w:t>Condensed Statements of Stockholders’ Equity</w:t>
              </w:r>
            </w:hyperlink>
          </w:p>
        </w:tc>
        <w:tc>
          <w:tcPr>
            <w:tcW w:w="4020" w:type="dxa"/>
            <w:vAlign w:val="bottom"/>
            <w:gridSpan w:val="2"/>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w:t>
            </w:r>
          </w:p>
        </w:tc>
      </w:tr>
      <w:tr>
        <w:trPr>
          <w:trHeight w:val="179"/>
        </w:trPr>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tcBorders>
              <w:top w:val="single" w:sz="8" w:color="0000EE"/>
            </w:tcBorders>
            <w:gridSpan w:val="11"/>
          </w:tcPr>
          <w:p>
            <w:pPr>
              <w:spacing w:after="0" w:line="179" w:lineRule="exact"/>
              <w:rPr>
                <w:rFonts w:ascii="Arial" w:cs="Arial" w:eastAsia="Arial" w:hAnsi="Arial"/>
                <w:sz w:val="17"/>
                <w:szCs w:val="17"/>
                <w:color w:val="0000EE"/>
              </w:rPr>
            </w:pPr>
            <w:hyperlink w:anchor="page8">
              <w:r>
                <w:rPr>
                  <w:rFonts w:ascii="Arial" w:cs="Arial" w:eastAsia="Arial" w:hAnsi="Arial"/>
                  <w:sz w:val="17"/>
                  <w:szCs w:val="17"/>
                  <w:color w:val="0000EE"/>
                </w:rPr>
                <w:t>Condensed Statements of Cash Flows</w:t>
              </w:r>
            </w:hyperlink>
          </w:p>
        </w:tc>
        <w:tc>
          <w:tcPr>
            <w:tcW w:w="5060" w:type="dxa"/>
            <w:vAlign w:val="bottom"/>
            <w:gridSpan w:val="5"/>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8</w:t>
            </w:r>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9"/>
        </w:trPr>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80" w:type="dxa"/>
            <w:vAlign w:val="bottom"/>
            <w:gridSpan w:val="16"/>
          </w:tcPr>
          <w:p>
            <w:pPr>
              <w:spacing w:after="0" w:line="179" w:lineRule="exact"/>
              <w:rPr>
                <w:rFonts w:ascii="Arial" w:cs="Arial" w:eastAsia="Arial" w:hAnsi="Arial"/>
                <w:sz w:val="17"/>
                <w:szCs w:val="17"/>
                <w:color w:val="0000EE"/>
              </w:rPr>
            </w:pPr>
            <w:hyperlink w:anchor="page9">
              <w:r>
                <w:rPr>
                  <w:rFonts w:ascii="Arial" w:cs="Arial" w:eastAsia="Arial" w:hAnsi="Arial"/>
                  <w:sz w:val="17"/>
                  <w:szCs w:val="17"/>
                  <w:color w:val="0000EE"/>
                </w:rPr>
                <w:t>Notes to Condensed Financial Statements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9</w:t>
            </w:r>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2.</w:t>
            </w:r>
          </w:p>
        </w:tc>
        <w:tc>
          <w:tcPr>
            <w:tcW w:w="8180" w:type="dxa"/>
            <w:vAlign w:val="bottom"/>
            <w:gridSpan w:val="16"/>
          </w:tcPr>
          <w:p>
            <w:pPr>
              <w:spacing w:after="0" w:line="179" w:lineRule="exact"/>
              <w:rPr>
                <w:rFonts w:ascii="Arial" w:cs="Arial" w:eastAsia="Arial" w:hAnsi="Arial"/>
                <w:sz w:val="17"/>
                <w:szCs w:val="17"/>
                <w:color w:val="0000EE"/>
              </w:rPr>
            </w:pPr>
            <w:hyperlink w:anchor="page27">
              <w:r>
                <w:rPr>
                  <w:rFonts w:ascii="Arial" w:cs="Arial" w:eastAsia="Arial" w:hAnsi="Arial"/>
                  <w:sz w:val="17"/>
                  <w:szCs w:val="17"/>
                  <w:color w:val="0000EE"/>
                </w:rPr>
                <w:t>Management’s Discussion and Analysis of Financial Condition and Results of Operations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27</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3.</w:t>
            </w:r>
          </w:p>
        </w:tc>
        <w:tc>
          <w:tcPr>
            <w:tcW w:w="4020" w:type="dxa"/>
            <w:vAlign w:val="bottom"/>
            <w:tcBorders>
              <w:top w:val="single" w:sz="8" w:color="0000EE"/>
              <w:bottom w:val="single" w:sz="8" w:color="0000EE"/>
            </w:tcBorders>
            <w:gridSpan w:val="13"/>
          </w:tcPr>
          <w:p>
            <w:pPr>
              <w:spacing w:after="0" w:line="179" w:lineRule="exact"/>
              <w:rPr>
                <w:rFonts w:ascii="Arial" w:cs="Arial" w:eastAsia="Arial" w:hAnsi="Arial"/>
                <w:sz w:val="17"/>
                <w:szCs w:val="17"/>
                <w:color w:val="0000EE"/>
                <w:w w:val="89"/>
              </w:rPr>
            </w:pPr>
            <w:hyperlink w:anchor="page34">
              <w:r>
                <w:rPr>
                  <w:rFonts w:ascii="Arial" w:cs="Arial" w:eastAsia="Arial" w:hAnsi="Arial"/>
                  <w:sz w:val="17"/>
                  <w:szCs w:val="17"/>
                  <w:color w:val="0000EE"/>
                  <w:w w:val="89"/>
                </w:rPr>
                <w:t>Quantitative and Qualitative Disclosures About Market Risk</w:t>
              </w:r>
            </w:hyperlink>
          </w:p>
        </w:tc>
        <w:tc>
          <w:tcPr>
            <w:tcW w:w="1920" w:type="dxa"/>
            <w:vAlign w:val="bottom"/>
            <w:tcBorders>
              <w:top w:val="single" w:sz="8" w:color="0000EE"/>
            </w:tcBorders>
            <w:gridSpan w:val="2"/>
          </w:tcPr>
          <w:p>
            <w:pPr>
              <w:spacing w:after="0"/>
              <w:rPr>
                <w:sz w:val="15"/>
                <w:szCs w:val="15"/>
                <w:color w:val="auto"/>
              </w:rPr>
            </w:pPr>
          </w:p>
        </w:tc>
        <w:tc>
          <w:tcPr>
            <w:tcW w:w="2240" w:type="dxa"/>
            <w:vAlign w:val="bottom"/>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34</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4</w:t>
            </w:r>
          </w:p>
        </w:tc>
        <w:tc>
          <w:tcPr>
            <w:tcW w:w="8180" w:type="dxa"/>
            <w:vAlign w:val="bottom"/>
            <w:gridSpan w:val="16"/>
          </w:tcPr>
          <w:p>
            <w:pPr>
              <w:spacing w:after="0" w:line="179" w:lineRule="exact"/>
              <w:rPr>
                <w:rFonts w:ascii="Arial" w:cs="Arial" w:eastAsia="Arial" w:hAnsi="Arial"/>
                <w:sz w:val="17"/>
                <w:szCs w:val="17"/>
                <w:color w:val="0000EE"/>
              </w:rPr>
            </w:pPr>
            <w:hyperlink w:anchor="page34">
              <w:r>
                <w:rPr>
                  <w:rFonts w:ascii="Arial" w:cs="Arial" w:eastAsia="Arial" w:hAnsi="Arial"/>
                  <w:sz w:val="17"/>
                  <w:szCs w:val="17"/>
                  <w:color w:val="0000EE"/>
                </w:rPr>
                <w:t>Controls and Procedures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34</w:t>
            </w:r>
          </w:p>
        </w:tc>
      </w:tr>
      <w:tr>
        <w:trPr>
          <w:trHeight w:val="328"/>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gridSpan w:val="5"/>
          </w:tcPr>
          <w:p>
            <w:pPr>
              <w:jc w:val="center"/>
              <w:ind w:right="1920"/>
              <w:spacing w:after="0"/>
              <w:rPr>
                <w:sz w:val="20"/>
                <w:szCs w:val="20"/>
                <w:color w:val="auto"/>
              </w:rPr>
            </w:pPr>
            <w:r>
              <w:rPr>
                <w:rFonts w:ascii="Arial" w:cs="Arial" w:eastAsia="Arial" w:hAnsi="Arial"/>
                <w:sz w:val="17"/>
                <w:szCs w:val="17"/>
                <w:b w:val="1"/>
                <w:bCs w:val="1"/>
                <w:color w:val="auto"/>
                <w:w w:val="99"/>
              </w:rPr>
              <w:t>PART II – OTHER INFORMATION</w:t>
            </w:r>
          </w:p>
        </w:tc>
        <w:tc>
          <w:tcPr>
            <w:tcW w:w="2240" w:type="dxa"/>
            <w:vAlign w:val="bottom"/>
          </w:tcPr>
          <w:p>
            <w:pPr>
              <w:spacing w:after="0"/>
              <w:rPr>
                <w:sz w:val="24"/>
                <w:szCs w:val="24"/>
                <w:color w:val="auto"/>
              </w:rPr>
            </w:pPr>
          </w:p>
        </w:tc>
      </w:tr>
      <w:tr>
        <w:trPr>
          <w:trHeight w:val="273"/>
        </w:trPr>
        <w:tc>
          <w:tcPr>
            <w:tcW w:w="10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40" w:type="dxa"/>
            <w:vAlign w:val="bottom"/>
            <w:tcBorders>
              <w:bottom w:val="single" w:sz="8" w:color="0000EE"/>
            </w:tcBorders>
            <w:gridSpan w:val="4"/>
          </w:tcPr>
          <w:p>
            <w:pPr>
              <w:spacing w:after="0"/>
              <w:rPr>
                <w:rFonts w:ascii="Arial" w:cs="Arial" w:eastAsia="Arial" w:hAnsi="Arial"/>
                <w:sz w:val="17"/>
                <w:szCs w:val="17"/>
                <w:color w:val="0000EE"/>
                <w:w w:val="86"/>
              </w:rPr>
            </w:pPr>
            <w:hyperlink w:anchor="page36">
              <w:r>
                <w:rPr>
                  <w:rFonts w:ascii="Arial" w:cs="Arial" w:eastAsia="Arial" w:hAnsi="Arial"/>
                  <w:sz w:val="17"/>
                  <w:szCs w:val="17"/>
                  <w:color w:val="0000EE"/>
                  <w:w w:val="86"/>
                </w:rPr>
                <w:t>Legal Proceedings</w:t>
              </w:r>
            </w:hyperlink>
          </w:p>
        </w:tc>
        <w:tc>
          <w:tcPr>
            <w:tcW w:w="6940" w:type="dxa"/>
            <w:vAlign w:val="bottom"/>
            <w:gridSpan w:val="12"/>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1A.</w:t>
            </w:r>
          </w:p>
        </w:tc>
        <w:tc>
          <w:tcPr>
            <w:tcW w:w="840" w:type="dxa"/>
            <w:vAlign w:val="bottom"/>
            <w:tcBorders>
              <w:bottom w:val="single" w:sz="8" w:color="0000EE"/>
            </w:tcBorders>
            <w:gridSpan w:val="2"/>
          </w:tcPr>
          <w:p>
            <w:pPr>
              <w:spacing w:after="0" w:line="179" w:lineRule="exact"/>
              <w:rPr>
                <w:rFonts w:ascii="Arial" w:cs="Arial" w:eastAsia="Arial" w:hAnsi="Arial"/>
                <w:sz w:val="17"/>
                <w:szCs w:val="17"/>
                <w:color w:val="0000EE"/>
                <w:w w:val="86"/>
              </w:rPr>
            </w:pPr>
            <w:hyperlink w:anchor="page36">
              <w:r>
                <w:rPr>
                  <w:rFonts w:ascii="Arial" w:cs="Arial" w:eastAsia="Arial" w:hAnsi="Arial"/>
                  <w:sz w:val="17"/>
                  <w:szCs w:val="17"/>
                  <w:color w:val="0000EE"/>
                  <w:w w:val="86"/>
                </w:rPr>
                <w:t>Risk Factors</w:t>
              </w:r>
            </w:hyperlink>
          </w:p>
        </w:tc>
        <w:tc>
          <w:tcPr>
            <w:tcW w:w="7340" w:type="dxa"/>
            <w:vAlign w:val="bottom"/>
            <w:gridSpan w:val="14"/>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36</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2.</w:t>
            </w:r>
          </w:p>
        </w:tc>
        <w:tc>
          <w:tcPr>
            <w:tcW w:w="8180" w:type="dxa"/>
            <w:vAlign w:val="bottom"/>
            <w:gridSpan w:val="16"/>
          </w:tcPr>
          <w:p>
            <w:pPr>
              <w:spacing w:after="0" w:line="179" w:lineRule="exact"/>
              <w:rPr>
                <w:rFonts w:ascii="Arial" w:cs="Arial" w:eastAsia="Arial" w:hAnsi="Arial"/>
                <w:sz w:val="17"/>
                <w:szCs w:val="17"/>
                <w:color w:val="0000EE"/>
              </w:rPr>
            </w:pPr>
            <w:hyperlink w:anchor="page73">
              <w:r>
                <w:rPr>
                  <w:rFonts w:ascii="Arial" w:cs="Arial" w:eastAsia="Arial" w:hAnsi="Arial"/>
                  <w:sz w:val="17"/>
                  <w:szCs w:val="17"/>
                  <w:color w:val="0000EE"/>
                </w:rPr>
                <w:t>Unregistered Sales of Equity Securities and Use of Proceeds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73</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3.</w:t>
            </w:r>
          </w:p>
        </w:tc>
        <w:tc>
          <w:tcPr>
            <w:tcW w:w="4000" w:type="dxa"/>
            <w:vAlign w:val="bottom"/>
            <w:tcBorders>
              <w:top w:val="single" w:sz="8" w:color="0000EE"/>
            </w:tcBorders>
            <w:gridSpan w:val="12"/>
          </w:tcPr>
          <w:p>
            <w:pPr>
              <w:spacing w:after="0" w:line="179" w:lineRule="exact"/>
              <w:rPr>
                <w:rFonts w:ascii="Arial" w:cs="Arial" w:eastAsia="Arial" w:hAnsi="Arial"/>
                <w:sz w:val="17"/>
                <w:szCs w:val="17"/>
                <w:color w:val="0000EE"/>
              </w:rPr>
            </w:pPr>
            <w:hyperlink w:anchor="page73">
              <w:r>
                <w:rPr>
                  <w:rFonts w:ascii="Arial" w:cs="Arial" w:eastAsia="Arial" w:hAnsi="Arial"/>
                  <w:sz w:val="17"/>
                  <w:szCs w:val="17"/>
                  <w:color w:val="0000EE"/>
                </w:rPr>
                <w:t>Defaults Upon Senior Securities</w:t>
              </w:r>
            </w:hyperlink>
          </w:p>
        </w:tc>
        <w:tc>
          <w:tcPr>
            <w:tcW w:w="4180" w:type="dxa"/>
            <w:vAlign w:val="bottom"/>
            <w:gridSpan w:val="4"/>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73</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4.</w:t>
            </w:r>
          </w:p>
        </w:tc>
        <w:tc>
          <w:tcPr>
            <w:tcW w:w="1640" w:type="dxa"/>
            <w:vAlign w:val="bottom"/>
            <w:tcBorders>
              <w:top w:val="single" w:sz="8" w:color="0000EE"/>
              <w:bottom w:val="single" w:sz="8" w:color="0000EE"/>
            </w:tcBorders>
            <w:gridSpan w:val="5"/>
          </w:tcPr>
          <w:p>
            <w:pPr>
              <w:spacing w:after="0" w:line="179" w:lineRule="exact"/>
              <w:rPr>
                <w:rFonts w:ascii="Arial" w:cs="Arial" w:eastAsia="Arial" w:hAnsi="Arial"/>
                <w:sz w:val="17"/>
                <w:szCs w:val="17"/>
                <w:color w:val="0000EE"/>
                <w:w w:val="88"/>
              </w:rPr>
            </w:pPr>
            <w:hyperlink w:anchor="page73">
              <w:r>
                <w:rPr>
                  <w:rFonts w:ascii="Arial" w:cs="Arial" w:eastAsia="Arial" w:hAnsi="Arial"/>
                  <w:sz w:val="17"/>
                  <w:szCs w:val="17"/>
                  <w:color w:val="0000EE"/>
                  <w:w w:val="88"/>
                </w:rPr>
                <w:t>Mine Safety Disclosures</w:t>
              </w:r>
            </w:hyperlink>
          </w:p>
        </w:tc>
        <w:tc>
          <w:tcPr>
            <w:tcW w:w="500" w:type="dxa"/>
            <w:vAlign w:val="bottom"/>
            <w:tcBorders>
              <w:top w:val="single" w:sz="8" w:color="0000EE"/>
            </w:tcBorders>
            <w:gridSpan w:val="2"/>
          </w:tcPr>
          <w:p>
            <w:pPr>
              <w:spacing w:after="0"/>
              <w:rPr>
                <w:sz w:val="15"/>
                <w:szCs w:val="15"/>
                <w:color w:val="auto"/>
              </w:rPr>
            </w:pPr>
          </w:p>
        </w:tc>
        <w:tc>
          <w:tcPr>
            <w:tcW w:w="6040" w:type="dxa"/>
            <w:vAlign w:val="bottom"/>
            <w:gridSpan w:val="9"/>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73</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5.</w:t>
            </w:r>
          </w:p>
        </w:tc>
        <w:tc>
          <w:tcPr>
            <w:tcW w:w="1220" w:type="dxa"/>
            <w:vAlign w:val="bottom"/>
            <w:tcBorders>
              <w:bottom w:val="single" w:sz="8" w:color="0000EE"/>
            </w:tcBorders>
            <w:gridSpan w:val="3"/>
          </w:tcPr>
          <w:p>
            <w:pPr>
              <w:spacing w:after="0" w:line="179" w:lineRule="exact"/>
              <w:rPr>
                <w:rFonts w:ascii="Arial" w:cs="Arial" w:eastAsia="Arial" w:hAnsi="Arial"/>
                <w:sz w:val="17"/>
                <w:szCs w:val="17"/>
                <w:color w:val="0000EE"/>
                <w:w w:val="90"/>
              </w:rPr>
            </w:pPr>
            <w:hyperlink w:anchor="page73">
              <w:r>
                <w:rPr>
                  <w:rFonts w:ascii="Arial" w:cs="Arial" w:eastAsia="Arial" w:hAnsi="Arial"/>
                  <w:sz w:val="17"/>
                  <w:szCs w:val="17"/>
                  <w:color w:val="0000EE"/>
                  <w:w w:val="90"/>
                </w:rPr>
                <w:t>Other Information</w:t>
              </w:r>
            </w:hyperlink>
          </w:p>
        </w:tc>
        <w:tc>
          <w:tcPr>
            <w:tcW w:w="6960" w:type="dxa"/>
            <w:vAlign w:val="bottom"/>
            <w:gridSpan w:val="13"/>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73</w:t>
            </w:r>
          </w:p>
        </w:tc>
      </w:tr>
      <w:tr>
        <w:trPr>
          <w:trHeight w:val="179"/>
        </w:trPr>
        <w:tc>
          <w:tcPr>
            <w:tcW w:w="1040" w:type="dxa"/>
            <w:vAlign w:val="bottom"/>
            <w:gridSpan w:val="2"/>
          </w:tcPr>
          <w:p>
            <w:pPr>
              <w:spacing w:after="0" w:line="179" w:lineRule="exact"/>
              <w:rPr>
                <w:sz w:val="20"/>
                <w:szCs w:val="20"/>
                <w:color w:val="auto"/>
              </w:rPr>
            </w:pPr>
            <w:r>
              <w:rPr>
                <w:rFonts w:ascii="Arial" w:cs="Arial" w:eastAsia="Arial" w:hAnsi="Arial"/>
                <w:sz w:val="17"/>
                <w:szCs w:val="17"/>
                <w:color w:val="auto"/>
              </w:rPr>
              <w:t>Item 6.</w:t>
            </w:r>
          </w:p>
        </w:tc>
        <w:tc>
          <w:tcPr>
            <w:tcW w:w="8180" w:type="dxa"/>
            <w:vAlign w:val="bottom"/>
            <w:gridSpan w:val="16"/>
          </w:tcPr>
          <w:p>
            <w:pPr>
              <w:spacing w:after="0" w:line="179" w:lineRule="exact"/>
              <w:rPr>
                <w:rFonts w:ascii="Arial" w:cs="Arial" w:eastAsia="Arial" w:hAnsi="Arial"/>
                <w:sz w:val="17"/>
                <w:szCs w:val="17"/>
                <w:color w:val="0000EE"/>
              </w:rPr>
            </w:pPr>
            <w:hyperlink w:anchor="page73">
              <w:r>
                <w:rPr>
                  <w:rFonts w:ascii="Arial" w:cs="Arial" w:eastAsia="Arial" w:hAnsi="Arial"/>
                  <w:sz w:val="17"/>
                  <w:szCs w:val="17"/>
                  <w:color w:val="0000EE"/>
                </w:rPr>
                <w:t>Exhibits</w:t>
              </w:r>
            </w:hyperlink>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73</w:t>
            </w:r>
          </w:p>
        </w:tc>
      </w:tr>
      <w:tr>
        <w:trPr>
          <w:trHeight w:val="179"/>
        </w:trPr>
        <w:tc>
          <w:tcPr>
            <w:tcW w:w="1040" w:type="dxa"/>
            <w:vAlign w:val="bottom"/>
            <w:gridSpan w:val="2"/>
          </w:tcPr>
          <w:p>
            <w:pPr>
              <w:spacing w:after="0" w:line="179" w:lineRule="exact"/>
              <w:rPr>
                <w:rFonts w:ascii="Arial" w:cs="Arial" w:eastAsia="Arial" w:hAnsi="Arial"/>
                <w:sz w:val="17"/>
                <w:szCs w:val="17"/>
                <w:color w:val="0000EE"/>
              </w:rPr>
            </w:pPr>
            <w:hyperlink w:anchor="page76">
              <w:r>
                <w:rPr>
                  <w:rFonts w:ascii="Arial" w:cs="Arial" w:eastAsia="Arial" w:hAnsi="Arial"/>
                  <w:sz w:val="17"/>
                  <w:szCs w:val="17"/>
                  <w:color w:val="0000EE"/>
                </w:rPr>
                <w:t>Signatures</w:t>
              </w:r>
            </w:hyperlink>
          </w:p>
        </w:tc>
        <w:tc>
          <w:tcPr>
            <w:tcW w:w="56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Arial" w:cs="Arial" w:eastAsia="Arial" w:hAnsi="Arial"/>
                <w:sz w:val="17"/>
                <w:szCs w:val="17"/>
                <w:color w:val="auto"/>
              </w:rPr>
              <w:t>76</w:t>
            </w:r>
          </w:p>
        </w:tc>
      </w:tr>
      <w:tr>
        <w:trPr>
          <w:trHeight w:val="813"/>
        </w:trPr>
        <w:tc>
          <w:tcPr>
            <w:tcW w:w="7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940" w:type="dxa"/>
            <w:vAlign w:val="bottom"/>
            <w:gridSpan w:val="15"/>
          </w:tcPr>
          <w:p>
            <w:pPr>
              <w:jc w:val="center"/>
              <w:ind w:left="3337"/>
              <w:spacing w:after="0"/>
              <w:rPr>
                <w:sz w:val="20"/>
                <w:szCs w:val="20"/>
                <w:color w:val="auto"/>
              </w:rPr>
            </w:pPr>
            <w:r>
              <w:rPr>
                <w:rFonts w:ascii="Arial" w:cs="Arial" w:eastAsia="Arial" w:hAnsi="Arial"/>
                <w:sz w:val="17"/>
                <w:szCs w:val="17"/>
                <w:color w:val="auto"/>
                <w:w w:val="84"/>
              </w:rPr>
              <w:t>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4"/>
        </w:trPr>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707" w:right="19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81" w:lineRule="exact"/>
        <w:rPr>
          <w:sz w:val="20"/>
          <w:szCs w:val="20"/>
          <w:color w:val="auto"/>
        </w:rPr>
      </w:pPr>
    </w:p>
    <w:p>
      <w:pPr>
        <w:ind w:left="740" w:right="200" w:hanging="368"/>
        <w:spacing w:after="0" w:line="26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benefits, activity, effectiveness and safety of our product candidates and therapeutics developed utilizing our Probody platform technology;</w:t>
      </w:r>
    </w:p>
    <w:p>
      <w:pPr>
        <w:spacing w:after="0" w:line="80" w:lineRule="exact"/>
        <w:rPr>
          <w:rFonts w:ascii="Arial" w:cs="Arial" w:eastAsia="Arial" w:hAnsi="Arial"/>
          <w:sz w:val="17"/>
          <w:szCs w:val="17"/>
          <w:color w:val="auto"/>
        </w:rPr>
      </w:pPr>
    </w:p>
    <w:p>
      <w:pPr>
        <w:ind w:left="740" w:right="220" w:hanging="368"/>
        <w:spacing w:after="0" w:line="25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ongoing clinical trials, research and development programs, preclinical studies, and regulatory submissions, including Investigational New Drug applications (“IND”), Clinical Trial Applications, New Drug Applications (“NDA”) and, Biologics License Applications (“BLA”);</w:t>
      </w:r>
    </w:p>
    <w:p>
      <w:pPr>
        <w:spacing w:after="0" w:line="89"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completion of our ongoing clinical trials and the timing and availability of clinical data from such clinical trials;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and develop additional product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 collaborator’s ability to obtain and maintain regulatory approval of any of our product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beliefs regarding the evolution of the market for cancer therapies and development of the immuno-oncology industry;</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any approved products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commercialization of any approved product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technologies and product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and capital requirements;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additional funds for our operations;</w:t>
      </w:r>
    </w:p>
    <w:p>
      <w:pPr>
        <w:spacing w:after="0" w:line="115" w:lineRule="exact"/>
        <w:rPr>
          <w:rFonts w:ascii="Arial" w:cs="Arial" w:eastAsia="Arial" w:hAnsi="Arial"/>
          <w:sz w:val="17"/>
          <w:szCs w:val="17"/>
          <w:color w:val="auto"/>
        </w:rPr>
      </w:pPr>
    </w:p>
    <w:p>
      <w:pPr>
        <w:ind w:left="740" w:right="20" w:hanging="368"/>
        <w:spacing w:after="0" w:line="26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80"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our preclinical studies or any future clinical trials;</w:t>
      </w:r>
    </w:p>
    <w:p>
      <w:pPr>
        <w:spacing w:after="0" w:line="115" w:lineRule="exact"/>
        <w:rPr>
          <w:rFonts w:ascii="Arial" w:cs="Arial" w:eastAsia="Arial" w:hAnsi="Arial"/>
          <w:sz w:val="17"/>
          <w:szCs w:val="17"/>
          <w:color w:val="auto"/>
        </w:rPr>
      </w:pPr>
    </w:p>
    <w:p>
      <w:pPr>
        <w:ind w:left="740" w:right="360" w:hanging="368"/>
        <w:spacing w:after="0" w:line="26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third-party supply and manufacturing partners to supply the materials and components for, and manufacture, our research and development, preclinical and clinical trial product supplies;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qualified key management and technical personnel;</w:t>
      </w:r>
    </w:p>
    <w:p>
      <w:pPr>
        <w:spacing w:after="0" w:line="102"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secure and maintain licenses of intellectual property to protect our technologies and product candidates;</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115"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or our industry.</w:t>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4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Except where the context otherwise requires, in this Quarterly Report on Form 10-Q, “we,” “us,” “our” and the “Company” refer to CytomX Therapeutics, Inc.</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0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20" w:type="dxa"/>
            <w:vAlign w:val="bottom"/>
            <w:gridSpan w:val="3"/>
          </w:tcPr>
          <w:p>
            <w:pPr>
              <w:jc w:val="center"/>
              <w:ind w:left="1677"/>
              <w:spacing w:after="0"/>
              <w:rPr>
                <w:sz w:val="20"/>
                <w:szCs w:val="20"/>
                <w:color w:val="auto"/>
              </w:rPr>
            </w:pPr>
            <w:r>
              <w:rPr>
                <w:rFonts w:ascii="Arial" w:cs="Arial" w:eastAsia="Arial" w:hAnsi="Arial"/>
                <w:sz w:val="17"/>
                <w:szCs w:val="17"/>
                <w:b w:val="1"/>
                <w:bCs w:val="1"/>
                <w:color w:val="auto"/>
                <w:w w:val="99"/>
              </w:rPr>
              <w:t>PART I – FINANCIAL INFORMATION</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8"/>
        </w:trPr>
        <w:tc>
          <w:tcPr>
            <w:tcW w:w="108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5600" w:type="dxa"/>
            <w:vAlign w:val="bottom"/>
            <w:gridSpan w:val="2"/>
          </w:tcPr>
          <w:p>
            <w:pPr>
              <w:ind w:left="80"/>
              <w:spacing w:after="0"/>
              <w:rPr>
                <w:sz w:val="20"/>
                <w:szCs w:val="20"/>
                <w:color w:val="auto"/>
              </w:rPr>
            </w:pPr>
            <w:r>
              <w:rPr>
                <w:rFonts w:ascii="Arial" w:cs="Arial" w:eastAsia="Arial" w:hAnsi="Arial"/>
                <w:sz w:val="17"/>
                <w:szCs w:val="17"/>
                <w:b w:val="1"/>
                <w:bCs w:val="1"/>
                <w:color w:val="auto"/>
              </w:rPr>
              <w:t>Unaudited Condensed Financial Statements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20" w:type="dxa"/>
            <w:vAlign w:val="bottom"/>
            <w:gridSpan w:val="3"/>
          </w:tcPr>
          <w:p>
            <w:pPr>
              <w:jc w:val="center"/>
              <w:ind w:left="1697"/>
              <w:spacing w:after="0"/>
              <w:rPr>
                <w:sz w:val="20"/>
                <w:szCs w:val="20"/>
                <w:color w:val="auto"/>
              </w:rPr>
            </w:pPr>
            <w:r>
              <w:rPr>
                <w:rFonts w:ascii="Arial" w:cs="Arial" w:eastAsia="Arial" w:hAnsi="Arial"/>
                <w:sz w:val="17"/>
                <w:szCs w:val="17"/>
                <w:b w:val="1"/>
                <w:bCs w:val="1"/>
                <w:color w:val="auto"/>
                <w:w w:val="99"/>
              </w:rPr>
              <w:t>CYTOMX THERAPEUTICS, INC.</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gridSpan w:val="3"/>
          </w:tcPr>
          <w:p>
            <w:pPr>
              <w:jc w:val="center"/>
              <w:ind w:left="1677"/>
              <w:spacing w:after="0"/>
              <w:rPr>
                <w:sz w:val="20"/>
                <w:szCs w:val="20"/>
                <w:color w:val="auto"/>
              </w:rPr>
            </w:pPr>
            <w:r>
              <w:rPr>
                <w:rFonts w:ascii="Arial" w:cs="Arial" w:eastAsia="Arial" w:hAnsi="Arial"/>
                <w:sz w:val="17"/>
                <w:szCs w:val="17"/>
                <w:b w:val="1"/>
                <w:bCs w:val="1"/>
                <w:color w:val="auto"/>
                <w:w w:val="95"/>
              </w:rPr>
              <w:t>CONDENSED BALANCE SHEETS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20" w:type="dxa"/>
            <w:vAlign w:val="bottom"/>
            <w:gridSpan w:val="3"/>
          </w:tcPr>
          <w:p>
            <w:pPr>
              <w:jc w:val="center"/>
              <w:ind w:left="1677"/>
              <w:spacing w:after="0"/>
              <w:rPr>
                <w:sz w:val="20"/>
                <w:szCs w:val="20"/>
                <w:color w:val="auto"/>
              </w:rPr>
            </w:pPr>
            <w:r>
              <w:rPr>
                <w:rFonts w:ascii="Arial" w:cs="Arial" w:eastAsia="Arial" w:hAnsi="Arial"/>
                <w:sz w:val="17"/>
                <w:szCs w:val="17"/>
                <w:b w:val="1"/>
                <w:bCs w:val="1"/>
                <w:color w:val="auto"/>
                <w:w w:val="86"/>
              </w:rPr>
              <w:t>(in thousands, except share and per share data)</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0"/>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March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42"/>
        </w:trPr>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219"/>
              <w:spacing w:after="0" w:line="142" w:lineRule="exact"/>
              <w:rPr>
                <w:sz w:val="20"/>
                <w:szCs w:val="20"/>
                <w:color w:val="auto"/>
              </w:rPr>
            </w:pPr>
            <w:r>
              <w:rPr>
                <w:rFonts w:ascii="Arial" w:cs="Arial" w:eastAsia="Arial" w:hAnsi="Arial"/>
                <w:sz w:val="13"/>
                <w:szCs w:val="13"/>
                <w:b w:val="1"/>
                <w:bCs w:val="1"/>
                <w:color w:val="auto"/>
                <w:w w:val="93"/>
              </w:rPr>
              <w:t>(unaudited)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639"/>
              <w:spacing w:after="0" w:line="142"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2"/>
                <w:szCs w:val="12"/>
                <w:color w:val="auto"/>
              </w:rPr>
            </w:pPr>
          </w:p>
        </w:tc>
      </w:tr>
      <w:tr>
        <w:trPr>
          <w:trHeight w:val="211"/>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440" w:type="dxa"/>
            <w:vAlign w:val="bottom"/>
            <w:shd w:val="clear" w:color="auto" w:fill="CFF0FC"/>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1080" w:type="dxa"/>
            <w:vAlign w:val="bottom"/>
          </w:tcPr>
          <w:p>
            <w:pPr>
              <w:spacing w:after="0"/>
              <w:rPr>
                <w:sz w:val="20"/>
                <w:szCs w:val="20"/>
                <w:color w:val="auto"/>
              </w:rPr>
            </w:pPr>
            <w:r>
              <w:rPr>
                <w:rFonts w:ascii="Arial" w:cs="Arial" w:eastAsia="Arial" w:hAnsi="Arial"/>
                <w:sz w:val="17"/>
                <w:szCs w:val="17"/>
                <w:color w:val="auto"/>
                <w:w w:val="91"/>
              </w:rPr>
              <w:t>Current assets:</w:t>
            </w:r>
          </w:p>
        </w:tc>
        <w:tc>
          <w:tcPr>
            <w:tcW w:w="4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1460" w:type="dxa"/>
            <w:vAlign w:val="bottom"/>
            <w:gridSpan w:val="2"/>
            <w:shd w:val="clear" w:color="auto" w:fill="CFF0FC"/>
          </w:tcPr>
          <w:p>
            <w:pPr>
              <w:jc w:val="right"/>
              <w:ind w:right="108"/>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190,407</w:t>
            </w: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247,577</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gridSpan w:val="3"/>
          </w:tcPr>
          <w:p>
            <w:pPr>
              <w:ind w:left="220"/>
              <w:spacing w:after="0"/>
              <w:rPr>
                <w:sz w:val="20"/>
                <w:szCs w:val="20"/>
                <w:color w:val="auto"/>
              </w:rPr>
            </w:pPr>
            <w:r>
              <w:rPr>
                <w:rFonts w:ascii="Arial" w:cs="Arial" w:eastAsia="Arial" w:hAnsi="Arial"/>
                <w:sz w:val="17"/>
                <w:szCs w:val="17"/>
                <w:color w:val="auto"/>
              </w:rPr>
              <w:t>Short-term investments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206,189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188,550</w:t>
            </w: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Accounts receivable</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tcBorders>
              <w:bottom w:val="single" w:sz="8" w:color="CFF0FC"/>
            </w:tcBorders>
            <w:gridSpan w:val="3"/>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8,437</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9,251</w:t>
            </w:r>
          </w:p>
        </w:tc>
        <w:tc>
          <w:tcPr>
            <w:tcW w:w="100" w:type="dxa"/>
            <w:vAlign w:val="bottom"/>
            <w:tcBorders>
              <w:bottom w:val="single" w:sz="8" w:color="CFF0FC"/>
            </w:tcBorders>
          </w:tcPr>
          <w:p>
            <w:pPr>
              <w:spacing w:after="0"/>
              <w:rPr>
                <w:sz w:val="18"/>
                <w:szCs w:val="18"/>
                <w:color w:val="auto"/>
              </w:rPr>
            </w:pPr>
          </w:p>
        </w:tc>
      </w:tr>
      <w:tr>
        <w:trPr>
          <w:trHeight w:val="204"/>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405,077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445,475</w:t>
            </w:r>
          </w:p>
        </w:tc>
        <w:tc>
          <w:tcPr>
            <w:tcW w:w="100" w:type="dxa"/>
            <w:vAlign w:val="bottom"/>
            <w:shd w:val="clear" w:color="auto" w:fill="CFF0FC"/>
          </w:tcPr>
          <w:p>
            <w:pPr>
              <w:spacing w:after="0"/>
              <w:rPr>
                <w:sz w:val="17"/>
                <w:szCs w:val="17"/>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Property and equipment, net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6,934</w:t>
            </w: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w:t>
            </w:r>
          </w:p>
        </w:tc>
        <w:tc>
          <w:tcPr>
            <w:tcW w:w="100" w:type="dxa"/>
            <w:vAlign w:val="bottom"/>
            <w:shd w:val="clear" w:color="auto" w:fill="CFF0FC"/>
          </w:tcPr>
          <w:p>
            <w:pPr>
              <w:spacing w:after="0"/>
              <w:rPr>
                <w:sz w:val="18"/>
                <w:szCs w:val="18"/>
                <w:color w:val="auto"/>
              </w:rPr>
            </w:pPr>
          </w:p>
        </w:tc>
      </w:tr>
      <w:tr>
        <w:trPr>
          <w:trHeight w:val="211"/>
        </w:trPr>
        <w:tc>
          <w:tcPr>
            <w:tcW w:w="1080" w:type="dxa"/>
            <w:vAlign w:val="bottom"/>
          </w:tcPr>
          <w:p>
            <w:pPr>
              <w:spacing w:after="0"/>
              <w:rPr>
                <w:sz w:val="20"/>
                <w:szCs w:val="20"/>
                <w:color w:val="auto"/>
              </w:rPr>
            </w:pPr>
            <w:r>
              <w:rPr>
                <w:rFonts w:ascii="Arial" w:cs="Arial" w:eastAsia="Arial" w:hAnsi="Arial"/>
                <w:sz w:val="17"/>
                <w:szCs w:val="17"/>
                <w:color w:val="auto"/>
              </w:rPr>
              <w:t>Goodwill</w:t>
            </w:r>
          </w:p>
        </w:tc>
        <w:tc>
          <w:tcPr>
            <w:tcW w:w="4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18"/>
                <w:szCs w:val="18"/>
                <w:color w:val="auto"/>
              </w:rPr>
            </w:pPr>
          </w:p>
        </w:tc>
      </w:tr>
      <w:tr>
        <w:trPr>
          <w:trHeight w:val="211"/>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w w:val="90"/>
              </w:rPr>
              <w:t>Restricted cash</w:t>
            </w:r>
          </w:p>
        </w:tc>
        <w:tc>
          <w:tcPr>
            <w:tcW w:w="440" w:type="dxa"/>
            <w:vAlign w:val="bottom"/>
            <w:shd w:val="clear" w:color="auto" w:fill="CFF0FC"/>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Operating lease right-of-use</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27,404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1"/>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440" w:type="dxa"/>
            <w:vAlign w:val="bottom"/>
            <w:shd w:val="clear" w:color="auto" w:fill="CFF0FC"/>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FF0FC"/>
          </w:tcPr>
          <w:p>
            <w:pPr>
              <w:spacing w:after="0"/>
              <w:rPr>
                <w:sz w:val="18"/>
                <w:szCs w:val="18"/>
                <w:color w:val="auto"/>
              </w:rPr>
            </w:pPr>
          </w:p>
        </w:tc>
      </w:tr>
      <w:tr>
        <w:trPr>
          <w:trHeight w:val="244"/>
        </w:trPr>
        <w:tc>
          <w:tcPr>
            <w:tcW w:w="1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440" w:type="dxa"/>
            <w:vAlign w:val="bottom"/>
            <w:tcBorders>
              <w:bottom w:val="single" w:sz="8" w:color="CFF0FC"/>
            </w:tcBorders>
          </w:tcPr>
          <w:p>
            <w:pPr>
              <w:spacing w:after="0"/>
              <w:rPr>
                <w:sz w:val="21"/>
                <w:szCs w:val="21"/>
                <w:color w:val="auto"/>
              </w:rPr>
            </w:pPr>
          </w:p>
        </w:tc>
        <w:tc>
          <w:tcPr>
            <w:tcW w:w="51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444,513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457,108</w:t>
            </w:r>
          </w:p>
        </w:tc>
        <w:tc>
          <w:tcPr>
            <w:tcW w:w="100" w:type="dxa"/>
            <w:vAlign w:val="bottom"/>
            <w:tcBorders>
              <w:bottom w:val="single" w:sz="8" w:color="CFF0FC"/>
            </w:tcBorders>
          </w:tcPr>
          <w:p>
            <w:pPr>
              <w:spacing w:after="0"/>
              <w:rPr>
                <w:sz w:val="21"/>
                <w:szCs w:val="21"/>
                <w:color w:val="auto"/>
              </w:rPr>
            </w:pPr>
          </w:p>
        </w:tc>
      </w:tr>
      <w:tr>
        <w:trPr>
          <w:trHeight w:val="188"/>
        </w:trPr>
        <w:tc>
          <w:tcPr>
            <w:tcW w:w="6680" w:type="dxa"/>
            <w:vAlign w:val="bottom"/>
            <w:gridSpan w:val="3"/>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Current 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Accounts payable</w:t>
            </w:r>
          </w:p>
        </w:tc>
        <w:tc>
          <w:tcPr>
            <w:tcW w:w="1460" w:type="dxa"/>
            <w:vAlign w:val="bottom"/>
            <w:gridSpan w:val="2"/>
            <w:shd w:val="clear" w:color="auto" w:fill="CFF0FC"/>
          </w:tcPr>
          <w:p>
            <w:pPr>
              <w:jc w:val="right"/>
              <w:ind w:right="108"/>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9,511</w:t>
            </w: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5,132</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gridSpan w:val="3"/>
          </w:tcPr>
          <w:p>
            <w:pPr>
              <w:ind w:left="220"/>
              <w:spacing w:after="0"/>
              <w:rPr>
                <w:sz w:val="20"/>
                <w:szCs w:val="20"/>
                <w:color w:val="auto"/>
              </w:rPr>
            </w:pPr>
            <w:r>
              <w:rPr>
                <w:rFonts w:ascii="Arial" w:cs="Arial" w:eastAsia="Arial" w:hAnsi="Arial"/>
                <w:sz w:val="17"/>
                <w:szCs w:val="17"/>
                <w:color w:val="auto"/>
              </w:rPr>
              <w:t>Accrued 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22,567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26,724</w:t>
            </w: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Income tax payable</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13,374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13,339</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tcBorders>
              <w:bottom w:val="single" w:sz="8" w:color="CFF0FC"/>
            </w:tcBorders>
            <w:gridSpan w:val="3"/>
          </w:tcPr>
          <w:p>
            <w:pPr>
              <w:ind w:left="220"/>
              <w:spacing w:after="0"/>
              <w:rPr>
                <w:sz w:val="20"/>
                <w:szCs w:val="20"/>
                <w:color w:val="auto"/>
              </w:rPr>
            </w:pPr>
            <w:r>
              <w:rPr>
                <w:rFonts w:ascii="Arial" w:cs="Arial" w:eastAsia="Arial" w:hAnsi="Arial"/>
                <w:sz w:val="17"/>
                <w:szCs w:val="17"/>
                <w:color w:val="auto"/>
              </w:rPr>
              <w:t>Deferred revenue, current portion</w:t>
            </w:r>
          </w:p>
        </w:tc>
        <w:tc>
          <w:tcPr>
            <w:tcW w:w="1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50,765</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52,713</w:t>
            </w:r>
          </w:p>
        </w:tc>
        <w:tc>
          <w:tcPr>
            <w:tcW w:w="100" w:type="dxa"/>
            <w:vAlign w:val="bottom"/>
            <w:tcBorders>
              <w:bottom w:val="single" w:sz="8" w:color="CFF0FC"/>
            </w:tcBorders>
          </w:tcPr>
          <w:p>
            <w:pPr>
              <w:spacing w:after="0"/>
              <w:rPr>
                <w:sz w:val="18"/>
                <w:szCs w:val="18"/>
                <w:color w:val="auto"/>
              </w:rPr>
            </w:pPr>
          </w:p>
        </w:tc>
      </w:tr>
      <w:tr>
        <w:trPr>
          <w:trHeight w:val="204"/>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96,217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97,908</w:t>
            </w:r>
          </w:p>
        </w:tc>
        <w:tc>
          <w:tcPr>
            <w:tcW w:w="100" w:type="dxa"/>
            <w:vAlign w:val="bottom"/>
            <w:shd w:val="clear" w:color="auto" w:fill="CFF0FC"/>
          </w:tcPr>
          <w:p>
            <w:pPr>
              <w:spacing w:after="0"/>
              <w:rPr>
                <w:sz w:val="17"/>
                <w:szCs w:val="17"/>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Deferred revenue, net of current portion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197,754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225,267</w:t>
            </w: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Operating lease liabilities - long term</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27,008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1"/>
        </w:trPr>
        <w:tc>
          <w:tcPr>
            <w:tcW w:w="668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Other long-term liabilities</w:t>
            </w:r>
          </w:p>
        </w:tc>
        <w:tc>
          <w:tcPr>
            <w:tcW w:w="1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3,050</w:t>
            </w:r>
          </w:p>
        </w:tc>
        <w:tc>
          <w:tcPr>
            <w:tcW w:w="100" w:type="dxa"/>
            <w:vAlign w:val="bottom"/>
            <w:tcBorders>
              <w:bottom w:val="single" w:sz="8" w:color="CFF0FC"/>
            </w:tcBorders>
          </w:tcPr>
          <w:p>
            <w:pPr>
              <w:spacing w:after="0"/>
              <w:rPr>
                <w:sz w:val="18"/>
                <w:szCs w:val="18"/>
                <w:color w:val="auto"/>
              </w:rPr>
            </w:pPr>
          </w:p>
        </w:tc>
      </w:tr>
      <w:tr>
        <w:trPr>
          <w:trHeight w:val="204"/>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w w:val="99"/>
              </w:rPr>
              <w:t>Total liabilities</w:t>
            </w:r>
          </w:p>
        </w:tc>
        <w:tc>
          <w:tcPr>
            <w:tcW w:w="440" w:type="dxa"/>
            <w:vAlign w:val="bottom"/>
            <w:shd w:val="clear" w:color="auto" w:fill="CFF0FC"/>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321,942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326,225</w:t>
            </w:r>
          </w:p>
        </w:tc>
        <w:tc>
          <w:tcPr>
            <w:tcW w:w="100" w:type="dxa"/>
            <w:vAlign w:val="bottom"/>
            <w:shd w:val="clear" w:color="auto" w:fill="CFF0FC"/>
          </w:tcPr>
          <w:p>
            <w:pPr>
              <w:spacing w:after="0"/>
              <w:rPr>
                <w:sz w:val="17"/>
                <w:szCs w:val="17"/>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Commitments and contingencies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9"/>
        </w:trPr>
        <w:tc>
          <w:tcPr>
            <w:tcW w:w="6680" w:type="dxa"/>
            <w:vAlign w:val="bottom"/>
            <w:gridSpan w:val="3"/>
          </w:tcPr>
          <w:p>
            <w:pPr>
              <w:spacing w:after="0"/>
              <w:rPr>
                <w:sz w:val="20"/>
                <w:szCs w:val="20"/>
                <w:color w:val="auto"/>
              </w:rPr>
            </w:pPr>
            <w:r>
              <w:rPr>
                <w:rFonts w:ascii="Arial" w:cs="Arial" w:eastAsia="Arial" w:hAnsi="Arial"/>
                <w:sz w:val="17"/>
                <w:szCs w:val="17"/>
                <w:color w:val="auto"/>
                <w:w w:val="87"/>
              </w:rPr>
              <w:t>Convertible preferred stock, $0.00001 par value; 10,000,000 shares authorized and no shares issued</w:t>
            </w:r>
          </w:p>
        </w:tc>
        <w:tc>
          <w:tcPr>
            <w:tcW w:w="1460" w:type="dxa"/>
            <w:vAlign w:val="bottom"/>
            <w:gridSpan w:val="2"/>
          </w:tcPr>
          <w:p>
            <w:pPr>
              <w:jc w:val="right"/>
              <w:ind w:right="1108"/>
              <w:spacing w:after="0"/>
              <w:rPr>
                <w:sz w:val="20"/>
                <w:szCs w:val="20"/>
                <w:color w:val="auto"/>
              </w:rPr>
            </w:pPr>
            <w:r>
              <w:rPr>
                <w:rFonts w:ascii="Arial" w:cs="Arial" w:eastAsia="Arial" w:hAnsi="Arial"/>
                <w:sz w:val="17"/>
                <w:szCs w:val="17"/>
                <w:color w:val="auto"/>
                <w:w w:val="91"/>
              </w:rPr>
              <w:t>and</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680" w:type="dxa"/>
            <w:vAlign w:val="bottom"/>
            <w:gridSpan w:val="3"/>
          </w:tcPr>
          <w:p>
            <w:pPr>
              <w:spacing w:after="0"/>
              <w:rPr>
                <w:sz w:val="20"/>
                <w:szCs w:val="20"/>
                <w:color w:val="auto"/>
              </w:rPr>
            </w:pPr>
            <w:r>
              <w:rPr>
                <w:rFonts w:ascii="Arial" w:cs="Arial" w:eastAsia="Arial" w:hAnsi="Arial"/>
                <w:sz w:val="17"/>
                <w:szCs w:val="17"/>
                <w:color w:val="auto"/>
              </w:rPr>
              <w:t>outstanding at March 31, 2019 and December 31, 2018.</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6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Common stock, $0.00001 par value; 75,000,000 shares authorized; 45,157,652 and</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68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w w:val="87"/>
              </w:rPr>
              <w:t>45,083,209 shares issued and outstanding at March 31, 2019 and December 31, 2018, respectively</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11"/>
        </w:trPr>
        <w:tc>
          <w:tcPr>
            <w:tcW w:w="6680" w:type="dxa"/>
            <w:vAlign w:val="bottom"/>
            <w:gridSpan w:val="3"/>
          </w:tcPr>
          <w:p>
            <w:pPr>
              <w:ind w:left="220"/>
              <w:spacing w:after="0"/>
              <w:rPr>
                <w:sz w:val="20"/>
                <w:szCs w:val="20"/>
                <w:color w:val="auto"/>
              </w:rPr>
            </w:pPr>
            <w:r>
              <w:rPr>
                <w:rFonts w:ascii="Arial" w:cs="Arial" w:eastAsia="Arial" w:hAnsi="Arial"/>
                <w:sz w:val="17"/>
                <w:szCs w:val="17"/>
                <w:color w:val="auto"/>
              </w:rPr>
              <w:t>Additional paid-in capital</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451,613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445,956</w:t>
            </w:r>
          </w:p>
        </w:tc>
        <w:tc>
          <w:tcPr>
            <w:tcW w:w="100" w:type="dxa"/>
            <w:vAlign w:val="bottom"/>
          </w:tcPr>
          <w:p>
            <w:pPr>
              <w:spacing w:after="0"/>
              <w:rPr>
                <w:sz w:val="18"/>
                <w:szCs w:val="18"/>
                <w:color w:val="auto"/>
              </w:rPr>
            </w:pPr>
          </w:p>
        </w:tc>
      </w:tr>
      <w:tr>
        <w:trPr>
          <w:trHeight w:val="211"/>
        </w:trPr>
        <w:tc>
          <w:tcPr>
            <w:tcW w:w="6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(93)</w:t>
            </w:r>
          </w:p>
        </w:tc>
      </w:tr>
      <w:tr>
        <w:trPr>
          <w:trHeight w:val="211"/>
        </w:trPr>
        <w:tc>
          <w:tcPr>
            <w:tcW w:w="6680" w:type="dxa"/>
            <w:vAlign w:val="bottom"/>
            <w:gridSpan w:val="3"/>
          </w:tcPr>
          <w:p>
            <w:pPr>
              <w:ind w:left="220"/>
              <w:spacing w:after="0"/>
              <w:rPr>
                <w:sz w:val="20"/>
                <w:szCs w:val="20"/>
                <w:color w:val="auto"/>
              </w:rPr>
            </w:pPr>
            <w:r>
              <w:rPr>
                <w:rFonts w:ascii="Arial" w:cs="Arial" w:eastAsia="Arial" w:hAnsi="Arial"/>
                <w:sz w:val="17"/>
                <w:szCs w:val="17"/>
                <w:color w:val="auto"/>
              </w:rPr>
              <w:t>Accumulated deficit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(329,116)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(314,981)</w:t>
            </w:r>
          </w:p>
        </w:tc>
      </w:tr>
      <w:tr>
        <w:trPr>
          <w:trHeight w:val="204"/>
        </w:trPr>
        <w:tc>
          <w:tcPr>
            <w:tcW w:w="66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122,571</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130,883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6680" w:type="dxa"/>
            <w:vAlign w:val="bottom"/>
            <w:gridSpan w:val="3"/>
          </w:tcPr>
          <w:p>
            <w:pPr>
              <w:spacing w:after="0"/>
              <w:rPr>
                <w:sz w:val="20"/>
                <w:szCs w:val="20"/>
                <w:color w:val="auto"/>
              </w:rPr>
            </w:pPr>
            <w:r>
              <w:rPr>
                <w:rFonts w:ascii="Arial" w:cs="Arial" w:eastAsia="Arial" w:hAnsi="Arial"/>
                <w:sz w:val="17"/>
                <w:szCs w:val="17"/>
                <w:color w:val="auto"/>
              </w:rPr>
              <w:t>Total liabilities and stockholders' equity</w:t>
            </w:r>
          </w:p>
        </w:tc>
        <w:tc>
          <w:tcPr>
            <w:tcW w:w="12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444,513</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457,108</w:t>
            </w:r>
          </w:p>
        </w:tc>
        <w:tc>
          <w:tcPr>
            <w:tcW w:w="1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5" w:lineRule="exact"/>
        <w:rPr>
          <w:sz w:val="20"/>
          <w:szCs w:val="20"/>
          <w:color w:val="auto"/>
        </w:rPr>
      </w:pPr>
    </w:p>
    <w:p>
      <w:pPr>
        <w:ind w:left="501" w:right="140" w:hanging="501"/>
        <w:spacing w:after="0" w:line="263" w:lineRule="auto"/>
        <w:tabs>
          <w:tab w:leader="none" w:pos="501" w:val="left"/>
        </w:tabs>
        <w:numPr>
          <w:ilvl w:val="0"/>
          <w:numId w:val="5"/>
        </w:numPr>
        <w:rPr>
          <w:rFonts w:ascii="Arial" w:cs="Arial" w:eastAsia="Arial" w:hAnsi="Arial"/>
          <w:sz w:val="14"/>
          <w:szCs w:val="14"/>
          <w:color w:val="auto"/>
        </w:rPr>
      </w:pPr>
      <w:r>
        <w:rPr>
          <w:rFonts w:ascii="Arial" w:cs="Arial" w:eastAsia="Arial" w:hAnsi="Arial"/>
          <w:sz w:val="17"/>
          <w:szCs w:val="17"/>
          <w:color w:val="auto"/>
        </w:rPr>
        <w:t>The condensed balance sheet as of December 31, 2018 was derived from the audited financial statements included in the Company's Annual Report on Form 10-K for the year ended December 31,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1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4"/>
          </w:tcPr>
          <w:p>
            <w:pPr>
              <w:jc w:val="right"/>
              <w:ind w:right="28"/>
              <w:spacing w:after="0"/>
              <w:rPr>
                <w:sz w:val="20"/>
                <w:szCs w:val="20"/>
                <w:color w:val="auto"/>
              </w:rPr>
            </w:pPr>
            <w:r>
              <w:rPr>
                <w:rFonts w:ascii="Arial" w:cs="Arial" w:eastAsia="Arial" w:hAnsi="Arial"/>
                <w:sz w:val="13"/>
                <w:szCs w:val="13"/>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3"/>
                <w:szCs w:val="13"/>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400" w:type="dxa"/>
            <w:vAlign w:val="bottom"/>
            <w:tcBorders>
              <w:bottom w:val="single" w:sz="8" w:color="CFF0FC"/>
            </w:tcBorders>
          </w:tcPr>
          <w:p>
            <w:pPr>
              <w:spacing w:after="0"/>
              <w:rPr>
                <w:sz w:val="12"/>
                <w:szCs w:val="12"/>
                <w:color w:val="auto"/>
              </w:rPr>
            </w:pPr>
          </w:p>
        </w:tc>
        <w:tc>
          <w:tcPr>
            <w:tcW w:w="14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78"/>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4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0" w:type="dxa"/>
            <w:vAlign w:val="bottom"/>
          </w:tcPr>
          <w:p>
            <w:pPr>
              <w:spacing w:after="0"/>
              <w:rPr>
                <w:sz w:val="20"/>
                <w:szCs w:val="20"/>
                <w:color w:val="auto"/>
              </w:rPr>
            </w:pPr>
            <w:r>
              <w:rPr>
                <w:rFonts w:ascii="Arial" w:cs="Arial" w:eastAsia="Arial" w:hAnsi="Arial"/>
                <w:sz w:val="17"/>
                <w:szCs w:val="17"/>
                <w:color w:val="auto"/>
              </w:rPr>
              <w:t>Operating expenses: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14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14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29,814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Loss from operations</w:t>
            </w: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4"/>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before income taxes</w:t>
            </w:r>
          </w:p>
        </w:tc>
        <w:tc>
          <w:tcPr>
            <w:tcW w:w="14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(14,130)</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(14,395)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0" w:type="dxa"/>
            <w:vAlign w:val="bottom"/>
          </w:tcPr>
          <w:p>
            <w:pPr>
              <w:ind w:left="220"/>
              <w:spacing w:after="0"/>
              <w:rPr>
                <w:sz w:val="20"/>
                <w:szCs w:val="20"/>
                <w:color w:val="auto"/>
              </w:rPr>
            </w:pPr>
            <w:r>
              <w:rPr>
                <w:rFonts w:ascii="Arial" w:cs="Arial" w:eastAsia="Arial" w:hAnsi="Arial"/>
                <w:sz w:val="17"/>
                <w:szCs w:val="17"/>
                <w:color w:val="auto"/>
              </w:rPr>
              <w:t>Provision for (benefit from) income taxes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(14,124)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(15,493)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18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tcBorders>
              <w:bottom w:val="single" w:sz="8" w:color="CFF0FC"/>
            </w:tcBorders>
            <w:vMerge w:val="continue"/>
          </w:tcPr>
          <w:p>
            <w:pPr>
              <w:spacing w:after="0"/>
              <w:rPr>
                <w:sz w:val="16"/>
                <w:szCs w:val="16"/>
                <w:color w:val="auto"/>
              </w:rPr>
            </w:pPr>
          </w:p>
        </w:tc>
        <w:tc>
          <w:tcPr>
            <w:tcW w:w="1480" w:type="dxa"/>
            <w:vAlign w:val="bottom"/>
            <w:tcBorders>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(0.31)</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(0.40)</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Shares used to compute net loss per share, basic and diluted</w:t>
            </w:r>
          </w:p>
        </w:tc>
        <w:tc>
          <w:tcPr>
            <w:tcW w:w="14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45,122,456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38,647,878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color w:val="auto"/>
              </w:rPr>
              <w:t>Other comprehensive income (loss):</w:t>
            </w: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Changes in unrealized gain (loss) on short-term investments, net of tax</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1"/>
        </w:trPr>
        <w:tc>
          <w:tcPr>
            <w:tcW w:w="6400" w:type="dxa"/>
            <w:vAlign w:val="bottom"/>
          </w:tcPr>
          <w:p>
            <w:pPr>
              <w:ind w:left="220"/>
              <w:spacing w:after="0"/>
              <w:rPr>
                <w:sz w:val="20"/>
                <w:szCs w:val="20"/>
                <w:color w:val="auto"/>
              </w:rPr>
            </w:pPr>
            <w:r>
              <w:rPr>
                <w:rFonts w:ascii="Arial" w:cs="Arial" w:eastAsia="Arial" w:hAnsi="Arial"/>
                <w:sz w:val="17"/>
                <w:szCs w:val="17"/>
                <w:color w:val="auto"/>
              </w:rPr>
              <w:t>Impact of adoption of new accounting pronouncement</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(13,958)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(15,627)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r>
      <w:tr>
        <w:trPr>
          <w:trHeight w:val="157"/>
        </w:trPr>
        <w:tc>
          <w:tcPr>
            <w:tcW w:w="3040" w:type="dxa"/>
            <w:vAlign w:val="bottom"/>
          </w:tcPr>
          <w:p>
            <w:pPr>
              <w:spacing w:after="0"/>
              <w:rPr>
                <w:sz w:val="13"/>
                <w:szCs w:val="13"/>
                <w:color w:val="auto"/>
              </w:rPr>
            </w:pPr>
          </w:p>
        </w:tc>
        <w:tc>
          <w:tcPr>
            <w:tcW w:w="24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Comprehensive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Accumulated</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Stockholders'</w:t>
            </w:r>
          </w:p>
        </w:tc>
      </w:tr>
      <w:tr>
        <w:trPr>
          <w:trHeight w:val="142"/>
        </w:trPr>
        <w:tc>
          <w:tcPr>
            <w:tcW w:w="3040" w:type="dxa"/>
            <w:vAlign w:val="bottom"/>
          </w:tcPr>
          <w:p>
            <w:pPr>
              <w:spacing w:after="0"/>
              <w:rPr>
                <w:sz w:val="12"/>
                <w:szCs w:val="12"/>
                <w:color w:val="auto"/>
              </w:rPr>
            </w:pPr>
          </w:p>
        </w:tc>
        <w:tc>
          <w:tcPr>
            <w:tcW w:w="1560" w:type="dxa"/>
            <w:vAlign w:val="bottom"/>
            <w:gridSpan w:val="2"/>
          </w:tcPr>
          <w:p>
            <w:pPr>
              <w:ind w:left="360"/>
              <w:spacing w:after="0" w:line="142" w:lineRule="exact"/>
              <w:rPr>
                <w:sz w:val="20"/>
                <w:szCs w:val="20"/>
                <w:color w:val="auto"/>
              </w:rPr>
            </w:pPr>
            <w:r>
              <w:rPr>
                <w:rFonts w:ascii="Arial" w:cs="Arial" w:eastAsia="Arial" w:hAnsi="Arial"/>
                <w:sz w:val="13"/>
                <w:szCs w:val="13"/>
                <w:b w:val="1"/>
                <w:bCs w:val="1"/>
                <w:color w:val="auto"/>
              </w:rPr>
              <w:t>Shares</w:t>
            </w:r>
          </w:p>
        </w:tc>
        <w:tc>
          <w:tcPr>
            <w:tcW w:w="860" w:type="dxa"/>
            <w:vAlign w:val="bottom"/>
          </w:tcPr>
          <w:p>
            <w:pPr>
              <w:jc w:val="right"/>
              <w:ind w:right="30"/>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600"/>
              <w:spacing w:after="0" w:line="142"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Income/(Loss)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Equity</w:t>
            </w:r>
          </w:p>
        </w:tc>
      </w:tr>
      <w:tr>
        <w:trPr>
          <w:trHeight w:val="204"/>
        </w:trPr>
        <w:tc>
          <w:tcPr>
            <w:tcW w:w="30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2018</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45,083,209</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445,956</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(314,981)</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130,883</w:t>
            </w:r>
          </w:p>
        </w:tc>
        <w:tc>
          <w:tcPr>
            <w:tcW w:w="60" w:type="dxa"/>
            <w:vAlign w:val="bottom"/>
            <w:shd w:val="clear" w:color="auto" w:fill="CFF0FC"/>
          </w:tcPr>
          <w:p>
            <w:pPr>
              <w:spacing w:after="0"/>
              <w:rPr>
                <w:sz w:val="18"/>
                <w:szCs w:val="18"/>
                <w:color w:val="auto"/>
              </w:rPr>
            </w:pPr>
          </w:p>
        </w:tc>
      </w:tr>
      <w:tr>
        <w:trPr>
          <w:trHeight w:val="199"/>
        </w:trPr>
        <w:tc>
          <w:tcPr>
            <w:tcW w:w="3040" w:type="dxa"/>
            <w:vAlign w:val="bottom"/>
          </w:tcPr>
          <w:p>
            <w:pPr>
              <w:spacing w:after="0"/>
              <w:rPr>
                <w:sz w:val="20"/>
                <w:szCs w:val="20"/>
                <w:color w:val="auto"/>
              </w:rPr>
            </w:pPr>
            <w:r>
              <w:rPr>
                <w:rFonts w:ascii="Arial" w:cs="Arial" w:eastAsia="Arial" w:hAnsi="Arial"/>
                <w:sz w:val="17"/>
                <w:szCs w:val="17"/>
                <w:color w:val="auto"/>
              </w:rPr>
              <w:t>Impact of adoption of new accounting</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pronouncement - ASU 2018-02</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74,443</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60" w:type="dxa"/>
            <w:vAlign w:val="bottom"/>
            <w:shd w:val="clear" w:color="auto" w:fill="CFF0FC"/>
          </w:tcPr>
          <w:p>
            <w:pPr>
              <w:spacing w:after="0"/>
              <w:rPr>
                <w:sz w:val="18"/>
                <w:szCs w:val="18"/>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5,192</w:t>
            </w:r>
          </w:p>
        </w:tc>
        <w:tc>
          <w:tcPr>
            <w:tcW w:w="60" w:type="dxa"/>
            <w:vAlign w:val="bottom"/>
          </w:tcPr>
          <w:p>
            <w:pPr>
              <w:spacing w:after="0"/>
              <w:rPr>
                <w:sz w:val="18"/>
                <w:szCs w:val="18"/>
                <w:color w:val="auto"/>
              </w:rPr>
            </w:pP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60" w:type="dxa"/>
            <w:vAlign w:val="bottom"/>
            <w:shd w:val="clear" w:color="auto" w:fill="CFF0FC"/>
          </w:tcPr>
          <w:p>
            <w:pPr>
              <w:spacing w:after="0"/>
              <w:rPr>
                <w:sz w:val="18"/>
                <w:szCs w:val="18"/>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Net loss</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(14,124)</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(14,124)</w:t>
            </w:r>
          </w:p>
        </w:tc>
      </w:tr>
      <w:tr>
        <w:trPr>
          <w:trHeight w:val="204"/>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March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45,157,652</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451,613</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(329,116)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122,571</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1"/>
        </w:trPr>
        <w:tc>
          <w:tcPr>
            <w:tcW w:w="3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3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r>
      <w:tr>
        <w:trPr>
          <w:trHeight w:val="210"/>
        </w:trPr>
        <w:tc>
          <w:tcPr>
            <w:tcW w:w="304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Comprehensive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Accumulated</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Stockholders'</w:t>
            </w:r>
          </w:p>
        </w:tc>
      </w:tr>
      <w:tr>
        <w:trPr>
          <w:trHeight w:val="216"/>
        </w:trPr>
        <w:tc>
          <w:tcPr>
            <w:tcW w:w="3040" w:type="dxa"/>
            <w:vAlign w:val="bottom"/>
          </w:tcPr>
          <w:p>
            <w:pPr>
              <w:spacing w:after="0"/>
              <w:rPr>
                <w:sz w:val="18"/>
                <w:szCs w:val="18"/>
                <w:color w:val="auto"/>
              </w:rPr>
            </w:pPr>
          </w:p>
        </w:tc>
        <w:tc>
          <w:tcPr>
            <w:tcW w:w="15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right"/>
              <w:ind w:right="3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Income/(Loss)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r>
      <w:tr>
        <w:trPr>
          <w:trHeight w:val="216"/>
        </w:trPr>
        <w:tc>
          <w:tcPr>
            <w:tcW w:w="30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2017</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38,478,560</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289,454</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(219,465)</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69,896</w:t>
            </w:r>
          </w:p>
        </w:tc>
        <w:tc>
          <w:tcPr>
            <w:tcW w:w="60" w:type="dxa"/>
            <w:vAlign w:val="bottom"/>
            <w:shd w:val="clear" w:color="auto" w:fill="CFF0FC"/>
          </w:tcPr>
          <w:p>
            <w:pPr>
              <w:spacing w:after="0"/>
              <w:rPr>
                <w:sz w:val="18"/>
                <w:szCs w:val="18"/>
                <w:color w:val="auto"/>
              </w:rPr>
            </w:pPr>
          </w:p>
        </w:tc>
      </w:tr>
      <w:tr>
        <w:trPr>
          <w:trHeight w:val="199"/>
        </w:trPr>
        <w:tc>
          <w:tcPr>
            <w:tcW w:w="3040" w:type="dxa"/>
            <w:vAlign w:val="bottom"/>
          </w:tcPr>
          <w:p>
            <w:pPr>
              <w:spacing w:after="0"/>
              <w:rPr>
                <w:sz w:val="20"/>
                <w:szCs w:val="20"/>
                <w:color w:val="auto"/>
              </w:rPr>
            </w:pPr>
            <w:r>
              <w:rPr>
                <w:rFonts w:ascii="Arial" w:cs="Arial" w:eastAsia="Arial" w:hAnsi="Arial"/>
                <w:sz w:val="17"/>
                <w:szCs w:val="17"/>
                <w:color w:val="auto"/>
              </w:rPr>
              <w:t>Impact of adoption of new accounting</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pronouncement - ASC 606</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(10,912)</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(10,912)</w:t>
            </w: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425,139</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2,602</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2,602</w:t>
            </w:r>
          </w:p>
        </w:tc>
        <w:tc>
          <w:tcPr>
            <w:tcW w:w="60" w:type="dxa"/>
            <w:vAlign w:val="bottom"/>
            <w:shd w:val="clear" w:color="auto" w:fill="CFF0FC"/>
          </w:tcPr>
          <w:p>
            <w:pPr>
              <w:spacing w:after="0"/>
              <w:rPr>
                <w:sz w:val="18"/>
                <w:szCs w:val="18"/>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3,688</w:t>
            </w:r>
          </w:p>
        </w:tc>
        <w:tc>
          <w:tcPr>
            <w:tcW w:w="60" w:type="dxa"/>
            <w:vAlign w:val="bottom"/>
          </w:tcPr>
          <w:p>
            <w:pPr>
              <w:spacing w:after="0"/>
              <w:rPr>
                <w:sz w:val="18"/>
                <w:szCs w:val="18"/>
                <w:color w:val="auto"/>
              </w:rPr>
            </w:pPr>
          </w:p>
        </w:tc>
      </w:tr>
      <w:tr>
        <w:trPr>
          <w:trHeight w:val="211"/>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(134)</w:t>
            </w: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Net loss</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(15,493)</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(15,493)</w:t>
            </w:r>
          </w:p>
        </w:tc>
      </w:tr>
      <w:tr>
        <w:trPr>
          <w:trHeight w:val="204"/>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March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38,903,699</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295,744</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(245,870)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49,647</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0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08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4"/>
        </w:trPr>
        <w:tc>
          <w:tcPr>
            <w:tcW w:w="8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8080" w:type="dxa"/>
            <w:vAlign w:val="bottom"/>
          </w:tcPr>
          <w:p>
            <w:pPr>
              <w:ind w:left="220"/>
              <w:spacing w:after="0"/>
              <w:rPr>
                <w:sz w:val="20"/>
                <w:szCs w:val="20"/>
                <w:color w:val="auto"/>
              </w:rPr>
            </w:pPr>
            <w:r>
              <w:rPr>
                <w:rFonts w:ascii="Arial" w:cs="Arial" w:eastAsia="Arial" w:hAnsi="Arial"/>
                <w:sz w:val="17"/>
                <w:szCs w:val="17"/>
                <w:color w:val="auto"/>
              </w:rPr>
              <w:t>Net loss</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(14,124)</w:t>
            </w:r>
          </w:p>
        </w:tc>
        <w:tc>
          <w:tcPr>
            <w:tcW w:w="640" w:type="dxa"/>
            <w:vAlign w:val="bottom"/>
            <w:gridSpan w:val="2"/>
          </w:tcPr>
          <w:p>
            <w:pPr>
              <w:jc w:val="right"/>
              <w:ind w:right="388"/>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(15,493)</w:t>
            </w:r>
          </w:p>
        </w:tc>
      </w:tr>
      <w:tr>
        <w:trPr>
          <w:trHeight w:val="211"/>
        </w:trPr>
        <w:tc>
          <w:tcPr>
            <w:tcW w:w="8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8080" w:type="dxa"/>
            <w:vAlign w:val="bottom"/>
          </w:tcPr>
          <w:p>
            <w:pPr>
              <w:ind w:left="460"/>
              <w:spacing w:after="0"/>
              <w:rPr>
                <w:sz w:val="20"/>
                <w:szCs w:val="20"/>
                <w:color w:val="auto"/>
              </w:rPr>
            </w:pPr>
            <w:r>
              <w:rPr>
                <w:rFonts w:ascii="Arial" w:cs="Arial" w:eastAsia="Arial" w:hAnsi="Arial"/>
                <w:sz w:val="17"/>
                <w:szCs w:val="17"/>
                <w:color w:val="auto"/>
              </w:rPr>
              <w:t>Amortization of intangible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r>
      <w:tr>
        <w:trPr>
          <w:trHeight w:val="211"/>
        </w:trPr>
        <w:tc>
          <w:tcPr>
            <w:tcW w:w="80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Depreciation and amortization</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FF0FC"/>
          </w:tcPr>
          <w:p>
            <w:pPr>
              <w:spacing w:after="0"/>
              <w:rPr>
                <w:sz w:val="18"/>
                <w:szCs w:val="18"/>
                <w:color w:val="auto"/>
              </w:rPr>
            </w:pPr>
          </w:p>
        </w:tc>
      </w:tr>
      <w:tr>
        <w:trPr>
          <w:trHeight w:val="211"/>
        </w:trPr>
        <w:tc>
          <w:tcPr>
            <w:tcW w:w="8080" w:type="dxa"/>
            <w:vAlign w:val="bottom"/>
          </w:tcPr>
          <w:p>
            <w:pPr>
              <w:ind w:left="460"/>
              <w:spacing w:after="0"/>
              <w:rPr>
                <w:sz w:val="20"/>
                <w:szCs w:val="20"/>
                <w:color w:val="auto"/>
              </w:rPr>
            </w:pPr>
            <w:r>
              <w:rPr>
                <w:rFonts w:ascii="Arial" w:cs="Arial" w:eastAsia="Arial" w:hAnsi="Arial"/>
                <w:sz w:val="17"/>
                <w:szCs w:val="17"/>
                <w:color w:val="auto"/>
              </w:rPr>
              <w:t>Accretion of discounts on investments</w:t>
            </w:r>
          </w:p>
        </w:tc>
        <w:tc>
          <w:tcPr>
            <w:tcW w:w="9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(261)</w:t>
            </w:r>
          </w:p>
        </w:tc>
      </w:tr>
      <w:tr>
        <w:trPr>
          <w:trHeight w:val="211"/>
        </w:trPr>
        <w:tc>
          <w:tcPr>
            <w:tcW w:w="80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Stock-based compensation expense</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3,688</w:t>
            </w:r>
          </w:p>
        </w:tc>
        <w:tc>
          <w:tcPr>
            <w:tcW w:w="100" w:type="dxa"/>
            <w:vAlign w:val="bottom"/>
            <w:shd w:val="clear" w:color="auto" w:fill="CFF0FC"/>
          </w:tcPr>
          <w:p>
            <w:pPr>
              <w:spacing w:after="0"/>
              <w:rPr>
                <w:sz w:val="18"/>
                <w:szCs w:val="18"/>
                <w:color w:val="auto"/>
              </w:rPr>
            </w:pPr>
          </w:p>
        </w:tc>
      </w:tr>
      <w:tr>
        <w:trPr>
          <w:trHeight w:val="211"/>
        </w:trPr>
        <w:tc>
          <w:tcPr>
            <w:tcW w:w="8080" w:type="dxa"/>
            <w:vAlign w:val="bottom"/>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80" w:type="dxa"/>
            <w:vAlign w:val="bottom"/>
            <w:shd w:val="clear" w:color="auto" w:fill="CFF0FC"/>
          </w:tcPr>
          <w:p>
            <w:pPr>
              <w:ind w:left="680"/>
              <w:spacing w:after="0"/>
              <w:rPr>
                <w:sz w:val="20"/>
                <w:szCs w:val="20"/>
                <w:color w:val="auto"/>
              </w:rPr>
            </w:pPr>
            <w:r>
              <w:rPr>
                <w:rFonts w:ascii="Arial" w:cs="Arial" w:eastAsia="Arial" w:hAnsi="Arial"/>
                <w:sz w:val="17"/>
                <w:szCs w:val="17"/>
                <w:color w:val="auto"/>
              </w:rPr>
              <w:t>Accounts receivable</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10,058</w:t>
            </w:r>
          </w:p>
        </w:tc>
        <w:tc>
          <w:tcPr>
            <w:tcW w:w="100" w:type="dxa"/>
            <w:vAlign w:val="bottom"/>
            <w:shd w:val="clear" w:color="auto" w:fill="CFF0FC"/>
          </w:tcPr>
          <w:p>
            <w:pPr>
              <w:spacing w:after="0"/>
              <w:rPr>
                <w:sz w:val="18"/>
                <w:szCs w:val="18"/>
                <w:color w:val="auto"/>
              </w:rPr>
            </w:pPr>
          </w:p>
        </w:tc>
      </w:tr>
      <w:tr>
        <w:trPr>
          <w:trHeight w:val="211"/>
        </w:trPr>
        <w:tc>
          <w:tcPr>
            <w:tcW w:w="8080" w:type="dxa"/>
            <w:vAlign w:val="bottom"/>
          </w:tcPr>
          <w:p>
            <w:pPr>
              <w:ind w:left="680"/>
              <w:spacing w:after="0"/>
              <w:rPr>
                <w:sz w:val="20"/>
                <w:szCs w:val="20"/>
                <w:color w:val="auto"/>
              </w:rPr>
            </w:pPr>
            <w:r>
              <w:rPr>
                <w:rFonts w:ascii="Arial" w:cs="Arial" w:eastAsia="Arial" w:hAnsi="Arial"/>
                <w:sz w:val="17"/>
                <w:szCs w:val="17"/>
                <w:color w:val="auto"/>
              </w:rPr>
              <w:t>Prepaid expenses and other current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(1,122)</w:t>
            </w:r>
          </w:p>
        </w:tc>
      </w:tr>
      <w:tr>
        <w:trPr>
          <w:trHeight w:val="211"/>
        </w:trPr>
        <w:tc>
          <w:tcPr>
            <w:tcW w:w="8080" w:type="dxa"/>
            <w:vAlign w:val="bottom"/>
            <w:shd w:val="clear" w:color="auto" w:fill="CFF0FC"/>
          </w:tcPr>
          <w:p>
            <w:pPr>
              <w:ind w:left="680"/>
              <w:spacing w:after="0"/>
              <w:rPr>
                <w:sz w:val="20"/>
                <w:szCs w:val="20"/>
                <w:color w:val="auto"/>
              </w:rPr>
            </w:pPr>
            <w:r>
              <w:rPr>
                <w:rFonts w:ascii="Arial" w:cs="Arial" w:eastAsia="Arial" w:hAnsi="Arial"/>
                <w:sz w:val="17"/>
                <w:szCs w:val="17"/>
                <w:color w:val="auto"/>
              </w:rPr>
              <w:t>Other assets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w:t>
            </w:r>
          </w:p>
        </w:tc>
      </w:tr>
      <w:tr>
        <w:trPr>
          <w:trHeight w:val="211"/>
        </w:trPr>
        <w:tc>
          <w:tcPr>
            <w:tcW w:w="808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1,115</w:t>
            </w:r>
          </w:p>
        </w:tc>
        <w:tc>
          <w:tcPr>
            <w:tcW w:w="100" w:type="dxa"/>
            <w:vAlign w:val="bottom"/>
          </w:tcPr>
          <w:p>
            <w:pPr>
              <w:spacing w:after="0"/>
              <w:rPr>
                <w:sz w:val="18"/>
                <w:szCs w:val="18"/>
                <w:color w:val="auto"/>
              </w:rPr>
            </w:pPr>
          </w:p>
        </w:tc>
      </w:tr>
      <w:tr>
        <w:trPr>
          <w:trHeight w:val="211"/>
        </w:trPr>
        <w:tc>
          <w:tcPr>
            <w:tcW w:w="8080" w:type="dxa"/>
            <w:vAlign w:val="bottom"/>
            <w:shd w:val="clear" w:color="auto" w:fill="CFF0FC"/>
          </w:tcPr>
          <w:p>
            <w:pPr>
              <w:ind w:left="680"/>
              <w:spacing w:after="0"/>
              <w:rPr>
                <w:sz w:val="20"/>
                <w:szCs w:val="20"/>
                <w:color w:val="auto"/>
              </w:rPr>
            </w:pPr>
            <w:r>
              <w:rPr>
                <w:rFonts w:ascii="Arial" w:cs="Arial" w:eastAsia="Arial" w:hAnsi="Arial"/>
                <w:sz w:val="17"/>
                <w:szCs w:val="17"/>
                <w:color w:val="auto"/>
              </w:rPr>
              <w:t>Accrued liabilities, income tax payable and other long-term liabilities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(6,605)</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FF0FC"/>
          </w:tcPr>
          <w:p>
            <w:pPr>
              <w:spacing w:after="0"/>
              <w:rPr>
                <w:sz w:val="18"/>
                <w:szCs w:val="18"/>
                <w:color w:val="auto"/>
              </w:rPr>
            </w:pPr>
          </w:p>
        </w:tc>
      </w:tr>
      <w:tr>
        <w:trPr>
          <w:trHeight w:val="211"/>
        </w:trPr>
        <w:tc>
          <w:tcPr>
            <w:tcW w:w="8080" w:type="dxa"/>
            <w:vAlign w:val="bottom"/>
          </w:tcPr>
          <w:p>
            <w:pPr>
              <w:ind w:left="680"/>
              <w:spacing w:after="0"/>
              <w:rPr>
                <w:sz w:val="20"/>
                <w:szCs w:val="20"/>
                <w:color w:val="auto"/>
              </w:rPr>
            </w:pPr>
            <w:r>
              <w:rPr>
                <w:rFonts w:ascii="Arial" w:cs="Arial" w:eastAsia="Arial" w:hAnsi="Arial"/>
                <w:sz w:val="17"/>
                <w:szCs w:val="17"/>
                <w:color w:val="auto"/>
              </w:rPr>
              <w:t>Deferred revenue</w:t>
            </w:r>
          </w:p>
        </w:tc>
        <w:tc>
          <w:tcPr>
            <w:tcW w:w="9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(29,461)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(14,134)</w:t>
            </w:r>
          </w:p>
        </w:tc>
      </w:tr>
      <w:tr>
        <w:trPr>
          <w:trHeight w:val="204"/>
        </w:trPr>
        <w:tc>
          <w:tcPr>
            <w:tcW w:w="808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7"/>
                <w:szCs w:val="17"/>
                <w:color w:val="auto"/>
              </w:rPr>
              <w:t>Net cash used in operating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8"/>
              </w:rPr>
              <w:t>(39,029)</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(14,612)</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Purchases of property and equipment</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(751)</w:t>
            </w:r>
          </w:p>
        </w:tc>
      </w:tr>
      <w:tr>
        <w:trPr>
          <w:trHeight w:val="211"/>
        </w:trPr>
        <w:tc>
          <w:tcPr>
            <w:tcW w:w="8080" w:type="dxa"/>
            <w:vAlign w:val="bottom"/>
          </w:tcPr>
          <w:p>
            <w:pPr>
              <w:ind w:left="220"/>
              <w:spacing w:after="0"/>
              <w:rPr>
                <w:sz w:val="20"/>
                <w:szCs w:val="20"/>
                <w:color w:val="auto"/>
              </w:rPr>
            </w:pPr>
            <w:r>
              <w:rPr>
                <w:rFonts w:ascii="Arial" w:cs="Arial" w:eastAsia="Arial" w:hAnsi="Arial"/>
                <w:sz w:val="17"/>
                <w:szCs w:val="17"/>
                <w:color w:val="auto"/>
              </w:rPr>
              <w:t>Purchases of short-term investments</w:t>
            </w:r>
          </w:p>
        </w:tc>
        <w:tc>
          <w:tcPr>
            <w:tcW w:w="9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(62,317)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(48,132)</w:t>
            </w:r>
          </w:p>
        </w:tc>
      </w:tr>
      <w:tr>
        <w:trPr>
          <w:trHeight w:val="211"/>
        </w:trPr>
        <w:tc>
          <w:tcPr>
            <w:tcW w:w="8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Maturities of short-term investments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45,546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25,500</w:t>
            </w:r>
          </w:p>
        </w:tc>
        <w:tc>
          <w:tcPr>
            <w:tcW w:w="100" w:type="dxa"/>
            <w:vAlign w:val="bottom"/>
            <w:shd w:val="clear" w:color="auto" w:fill="CFF0FC"/>
          </w:tcPr>
          <w:p>
            <w:pPr>
              <w:spacing w:after="0"/>
              <w:rPr>
                <w:sz w:val="18"/>
                <w:szCs w:val="18"/>
                <w:color w:val="auto"/>
              </w:rPr>
            </w:pPr>
          </w:p>
        </w:tc>
      </w:tr>
      <w:tr>
        <w:trPr>
          <w:trHeight w:val="204"/>
        </w:trPr>
        <w:tc>
          <w:tcPr>
            <w:tcW w:w="8080" w:type="dxa"/>
            <w:vAlign w:val="bottom"/>
            <w:tcBorders>
              <w:bottom w:val="single" w:sz="8" w:color="CFF0FC"/>
            </w:tcBorders>
          </w:tcPr>
          <w:p>
            <w:pPr>
              <w:ind w:left="680"/>
              <w:spacing w:after="0"/>
              <w:rPr>
                <w:sz w:val="20"/>
                <w:szCs w:val="20"/>
                <w:color w:val="auto"/>
              </w:rPr>
            </w:pPr>
            <w:r>
              <w:rPr>
                <w:rFonts w:ascii="Arial" w:cs="Arial" w:eastAsia="Arial" w:hAnsi="Arial"/>
                <w:sz w:val="17"/>
                <w:szCs w:val="17"/>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(18,606)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(23,383)</w:t>
            </w:r>
          </w:p>
        </w:tc>
        <w:tc>
          <w:tcPr>
            <w:tcW w:w="100" w:type="dxa"/>
            <w:vAlign w:val="bottom"/>
            <w:tcBorders>
              <w:bottom w:val="single" w:sz="8" w:color="CFF0FC"/>
            </w:tcBorders>
          </w:tcPr>
          <w:p>
            <w:pPr>
              <w:spacing w:after="0"/>
              <w:rPr>
                <w:sz w:val="17"/>
                <w:szCs w:val="17"/>
                <w:color w:val="auto"/>
              </w:rPr>
            </w:pPr>
          </w:p>
        </w:tc>
      </w:tr>
      <w:tr>
        <w:trPr>
          <w:trHeight w:val="204"/>
        </w:trPr>
        <w:tc>
          <w:tcPr>
            <w:tcW w:w="8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80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w:t>
            </w:r>
          </w:p>
        </w:tc>
        <w:tc>
          <w:tcPr>
            <w:tcW w:w="100" w:type="dxa"/>
            <w:vAlign w:val="bottom"/>
            <w:tcBorders>
              <w:bottom w:val="single" w:sz="8" w:color="CFF0FC"/>
            </w:tcBorders>
          </w:tcPr>
          <w:p>
            <w:pPr>
              <w:spacing w:after="0"/>
              <w:rPr>
                <w:sz w:val="18"/>
                <w:szCs w:val="18"/>
                <w:color w:val="auto"/>
              </w:rPr>
            </w:pPr>
          </w:p>
        </w:tc>
      </w:tr>
      <w:tr>
        <w:trPr>
          <w:trHeight w:val="204"/>
        </w:trPr>
        <w:tc>
          <w:tcPr>
            <w:tcW w:w="8080" w:type="dxa"/>
            <w:vAlign w:val="bottom"/>
            <w:shd w:val="clear" w:color="auto" w:fill="CFF0FC"/>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2,602</w:t>
            </w:r>
          </w:p>
        </w:tc>
        <w:tc>
          <w:tcPr>
            <w:tcW w:w="100" w:type="dxa"/>
            <w:vAlign w:val="bottom"/>
            <w:shd w:val="clear" w:color="auto" w:fill="CFF0FC"/>
          </w:tcPr>
          <w:p>
            <w:pPr>
              <w:spacing w:after="0"/>
              <w:rPr>
                <w:sz w:val="17"/>
                <w:szCs w:val="17"/>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7"/>
                <w:szCs w:val="17"/>
                <w:color w:val="auto"/>
              </w:rPr>
              <w:t>Net decrease in cash, cash equivalents and restricted cash</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8"/>
              </w:rPr>
              <w:t>(57,170)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(35,393)</w:t>
            </w:r>
          </w:p>
        </w:tc>
        <w:tc>
          <w:tcPr>
            <w:tcW w:w="100" w:type="dxa"/>
            <w:vAlign w:val="bottom"/>
          </w:tcPr>
          <w:p>
            <w:pPr>
              <w:spacing w:after="0"/>
              <w:rPr>
                <w:sz w:val="17"/>
                <w:szCs w:val="17"/>
                <w:color w:val="auto"/>
              </w:rPr>
            </w:pPr>
          </w:p>
        </w:tc>
      </w:tr>
      <w:tr>
        <w:trPr>
          <w:trHeight w:val="211"/>
        </w:trPr>
        <w:tc>
          <w:tcPr>
            <w:tcW w:w="808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248,494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178,465</w:t>
            </w:r>
          </w:p>
        </w:tc>
        <w:tc>
          <w:tcPr>
            <w:tcW w:w="100" w:type="dxa"/>
            <w:vAlign w:val="bottom"/>
            <w:shd w:val="clear" w:color="auto" w:fill="CFF0FC"/>
          </w:tcPr>
          <w:p>
            <w:pPr>
              <w:spacing w:after="0"/>
              <w:rPr>
                <w:sz w:val="18"/>
                <w:szCs w:val="18"/>
                <w:color w:val="auto"/>
              </w:rPr>
            </w:pPr>
          </w:p>
        </w:tc>
      </w:tr>
      <w:tr>
        <w:trPr>
          <w:trHeight w:val="244"/>
        </w:trPr>
        <w:tc>
          <w:tcPr>
            <w:tcW w:w="8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90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191,324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143,072</w:t>
            </w:r>
          </w:p>
        </w:tc>
        <w:tc>
          <w:tcPr>
            <w:tcW w:w="100" w:type="dxa"/>
            <w:vAlign w:val="bottom"/>
            <w:tcBorders>
              <w:bottom w:val="single" w:sz="8" w:color="CFF0FC"/>
            </w:tcBorders>
          </w:tcPr>
          <w:p>
            <w:pPr>
              <w:spacing w:after="0"/>
              <w:rPr>
                <w:sz w:val="21"/>
                <w:szCs w:val="21"/>
                <w:color w:val="auto"/>
              </w:rPr>
            </w:pPr>
          </w:p>
        </w:tc>
      </w:tr>
      <w:tr>
        <w:trPr>
          <w:trHeight w:val="188"/>
        </w:trPr>
        <w:tc>
          <w:tcPr>
            <w:tcW w:w="80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7"/>
                <w:szCs w:val="17"/>
                <w:b w:val="1"/>
                <w:bCs w:val="1"/>
                <w:color w:val="auto"/>
              </w:rPr>
              <w:t>Supplemental disclosures of noncash investing and financing items: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Purchases of property and equipment in accounts payable and accrued liabilities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7"/>
          <w:szCs w:val="17"/>
          <w:b w:val="1"/>
          <w:bCs w:val="1"/>
          <w:color w:val="auto"/>
        </w:rPr>
        <w:t>CytomX Therapeutics,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07"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03" w:lineRule="exact"/>
        <w:rPr>
          <w:sz w:val="20"/>
          <w:szCs w:val="20"/>
          <w:color w:val="auto"/>
        </w:rPr>
      </w:pPr>
    </w:p>
    <w:p>
      <w:pPr>
        <w:jc w:val="both"/>
        <w:ind w:right="200"/>
        <w:spacing w:after="0" w:line="253" w:lineRule="auto"/>
        <w:rPr>
          <w:sz w:val="20"/>
          <w:szCs w:val="20"/>
          <w:color w:val="auto"/>
        </w:rPr>
      </w:pPr>
      <w:r>
        <w:rPr>
          <w:rFonts w:ascii="Arial" w:cs="Arial" w:eastAsia="Arial" w:hAnsi="Arial"/>
          <w:sz w:val="17"/>
          <w:szCs w:val="17"/>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21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condensed balance sheet data as of December 31, 2018 was derived from audited financial statements, but does not include all disclosures required by U.S. GAAP. The condensed results of operations for the three months ended March 31, 2019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2018 filed with the SEC.</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3"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represents a standby letter of credit issued pursuant to an office lease entered in December 2015.</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 2019</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w w:val="90"/>
              </w:rPr>
              <w:t>December 31, 2018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41"/>
              <w:spacing w:after="0"/>
              <w:rPr>
                <w:sz w:val="20"/>
                <w:szCs w:val="20"/>
                <w:color w:val="auto"/>
              </w:rPr>
            </w:pPr>
            <w:r>
              <w:rPr>
                <w:rFonts w:ascii="Arial" w:cs="Arial" w:eastAsia="Arial" w:hAnsi="Arial"/>
                <w:sz w:val="13"/>
                <w:szCs w:val="13"/>
                <w:b w:val="1"/>
                <w:bCs w:val="1"/>
                <w:color w:val="auto"/>
                <w:w w:val="95"/>
              </w:rPr>
              <w:t>March 31, 2018</w:t>
            </w:r>
          </w:p>
        </w:tc>
        <w:tc>
          <w:tcPr>
            <w:tcW w:w="320" w:type="dxa"/>
            <w:vAlign w:val="bottom"/>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661"/>
              <w:spacing w:after="0" w:line="142" w:lineRule="exact"/>
              <w:rPr>
                <w:sz w:val="20"/>
                <w:szCs w:val="20"/>
                <w:color w:val="auto"/>
              </w:rPr>
            </w:pPr>
            <w:r>
              <w:rPr>
                <w:rFonts w:ascii="Arial" w:cs="Arial" w:eastAsia="Arial" w:hAnsi="Arial"/>
                <w:sz w:val="13"/>
                <w:szCs w:val="13"/>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0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34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190,407</w:t>
            </w: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247,577</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142,155</w:t>
            </w:r>
          </w:p>
        </w:tc>
        <w:tc>
          <w:tcPr>
            <w:tcW w:w="660" w:type="dxa"/>
            <w:vAlign w:val="bottom"/>
            <w:gridSpan w:val="2"/>
          </w:tcPr>
          <w:p>
            <w:pPr>
              <w:jc w:val="right"/>
              <w:ind w:right="191"/>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177,548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 - non-current assets</w:t>
            </w:r>
          </w:p>
        </w:tc>
        <w:tc>
          <w:tcPr>
            <w:tcW w:w="2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3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3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Arial" w:cs="Arial" w:eastAsia="Arial" w:hAnsi="Arial"/>
                <w:sz w:val="17"/>
                <w:szCs w:val="17"/>
                <w:color w:val="auto"/>
              </w:rPr>
              <w:t>Total</w:t>
            </w:r>
          </w:p>
        </w:tc>
        <w:tc>
          <w:tcPr>
            <w:tcW w:w="2120" w:type="dxa"/>
            <w:vAlign w:val="bottom"/>
          </w:tcPr>
          <w:p>
            <w:pPr>
              <w:spacing w:after="0"/>
              <w:rPr>
                <w:sz w:val="17"/>
                <w:szCs w:val="17"/>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248,494</w:t>
            </w:r>
          </w:p>
        </w:tc>
        <w:tc>
          <w:tcPr>
            <w:tcW w:w="3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143,072</w:t>
            </w:r>
          </w:p>
        </w:tc>
        <w:tc>
          <w:tcPr>
            <w:tcW w:w="320" w:type="dxa"/>
            <w:vAlign w:val="bottom"/>
          </w:tcPr>
          <w:p>
            <w:pPr>
              <w:spacing w:after="0"/>
              <w:rPr>
                <w:sz w:val="17"/>
                <w:szCs w:val="17"/>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178,465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vMerge w:val="restart"/>
          </w:tcPr>
          <w:p>
            <w:pPr>
              <w:jc w:val="right"/>
              <w:ind w:right="277"/>
              <w:spacing w:after="0"/>
              <w:rPr>
                <w:sz w:val="20"/>
                <w:szCs w:val="20"/>
                <w:color w:val="auto"/>
              </w:rPr>
            </w:pPr>
            <w:r>
              <w:rPr>
                <w:rFonts w:ascii="Arial" w:cs="Arial" w:eastAsia="Arial" w:hAnsi="Arial"/>
                <w:sz w:val="17"/>
                <w:szCs w:val="17"/>
                <w:color w:val="auto"/>
              </w:rPr>
              <w:t>9</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0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0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03" w:lineRule="exact"/>
        <w:rPr>
          <w:sz w:val="20"/>
          <w:szCs w:val="20"/>
          <w:color w:val="auto"/>
        </w:rPr>
      </w:pPr>
    </w:p>
    <w:p>
      <w:pPr>
        <w:ind w:right="80"/>
        <w:spacing w:after="0" w:line="371" w:lineRule="auto"/>
        <w:rPr>
          <w:sz w:val="20"/>
          <w:szCs w:val="20"/>
          <w:color w:val="auto"/>
        </w:rPr>
      </w:pPr>
      <w:r>
        <w:rPr>
          <w:rFonts w:ascii="Arial" w:cs="Arial" w:eastAsia="Arial" w:hAnsi="Arial"/>
          <w:sz w:val="14"/>
          <w:szCs w:val="14"/>
          <w:color w:val="auto"/>
        </w:rPr>
        <w:t>Comprehensive income (loss) represents all changes in stockholders’ equity except those resulting from distributions to stockholders. The Company’s unrealized gains and losses on short-term investments represent the only component of other comprehensive income (loss) that is excluded from the reported net loss.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0"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380"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related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244"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certain cases, the Company’s performance creates an asset that does not have an alternative use to the Company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5" w:lineRule="exact"/>
        <w:rPr>
          <w:sz w:val="20"/>
          <w:szCs w:val="20"/>
          <w:color w:val="auto"/>
        </w:rPr>
      </w:pPr>
    </w:p>
    <w:p>
      <w:pPr>
        <w:ind w:right="500"/>
        <w:spacing w:after="0" w:line="253" w:lineRule="auto"/>
        <w:rPr>
          <w:sz w:val="20"/>
          <w:szCs w:val="20"/>
          <w:color w:val="auto"/>
        </w:rPr>
      </w:pPr>
      <w:r>
        <w:rPr>
          <w:rFonts w:ascii="Arial" w:cs="Arial" w:eastAsia="Arial" w:hAnsi="Arial"/>
          <w:sz w:val="17"/>
          <w:szCs w:val="17"/>
          <w:color w:val="auto"/>
        </w:rPr>
        <w:t>Customer payments are recorded as deferred revenue upon receipt or when due and may require deferral of revenue recognition to a future period until the Company satisfies its performance obligations under the arrangements. Amounts payable to the Company are recorded as accounts receivable when the Company’s right to consideration is unconditional.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7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79"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January, 2019, the Company acquired certain technology know-how that is complementary to the Company’s proprietary Probody technology, for $5.0 million. This technology will be utilized with certain of the Company’s discovery stage projects, and accordingly the $5.0 million is recorded as research and development expense for the three months ended March 31, 2019.</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204"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Company estimates the fair value of its stock-based awards using the Black-Scholes option-pricing model, which requires the input of assumptions. The assumptions are as follows:</w:t>
      </w:r>
    </w:p>
    <w:p>
      <w:pPr>
        <w:spacing w:after="0" w:line="81" w:lineRule="exact"/>
        <w:rPr>
          <w:sz w:val="20"/>
          <w:szCs w:val="20"/>
          <w:color w:val="auto"/>
        </w:rPr>
      </w:pPr>
    </w:p>
    <w:p>
      <w:pPr>
        <w:ind w:left="1020" w:right="220" w:hanging="511"/>
        <w:spacing w:after="0" w:line="370"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The expected term of stock options represents the period that the stock options are expected to remain outstanding and is based on vesting</w:t>
      </w:r>
      <w:r>
        <w:rPr>
          <w:rFonts w:ascii="Arial" w:cs="Arial" w:eastAsia="Arial" w:hAnsi="Arial"/>
          <w:sz w:val="14"/>
          <w:szCs w:val="14"/>
          <w:i w:val="1"/>
          <w:iCs w:val="1"/>
          <w:color w:val="auto"/>
        </w:rPr>
        <w:t xml:space="preserve"> </w:t>
      </w:r>
      <w:r>
        <w:rPr>
          <w:rFonts w:ascii="Arial" w:cs="Arial" w:eastAsia="Arial" w:hAnsi="Arial"/>
          <w:sz w:val="14"/>
          <w:szCs w:val="14"/>
          <w:color w:val="auto"/>
        </w:rPr>
        <w:t>terms, exercise term and contractual lives of the options. The expected term of the ESPP shares is equal to the six-month look-back period.</w:t>
      </w:r>
    </w:p>
    <w:p>
      <w:pPr>
        <w:ind w:left="1020" w:hanging="511"/>
        <w:spacing w:after="0" w:line="333"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The expected stock price volatility for the Company’s stock options was derived from the average historical volatilities of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w:t>
      </w:r>
    </w:p>
    <w:p>
      <w:pPr>
        <w:spacing w:after="0" w:line="25" w:lineRule="exact"/>
        <w:rPr>
          <w:rFonts w:ascii="Arial" w:cs="Arial" w:eastAsia="Arial" w:hAnsi="Arial"/>
          <w:sz w:val="14"/>
          <w:szCs w:val="14"/>
          <w:color w:val="auto"/>
        </w:rPr>
      </w:pPr>
    </w:p>
    <w:p>
      <w:pPr>
        <w:ind w:left="1020" w:right="500" w:hanging="511"/>
        <w:spacing w:after="0" w:line="26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whose term was consistent with expected term of the Company’s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w:t>
      </w:r>
    </w:p>
    <w:p>
      <w:pPr>
        <w:spacing w:after="0" w:line="68" w:lineRule="exact"/>
        <w:rPr>
          <w:rFonts w:ascii="Arial" w:cs="Arial" w:eastAsia="Arial" w:hAnsi="Arial"/>
          <w:sz w:val="17"/>
          <w:szCs w:val="17"/>
          <w:color w:val="auto"/>
        </w:rPr>
      </w:pPr>
    </w:p>
    <w:p>
      <w:pPr>
        <w:ind w:left="1020" w:right="220" w:hanging="511"/>
        <w:spacing w:after="0" w:line="26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 is assumed to be zero as the Company has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Leases</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Company’s operating lease arrangement includes lease and non-lease components which are generally accounted for separately. See Note 9, Leases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3238"/>
        </w:rPr>
        <w:t>Adopted Accounting Pronouncements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02"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 xml:space="preserve">The Company adopted the Accounting Standard Update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on January 1, 2019, using the modified retrospective approach. This new standard amends the guidance for the accounting and disclosure of leases and requires that lessees recognize on the balance sheet the assets and liabilities that arise from leases, including leases classified as operating leases under current GAAP, and disclose qualitative and quantitative information about leasing arrangements. In July 2018, the Financial Accounting Standard Board (“FASB”) further amended this standard to allow for a new transition method that provides the option to use the effective date as the date of initial application. The Company has elected such option and accordingly the comparative periods are not recast.</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The Company has also elected the package of practical expedients permitted under the new standard, or ASC 842. Accordingly, the Company continues to account for its existing operating leases as operating leases under the new guidance, without reassessing (a) whether the contracts contain a lease under ASC 842, (b) whether classification of the operating leases would be different in accordance with ASC 842, or (c) whether the unamortized initial direct costs before transition adjustments would have met the definition of initial direct costs in ASC 842 at lease commencement. In addition, the Company also elected the short-term lease practical expedients allowed under the standard. As a result of the adoption of ASC 842, the Company recorded a right-of-use asset of $28.0 million and a lease liability $30.1 million on January 1, 2019. This standard does not have material impact on the Company’s results of operations or cash flows. See Note 9, Leases.</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 xml:space="preserve">In March 2019, the FASB issued ASU No. 2019-01, </w:t>
      </w:r>
      <w:r>
        <w:rPr>
          <w:rFonts w:ascii="Arial" w:cs="Arial" w:eastAsia="Arial" w:hAnsi="Arial"/>
          <w:sz w:val="14"/>
          <w:szCs w:val="14"/>
          <w:i w:val="1"/>
          <w:iCs w:val="1"/>
          <w:color w:val="auto"/>
        </w:rPr>
        <w:t>Leases (Topic 842): Codification Improvements.</w:t>
      </w:r>
      <w:r>
        <w:rPr>
          <w:rFonts w:ascii="Arial" w:cs="Arial" w:eastAsia="Arial" w:hAnsi="Arial"/>
          <w:sz w:val="14"/>
          <w:szCs w:val="14"/>
          <w:color w:val="auto"/>
        </w:rPr>
        <w:t xml:space="preserve"> The amendments in this ASU provides clarifications to: 1) determination of the fair value of the underlying asset by lessors that are not manufacturers or dealers; 2) presentation on statement of cash flows for sales-type and direct financing leases specifically for lessors that are depository and lending institutions; 3) certain exceptions to the transition disclosures requirements related to Topic 250, Accounting Changes and Error Corrections upon adoption of Topic 842. The Company does not expect the transition guidance in (1) and (2) above to have a material impact on its financial statements. Also, the adoption of transition guidance (3) did not have a material impact on its current period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 of Certain Tax Effects</w:t>
      </w:r>
    </w:p>
    <w:p>
      <w:pPr>
        <w:spacing w:after="0" w:line="202"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 xml:space="preserve">In February 2018, the FASB issued ASU No. 2018-02, </w:t>
      </w:r>
      <w:r>
        <w:rPr>
          <w:rFonts w:ascii="Arial" w:cs="Arial" w:eastAsia="Arial" w:hAnsi="Arial"/>
          <w:sz w:val="14"/>
          <w:szCs w:val="14"/>
          <w:i w:val="1"/>
          <w:iCs w:val="1"/>
          <w:color w:val="auto"/>
        </w:rPr>
        <w:t>Income Statement - Reporting Comprehensive Income (Topic 220): Reclassification of Certain Tax Effects from</w:t>
      </w:r>
      <w:r>
        <w:rPr>
          <w:rFonts w:ascii="Arial" w:cs="Arial" w:eastAsia="Arial" w:hAnsi="Arial"/>
          <w:sz w:val="14"/>
          <w:szCs w:val="14"/>
          <w:color w:val="auto"/>
        </w:rPr>
        <w:t xml:space="preserve"> </w:t>
      </w:r>
      <w:r>
        <w:rPr>
          <w:rFonts w:ascii="Arial" w:cs="Arial" w:eastAsia="Arial" w:hAnsi="Arial"/>
          <w:sz w:val="14"/>
          <w:szCs w:val="14"/>
          <w:i w:val="1"/>
          <w:iCs w:val="1"/>
          <w:color w:val="auto"/>
        </w:rPr>
        <w:t>Accumulated Other Comprehensive Income</w:t>
      </w:r>
      <w:r>
        <w:rPr>
          <w:rFonts w:ascii="Arial" w:cs="Arial" w:eastAsia="Arial" w:hAnsi="Arial"/>
          <w:sz w:val="14"/>
          <w:szCs w:val="14"/>
          <w:color w:val="auto"/>
        </w:rPr>
        <w:t>. The amendments in this standard allows a reclassification from accumulated other comprehensive income to retained earnings</w:t>
      </w:r>
      <w:r>
        <w:rPr>
          <w:rFonts w:ascii="Arial" w:cs="Arial" w:eastAsia="Arial" w:hAnsi="Arial"/>
          <w:sz w:val="14"/>
          <w:szCs w:val="14"/>
          <w:i w:val="1"/>
          <w:iCs w:val="1"/>
          <w:color w:val="auto"/>
        </w:rPr>
        <w:t xml:space="preserve"> </w:t>
      </w:r>
      <w:r>
        <w:rPr>
          <w:rFonts w:ascii="Arial" w:cs="Arial" w:eastAsia="Arial" w:hAnsi="Arial"/>
          <w:sz w:val="14"/>
          <w:szCs w:val="14"/>
          <w:color w:val="auto"/>
        </w:rPr>
        <w:t>for stranded tax effects resulting from the Tax Cuts and Jobs Act. The Company adopted this standard on January 1, 2019. There was no material impact on its financial statement upon adoption of this ASU and the Company recorded an increase in other comprehensive income of $11,000 against its retained earnings upon the adoption.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Nonemployee Share-Based Payment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The amendments in this ASU expand the scope of Topic 718 to include share-based payment transactions for acquiring goods and services from nonemployees. The Company adopted this standard on January 1, 2019. There was no material impact on its financial statements upon the adoption of this ASU.</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64"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Instruments-Credit Losses (Topic 326): Measurement of Credit Losses on Financial Instruments</w:t>
      </w:r>
      <w:r>
        <w:rPr>
          <w:rFonts w:ascii="Arial" w:cs="Arial" w:eastAsia="Arial" w:hAnsi="Arial"/>
          <w:sz w:val="14"/>
          <w:szCs w:val="14"/>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is currently evaluating the impact of this new guidance.</w:t>
      </w:r>
    </w:p>
    <w:p>
      <w:pPr>
        <w:spacing w:after="0" w:line="17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is currently evaluating the impact of this new guidance.</w:t>
      </w:r>
    </w:p>
    <w:p>
      <w:pPr>
        <w:spacing w:after="0" w:line="244"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 xml:space="preserve">In August 2018, the FASB issued ASU No. 2018-13, </w:t>
      </w:r>
      <w:r>
        <w:rPr>
          <w:rFonts w:ascii="Arial" w:cs="Arial" w:eastAsia="Arial" w:hAnsi="Arial"/>
          <w:sz w:val="14"/>
          <w:szCs w:val="14"/>
          <w:i w:val="1"/>
          <w:iCs w:val="1"/>
          <w:color w:val="auto"/>
        </w:rPr>
        <w:t>Fair Value Measurement (Topic 820)</w:t>
      </w:r>
      <w:r>
        <w:rPr>
          <w:rFonts w:ascii="Arial" w:cs="Arial" w:eastAsia="Arial" w:hAnsi="Arial"/>
          <w:sz w:val="14"/>
          <w:szCs w:val="14"/>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An entity is permitted to early adopt any removed or modified disclosures upon issuance of this ASU and delay adoption of the additional disclosures until their effective date. The Company does not expect the adoption of this ASU will have a material impact on its financial statements.</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 Internal-Use Software (Subtopic 350-40)</w:t>
      </w:r>
      <w:r>
        <w:rPr>
          <w:rFonts w:ascii="Arial" w:cs="Arial" w:eastAsia="Arial" w:hAnsi="Arial"/>
          <w:sz w:val="16"/>
          <w:szCs w:val="16"/>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230"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 xml:space="preserve">In November 2018, the FASB issued ASU No. 2018-18, </w:t>
      </w:r>
      <w:r>
        <w:rPr>
          <w:rFonts w:ascii="Arial" w:cs="Arial" w:eastAsia="Arial" w:hAnsi="Arial"/>
          <w:sz w:val="14"/>
          <w:szCs w:val="14"/>
          <w:i w:val="1"/>
          <w:iCs w:val="1"/>
          <w:color w:val="auto"/>
        </w:rPr>
        <w:t>Collaborative Arrangements (Topic 808): Clarifying the interaction between Topic 808 and Topic 606</w:t>
      </w:r>
      <w:r>
        <w:rPr>
          <w:rFonts w:ascii="Arial" w:cs="Arial" w:eastAsia="Arial" w:hAnsi="Arial"/>
          <w:sz w:val="14"/>
          <w:szCs w:val="14"/>
          <w:color w:val="auto"/>
        </w:rPr>
        <w:t>. The amendments in this ASU targeted improvements to generally accepted accounting principles for collaborative arrangements by clarifying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 606. The ASU is effective for the Company on January 1, 2020, and interim periods within those fiscal years. Early adoption is permitted. The Company is currently evaluating the impact of this new guidance.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for the period. Diluted net loss per share attributable to common stockholders is calculated using the weighted-average number of common shares outstanding, plus potential dilutive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3" w:name="page14"/>
    <w:bookmarkEnd w:id="13"/>
    <w:p>
      <w:pPr>
        <w:ind w:right="40"/>
        <w:spacing w:after="0" w:line="263" w:lineRule="auto"/>
        <w:rPr>
          <w:sz w:val="20"/>
          <w:szCs w:val="20"/>
          <w:color w:val="auto"/>
        </w:rPr>
      </w:pPr>
      <w:r>
        <w:rPr>
          <w:rFonts w:ascii="Arial" w:cs="Arial" w:eastAsia="Arial" w:hAnsi="Arial"/>
          <w:sz w:val="17"/>
          <w:szCs w:val="17"/>
          <w:color w:val="auto"/>
        </w:rPr>
        <w:t>common stock during the period. Diluted net loss per share attributable to common stockholders is the same as basic net loss per share attributable to common stockholders since the effect of the potentially dilutive securities is anti-dilutive.</w:t>
      </w:r>
    </w:p>
    <w:p>
      <w:pPr>
        <w:spacing w:after="0" w:line="69"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7080" w:type="dxa"/>
            <w:vAlign w:val="bottom"/>
          </w:tcPr>
          <w:p>
            <w:pPr>
              <w:spacing w:after="0"/>
              <w:rPr>
                <w:sz w:val="13"/>
                <w:szCs w:val="13"/>
                <w:color w:val="auto"/>
              </w:rPr>
            </w:pPr>
          </w:p>
        </w:tc>
        <w:tc>
          <w:tcPr>
            <w:tcW w:w="2200" w:type="dxa"/>
            <w:vAlign w:val="bottom"/>
            <w:gridSpan w:val="3"/>
          </w:tcPr>
          <w:p>
            <w:pPr>
              <w:jc w:val="center"/>
              <w:ind w:left="807"/>
              <w:spacing w:after="0"/>
              <w:rPr>
                <w:sz w:val="20"/>
                <w:szCs w:val="20"/>
                <w:color w:val="auto"/>
              </w:rPr>
            </w:pPr>
            <w:r>
              <w:rPr>
                <w:rFonts w:ascii="Arial" w:cs="Arial" w:eastAsia="Arial" w:hAnsi="Arial"/>
                <w:sz w:val="13"/>
                <w:szCs w:val="13"/>
                <w:b w:val="1"/>
                <w:bCs w:val="1"/>
                <w:color w:val="auto"/>
                <w:w w:val="93"/>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80" w:type="dxa"/>
            <w:vAlign w:val="bottom"/>
          </w:tcPr>
          <w:p>
            <w:pPr>
              <w:spacing w:after="0"/>
              <w:rPr>
                <w:sz w:val="13"/>
                <w:szCs w:val="13"/>
                <w:color w:val="auto"/>
              </w:rPr>
            </w:pPr>
          </w:p>
        </w:tc>
        <w:tc>
          <w:tcPr>
            <w:tcW w:w="2200" w:type="dxa"/>
            <w:vAlign w:val="bottom"/>
            <w:tcBorders>
              <w:bottom w:val="single" w:sz="8" w:color="auto"/>
            </w:tcBorders>
            <w:gridSpan w:val="3"/>
          </w:tcPr>
          <w:p>
            <w:pPr>
              <w:jc w:val="center"/>
              <w:ind w:left="827"/>
              <w:spacing w:after="0"/>
              <w:rPr>
                <w:sz w:val="20"/>
                <w:szCs w:val="20"/>
                <w:color w:val="auto"/>
              </w:rPr>
            </w:pPr>
            <w:r>
              <w:rPr>
                <w:rFonts w:ascii="Arial" w:cs="Arial" w:eastAsia="Arial" w:hAnsi="Arial"/>
                <w:sz w:val="13"/>
                <w:szCs w:val="13"/>
                <w:b w:val="1"/>
                <w:bCs w:val="1"/>
                <w:color w:val="auto"/>
                <w:w w:val="96"/>
              </w:rPr>
              <w:t>March 31,</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08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right"/>
              <w:ind w:right="507"/>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3"/>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4"/>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Options to purchase common stock</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8,962,799</w:t>
            </w:r>
          </w:p>
        </w:tc>
        <w:tc>
          <w:tcPr>
            <w:tcW w:w="26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7,199,679</w:t>
            </w:r>
          </w:p>
        </w:tc>
        <w:tc>
          <w:tcPr>
            <w:tcW w:w="100" w:type="dxa"/>
            <w:vAlign w:val="bottom"/>
            <w:shd w:val="clear" w:color="auto" w:fill="CFF0FC"/>
          </w:tcPr>
          <w:p>
            <w:pPr>
              <w:spacing w:after="0"/>
              <w:rPr>
                <w:sz w:val="17"/>
                <w:szCs w:val="17"/>
                <w:color w:val="auto"/>
              </w:rPr>
            </w:pPr>
          </w:p>
        </w:tc>
      </w:tr>
      <w:tr>
        <w:trPr>
          <w:trHeight w:val="204"/>
        </w:trPr>
        <w:tc>
          <w:tcPr>
            <w:tcW w:w="7080" w:type="dxa"/>
            <w:vAlign w:val="bottom"/>
          </w:tcPr>
          <w:p>
            <w:pPr>
              <w:ind w:left="22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8,962,799</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7,199,679</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 and Short-Term Investments</w:t>
      </w:r>
    </w:p>
    <w:p>
      <w:pPr>
        <w:spacing w:after="0" w:line="107" w:lineRule="exact"/>
        <w:rPr>
          <w:sz w:val="20"/>
          <w:szCs w:val="20"/>
          <w:color w:val="auto"/>
        </w:rPr>
      </w:pPr>
    </w:p>
    <w:p>
      <w:pPr>
        <w:ind w:right="80"/>
        <w:spacing w:after="0" w:line="370" w:lineRule="auto"/>
        <w:rPr>
          <w:sz w:val="20"/>
          <w:szCs w:val="20"/>
          <w:color w:val="auto"/>
        </w:rPr>
      </w:pPr>
      <w:r>
        <w:rPr>
          <w:rFonts w:ascii="Arial" w:cs="Arial" w:eastAsia="Arial" w:hAnsi="Arial"/>
          <w:sz w:val="14"/>
          <w:szCs w:val="14"/>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1" w:lineRule="exact"/>
        <w:rPr>
          <w:sz w:val="20"/>
          <w:szCs w:val="20"/>
          <w:color w:val="auto"/>
        </w:rPr>
      </w:pPr>
    </w:p>
    <w:p>
      <w:pPr>
        <w:ind w:left="1020" w:hanging="511"/>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2" w:lineRule="exact"/>
        <w:rPr>
          <w:rFonts w:ascii="Arial" w:cs="Arial" w:eastAsia="Arial" w:hAnsi="Arial"/>
          <w:sz w:val="17"/>
          <w:szCs w:val="17"/>
          <w:color w:val="auto"/>
        </w:rPr>
      </w:pPr>
    </w:p>
    <w:p>
      <w:pPr>
        <w:ind w:left="1020" w:right="200" w:hanging="511"/>
        <w:spacing w:after="0" w:line="253"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7" w:lineRule="exact"/>
        <w:rPr>
          <w:rFonts w:ascii="Arial" w:cs="Arial" w:eastAsia="Arial" w:hAnsi="Arial"/>
          <w:sz w:val="17"/>
          <w:szCs w:val="17"/>
          <w:color w:val="auto"/>
        </w:rPr>
      </w:pPr>
    </w:p>
    <w:p>
      <w:pPr>
        <w:ind w:left="1020" w:hanging="511"/>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tables set forth the fair value of the Company’s short-term investments subject to fair value measurements on a recurring basis and the level of inputs used in such measurements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95"/>
              </w:rPr>
              <w:t>March 31, 2019</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85"/>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1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2"/>
              </w:rPr>
              <w:t>Valuation</w:t>
            </w:r>
          </w:p>
        </w:tc>
        <w:tc>
          <w:tcPr>
            <w:tcW w:w="160" w:type="dxa"/>
            <w:vAlign w:val="bottom"/>
          </w:tcPr>
          <w:p>
            <w:pPr>
              <w:spacing w:after="0"/>
              <w:rPr>
                <w:sz w:val="11"/>
                <w:szCs w:val="11"/>
                <w:color w:val="auto"/>
              </w:rPr>
            </w:pPr>
          </w:p>
        </w:tc>
        <w:tc>
          <w:tcPr>
            <w:tcW w:w="116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94"/>
              </w:rPr>
              <w:t>Amortized</w:t>
            </w:r>
          </w:p>
        </w:tc>
        <w:tc>
          <w:tcPr>
            <w:tcW w:w="120" w:type="dxa"/>
            <w:vAlign w:val="bottom"/>
          </w:tcPr>
          <w:p>
            <w:pPr>
              <w:spacing w:after="0"/>
              <w:rPr>
                <w:sz w:val="11"/>
                <w:szCs w:val="11"/>
                <w:color w:val="auto"/>
              </w:rPr>
            </w:pPr>
          </w:p>
        </w:tc>
        <w:tc>
          <w:tcPr>
            <w:tcW w:w="980" w:type="dxa"/>
            <w:vAlign w:val="bottom"/>
          </w:tcPr>
          <w:p>
            <w:pPr>
              <w:jc w:val="center"/>
              <w:ind w:right="46"/>
              <w:spacing w:after="0" w:line="137"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4"/>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100"/>
              <w:spacing w:after="0" w:line="137"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Hierarchy</w:t>
            </w: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3"/>
                <w:szCs w:val="13"/>
                <w:color w:val="auto"/>
              </w:rPr>
            </w:pPr>
          </w:p>
        </w:tc>
        <w:tc>
          <w:tcPr>
            <w:tcW w:w="980" w:type="dxa"/>
            <w:vAlign w:val="bottom"/>
          </w:tcPr>
          <w:p>
            <w:pPr>
              <w:jc w:val="center"/>
              <w:ind w:right="46"/>
              <w:spacing w:after="0"/>
              <w:rPr>
                <w:sz w:val="20"/>
                <w:szCs w:val="20"/>
                <w:color w:val="auto"/>
              </w:rPr>
            </w:pPr>
            <w:r>
              <w:rPr>
                <w:rFonts w:ascii="Arial" w:cs="Arial" w:eastAsia="Arial" w:hAnsi="Arial"/>
                <w:sz w:val="13"/>
                <w:szCs w:val="13"/>
                <w:b w:val="1"/>
                <w:bCs w:val="1"/>
                <w:color w:val="auto"/>
                <w:w w:val="92"/>
              </w:rPr>
              <w:t>Holding Gains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Holding Losses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90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9"/>
              </w:rPr>
              <w:t>(in thousands)</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Money market funds</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5"/>
              </w:rPr>
              <w:t>Level I</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175,738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tcPr>
          <w:p>
            <w:pPr>
              <w:ind w:left="100"/>
              <w:spacing w:after="0"/>
              <w:rPr>
                <w:sz w:val="20"/>
                <w:szCs w:val="20"/>
                <w:color w:val="auto"/>
              </w:rPr>
            </w:pPr>
            <w:r>
              <w:rPr>
                <w:rFonts w:ascii="Arial" w:cs="Arial" w:eastAsia="Arial" w:hAnsi="Arial"/>
                <w:sz w:val="17"/>
                <w:szCs w:val="17"/>
                <w:color w:val="auto"/>
              </w:rPr>
              <w:t>Restricted cash (money market funds)</w:t>
            </w:r>
          </w:p>
        </w:tc>
        <w:tc>
          <w:tcPr>
            <w:tcW w:w="11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Level I</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U.S. Government bonds</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5"/>
              </w:rPr>
              <w:t>Level I</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206,058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206,189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220"/>
              <w:spacing w:after="0"/>
              <w:rPr>
                <w:sz w:val="20"/>
                <w:szCs w:val="20"/>
                <w:color w:val="auto"/>
              </w:rPr>
            </w:pPr>
            <w:r>
              <w:rPr>
                <w:rFonts w:ascii="Arial" w:cs="Arial" w:eastAsia="Arial" w:hAnsi="Arial"/>
                <w:sz w:val="17"/>
                <w:szCs w:val="17"/>
                <w:color w:val="auto"/>
              </w:rPr>
              <w:t>Total</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382,713</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382,844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no securities have contractual maturities of longer than one year.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92"/>
              </w:rPr>
              <w:t>December 31, 2018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85"/>
              </w:rPr>
              <w:t>Gross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Valuation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440"/>
              <w:spacing w:after="0" w:line="137" w:lineRule="exact"/>
              <w:rPr>
                <w:sz w:val="20"/>
                <w:szCs w:val="20"/>
                <w:color w:val="auto"/>
              </w:rPr>
            </w:pPr>
            <w:r>
              <w:rPr>
                <w:rFonts w:ascii="Arial" w:cs="Arial" w:eastAsia="Arial" w:hAnsi="Arial"/>
                <w:sz w:val="13"/>
                <w:szCs w:val="13"/>
                <w:b w:val="1"/>
                <w:bCs w:val="1"/>
                <w:color w:val="auto"/>
                <w:w w:val="94"/>
              </w:rPr>
              <w:t>Amortized</w:t>
            </w:r>
          </w:p>
        </w:tc>
        <w:tc>
          <w:tcPr>
            <w:tcW w:w="120" w:type="dxa"/>
            <w:vAlign w:val="bottom"/>
          </w:tcPr>
          <w:p>
            <w:pPr>
              <w:spacing w:after="0"/>
              <w:rPr>
                <w:sz w:val="11"/>
                <w:szCs w:val="11"/>
                <w:color w:val="auto"/>
              </w:rPr>
            </w:pPr>
          </w:p>
        </w:tc>
        <w:tc>
          <w:tcPr>
            <w:tcW w:w="980" w:type="dxa"/>
            <w:vAlign w:val="bottom"/>
          </w:tcPr>
          <w:p>
            <w:pPr>
              <w:jc w:val="center"/>
              <w:ind w:right="46"/>
              <w:spacing w:after="0" w:line="137"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37" w:lineRule="exact"/>
              <w:rPr>
                <w:sz w:val="20"/>
                <w:szCs w:val="20"/>
                <w:color w:val="auto"/>
              </w:rPr>
            </w:pPr>
            <w:r>
              <w:rPr>
                <w:rFonts w:ascii="Arial" w:cs="Arial" w:eastAsia="Arial" w:hAnsi="Arial"/>
                <w:sz w:val="13"/>
                <w:szCs w:val="13"/>
                <w:b w:val="1"/>
                <w:bCs w:val="1"/>
                <w:color w:val="auto"/>
              </w:rPr>
              <w:t>Aggregate</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Hierarchy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3"/>
                <w:szCs w:val="13"/>
                <w:color w:val="auto"/>
              </w:rPr>
            </w:pPr>
          </w:p>
        </w:tc>
        <w:tc>
          <w:tcPr>
            <w:tcW w:w="980" w:type="dxa"/>
            <w:vAlign w:val="bottom"/>
          </w:tcPr>
          <w:p>
            <w:pPr>
              <w:jc w:val="center"/>
              <w:ind w:right="46"/>
              <w:spacing w:after="0"/>
              <w:rPr>
                <w:sz w:val="20"/>
                <w:szCs w:val="20"/>
                <w:color w:val="auto"/>
              </w:rPr>
            </w:pPr>
            <w:r>
              <w:rPr>
                <w:rFonts w:ascii="Arial" w:cs="Arial" w:eastAsia="Arial" w:hAnsi="Arial"/>
                <w:sz w:val="13"/>
                <w:szCs w:val="13"/>
                <w:b w:val="1"/>
                <w:bCs w:val="1"/>
                <w:color w:val="auto"/>
                <w:w w:val="92"/>
              </w:rPr>
              <w:t>Holding Gains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Holding Losses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Assets</w:t>
            </w: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8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Level I</w:t>
            </w:r>
          </w:p>
        </w:tc>
        <w:tc>
          <w:tcPr>
            <w:tcW w:w="32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226,979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226,979</w:t>
            </w:r>
          </w:p>
        </w:tc>
        <w:tc>
          <w:tcPr>
            <w:tcW w:w="12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7"/>
                <w:szCs w:val="17"/>
                <w:color w:val="auto"/>
              </w:rPr>
              <w:t>Restricted cash (money market funds)</w:t>
            </w:r>
          </w:p>
        </w:tc>
        <w:tc>
          <w:tcPr>
            <w:tcW w:w="1060" w:type="dxa"/>
            <w:vAlign w:val="bottom"/>
          </w:tcPr>
          <w:p>
            <w:pPr>
              <w:jc w:val="center"/>
              <w:spacing w:after="0"/>
              <w:rPr>
                <w:sz w:val="20"/>
                <w:szCs w:val="20"/>
                <w:color w:val="auto"/>
              </w:rPr>
            </w:pPr>
            <w:r>
              <w:rPr>
                <w:rFonts w:ascii="Arial" w:cs="Arial" w:eastAsia="Arial" w:hAnsi="Arial"/>
                <w:sz w:val="17"/>
                <w:szCs w:val="17"/>
                <w:color w:val="auto"/>
                <w:w w:val="95"/>
              </w:rPr>
              <w:t>Level I</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U.S. Government bonds</w:t>
            </w:r>
          </w:p>
        </w:tc>
        <w:tc>
          <w:tcPr>
            <w:tcW w:w="1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Level I</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188,616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188,550</w:t>
            </w:r>
          </w:p>
        </w:tc>
        <w:tc>
          <w:tcPr>
            <w:tcW w:w="12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7"/>
                <w:szCs w:val="17"/>
                <w:color w:val="auto"/>
              </w:rPr>
              <w:t>Total</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416,512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416,446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7"/>
                <w:szCs w:val="17"/>
                <w:color w:val="auto"/>
                <w:w w:val="84"/>
              </w:rPr>
              <w:t>14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425" w:right="1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5. Accrued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 (in thousands):</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03"/>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54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41"/>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4"/>
          </w:tcPr>
          <w:p>
            <w:pPr>
              <w:jc w:val="right"/>
              <w:ind w:right="741"/>
              <w:spacing w:after="0" w:line="142"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7"/>
                <w:szCs w:val="17"/>
                <w:color w:val="auto"/>
              </w:rPr>
              <w:t>Research and clinical expenses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14,613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18,520</w:t>
            </w:r>
          </w:p>
        </w:tc>
        <w:tc>
          <w:tcPr>
            <w:tcW w:w="80" w:type="dxa"/>
            <w:vAlign w:val="bottom"/>
          </w:tcPr>
          <w:p>
            <w:pPr>
              <w:spacing w:after="0"/>
              <w:rPr>
                <w:sz w:val="18"/>
                <w:szCs w:val="18"/>
                <w:color w:val="auto"/>
              </w:rPr>
            </w:pPr>
          </w:p>
        </w:tc>
      </w:tr>
      <w:tr>
        <w:trPr>
          <w:trHeight w:val="211"/>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Payroll and related expenses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6,585</w:t>
            </w:r>
          </w:p>
        </w:tc>
        <w:tc>
          <w:tcPr>
            <w:tcW w:w="80" w:type="dxa"/>
            <w:vAlign w:val="bottom"/>
            <w:shd w:val="clear" w:color="auto" w:fill="CFF0FC"/>
          </w:tcPr>
          <w:p>
            <w:pPr>
              <w:spacing w:after="0"/>
              <w:rPr>
                <w:sz w:val="18"/>
                <w:szCs w:val="18"/>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7"/>
                <w:szCs w:val="17"/>
                <w:color w:val="auto"/>
              </w:rPr>
              <w:t>Legal and professional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830</w:t>
            </w:r>
          </w:p>
        </w:tc>
        <w:tc>
          <w:tcPr>
            <w:tcW w:w="80" w:type="dxa"/>
            <w:vAlign w:val="bottom"/>
          </w:tcPr>
          <w:p>
            <w:pPr>
              <w:spacing w:after="0"/>
              <w:rPr>
                <w:sz w:val="18"/>
                <w:szCs w:val="18"/>
                <w:color w:val="auto"/>
              </w:rPr>
            </w:pPr>
          </w:p>
        </w:tc>
      </w:tr>
      <w:tr>
        <w:trPr>
          <w:trHeight w:val="211"/>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 - short term</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r>
      <w:tr>
        <w:trPr>
          <w:trHeight w:val="211"/>
        </w:trPr>
        <w:tc>
          <w:tcPr>
            <w:tcW w:w="5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80" w:type="dxa"/>
            <w:vAlign w:val="bottom"/>
            <w:tcBorders>
              <w:bottom w:val="single" w:sz="8" w:color="CFF0FC"/>
            </w:tcBorders>
          </w:tcPr>
          <w:p>
            <w:pPr>
              <w:spacing w:after="0"/>
              <w:rPr>
                <w:sz w:val="18"/>
                <w:szCs w:val="18"/>
                <w:color w:val="auto"/>
              </w:rPr>
            </w:pPr>
          </w:p>
        </w:tc>
      </w:tr>
      <w:tr>
        <w:trPr>
          <w:trHeight w:val="204"/>
        </w:trPr>
        <w:tc>
          <w:tcPr>
            <w:tcW w:w="5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22,567</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26,724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Research and Collaboration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revenue by collaboration partners:</w:t>
      </w:r>
    </w:p>
    <w:p>
      <w:pPr>
        <w:spacing w:after="0" w:line="207" w:lineRule="exact"/>
        <w:rPr>
          <w:sz w:val="20"/>
          <w:szCs w:val="20"/>
          <w:color w:val="auto"/>
        </w:rPr>
      </w:pPr>
    </w:p>
    <w:p>
      <w:pPr>
        <w:jc w:val="center"/>
        <w:ind w:left="5440"/>
        <w:spacing w:after="0"/>
        <w:rPr>
          <w:sz w:val="20"/>
          <w:szCs w:val="20"/>
          <w:color w:val="auto"/>
        </w:rPr>
      </w:pPr>
      <w:r>
        <w:rPr>
          <w:rFonts w:ascii="Arial" w:cs="Arial" w:eastAsia="Arial" w:hAnsi="Arial"/>
          <w:sz w:val="13"/>
          <w:szCs w:val="13"/>
          <w:b w:val="1"/>
          <w:bCs w:val="1"/>
          <w:color w:val="auto"/>
        </w:rPr>
        <w:t>Three Months Ended</w:t>
      </w:r>
    </w:p>
    <w:p>
      <w:pPr>
        <w:jc w:val="center"/>
        <w:ind w:left="5440"/>
        <w:spacing w:after="0" w:line="231" w:lineRule="auto"/>
        <w:rPr>
          <w:sz w:val="20"/>
          <w:szCs w:val="20"/>
          <w:color w:val="auto"/>
        </w:rPr>
      </w:pPr>
      <w:r>
        <w:rPr>
          <w:rFonts w:ascii="Arial" w:cs="Arial" w:eastAsia="Arial" w:hAnsi="Arial"/>
          <w:sz w:val="13"/>
          <w:szCs w:val="13"/>
          <w:b w:val="1"/>
          <w:bCs w:val="1"/>
          <w:color w:val="auto"/>
        </w:rPr>
        <w:t>March 31,</w:t>
      </w:r>
    </w:p>
    <w:tbl>
      <w:tblPr>
        <w:tblLayout w:type="fixed"/>
        <w:tblInd w:w="1720" w:type="dxa"/>
        <w:tblCellMar>
          <w:top w:w="0" w:type="dxa"/>
          <w:left w:w="0" w:type="dxa"/>
          <w:bottom w:w="0" w:type="dxa"/>
          <w:right w:w="0" w:type="dxa"/>
        </w:tblCellMar>
      </w:tblPr>
      <w:tr>
        <w:trPr>
          <w:trHeight w:val="142"/>
        </w:trPr>
        <w:tc>
          <w:tcPr>
            <w:tcW w:w="3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3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AbbVie</w:t>
            </w:r>
          </w:p>
        </w:tc>
        <w:tc>
          <w:tcPr>
            <w:tcW w:w="2480" w:type="dxa"/>
            <w:vAlign w:val="bottom"/>
            <w:gridSpan w:val="2"/>
            <w:shd w:val="clear" w:color="auto" w:fill="CFF0FC"/>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2,948</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2,671</w:t>
            </w:r>
          </w:p>
        </w:tc>
        <w:tc>
          <w:tcPr>
            <w:tcW w:w="80" w:type="dxa"/>
            <w:vAlign w:val="bottom"/>
            <w:shd w:val="clear" w:color="auto" w:fill="CFF0FC"/>
          </w:tcPr>
          <w:p>
            <w:pPr>
              <w:spacing w:after="0"/>
              <w:rPr>
                <w:sz w:val="18"/>
                <w:szCs w:val="18"/>
                <w:color w:val="auto"/>
              </w:rPr>
            </w:pPr>
          </w:p>
        </w:tc>
      </w:tr>
      <w:tr>
        <w:trPr>
          <w:trHeight w:val="211"/>
        </w:trPr>
        <w:tc>
          <w:tcPr>
            <w:tcW w:w="3280" w:type="dxa"/>
            <w:vAlign w:val="bottom"/>
          </w:tcPr>
          <w:p>
            <w:pPr>
              <w:ind w:left="220"/>
              <w:spacing w:after="0"/>
              <w:rPr>
                <w:sz w:val="20"/>
                <w:szCs w:val="20"/>
                <w:color w:val="auto"/>
              </w:rPr>
            </w:pPr>
            <w:r>
              <w:rPr>
                <w:rFonts w:ascii="Arial" w:cs="Arial" w:eastAsia="Arial" w:hAnsi="Arial"/>
                <w:sz w:val="17"/>
                <w:szCs w:val="17"/>
                <w:color w:val="auto"/>
              </w:rPr>
              <w:t>Amgen</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1,255</w:t>
            </w:r>
          </w:p>
        </w:tc>
        <w:tc>
          <w:tcPr>
            <w:tcW w:w="80" w:type="dxa"/>
            <w:vAlign w:val="bottom"/>
          </w:tcPr>
          <w:p>
            <w:pPr>
              <w:spacing w:after="0"/>
              <w:rPr>
                <w:sz w:val="18"/>
                <w:szCs w:val="18"/>
                <w:color w:val="auto"/>
              </w:rPr>
            </w:pPr>
          </w:p>
        </w:tc>
      </w:tr>
      <w:tr>
        <w:trPr>
          <w:trHeight w:val="211"/>
        </w:trPr>
        <w:tc>
          <w:tcPr>
            <w:tcW w:w="3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BMS</w:t>
            </w:r>
          </w:p>
        </w:tc>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25,502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8,168</w:t>
            </w:r>
          </w:p>
        </w:tc>
        <w:tc>
          <w:tcPr>
            <w:tcW w:w="80" w:type="dxa"/>
            <w:vAlign w:val="bottom"/>
            <w:shd w:val="clear" w:color="auto" w:fill="CFF0FC"/>
          </w:tcPr>
          <w:p>
            <w:pPr>
              <w:spacing w:after="0"/>
              <w:rPr>
                <w:sz w:val="18"/>
                <w:szCs w:val="18"/>
                <w:color w:val="auto"/>
              </w:rPr>
            </w:pPr>
          </w:p>
        </w:tc>
      </w:tr>
      <w:tr>
        <w:trPr>
          <w:trHeight w:val="211"/>
        </w:trPr>
        <w:tc>
          <w:tcPr>
            <w:tcW w:w="3280" w:type="dxa"/>
            <w:vAlign w:val="bottom"/>
          </w:tcPr>
          <w:p>
            <w:pPr>
              <w:ind w:left="220"/>
              <w:spacing w:after="0"/>
              <w:rPr>
                <w:sz w:val="20"/>
                <w:szCs w:val="20"/>
                <w:color w:val="auto"/>
              </w:rPr>
            </w:pPr>
            <w:r>
              <w:rPr>
                <w:rFonts w:ascii="Arial" w:cs="Arial" w:eastAsia="Arial" w:hAnsi="Arial"/>
                <w:sz w:val="17"/>
                <w:szCs w:val="17"/>
                <w:color w:val="auto"/>
              </w:rPr>
              <w:t>ImmunoGen</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735</w:t>
            </w:r>
          </w:p>
        </w:tc>
        <w:tc>
          <w:tcPr>
            <w:tcW w:w="80" w:type="dxa"/>
            <w:vAlign w:val="bottom"/>
          </w:tcPr>
          <w:p>
            <w:pPr>
              <w:spacing w:after="0"/>
              <w:rPr>
                <w:sz w:val="18"/>
                <w:szCs w:val="18"/>
                <w:color w:val="auto"/>
              </w:rPr>
            </w:pPr>
          </w:p>
        </w:tc>
      </w:tr>
      <w:tr>
        <w:trPr>
          <w:trHeight w:val="211"/>
        </w:trPr>
        <w:tc>
          <w:tcPr>
            <w:tcW w:w="3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Pfizer</w:t>
            </w:r>
          </w:p>
        </w:tc>
        <w:tc>
          <w:tcPr>
            <w:tcW w:w="2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1,355</w:t>
            </w:r>
          </w:p>
        </w:tc>
        <w:tc>
          <w:tcPr>
            <w:tcW w:w="80" w:type="dxa"/>
            <w:vAlign w:val="bottom"/>
            <w:shd w:val="clear" w:color="auto" w:fill="CFF0FC"/>
          </w:tcPr>
          <w:p>
            <w:pPr>
              <w:spacing w:after="0"/>
              <w:rPr>
                <w:sz w:val="18"/>
                <w:szCs w:val="18"/>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7"/>
                <w:szCs w:val="17"/>
                <w:color w:val="auto"/>
              </w:rPr>
              <w:t>Total Revenue</w:t>
            </w:r>
          </w:p>
        </w:tc>
        <w:tc>
          <w:tcPr>
            <w:tcW w:w="222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29,485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14,184</w:t>
            </w:r>
          </w:p>
        </w:tc>
        <w:tc>
          <w:tcPr>
            <w:tcW w:w="80" w:type="dxa"/>
            <w:vAlign w:val="bottom"/>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Ireland Unlimited Company</w:t>
      </w:r>
    </w:p>
    <w:p>
      <w:pPr>
        <w:spacing w:after="0" w:line="103"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In April 2016, the Company and AbbVie entered into two agreements, a CD71 Co-Development and Licensing Agreement (the “CD71 Agreement”) and a Discovery Collaboration and Licensing Agreement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177"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our Phase 1/2 clinical trial and dosed the first patient in a clinical trial at the end of the second quarter of 2018.</w:t>
      </w:r>
    </w:p>
    <w:p>
      <w:pPr>
        <w:spacing w:after="0" w:line="34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15" w:name="page16"/>
    <w:bookmarkEnd w:id="15"/>
    <w:p>
      <w:pPr>
        <w:jc w:val="both"/>
        <w:ind w:right="160"/>
        <w:spacing w:after="0" w:line="321" w:lineRule="auto"/>
        <w:rPr>
          <w:sz w:val="20"/>
          <w:szCs w:val="20"/>
          <w:color w:val="auto"/>
        </w:rPr>
      </w:pPr>
      <w:r>
        <w:rPr>
          <w:rFonts w:ascii="Arial" w:cs="Arial" w:eastAsia="Arial" w:hAnsi="Arial"/>
          <w:sz w:val="14"/>
          <w:szCs w:val="14"/>
          <w:color w:val="auto"/>
        </w:rPr>
        <w:t>Under the Discovery Agreement, the Company received an upfront payment of $10.0 million in April 2016 and may receive an additional payment upon the selection by AbbVie of the second target and the satisfaction of certain success criteria under the CD71 Agreement. AbbVie has not selected the second target, but the success criteria under the CD71 Agreement were met in September 2016. The Company is also eligible to receive up to $275.0 million in target nomination, development, regulatory and commercial milestone payments and royalties in the high single to low teens from commercial sales of any resulting PDCs.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Company has determined that the CD71 Agreement and Discovery Agreement with AbbVie should be combined and evaluated as a single arrangement in determining revenue recognition, because both agreements were concurrently negotiated and executed.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the following performance obligations at the inception of the AbbVie Agreements:</w:t>
      </w:r>
    </w:p>
    <w:p>
      <w:pPr>
        <w:spacing w:after="0" w:line="239" w:lineRule="exact"/>
        <w:rPr>
          <w:sz w:val="20"/>
          <w:szCs w:val="20"/>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 for CD71 Probody therapeutic,</w:t>
      </w:r>
    </w:p>
    <w:p>
      <w:pPr>
        <w:spacing w:after="0" w:line="16" w:lineRule="exact"/>
        <w:rPr>
          <w:rFonts w:ascii="Arial" w:cs="Arial" w:eastAsia="Arial" w:hAnsi="Arial"/>
          <w:sz w:val="17"/>
          <w:szCs w:val="17"/>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research services related to CD71 Probody therapeutic,</w:t>
      </w:r>
    </w:p>
    <w:p>
      <w:pPr>
        <w:spacing w:after="0" w:line="3" w:lineRule="exact"/>
        <w:rPr>
          <w:rFonts w:ascii="Arial" w:cs="Arial" w:eastAsia="Arial" w:hAnsi="Arial"/>
          <w:sz w:val="17"/>
          <w:szCs w:val="17"/>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obligation to participate in the CD71 Agreement joint research committee,</w:t>
      </w:r>
    </w:p>
    <w:p>
      <w:pPr>
        <w:spacing w:after="0" w:line="3" w:lineRule="exact"/>
        <w:rPr>
          <w:rFonts w:ascii="Arial" w:cs="Arial" w:eastAsia="Arial" w:hAnsi="Arial"/>
          <w:sz w:val="17"/>
          <w:szCs w:val="17"/>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research services related to the first discovery target</w:t>
      </w:r>
    </w:p>
    <w:p>
      <w:pPr>
        <w:spacing w:after="0" w:line="3" w:lineRule="exact"/>
        <w:rPr>
          <w:rFonts w:ascii="Arial" w:cs="Arial" w:eastAsia="Arial" w:hAnsi="Arial"/>
          <w:sz w:val="17"/>
          <w:szCs w:val="17"/>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 for the first discovery target, and</w:t>
      </w:r>
    </w:p>
    <w:p>
      <w:pPr>
        <w:spacing w:after="0" w:line="3" w:lineRule="exact"/>
        <w:rPr>
          <w:rFonts w:ascii="Arial" w:cs="Arial" w:eastAsia="Arial" w:hAnsi="Arial"/>
          <w:sz w:val="17"/>
          <w:szCs w:val="17"/>
          <w:color w:val="auto"/>
        </w:rPr>
      </w:pPr>
    </w:p>
    <w:p>
      <w:pPr>
        <w:ind w:left="760" w:hanging="24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obligation to participate in the Discovery Agreement joint research committee.</w:t>
      </w:r>
    </w:p>
    <w:p>
      <w:pPr>
        <w:spacing w:after="0" w:line="22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Company concluded that, at the inception of the agreement, AbbVie’s option for the second discovery target is not a material right and is therefore not a performance obligation.</w:t>
      </w:r>
    </w:p>
    <w:p>
      <w:pPr>
        <w:spacing w:after="0" w:line="1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193" w:lineRule="exact"/>
        <w:rPr>
          <w:sz w:val="20"/>
          <w:szCs w:val="20"/>
          <w:color w:val="auto"/>
        </w:rPr>
      </w:pPr>
    </w:p>
    <w:p>
      <w:pPr>
        <w:ind w:left="1120" w:right="200" w:hanging="499"/>
        <w:spacing w:after="0" w:line="251"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CD71 Agreement performance obligation consisting of the CD71 Agreement research, development and commercialization license, related research service and participation in the joint research committee, and</w:t>
      </w:r>
    </w:p>
    <w:p>
      <w:pPr>
        <w:spacing w:after="0" w:line="1" w:lineRule="exact"/>
        <w:rPr>
          <w:rFonts w:ascii="Arial" w:cs="Arial" w:eastAsia="Arial" w:hAnsi="Arial"/>
          <w:sz w:val="17"/>
          <w:szCs w:val="17"/>
          <w:color w:val="auto"/>
        </w:rPr>
      </w:pPr>
    </w:p>
    <w:p>
      <w:pPr>
        <w:ind w:left="1120" w:right="220" w:hanging="499"/>
        <w:spacing w:after="0" w:line="263"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Discovery Agreement performance obligation consisting of the Discovery Agreement research, development and commercialization license, related research service and participation in the joint research committee.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326" w:right="259" w:bottom="1440" w:gutter="0" w:footer="0" w:header="0"/>
        </w:sectPr>
      </w:pPr>
    </w:p>
    <w:bookmarkStart w:id="16" w:name="page17"/>
    <w:bookmarkEnd w:id="16"/>
    <w:p>
      <w:pPr>
        <w:ind w:right="40"/>
        <w:spacing w:after="0" w:line="266" w:lineRule="auto"/>
        <w:rPr>
          <w:sz w:val="20"/>
          <w:szCs w:val="20"/>
          <w:color w:val="auto"/>
        </w:rPr>
      </w:pPr>
      <w:r>
        <w:rPr>
          <w:rFonts w:ascii="Arial" w:cs="Arial" w:eastAsia="Arial" w:hAnsi="Arial"/>
          <w:sz w:val="16"/>
          <w:szCs w:val="16"/>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of $4.2 million are allocated to the CD71 Agreement performance obligation as they are directly related to the development of the CD71 Probody therapeutic.</w:t>
      </w:r>
    </w:p>
    <w:p>
      <w:pPr>
        <w:spacing w:after="0" w:line="16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March 31, 2019.</w:t>
      </w:r>
    </w:p>
    <w:p>
      <w:pPr>
        <w:spacing w:after="0" w:line="165"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Company is obligated to make sublicense payments under the sublicense agreement with the Regents of the University of California, acting through its Santa Barbara campus (“UCSB”), as amended, equal to 5% of certain upfront and milestone payments owed to or received by the Company. As of March 31, 2019 and December 31, 2018, the Company recorded a liability of $1.0 million and $1.1 million, respectively, representing the sublicense fee payable to UCSB under the CD71 Agreement. The $1.0 million liability on March 31, 2019 was paid in April 2019 after the Company and UCSB entered into Amendment No.3 to the Exclusive License Agreement. See Note 11, Subsequent Event.</w:t>
      </w:r>
    </w:p>
    <w:p>
      <w:pPr>
        <w:spacing w:after="0" w:line="183"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Of the $39.8 million total transaction price, the Company recognized the initial transaction price of $29.8 million allocated to the CD71 Agreement performance obligation using a cost-based input measure. In applying the cost-based input method, revenue is recognized based on actual full-time employee (“FTE”) hours incurred as a percentage of total estimated FTE hours as the Company completes its combined performance obligation over the five-year service period. As the Discovery Agreement performance obligation represents an obligation to continuously make the Company’s Probody therapeutic technology platform available to AbbVie, the initial transaction price of $10.0 million allocated to this performance obligation is recognized over the common measure of progress for the entire performance obligation over the estimated research service period of five years.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recognized revenue of $2.9 million and $2.7 million for the three months ended March 31, 2019 and 2018, respectively. related to the AbbVie Agreements. As of March 31, 2019 and December 31, 2018, deferred revenue related to the CD71 Agreement performance obligation was $20.7 million and $23.2 million, respectively, and deferred revenue related to the Discovery Agreement performance obligation was $4.2 million and $4.7 million, respectively. As of both March 31, 2019 and December 31, 2018, no amount was due from AbbVie under the CD71 and Discovery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Amgen, Inc.</w:t>
      </w:r>
    </w:p>
    <w:p>
      <w:pPr>
        <w:spacing w:after="0" w:line="11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Under the terms of the Amgen Agreement, the Company and Amgen will co-develop a Probody T-cell engaging bi-specific therapeutic targeting EGFR (“EGFR Products”). The Company is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214" w:lineRule="exact"/>
        <w:rPr>
          <w:sz w:val="20"/>
          <w:szCs w:val="20"/>
          <w:color w:val="auto"/>
        </w:rPr>
      </w:pPr>
    </w:p>
    <w:p>
      <w:pPr>
        <w:ind w:left="760" w:hanging="242"/>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w:t>
      </w:r>
    </w:p>
    <w:p>
      <w:pPr>
        <w:spacing w:after="0" w:line="28" w:lineRule="exact"/>
        <w:rPr>
          <w:rFonts w:ascii="Arial" w:cs="Arial" w:eastAsia="Arial" w:hAnsi="Arial"/>
          <w:sz w:val="17"/>
          <w:szCs w:val="17"/>
          <w:color w:val="auto"/>
        </w:rPr>
      </w:pPr>
    </w:p>
    <w:p>
      <w:pPr>
        <w:ind w:left="760" w:hanging="242"/>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research and development services for the EGFR Products and the Amgen Other Product, and</w:t>
      </w:r>
    </w:p>
    <w:p>
      <w:pPr>
        <w:spacing w:after="0" w:line="40" w:lineRule="exact"/>
        <w:rPr>
          <w:rFonts w:ascii="Arial" w:cs="Arial" w:eastAsia="Arial" w:hAnsi="Arial"/>
          <w:sz w:val="17"/>
          <w:szCs w:val="17"/>
          <w:color w:val="auto"/>
        </w:rPr>
      </w:pPr>
    </w:p>
    <w:p>
      <w:pPr>
        <w:ind w:left="760" w:hanging="242"/>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obligation to participate in the joint steering committee (“JSC”) and the joint research committee (“JRC”).</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w:t>
      </w:r>
    </w:p>
    <w:p>
      <w:pPr>
        <w:spacing w:after="0" w:line="21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up to 7.5% of certain upfront and milestone payments owed to or received by the Company. As of March 31, 2019 and December 31, 2018, the Company recorded a liability of $1.9 million and $2.1 million, respectively, representing the sublicense fee payable to UCSB. The $1.9 million liability on March 31, 2019 was paid in April 2019 after the Company and UCSB entered into the Amendment No.3 to the Exclusive License Agreement. See Note 11, Subsequent Event.</w:t>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March 31, 2019.</w:t>
      </w:r>
    </w:p>
    <w:p>
      <w:pPr>
        <w:spacing w:after="0" w:line="259" w:lineRule="exact"/>
        <w:rPr>
          <w:sz w:val="20"/>
          <w:szCs w:val="20"/>
          <w:color w:val="auto"/>
        </w:rPr>
      </w:pPr>
    </w:p>
    <w:p>
      <w:pPr>
        <w:ind w:right="200"/>
        <w:spacing w:after="0" w:line="315" w:lineRule="auto"/>
        <w:rPr>
          <w:sz w:val="20"/>
          <w:szCs w:val="20"/>
          <w:color w:val="auto"/>
        </w:rPr>
      </w:pPr>
      <w:r>
        <w:rPr>
          <w:rFonts w:ascii="Arial" w:cs="Arial" w:eastAsia="Arial" w:hAnsi="Arial"/>
          <w:sz w:val="14"/>
          <w:szCs w:val="14"/>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In the fourth quarter of 2018, the JSC discontinued work on two molecules that did not meet required research criteria. Pre-clinical evaluation of additional molecules is ongoing as part of the candidate identification phase of the EGFR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project, and as a result, there was a change in estimate of the projected costs and research service period to seven years during the fourth quarter of 2018.</w:t>
      </w:r>
    </w:p>
    <w:p>
      <w:pPr>
        <w:spacing w:after="0" w:line="276"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Company recognized revenue of $1.0 million and $1.3 million for the three months ended March 31, 2019 and 2018, respectively, related to the Amgen Agreement. As of March 31, 2019 and December 31, 2018, deferred revenue related to the EGFR Products performance obligation was $39.8 million and $40.7 million, respectively. As of March 31, 2019 and December 31, 2018 deferred revenue related to the Amgen Other Products performance obligation was $3.6 million and $3.8 million, respectively. As of March 31, 2019 and December 31 2018, no amount was due from Amgen under the Amgen Agreement.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Bristol-Myers Squibb Company</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77"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had a two-year research term and the two additional targets had to be nominated by BMS within five years of the effective date of the BMS Agreement. The research term for each collaboration target could be extended in one year increments up to three times.</w:t>
      </w:r>
    </w:p>
    <w:p>
      <w:pPr>
        <w:spacing w:after="0" w:line="13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Pursuant to the BMS Agreement, the financial consideration from BMS was comprised of an upfront payment of $50.0 million and the Company was initially entitled to receive contingent payments of up to an aggregate of $1,217.0 million as follows: (i) up to $25.0 million for additional targets; (ii) up to $114.0 million in development milestone payments per research target program or up to $456.0 million if the maximum of four research targets are selected; (iii) 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also receives research and development service fees based on a prescribed FTE rate that is capped.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the following performance obligations at the inception of the BMS Agreement:</w:t>
      </w:r>
    </w:p>
    <w:p>
      <w:pPr>
        <w:spacing w:after="0" w:line="202" w:lineRule="exact"/>
        <w:rPr>
          <w:sz w:val="20"/>
          <w:szCs w:val="20"/>
          <w:color w:val="auto"/>
        </w:rPr>
      </w:pPr>
    </w:p>
    <w:p>
      <w:pPr>
        <w:ind w:left="760" w:hanging="242"/>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exclusive research, development and commercialization license,</w:t>
      </w:r>
    </w:p>
    <w:p>
      <w:pPr>
        <w:spacing w:after="0" w:line="16" w:lineRule="exact"/>
        <w:rPr>
          <w:rFonts w:ascii="Arial" w:cs="Arial" w:eastAsia="Arial" w:hAnsi="Arial"/>
          <w:sz w:val="17"/>
          <w:szCs w:val="17"/>
          <w:color w:val="auto"/>
        </w:rPr>
      </w:pPr>
    </w:p>
    <w:p>
      <w:pPr>
        <w:ind w:left="760" w:hanging="242"/>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research and development services and</w:t>
      </w:r>
    </w:p>
    <w:p>
      <w:pPr>
        <w:spacing w:after="0" w:line="3" w:lineRule="exact"/>
        <w:rPr>
          <w:rFonts w:ascii="Arial" w:cs="Arial" w:eastAsia="Arial" w:hAnsi="Arial"/>
          <w:sz w:val="17"/>
          <w:szCs w:val="17"/>
          <w:color w:val="auto"/>
        </w:rPr>
      </w:pPr>
    </w:p>
    <w:p>
      <w:pPr>
        <w:ind w:left="760" w:hanging="242"/>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obligation to participate in the joint research committee.</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 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9" w:name="page20"/>
    <w:bookmarkEnd w:id="19"/>
    <w:p>
      <w:pPr>
        <w:ind w:right="60"/>
        <w:spacing w:after="0" w:line="321" w:lineRule="auto"/>
        <w:rPr>
          <w:sz w:val="20"/>
          <w:szCs w:val="20"/>
          <w:color w:val="auto"/>
        </w:rPr>
      </w:pPr>
      <w:r>
        <w:rPr>
          <w:rFonts w:ascii="Arial" w:cs="Arial" w:eastAsia="Arial" w:hAnsi="Arial"/>
          <w:sz w:val="14"/>
          <w:szCs w:val="14"/>
          <w:color w:val="auto"/>
        </w:rPr>
        <w:t>On March 17, 2017, the Company and BMS entered into Amendment Number 1 to Extend Collaboration and License Agreement (the “Amendment”). The Amendment grants BMS exclusive worldwide rights to develop and commercialize Probody therapeutics for up to six additional oncology targets and two non-oncology targets. The effective date of the Amendment was April 25, 2017 (“Amendment Effective Date”). Under the terms of the Amendment, the Company continues to collaborate with BMS to discover and conduct preclinical development of Probody therapeutics against targets selected by BMS under the terms of the Amendment.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Pursuant to the Amendment, the financial consideration from BMS is comprised of an upfront payment of $200.0 million and the Company is eligible to receive up to an aggregate of $3,586.0 million as follows:</w:t>
      </w:r>
    </w:p>
    <w:p>
      <w:pPr>
        <w:spacing w:after="0" w:line="168" w:lineRule="exact"/>
        <w:rPr>
          <w:sz w:val="20"/>
          <w:szCs w:val="20"/>
          <w:color w:val="auto"/>
        </w:rPr>
      </w:pPr>
    </w:p>
    <w:p>
      <w:pPr>
        <w:ind w:left="1020" w:right="100" w:hanging="511"/>
        <w:spacing w:after="0" w:line="26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 to $116.0 million in development milestone payments per target or up to $928.0 million if the maximum of eight targets are selected for the first product modality;</w:t>
      </w:r>
    </w:p>
    <w:p>
      <w:pPr>
        <w:spacing w:after="0" w:line="68" w:lineRule="exact"/>
        <w:rPr>
          <w:rFonts w:ascii="Arial" w:cs="Arial" w:eastAsia="Arial" w:hAnsi="Arial"/>
          <w:sz w:val="17"/>
          <w:szCs w:val="17"/>
          <w:color w:val="auto"/>
        </w:rPr>
      </w:pPr>
    </w:p>
    <w:p>
      <w:pPr>
        <w:ind w:left="1020" w:right="160" w:hanging="511"/>
        <w:spacing w:after="0" w:line="26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up to $60.0 million in sales milestone payments per target or up to $480.0 million if maximum of eight targets are selected for the first product modality; and</w:t>
      </w:r>
    </w:p>
    <w:p>
      <w:pPr>
        <w:spacing w:after="0" w:line="137" w:lineRule="exact"/>
        <w:rPr>
          <w:rFonts w:ascii="Arial" w:cs="Arial" w:eastAsia="Arial" w:hAnsi="Arial"/>
          <w:sz w:val="14"/>
          <w:szCs w:val="14"/>
          <w:color w:val="auto"/>
        </w:rPr>
      </w:pPr>
    </w:p>
    <w:p>
      <w:pPr>
        <w:ind w:left="1020" w:right="580" w:hanging="511"/>
        <w:spacing w:after="0" w:line="263" w:lineRule="auto"/>
        <w:tabs>
          <w:tab w:leader="none" w:pos="11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 to $56.3 million in development milestone payments or up to $450.0 million if the maximum of eight targets are selected for the second product modality;</w:t>
      </w:r>
    </w:p>
    <w:p>
      <w:pPr>
        <w:spacing w:after="0" w:line="68" w:lineRule="exact"/>
        <w:rPr>
          <w:rFonts w:ascii="Arial" w:cs="Arial" w:eastAsia="Arial" w:hAnsi="Arial"/>
          <w:sz w:val="17"/>
          <w:szCs w:val="17"/>
          <w:color w:val="auto"/>
        </w:rPr>
      </w:pPr>
    </w:p>
    <w:p>
      <w:pPr>
        <w:ind w:left="1020" w:right="240" w:hanging="511"/>
        <w:spacing w:after="0" w:line="26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up to $30.0 million in sales milestone payments per target or up to $240.0 million if maximum of eight targets are selected for the second product modality.</w:t>
      </w:r>
    </w:p>
    <w:p>
      <w:pPr>
        <w:spacing w:after="0" w:line="237" w:lineRule="exact"/>
        <w:rPr>
          <w:sz w:val="20"/>
          <w:szCs w:val="20"/>
          <w:color w:val="auto"/>
        </w:rPr>
      </w:pPr>
    </w:p>
    <w:p>
      <w:pPr>
        <w:ind w:left="380" w:right="80"/>
        <w:spacing w:after="0" w:line="321" w:lineRule="auto"/>
        <w:rPr>
          <w:sz w:val="20"/>
          <w:szCs w:val="20"/>
          <w:color w:val="auto"/>
        </w:rPr>
      </w:pPr>
      <w:r>
        <w:rPr>
          <w:rFonts w:ascii="Arial" w:cs="Arial" w:eastAsia="Arial" w:hAnsi="Arial"/>
          <w:sz w:val="14"/>
          <w:szCs w:val="14"/>
          <w:color w:val="auto"/>
        </w:rPr>
        <w:t>The Company is also entitled to tiered mid-single to low double-digit percentage royalties from potential future sales. The Amendment does not change the term of the BMS’s royalty obligation under the BMS Agreement. BMS’s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33"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March 31, 2019. The BMS Agreement represents an obligation to continuously make the Probody therapeutic technology platform available to BMS. Therefore, the initial transaction price is recognized over the estimated research service period, which ends on April 25, 2025.</w:t>
      </w:r>
    </w:p>
    <w:p>
      <w:pPr>
        <w:spacing w:after="0" w:line="13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During the first quarter of 2019, BMS terminated pre-clinical activities on three of the first four collaboration targets selected under the BMS Agreement. The first and second targets under the BMS Agreement were combined into a single performance obligation. The Company determined that termination of pre-clinical activities on the second target does not impact the Company’s continuing obligation to BMS for the first target, CTLA-4, as it is still being actively developed by BMS. Therefore, the Company concluded that it will continue to amortize the related deferred revenue over the original performance period. The Company has determined that upon the termination of pre-clinical activities on the third and the fourth collaboration targets selected by BMS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w:t>
      </w:r>
    </w:p>
    <w:p>
      <w:pPr>
        <w:spacing w:after="0" w:line="170"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The Company recognized revenue of $25.5 million and $8.2 million for the three months ended March 31, 2019 and 2018, respectively. As of March 31, 2019 and December 31, 2018, deferred revenue relating to the BMS Agreement was $180.2 million and $205.6 million, respectively. The amount due from BMS under the BMS Agreement was $44,000 and $0.1 million as of March 31, 2019 and December 31, 2018,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ImmunoGen, Inc.</w:t>
      </w:r>
    </w:p>
    <w:p>
      <w:pPr>
        <w:spacing w:after="0" w:line="103"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and continues research work on this program.</w:t>
      </w:r>
    </w:p>
    <w:p>
      <w:pPr>
        <w:spacing w:after="0" w:line="348" w:lineRule="exact"/>
        <w:rPr>
          <w:sz w:val="20"/>
          <w:szCs w:val="20"/>
          <w:color w:val="auto"/>
        </w:rPr>
      </w:pPr>
    </w:p>
    <w:p>
      <w:pPr>
        <w:spacing w:after="0" w:line="333" w:lineRule="auto"/>
        <w:rPr>
          <w:sz w:val="20"/>
          <w:szCs w:val="20"/>
          <w:color w:val="auto"/>
        </w:rPr>
      </w:pPr>
      <w:r>
        <w:rPr>
          <w:rFonts w:ascii="Arial" w:cs="Arial" w:eastAsia="Arial" w:hAnsi="Arial"/>
          <w:sz w:val="14"/>
          <w:szCs w:val="14"/>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125"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In consideration for the ImmunoGen 2017 License, the Company is entitled to receive up to $30.0 million in development and regulatory milestone payments, up to $50.0 million in sales milestone payments and royalties in the mid-single digit percentage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percentage on the commercial sales of any resulting product. In August 2017, the Company made a milestone payment of $1.0 million to ImmunoGen for the first patient dosing with CX-2009. No milestone payments have been accrued to the Company under the ImmunoGen 2017 License.</w:t>
      </w:r>
    </w:p>
    <w:p>
      <w:pPr>
        <w:spacing w:after="0" w:line="136"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Company accounted for the ImmunoGen Research Agreement based on the fair value of the assets and services exchanged. The Company identified the following performance obligations at the inception of the ImmunoGen Research Agreement:</w:t>
      </w:r>
    </w:p>
    <w:p>
      <w:pPr>
        <w:spacing w:after="0" w:line="230" w:lineRule="exact"/>
        <w:rPr>
          <w:sz w:val="20"/>
          <w:szCs w:val="20"/>
          <w:color w:val="auto"/>
        </w:rPr>
      </w:pPr>
    </w:p>
    <w:p>
      <w:pPr>
        <w:ind w:left="760" w:hanging="242"/>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research license,</w:t>
      </w:r>
    </w:p>
    <w:p>
      <w:pPr>
        <w:spacing w:after="0" w:line="40" w:lineRule="exact"/>
        <w:rPr>
          <w:rFonts w:ascii="Arial" w:cs="Arial" w:eastAsia="Arial" w:hAnsi="Arial"/>
          <w:sz w:val="17"/>
          <w:szCs w:val="17"/>
          <w:color w:val="auto"/>
        </w:rPr>
      </w:pPr>
    </w:p>
    <w:p>
      <w:pPr>
        <w:ind w:left="760" w:hanging="242"/>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research services,</w:t>
      </w:r>
    </w:p>
    <w:p>
      <w:pPr>
        <w:spacing w:after="0" w:line="40" w:lineRule="exact"/>
        <w:rPr>
          <w:rFonts w:ascii="Arial" w:cs="Arial" w:eastAsia="Arial" w:hAnsi="Arial"/>
          <w:sz w:val="17"/>
          <w:szCs w:val="17"/>
          <w:color w:val="auto"/>
        </w:rPr>
      </w:pPr>
    </w:p>
    <w:p>
      <w:pPr>
        <w:ind w:left="760" w:hanging="242"/>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obligation to participate in the joint research committee,</w:t>
      </w:r>
    </w:p>
    <w:p>
      <w:pPr>
        <w:spacing w:after="0" w:line="28" w:lineRule="exact"/>
        <w:rPr>
          <w:rFonts w:ascii="Arial" w:cs="Arial" w:eastAsia="Arial" w:hAnsi="Arial"/>
          <w:sz w:val="17"/>
          <w:szCs w:val="17"/>
          <w:color w:val="auto"/>
        </w:rPr>
      </w:pPr>
    </w:p>
    <w:p>
      <w:pPr>
        <w:ind w:left="760" w:hanging="242"/>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exclusive research, development and commercialization license and</w:t>
      </w:r>
    </w:p>
    <w:p>
      <w:pPr>
        <w:spacing w:after="0" w:line="40" w:lineRule="exact"/>
        <w:rPr>
          <w:rFonts w:ascii="Arial" w:cs="Arial" w:eastAsia="Arial" w:hAnsi="Arial"/>
          <w:sz w:val="17"/>
          <w:szCs w:val="17"/>
          <w:color w:val="auto"/>
        </w:rPr>
      </w:pPr>
    </w:p>
    <w:p>
      <w:pPr>
        <w:ind w:left="760" w:hanging="242"/>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obligation to provide future technology improvements, when available.</w:t>
      </w:r>
    </w:p>
    <w:p>
      <w:pPr>
        <w:spacing w:after="0" w:line="200" w:lineRule="exact"/>
        <w:rPr>
          <w:sz w:val="20"/>
          <w:szCs w:val="20"/>
          <w:color w:val="auto"/>
        </w:rPr>
      </w:pP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Company determined that the research license, the research services, the participation in the joint steering committee, and the technology improvements are not distinct from the development and commercialization license and therefore those performance obligations were combined into one combined performance obligation. The Company considered factors such as the limited economic benefits to ImmunoGen if the development and commercialization license was not obtained and the lack of sublicensing rights in the research license.</w:t>
      </w:r>
    </w:p>
    <w:p>
      <w:pPr>
        <w:spacing w:after="0" w:line="241" w:lineRule="exact"/>
        <w:rPr>
          <w:sz w:val="20"/>
          <w:szCs w:val="20"/>
          <w:color w:val="auto"/>
        </w:rPr>
      </w:pPr>
    </w:p>
    <w:p>
      <w:pPr>
        <w:ind w:right="20"/>
        <w:spacing w:after="0" w:line="321" w:lineRule="auto"/>
        <w:rPr>
          <w:sz w:val="20"/>
          <w:szCs w:val="20"/>
          <w:color w:val="auto"/>
        </w:rPr>
      </w:pPr>
      <w:r>
        <w:rPr>
          <w:rFonts w:ascii="Arial" w:cs="Arial" w:eastAsia="Arial" w:hAnsi="Arial"/>
          <w:sz w:val="14"/>
          <w:szCs w:val="14"/>
          <w:color w:val="auto"/>
        </w:rPr>
        <w:t>The estimated total fair value of the consideration of $13.2 million was recorded as deferred revenue at the inception of the ImmunoGen Research Agreement. In December 2017, the Company entered into the ImmunoGen 2017 License arrangement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March 31, 2019 and December 31, 2018, neither company has further research obligations under the ImmunoGen Research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21" w:name="page22"/>
    <w:bookmarkEnd w:id="21"/>
    <w:p>
      <w:pPr>
        <w:ind w:right="340"/>
        <w:spacing w:after="0" w:line="253" w:lineRule="auto"/>
        <w:rPr>
          <w:sz w:val="20"/>
          <w:szCs w:val="20"/>
          <w:color w:val="auto"/>
        </w:rPr>
      </w:pPr>
      <w:r>
        <w:rPr>
          <w:rFonts w:ascii="Arial" w:cs="Arial" w:eastAsia="Arial" w:hAnsi="Arial"/>
          <w:sz w:val="17"/>
          <w:szCs w:val="17"/>
          <w:color w:val="auto"/>
        </w:rPr>
        <w:t>The estimated total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177"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Company recognized revenue of $0 and $0.7 million for this target for the three months ended March 31, 2019 and 2018, respectively. As of March 31, 2019 and December 31, 2018, there was no deferred revenue relating to the ImmunoGen Research Agreement. As of both March 31, 2019 and December 31, 2018, no amount was due from ImmunoGen under the ImmunoGen Research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Pfizer Inc.</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following the termination of the Pfizer Agreement and recognized the remaining deferred revenue of $1.1 million during the first quarter of 2018.</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Pursuant to the Pfizer Agreement, the Company received an upfront payment of $6.0 million and research and development service fees based on a prescribed FTE rate per year that is capped. The Company identified the following performance obligations at the inception of the Pfizer Agreement: (1) the research license, (2) the research services and (3) the obligation to participate in the joint research committee. The Company determined that the research license was not distinct from the research services and participation in the joint research committee due to the specialized nature of the research services to be provided by the Company, and accordingly, this deliverable was combined with the research services and participation in the joint research committee as a combined performance obligation. The Company concluded that, at the inception of the agreement, Pfizer’s options to obtain an exclusive development and commercialization license for each research project target did not represent a material right and were not performance obligations.</w:t>
      </w:r>
    </w:p>
    <w:p>
      <w:pPr>
        <w:spacing w:after="0" w:line="23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As the combined performance obligation represented an obligation to continuously make the Probody therapeutic technology platform available to Pfizer, the initial transaction price was recognized over the common measure of progress for the entire performance obligation over the estimated research service period of five and a half years.</w:t>
      </w:r>
    </w:p>
    <w:p>
      <w:pPr>
        <w:spacing w:after="0" w:line="251"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color w:val="auto"/>
        </w:rPr>
        <w:t>The Company recognized revenue of $0 and $1.4 million for the three months ended March 31, 2019 and 2018, respectively. As of March 31, 2019 and December 31, 2018, there was no deferred revenue relating to the Pfizer Agreement. As of both March 31, 2019 and December 31, 2018, the amount due from Pfizer under the Pfizer Agreement was $0.</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Company’s total contract liabilities during the three months ended March 31, 2019:</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50"/>
              <w:spacing w:after="0"/>
              <w:rPr>
                <w:sz w:val="20"/>
                <w:szCs w:val="20"/>
                <w:color w:val="auto"/>
              </w:rPr>
            </w:pPr>
            <w:r>
              <w:rPr>
                <w:rFonts w:ascii="Arial" w:cs="Arial" w:eastAsia="Arial" w:hAnsi="Arial"/>
                <w:sz w:val="13"/>
                <w:szCs w:val="13"/>
                <w:b w:val="1"/>
                <w:bCs w:val="1"/>
                <w:color w:val="auto"/>
                <w:w w:val="92"/>
              </w:rPr>
              <w:t>Balance at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Balance at</w:t>
            </w: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150"/>
              <w:spacing w:after="0" w:line="137" w:lineRule="exact"/>
              <w:rPr>
                <w:sz w:val="20"/>
                <w:szCs w:val="20"/>
                <w:color w:val="auto"/>
              </w:rPr>
            </w:pPr>
            <w:r>
              <w:rPr>
                <w:rFonts w:ascii="Arial" w:cs="Arial" w:eastAsia="Arial" w:hAnsi="Arial"/>
                <w:sz w:val="13"/>
                <w:szCs w:val="13"/>
                <w:b w:val="1"/>
                <w:bCs w:val="1"/>
                <w:color w:val="auto"/>
                <w:w w:val="90"/>
              </w:rPr>
              <w:t>Beginning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7"/>
              </w:rPr>
              <w:t>End</w:t>
            </w:r>
          </w:p>
        </w:tc>
        <w:tc>
          <w:tcPr>
            <w:tcW w:w="0" w:type="dxa"/>
            <w:vAlign w:val="bottom"/>
          </w:tcPr>
          <w:p>
            <w:pPr>
              <w:spacing w:after="0"/>
              <w:rPr>
                <w:sz w:val="1"/>
                <w:szCs w:val="1"/>
                <w:color w:val="auto"/>
              </w:rPr>
            </w:pPr>
          </w:p>
        </w:tc>
      </w:tr>
      <w:tr>
        <w:trPr>
          <w:trHeight w:val="157"/>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50"/>
              <w:spacing w:after="0"/>
              <w:rPr>
                <w:sz w:val="20"/>
                <w:szCs w:val="20"/>
                <w:color w:val="auto"/>
              </w:rPr>
            </w:pPr>
            <w:r>
              <w:rPr>
                <w:rFonts w:ascii="Arial" w:cs="Arial" w:eastAsia="Arial" w:hAnsi="Arial"/>
                <w:sz w:val="13"/>
                <w:szCs w:val="13"/>
                <w:b w:val="1"/>
                <w:bCs w:val="1"/>
                <w:color w:val="auto"/>
                <w:w w:val="88"/>
              </w:rPr>
              <w:t>Period</w:t>
            </w:r>
          </w:p>
        </w:tc>
        <w:tc>
          <w:tcPr>
            <w:tcW w:w="26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3"/>
                <w:szCs w:val="13"/>
                <w:b w:val="1"/>
                <w:bCs w:val="1"/>
                <w:color w:val="auto"/>
              </w:rPr>
              <w:t>Additions</w:t>
            </w:r>
          </w:p>
        </w:tc>
        <w:tc>
          <w:tcPr>
            <w:tcW w:w="1080" w:type="dxa"/>
            <w:vAlign w:val="bottom"/>
          </w:tcPr>
          <w:p>
            <w:pPr>
              <w:jc w:val="right"/>
              <w:ind w:right="165"/>
              <w:spacing w:after="0"/>
              <w:rPr>
                <w:sz w:val="20"/>
                <w:szCs w:val="20"/>
                <w:color w:val="auto"/>
              </w:rPr>
            </w:pPr>
            <w:r>
              <w:rPr>
                <w:rFonts w:ascii="Arial" w:cs="Arial" w:eastAsia="Arial" w:hAnsi="Arial"/>
                <w:sz w:val="13"/>
                <w:szCs w:val="13"/>
                <w:b w:val="1"/>
                <w:bCs w:val="1"/>
                <w:color w:val="auto"/>
              </w:rPr>
              <w:t>Deductions</w:t>
            </w:r>
          </w:p>
        </w:tc>
        <w:tc>
          <w:tcPr>
            <w:tcW w:w="2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of Period</w:t>
            </w:r>
          </w:p>
        </w:tc>
        <w:tc>
          <w:tcPr>
            <w:tcW w:w="0" w:type="dxa"/>
            <w:vAlign w:val="bottom"/>
          </w:tcPr>
          <w:p>
            <w:pPr>
              <w:spacing w:after="0"/>
              <w:rPr>
                <w:sz w:val="1"/>
                <w:szCs w:val="1"/>
                <w:color w:val="auto"/>
              </w:rPr>
            </w:pPr>
          </w:p>
        </w:tc>
      </w:tr>
      <w:tr>
        <w:trPr>
          <w:trHeight w:val="162"/>
        </w:trPr>
        <w:tc>
          <w:tcPr>
            <w:tcW w:w="5860" w:type="dxa"/>
            <w:vAlign w:val="bottom"/>
            <w:vMerge w:val="restart"/>
          </w:tcPr>
          <w:p>
            <w:pPr>
              <w:jc w:val="center"/>
              <w:ind w:right="4417"/>
              <w:spacing w:after="0"/>
              <w:rPr>
                <w:sz w:val="20"/>
                <w:szCs w:val="20"/>
                <w:color w:val="auto"/>
              </w:rPr>
            </w:pPr>
            <w:r>
              <w:rPr>
                <w:rFonts w:ascii="Arial" w:cs="Arial" w:eastAsia="Arial" w:hAnsi="Arial"/>
                <w:sz w:val="17"/>
                <w:szCs w:val="17"/>
                <w:b w:val="1"/>
                <w:bCs w:val="1"/>
                <w:color w:val="auto"/>
                <w:w w:val="88"/>
              </w:rPr>
              <w:t>Contract liabilities:</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tcPr>
          <w:p>
            <w:pPr>
              <w:jc w:val="right"/>
              <w:ind w:right="725"/>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60" w:type="dxa"/>
            <w:vAlign w:val="bottom"/>
            <w:shd w:val="clear" w:color="auto" w:fill="CFF0FC"/>
          </w:tcPr>
          <w:p>
            <w:pPr>
              <w:jc w:val="center"/>
              <w:ind w:right="4417"/>
              <w:spacing w:after="0"/>
              <w:rPr>
                <w:sz w:val="20"/>
                <w:szCs w:val="20"/>
                <w:color w:val="auto"/>
              </w:rPr>
            </w:pPr>
            <w:r>
              <w:rPr>
                <w:rFonts w:ascii="Arial" w:cs="Arial" w:eastAsia="Arial" w:hAnsi="Arial"/>
                <w:sz w:val="17"/>
                <w:szCs w:val="17"/>
                <w:color w:val="auto"/>
                <w:w w:val="87"/>
              </w:rPr>
              <w:t>Deferred revenue</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277,980</w:t>
            </w: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   (29,461)</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There were no additions to deferred revenue during the first quarter of 2019. Deductions of $29.5 million represents revenue recognized, including the accelerated recognition of deferred revenue of $17.4 million due to termination of certain targets by BMS, in the three months ended March 31, 2019 that was included in the contract liability balance at the beginning of the period.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22" w:name="page23"/>
    <w:bookmarkEnd w:id="22"/>
    <w:p>
      <w:pPr>
        <w:ind w:left="1" w:right="100"/>
        <w:spacing w:after="0" w:line="333" w:lineRule="auto"/>
        <w:rPr>
          <w:sz w:val="20"/>
          <w:szCs w:val="20"/>
          <w:color w:val="auto"/>
        </w:rPr>
      </w:pPr>
      <w:r>
        <w:rPr>
          <w:rFonts w:ascii="Arial" w:cs="Arial" w:eastAsia="Arial" w:hAnsi="Arial"/>
          <w:sz w:val="14"/>
          <w:szCs w:val="14"/>
          <w:color w:val="auto"/>
        </w:rPr>
        <w:t>The Company estimates that the $248.5 million of deferred revenue related to the following contracts as of March 31, 2019 to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38" w:lineRule="exact"/>
        <w:rPr>
          <w:sz w:val="20"/>
          <w:szCs w:val="20"/>
          <w:color w:val="auto"/>
        </w:rPr>
      </w:pPr>
    </w:p>
    <w:p>
      <w:pPr>
        <w:ind w:left="741" w:right="560" w:hanging="368"/>
        <w:spacing w:after="0" w:line="249" w:lineRule="auto"/>
        <w:tabs>
          <w:tab w:leader="none" w:pos="741" w:val="left"/>
        </w:tabs>
        <w:numPr>
          <w:ilvl w:val="2"/>
          <w:numId w:val="14"/>
        </w:numPr>
        <w:rPr>
          <w:rFonts w:ascii="Arial" w:cs="Arial" w:eastAsia="Arial" w:hAnsi="Arial"/>
          <w:sz w:val="18"/>
          <w:szCs w:val="18"/>
          <w:color w:val="auto"/>
        </w:rPr>
      </w:pPr>
      <w:r>
        <w:rPr>
          <w:rFonts w:ascii="Arial" w:cs="Arial" w:eastAsia="Arial" w:hAnsi="Arial"/>
          <w:sz w:val="17"/>
          <w:szCs w:val="17"/>
          <w:color w:val="auto"/>
        </w:rPr>
        <w:t>The $20.7 million of deferred revenue related to the CD71 Agreement as of March 31, 2019 is expected to be recognized based on actual FTE effort and program progress until approximately April 2021.</w:t>
      </w:r>
    </w:p>
    <w:p>
      <w:pPr>
        <w:spacing w:after="0" w:line="79" w:lineRule="exact"/>
        <w:rPr>
          <w:rFonts w:ascii="Arial" w:cs="Arial" w:eastAsia="Arial" w:hAnsi="Arial"/>
          <w:sz w:val="18"/>
          <w:szCs w:val="18"/>
          <w:color w:val="auto"/>
        </w:rPr>
      </w:pPr>
    </w:p>
    <w:p>
      <w:pPr>
        <w:ind w:left="741" w:right="200" w:hanging="368"/>
        <w:spacing w:after="0" w:line="249" w:lineRule="auto"/>
        <w:tabs>
          <w:tab w:leader="none" w:pos="741" w:val="left"/>
        </w:tabs>
        <w:numPr>
          <w:ilvl w:val="2"/>
          <w:numId w:val="14"/>
        </w:numPr>
        <w:rPr>
          <w:rFonts w:ascii="Arial" w:cs="Arial" w:eastAsia="Arial" w:hAnsi="Arial"/>
          <w:sz w:val="18"/>
          <w:szCs w:val="18"/>
          <w:color w:val="auto"/>
        </w:rPr>
      </w:pPr>
      <w:r>
        <w:rPr>
          <w:rFonts w:ascii="Arial" w:cs="Arial" w:eastAsia="Arial" w:hAnsi="Arial"/>
          <w:sz w:val="17"/>
          <w:szCs w:val="17"/>
          <w:color w:val="auto"/>
        </w:rPr>
        <w:t>The $4.2 million of deferred revenue related to the Discovery Agreement as of March 31, 2019 is expected to be recognized ratably until approximately April 2021.</w:t>
      </w:r>
    </w:p>
    <w:p>
      <w:pPr>
        <w:spacing w:after="0" w:line="79" w:lineRule="exact"/>
        <w:rPr>
          <w:rFonts w:ascii="Arial" w:cs="Arial" w:eastAsia="Arial" w:hAnsi="Arial"/>
          <w:sz w:val="18"/>
          <w:szCs w:val="18"/>
          <w:color w:val="auto"/>
        </w:rPr>
      </w:pPr>
    </w:p>
    <w:p>
      <w:pPr>
        <w:ind w:left="741" w:right="160" w:hanging="368"/>
        <w:spacing w:after="0" w:line="249" w:lineRule="auto"/>
        <w:tabs>
          <w:tab w:leader="none" w:pos="741" w:val="left"/>
        </w:tabs>
        <w:numPr>
          <w:ilvl w:val="2"/>
          <w:numId w:val="14"/>
        </w:numPr>
        <w:rPr>
          <w:rFonts w:ascii="Arial" w:cs="Arial" w:eastAsia="Arial" w:hAnsi="Arial"/>
          <w:sz w:val="18"/>
          <w:szCs w:val="18"/>
          <w:color w:val="auto"/>
        </w:rPr>
      </w:pPr>
      <w:r>
        <w:rPr>
          <w:rFonts w:ascii="Arial" w:cs="Arial" w:eastAsia="Arial" w:hAnsi="Arial"/>
          <w:sz w:val="17"/>
          <w:szCs w:val="17"/>
          <w:color w:val="auto"/>
        </w:rPr>
        <w:t>The $39.8 million of deferred revenue related to the Amgen EGFR Products as of March 31, 2019 is expected to be recognized based on actual FTE effort and program progress until approximately September 2024.</w:t>
      </w:r>
    </w:p>
    <w:p>
      <w:pPr>
        <w:spacing w:after="0" w:line="79" w:lineRule="exact"/>
        <w:rPr>
          <w:rFonts w:ascii="Arial" w:cs="Arial" w:eastAsia="Arial" w:hAnsi="Arial"/>
          <w:sz w:val="18"/>
          <w:szCs w:val="18"/>
          <w:color w:val="auto"/>
        </w:rPr>
      </w:pPr>
    </w:p>
    <w:p>
      <w:pPr>
        <w:ind w:left="741" w:right="520" w:hanging="368"/>
        <w:spacing w:after="0" w:line="249" w:lineRule="auto"/>
        <w:tabs>
          <w:tab w:leader="none" w:pos="741" w:val="left"/>
        </w:tabs>
        <w:numPr>
          <w:ilvl w:val="2"/>
          <w:numId w:val="14"/>
        </w:numPr>
        <w:rPr>
          <w:rFonts w:ascii="Arial" w:cs="Arial" w:eastAsia="Arial" w:hAnsi="Arial"/>
          <w:sz w:val="18"/>
          <w:szCs w:val="18"/>
          <w:color w:val="auto"/>
        </w:rPr>
      </w:pPr>
      <w:r>
        <w:rPr>
          <w:rFonts w:ascii="Arial" w:cs="Arial" w:eastAsia="Arial" w:hAnsi="Arial"/>
          <w:sz w:val="17"/>
          <w:szCs w:val="17"/>
          <w:color w:val="auto"/>
        </w:rPr>
        <w:t>The $3.6 million of deferred revenue related to the Amgen Other Products as of March 31, 2019 is expected to be recognized ratably until approximately September 2023.</w:t>
      </w:r>
    </w:p>
    <w:p>
      <w:pPr>
        <w:spacing w:after="0" w:line="79" w:lineRule="exact"/>
        <w:rPr>
          <w:rFonts w:ascii="Arial" w:cs="Arial" w:eastAsia="Arial" w:hAnsi="Arial"/>
          <w:sz w:val="18"/>
          <w:szCs w:val="18"/>
          <w:color w:val="auto"/>
        </w:rPr>
      </w:pPr>
    </w:p>
    <w:p>
      <w:pPr>
        <w:ind w:left="761" w:right="360" w:hanging="425"/>
        <w:spacing w:after="0" w:line="263" w:lineRule="auto"/>
        <w:tabs>
          <w:tab w:leader="none" w:pos="761"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$180.2 million of deferred revenue related to the BMS Agreement as of March 31, 2019 is expected to be recognized ratably until approximately April 2025.</w:t>
      </w: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161" w:hanging="161"/>
        <w:spacing w:after="0"/>
        <w:tabs>
          <w:tab w:leader="none" w:pos="161"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UCSB License Agreement</w:t>
      </w:r>
    </w:p>
    <w:p>
      <w:pPr>
        <w:spacing w:after="0" w:line="107" w:lineRule="exact"/>
        <w:rPr>
          <w:sz w:val="20"/>
          <w:szCs w:val="20"/>
          <w:color w:val="auto"/>
        </w:rPr>
      </w:pPr>
    </w:p>
    <w:p>
      <w:pPr>
        <w:ind w:left="1"/>
        <w:spacing w:after="0" w:line="371" w:lineRule="auto"/>
        <w:rPr>
          <w:sz w:val="20"/>
          <w:szCs w:val="20"/>
          <w:color w:val="auto"/>
        </w:rPr>
      </w:pPr>
      <w:r>
        <w:rPr>
          <w:rFonts w:ascii="Arial" w:cs="Arial" w:eastAsia="Arial" w:hAnsi="Arial"/>
          <w:sz w:val="14"/>
          <w:szCs w:val="14"/>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23" w:lineRule="exact"/>
        <w:rPr>
          <w:sz w:val="20"/>
          <w:szCs w:val="20"/>
          <w:color w:val="auto"/>
        </w:rPr>
      </w:pPr>
    </w:p>
    <w:p>
      <w:pPr>
        <w:ind w:left="1"/>
        <w:spacing w:after="0" w:line="265" w:lineRule="auto"/>
        <w:rPr>
          <w:sz w:val="20"/>
          <w:szCs w:val="20"/>
          <w:color w:val="auto"/>
        </w:rPr>
      </w:pPr>
      <w:r>
        <w:rPr>
          <w:rFonts w:ascii="Arial" w:cs="Arial" w:eastAsia="Arial" w:hAnsi="Arial"/>
          <w:sz w:val="16"/>
          <w:szCs w:val="16"/>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168" w:lineRule="exact"/>
        <w:rPr>
          <w:sz w:val="20"/>
          <w:szCs w:val="20"/>
          <w:color w:val="auto"/>
        </w:rPr>
      </w:pPr>
    </w:p>
    <w:p>
      <w:pPr>
        <w:ind w:left="1" w:right="40"/>
        <w:spacing w:after="0" w:line="253"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376" w:lineRule="exact"/>
        <w:rPr>
          <w:sz w:val="20"/>
          <w:szCs w:val="20"/>
          <w:color w:val="auto"/>
        </w:rPr>
      </w:pPr>
    </w:p>
    <w:p>
      <w:pPr>
        <w:ind w:left="1" w:right="100"/>
        <w:spacing w:after="0" w:line="250" w:lineRule="auto"/>
        <w:rPr>
          <w:sz w:val="20"/>
          <w:szCs w:val="20"/>
          <w:color w:val="auto"/>
        </w:rPr>
      </w:pPr>
      <w:r>
        <w:rPr>
          <w:rFonts w:ascii="Arial" w:cs="Arial" w:eastAsia="Arial" w:hAnsi="Arial"/>
          <w:sz w:val="17"/>
          <w:szCs w:val="17"/>
          <w:color w:val="auto"/>
        </w:rPr>
        <w:t>During the three months ended March 31, 2019 and 2018, the Company did not incur any material sublicense fee under the provisions of the UCSB Agreement. In April 2019, the Company entered into Amendment No.3 to the UCSB Agreement (the “Amendment No.3”) with UCSB to, among other things, clarify and adjust the sublicense terms of this UCSB Agreement. As a result of the Amendment No.3, the Company is required to pay an additional annual maintenance fee of $750,000 from April 2019 through 2031. See Note 11, Subsequent Event.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1"/>
          </w:cols>
          <w:pgMar w:left="239" w:top="363" w:right="25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8. Stock-Based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Activities under the Company’s stock option plans for the three months ended March 31, 2019 were as follows:</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7060" w:type="dxa"/>
            <w:vAlign w:val="bottom"/>
          </w:tcPr>
          <w:p>
            <w:pPr>
              <w:spacing w:after="0"/>
              <w:rPr>
                <w:sz w:val="13"/>
                <w:szCs w:val="13"/>
                <w:color w:val="auto"/>
              </w:rPr>
            </w:pPr>
          </w:p>
        </w:tc>
        <w:tc>
          <w:tcPr>
            <w:tcW w:w="3220" w:type="dxa"/>
            <w:vAlign w:val="bottom"/>
            <w:gridSpan w:val="6"/>
          </w:tcPr>
          <w:p>
            <w:pPr>
              <w:ind w:left="960"/>
              <w:spacing w:after="0"/>
              <w:rPr>
                <w:sz w:val="20"/>
                <w:szCs w:val="20"/>
                <w:color w:val="auto"/>
              </w:rPr>
            </w:pPr>
            <w:r>
              <w:rPr>
                <w:rFonts w:ascii="Arial" w:cs="Arial" w:eastAsia="Arial" w:hAnsi="Arial"/>
                <w:sz w:val="13"/>
                <w:szCs w:val="13"/>
                <w:b w:val="1"/>
                <w:bCs w:val="1"/>
                <w:color w:val="auto"/>
              </w:rPr>
              <w:t>Options Outstanding</w:t>
            </w:r>
          </w:p>
        </w:tc>
        <w:tc>
          <w:tcPr>
            <w:tcW w:w="0" w:type="dxa"/>
            <w:vAlign w:val="bottom"/>
          </w:tcPr>
          <w:p>
            <w:pPr>
              <w:spacing w:after="0"/>
              <w:rPr>
                <w:sz w:val="1"/>
                <w:szCs w:val="1"/>
                <w:color w:val="auto"/>
              </w:rPr>
            </w:pPr>
          </w:p>
        </w:tc>
      </w:tr>
      <w:tr>
        <w:trPr>
          <w:trHeight w:val="121"/>
        </w:trPr>
        <w:tc>
          <w:tcPr>
            <w:tcW w:w="706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24"/>
              <w:spacing w:after="0" w:line="121"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7"/>
        </w:trPr>
        <w:tc>
          <w:tcPr>
            <w:tcW w:w="7060" w:type="dxa"/>
            <w:vAlign w:val="bottom"/>
          </w:tcPr>
          <w:p>
            <w:pPr>
              <w:spacing w:after="0"/>
              <w:rPr>
                <w:sz w:val="11"/>
                <w:szCs w:val="11"/>
                <w:color w:val="auto"/>
              </w:rPr>
            </w:pPr>
          </w:p>
        </w:tc>
        <w:tc>
          <w:tcPr>
            <w:tcW w:w="1680" w:type="dxa"/>
            <w:vAlign w:val="bottom"/>
            <w:gridSpan w:val="2"/>
          </w:tcPr>
          <w:p>
            <w:pPr>
              <w:jc w:val="right"/>
              <w:ind w:right="680"/>
              <w:spacing w:after="0" w:line="137"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Exercise Price</w:t>
            </w:r>
          </w:p>
        </w:tc>
        <w:tc>
          <w:tcPr>
            <w:tcW w:w="0" w:type="dxa"/>
            <w:vAlign w:val="bottom"/>
          </w:tcPr>
          <w:p>
            <w:pPr>
              <w:spacing w:after="0"/>
              <w:rPr>
                <w:sz w:val="1"/>
                <w:szCs w:val="1"/>
                <w:color w:val="auto"/>
              </w:rPr>
            </w:pPr>
          </w:p>
        </w:tc>
      </w:tr>
      <w:tr>
        <w:trPr>
          <w:trHeight w:val="157"/>
        </w:trPr>
        <w:tc>
          <w:tcPr>
            <w:tcW w:w="7060" w:type="dxa"/>
            <w:vAlign w:val="bottom"/>
          </w:tcPr>
          <w:p>
            <w:pPr>
              <w:spacing w:after="0"/>
              <w:rPr>
                <w:sz w:val="13"/>
                <w:szCs w:val="13"/>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204"/>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Balances at December 31, 2018</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7,803,773</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12.622</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220"/>
              <w:spacing w:after="0"/>
              <w:rPr>
                <w:sz w:val="20"/>
                <w:szCs w:val="20"/>
                <w:color w:val="auto"/>
              </w:rPr>
            </w:pPr>
            <w:r>
              <w:rPr>
                <w:rFonts w:ascii="Arial" w:cs="Arial" w:eastAsia="Arial" w:hAnsi="Arial"/>
                <w:sz w:val="17"/>
                <w:szCs w:val="17"/>
                <w:color w:val="auto"/>
              </w:rPr>
              <w:t>Options 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2,103,883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 exercised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(74,443)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220"/>
              <w:spacing w:after="0"/>
              <w:rPr>
                <w:sz w:val="20"/>
                <w:szCs w:val="20"/>
                <w:color w:val="auto"/>
              </w:rPr>
            </w:pPr>
            <w:r>
              <w:rPr>
                <w:rFonts w:ascii="Arial" w:cs="Arial" w:eastAsia="Arial" w:hAnsi="Arial"/>
                <w:sz w:val="17"/>
                <w:szCs w:val="17"/>
                <w:color w:val="auto"/>
              </w:rPr>
              <w:t>Option forfeited/expired</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(61,025)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Balances at March 31, 2019</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9,772,188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13.093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b w:val="1"/>
                <w:bCs w:val="1"/>
                <w:color w:val="auto"/>
              </w:rPr>
              <w:t>Options exercisable at March 31, 2019</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0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4,854,438</w:t>
            </w:r>
          </w:p>
        </w:tc>
        <w:tc>
          <w:tcPr>
            <w:tcW w:w="2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1"/>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60" w:type="dxa"/>
            <w:vAlign w:val="bottom"/>
            <w:vMerge w:val="restart"/>
          </w:tcPr>
          <w:p>
            <w:pPr>
              <w:spacing w:after="0"/>
              <w:rPr>
                <w:sz w:val="20"/>
                <w:szCs w:val="20"/>
                <w:color w:val="auto"/>
              </w:rPr>
            </w:pPr>
            <w:r>
              <w:rPr>
                <w:rFonts w:ascii="Arial" w:cs="Arial" w:eastAsia="Arial" w:hAnsi="Arial"/>
                <w:sz w:val="17"/>
                <w:szCs w:val="17"/>
                <w:color w:val="auto"/>
              </w:rPr>
              <w:t>Stock-based compensation expense:</w:t>
            </w:r>
          </w:p>
        </w:tc>
        <w:tc>
          <w:tcPr>
            <w:tcW w:w="8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880" w:type="dxa"/>
            <w:vAlign w:val="bottom"/>
            <w:shd w:val="clear" w:color="auto" w:fill="CFF0FC"/>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2,642</w:t>
            </w:r>
          </w:p>
        </w:tc>
        <w:tc>
          <w:tcPr>
            <w:tcW w:w="780" w:type="dxa"/>
            <w:vAlign w:val="bottom"/>
            <w:gridSpan w:val="2"/>
            <w:shd w:val="clear" w:color="auto" w:fill="CFF0FC"/>
          </w:tcPr>
          <w:p>
            <w:pPr>
              <w:jc w:val="right"/>
              <w:ind w:right="368"/>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26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Total stock-based compensation expense</w:t>
            </w:r>
          </w:p>
        </w:tc>
        <w:tc>
          <w:tcPr>
            <w:tcW w:w="88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5,192</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w:t>
      </w:r>
    </w:p>
    <w:p>
      <w:pPr>
        <w:spacing w:after="0" w:line="103"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6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4"/>
          <w:szCs w:val="14"/>
          <w:color w:val="auto"/>
        </w:rPr>
        <w:t>th</w:t>
      </w:r>
      <w:r>
        <w:rPr>
          <w:rFonts w:ascii="Arial" w:cs="Arial" w:eastAsia="Arial" w:hAnsi="Arial"/>
          <w:sz w:val="17"/>
          <w:szCs w:val="17"/>
          <w:color w:val="auto"/>
        </w:rPr>
        <w:t xml:space="preserve"> month to approximately $5.5 million for the tenth year of the lease. The Company utilized the full amount of the one-time improvement allowance of $12.6 million, of which $2.3 million is recoverable by the landlord through an increase rent which continues through the expiration of the initial lease term.</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March 31, 2019 and December 31, 2018, respectively.</w:t>
      </w:r>
    </w:p>
    <w:p>
      <w:pPr>
        <w:spacing w:after="0" w:line="177" w:lineRule="exact"/>
        <w:rPr>
          <w:sz w:val="20"/>
          <w:szCs w:val="20"/>
          <w:color w:val="auto"/>
        </w:rPr>
      </w:pPr>
    </w:p>
    <w:p>
      <w:pPr>
        <w:ind w:right="400"/>
        <w:spacing w:after="0" w:line="371" w:lineRule="auto"/>
        <w:rPr>
          <w:sz w:val="20"/>
          <w:szCs w:val="20"/>
          <w:color w:val="auto"/>
        </w:rPr>
      </w:pPr>
      <w:r>
        <w:rPr>
          <w:rFonts w:ascii="Arial" w:cs="Arial" w:eastAsia="Arial" w:hAnsi="Arial"/>
          <w:sz w:val="14"/>
          <w:szCs w:val="14"/>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March 31, 2019 and 2018 was $1.3 million.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Supplemental information related to leases are as follows:</w:t>
      </w:r>
    </w:p>
    <w:p>
      <w:pPr>
        <w:spacing w:after="0" w:line="8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March 31, 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7"/>
                <w:szCs w:val="17"/>
                <w:color w:val="auto"/>
              </w:rPr>
              <w:t>Operating cash flows from operating leases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March 31, 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balance sheet information related to leases: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440" w:type="dxa"/>
            <w:vAlign w:val="bottom"/>
            <w:tcBorders>
              <w:bottom w:val="single" w:sz="8" w:color="CFF0FC"/>
            </w:tcBorders>
          </w:tcPr>
          <w:p>
            <w:pPr>
              <w:ind w:left="8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27,404</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4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Current operating lease liabilities</w:t>
            </w: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2,544</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FF0FC"/>
            </w:tcBorders>
          </w:tcPr>
          <w:p>
            <w:pPr>
              <w:ind w:left="80"/>
              <w:spacing w:after="0"/>
              <w:rPr>
                <w:sz w:val="20"/>
                <w:szCs w:val="20"/>
                <w:color w:val="auto"/>
              </w:rPr>
            </w:pPr>
            <w:r>
              <w:rPr>
                <w:rFonts w:ascii="Arial" w:cs="Arial" w:eastAsia="Arial" w:hAnsi="Arial"/>
                <w:sz w:val="17"/>
                <w:szCs w:val="17"/>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27,008</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Total operating lease liabilities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29,552</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Weighted-average remaining lease term (in years)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7"/>
                <w:szCs w:val="17"/>
                <w:color w:val="auto"/>
              </w:rPr>
              <w:t>Operating lease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Weighted-average discount rate</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7"/>
                <w:szCs w:val="17"/>
                <w:color w:val="auto"/>
              </w:rPr>
              <w:t>Operating lease</w:t>
            </w:r>
          </w:p>
        </w:tc>
        <w:tc>
          <w:tcPr>
            <w:tcW w:w="1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March 31,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Maturity of operating lease liabilities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7"/>
                <w:szCs w:val="17"/>
                <w:color w:val="auto"/>
              </w:rPr>
              <w:t>2019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4,888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ind w:left="80"/>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FF0FC"/>
          </w:tcPr>
          <w:p>
            <w:pPr>
              <w:ind w:left="80"/>
              <w:spacing w:after="0"/>
              <w:rPr>
                <w:sz w:val="20"/>
                <w:szCs w:val="20"/>
                <w:color w:val="auto"/>
              </w:rPr>
            </w:pPr>
            <w:r>
              <w:rPr>
                <w:rFonts w:ascii="Arial" w:cs="Arial" w:eastAsia="Arial" w:hAnsi="Arial"/>
                <w:sz w:val="17"/>
                <w:szCs w:val="17"/>
                <w:color w:val="auto"/>
              </w:rPr>
              <w:t>2022</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CFF0FC"/>
            </w:tcBorders>
          </w:tcPr>
          <w:p>
            <w:pPr>
              <w:ind w:left="80"/>
              <w:spacing w:after="0"/>
              <w:rPr>
                <w:sz w:val="20"/>
                <w:szCs w:val="20"/>
                <w:color w:val="auto"/>
              </w:rPr>
            </w:pPr>
            <w:r>
              <w:rPr>
                <w:rFonts w:ascii="Arial" w:cs="Arial" w:eastAsia="Arial" w:hAnsi="Arial"/>
                <w:sz w:val="17"/>
                <w:szCs w:val="17"/>
                <w:color w:val="auto"/>
              </w:rPr>
              <w:t>2023 and beyond</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19,763</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Total lease payments</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40,150</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7"/>
                <w:szCs w:val="17"/>
                <w:color w:val="auto"/>
              </w:rPr>
              <w:t>Less imputed interest</w:t>
            </w:r>
          </w:p>
        </w:tc>
        <w:tc>
          <w:tcPr>
            <w:tcW w:w="1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Present value of lease liabilities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29,552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 Expense</w:t>
      </w:r>
    </w:p>
    <w:p>
      <w:pPr>
        <w:spacing w:after="0" w:line="11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The Company recorded an income tax benefit of $6,000 and income tax expense of $1.1 million during the three months ended March 31, 2019 and 2018, respectively. The income tax benefit for the three months ended March 31, 2019 was as a result of an unrealized gain on the available for sale securities recorded in other comprehensive income during the period. The income tax expense during the three months ended March 31,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 The Company’s effective tax rate was 0.04% and (7.63)% for the three months ended March 31, 2019 and 2018, respectively. The Company maintains a full valuation allowance against its net deferred tax assets due to the Company’s history of losses as of March 31, 2019</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11. Subsequent Event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April 2, 2019, the Company, entered into Amendment No.3 to the UCSB Agreement with UCSB to adjust and clarify certain sublicense terms (the “Amendment No.3”). In connection with the entry into the Amendment No.3, the Company issued to UCSB 150,000 shares of CytomX common stock, pursuant to a Securities Issuance Agreement, dated April 2, 2019, by and between CytomX and UCSB.</w:t>
      </w:r>
    </w:p>
    <w:p>
      <w:pPr>
        <w:spacing w:after="0" w:line="177"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Under the terms of the Amendment No.3, the Company and UCSB agreed to modify the Company’s obligation to pay UCSB a percentage of sublicense revenues to be earned in the future on existing and new collaboration agreements. In particular, the Amendment No.3 adjusts the definition of sublicense revenues, which includes up-front fees, sublicense maintenance fees, milestone payments or other sublicense revenues (other than royalties) and modifies the Company’s payment obligation for pre-clinical stage sublicenses going forward by potentially lowering the sublicense revenue payment to UCSB based on the contribution of intellectual property from each party. In exchange, the Company agreed to make an upfront payment of $1,000,000 as well as additional annual license maintenance fees of $750,000 through 2031.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26" w:name="page27"/>
    <w:bookmarkEnd w:id="26"/>
    <w:p>
      <w:pPr>
        <w:ind w:left="1"/>
        <w:spacing w:after="0"/>
        <w:tabs>
          <w:tab w:leader="none" w:pos="10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7" w:lineRule="exact"/>
        <w:rPr>
          <w:sz w:val="20"/>
          <w:szCs w:val="20"/>
          <w:color w:val="auto"/>
        </w:rPr>
      </w:pPr>
    </w:p>
    <w:p>
      <w:pPr>
        <w:ind w:left="1" w:right="60"/>
        <w:spacing w:after="0" w:line="333" w:lineRule="auto"/>
        <w:rPr>
          <w:sz w:val="20"/>
          <w:szCs w:val="20"/>
          <w:color w:val="auto"/>
        </w:rPr>
      </w:pPr>
      <w:r>
        <w:rPr>
          <w:rFonts w:ascii="Arial" w:cs="Arial" w:eastAsia="Arial" w:hAnsi="Arial"/>
          <w:sz w:val="14"/>
          <w:szCs w:val="14"/>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2018, included in our Annual Report on Forms 10-K as filed with the U.S. Securities and Exchange Commission (“SEC”) on February 27, 2019.</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left="1"/>
        <w:spacing w:after="0" w:line="307" w:lineRule="auto"/>
        <w:rPr>
          <w:sz w:val="20"/>
          <w:szCs w:val="20"/>
          <w:color w:val="auto"/>
        </w:rPr>
      </w:pPr>
      <w:r>
        <w:rPr>
          <w:rFonts w:ascii="Arial" w:cs="Arial" w:eastAsia="Arial" w:hAnsi="Arial"/>
          <w:sz w:val="14"/>
          <w:szCs w:val="14"/>
          <w:color w:val="auto"/>
        </w:rPr>
        <w:t>We are a clinical-stage, oncology-focused biopharmaceutical company with a vision of transforming lives with safer, more effective therapies. We are pioneering a novel class of investigational antibody therapeutics, based on our Probody™ technology platform, for the treatment of cancer. The Probody therapeutic approach is designed to more specifically target antibody therapeutics to the tumor microenvironment and minimize drug activity in healthy tissue and in circulation. We believe this approach has the potential to make meaningful enhancements to the combined efficacy and safety profile of antibody therapeutics, known as the “therapeutic window” and also to enable new targeted therapies. We believe that Probody therapeutics have the potential to create or widen the therapeutic window for certain antibody therapeutics, allowing for the development of new approaches to the treatment of cancer. We are utilizing our Probody Platform to develop a pipeline of potential best-in-class immunotherapies against clinically-validated targets and potential first-in-class therapeutics against novel, difficult to drug targets. Furthermore, we believe the Probody therapeutic approach has the potential to enable safer, more effective combination therapy for cancer.</w:t>
      </w:r>
    </w:p>
    <w:p>
      <w:pPr>
        <w:spacing w:after="0" w:line="42" w:lineRule="exact"/>
        <w:rPr>
          <w:sz w:val="20"/>
          <w:szCs w:val="20"/>
          <w:color w:val="auto"/>
        </w:rPr>
      </w:pPr>
    </w:p>
    <w:p>
      <w:pPr>
        <w:ind w:left="1" w:right="40"/>
        <w:spacing w:after="0" w:line="302" w:lineRule="auto"/>
        <w:rPr>
          <w:sz w:val="20"/>
          <w:szCs w:val="20"/>
          <w:color w:val="auto"/>
        </w:rPr>
      </w:pPr>
      <w:r>
        <w:rPr>
          <w:rFonts w:ascii="Arial" w:cs="Arial" w:eastAsia="Arial" w:hAnsi="Arial"/>
          <w:sz w:val="14"/>
          <w:szCs w:val="14"/>
          <w:color w:val="auto"/>
        </w:rPr>
        <w:t>Our most advanced product candidate is CX-072, a wholly owned Probody therapeutic targeting programmed cell death ligand 1 (“PD-L1”), a clinically and commercially validated immuno-oncology target. CX-072 is designed to uncouple the anti-cancer activity of PD-L1 inhibitors from the associated autoimmune toxicities by inhibiting PD-L1 in the tumor microenvironment with minimal engagement in healthy tissue. We are currently evaluating CX-072 in a Phase 1/2 study that we call PROCLAIM-CX-</w:t>
      </w:r>
    </w:p>
    <w:p>
      <w:pPr>
        <w:spacing w:after="0" w:line="1" w:lineRule="exact"/>
        <w:rPr>
          <w:sz w:val="20"/>
          <w:szCs w:val="20"/>
          <w:color w:val="auto"/>
        </w:rPr>
      </w:pPr>
    </w:p>
    <w:p>
      <w:pPr>
        <w:ind w:left="341" w:hanging="341"/>
        <w:spacing w:after="0"/>
        <w:tabs>
          <w:tab w:leader="none" w:pos="341"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study is designed to assess the safety, activity, and translational biology of CX-072 as a single agent and in combination with other anticancer therapies. We</w:t>
      </w:r>
    </w:p>
    <w:p>
      <w:pPr>
        <w:spacing w:after="0" w:line="37" w:lineRule="exact"/>
        <w:rPr>
          <w:rFonts w:ascii="Arial" w:cs="Arial" w:eastAsia="Arial" w:hAnsi="Arial"/>
          <w:sz w:val="14"/>
          <w:szCs w:val="14"/>
          <w:color w:val="auto"/>
        </w:rPr>
      </w:pPr>
    </w:p>
    <w:p>
      <w:pPr>
        <w:ind w:left="1" w:right="100"/>
        <w:spacing w:after="0" w:line="248" w:lineRule="auto"/>
        <w:rPr>
          <w:rFonts w:ascii="Arial" w:cs="Arial" w:eastAsia="Arial" w:hAnsi="Arial"/>
          <w:sz w:val="14"/>
          <w:szCs w:val="14"/>
          <w:color w:val="auto"/>
        </w:rPr>
      </w:pPr>
      <w:r>
        <w:rPr>
          <w:rFonts w:ascii="Arial" w:cs="Arial" w:eastAsia="Arial" w:hAnsi="Arial"/>
          <w:sz w:val="17"/>
          <w:szCs w:val="17"/>
          <w:color w:val="auto"/>
        </w:rPr>
        <w:t>disclosed initial clinical proof of concept data on CX-072 at various oncology conferences in 2018 and we disclosed additional clinical safety and efficacy data on CX-072 at a Research and Development Day hosted by CytomX management in February 2019 (the “CytomX R&amp;D Day”).</w:t>
      </w:r>
    </w:p>
    <w:p>
      <w:pPr>
        <w:spacing w:after="0" w:line="80" w:lineRule="exact"/>
        <w:rPr>
          <w:sz w:val="20"/>
          <w:szCs w:val="20"/>
          <w:color w:val="auto"/>
        </w:rPr>
      </w:pPr>
    </w:p>
    <w:p>
      <w:pPr>
        <w:ind w:left="1" w:right="60"/>
        <w:spacing w:after="0" w:line="264" w:lineRule="auto"/>
        <w:rPr>
          <w:sz w:val="20"/>
          <w:szCs w:val="20"/>
          <w:color w:val="auto"/>
        </w:rPr>
      </w:pPr>
      <w:r>
        <w:rPr>
          <w:rFonts w:ascii="Arial" w:cs="Arial" w:eastAsia="Arial" w:hAnsi="Arial"/>
          <w:sz w:val="16"/>
          <w:szCs w:val="16"/>
          <w:color w:val="auto"/>
        </w:rPr>
        <w:t>Our second most advanced product candidate is CX-2009, a wholly owned Probody Drug Conjugate directed against CD166, a novel drug target. Probody Drug Conjugates are unique, CytomX-designed Probody therapeutic versions of a class of drugs called Antibody Drug Conjugates (ADCs), which are antibodies that have been conjugated to a small molecule cytotoxic agent via a chemical linker. Because our Probody therapeutics are designed to minimize binding of potent anti-cancer therapy to normal tissues, we believe we can address a new class of targets with attractive molecular features that were previously unsuitable because of high expression on normal tissues. CD166 is an example of this kind of target.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currently in the dose escalation portion of a Phase 1/2 study. We disclosed initial clinical data on CX-2009 at the CytomX R&amp;D Day and additional data at the American Academy of Cancer Research conference in April 2019.</w:t>
      </w:r>
    </w:p>
    <w:p>
      <w:pPr>
        <w:spacing w:after="0" w:line="207" w:lineRule="exact"/>
        <w:rPr>
          <w:sz w:val="20"/>
          <w:szCs w:val="20"/>
          <w:color w:val="auto"/>
        </w:rPr>
      </w:pPr>
    </w:p>
    <w:p>
      <w:pPr>
        <w:ind w:left="1" w:right="60"/>
        <w:spacing w:after="0" w:line="311" w:lineRule="auto"/>
        <w:rPr>
          <w:sz w:val="20"/>
          <w:szCs w:val="20"/>
          <w:color w:val="auto"/>
        </w:rPr>
      </w:pPr>
      <w:r>
        <w:rPr>
          <w:rFonts w:ascii="Arial" w:cs="Arial" w:eastAsia="Arial" w:hAnsi="Arial"/>
          <w:sz w:val="14"/>
          <w:szCs w:val="14"/>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(“BMS”). The most advanced program from our partnerships is a BMS-986249, a CTLA-4 Probody therapeutic, which BMS is currently advancing in a Phase 1/2 clinical trial. We are also treating patients in a Phase 1/2 clinical study for CX-2029, a PDC targeting the novel and highly expressed target, CD71 that we have partnered with AbbVie. We have also extended our Probody platform to the T-cell engaging bispecific modality. Our most advanced program in this modality is an Epidermal Growth Factor Receptor-CD3 (“EGFR-CD3”) T-cell bispecific, which is currently in lead optimization stage, and which we are developing in partnership with Amgen.</w:t>
      </w:r>
    </w:p>
    <w:p>
      <w:pPr>
        <w:spacing w:after="0" w:line="165" w:lineRule="exact"/>
        <w:rPr>
          <w:sz w:val="20"/>
          <w:szCs w:val="20"/>
          <w:color w:val="auto"/>
        </w:rPr>
      </w:pPr>
    </w:p>
    <w:p>
      <w:pPr>
        <w:ind w:left="1" w:right="80"/>
        <w:spacing w:after="0" w:line="300" w:lineRule="auto"/>
        <w:rPr>
          <w:sz w:val="20"/>
          <w:szCs w:val="20"/>
          <w:color w:val="auto"/>
        </w:rPr>
      </w:pPr>
      <w:r>
        <w:rPr>
          <w:rFonts w:ascii="Arial" w:cs="Arial" w:eastAsia="Arial" w:hAnsi="Arial"/>
          <w:sz w:val="14"/>
          <w:szCs w:val="14"/>
          <w:color w:val="auto"/>
        </w:rPr>
        <w:t>We are currently conducting clinical trials for three product candidates derived from our Probody platform. Our partner, BMS is conducting a clinical trial for a fourth product candidate derived from our Probody platform.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$14.1 million and $15.5 million for the three months ended March 31, 2019 and 2018, respectively. As of March 31, 2019 and December 31, 2018, we had an accumulated deficit of $329.1 million and $315.0 million, respectively. We expect to continue to incur significant losses for the foreseeable future.</w:t>
      </w:r>
    </w:p>
    <w:p>
      <w:pPr>
        <w:ind w:left="1" w:right="100"/>
        <w:spacing w:after="0" w:line="246" w:lineRule="auto"/>
        <w:rPr>
          <w:sz w:val="20"/>
          <w:szCs w:val="20"/>
          <w:color w:val="auto"/>
        </w:rPr>
      </w:pPr>
      <w:r>
        <w:rPr>
          <w:rFonts w:ascii="Arial" w:cs="Arial" w:eastAsia="Arial" w:hAnsi="Arial"/>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22" w:right="239" w:bottom="1440" w:gutter="0" w:footer="0" w:header="0"/>
        </w:sectPr>
      </w:pPr>
    </w:p>
    <w:bookmarkStart w:id="27" w:name="page28"/>
    <w:bookmarkEnd w:id="27"/>
    <w:p>
      <w:pPr>
        <w:ind w:right="160"/>
        <w:spacing w:after="0" w:line="275" w:lineRule="auto"/>
        <w:rPr>
          <w:sz w:val="20"/>
          <w:szCs w:val="20"/>
          <w:color w:val="auto"/>
        </w:rPr>
      </w:pPr>
      <w:r>
        <w:rPr>
          <w:rFonts w:ascii="Arial" w:cs="Arial" w:eastAsia="Arial" w:hAnsi="Arial"/>
          <w:sz w:val="16"/>
          <w:szCs w:val="16"/>
          <w:color w:val="auto"/>
        </w:rPr>
        <w:t>product candidates for which we initiate clinical trials in 2019 and beyond.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2018. Other than the adoption of ASC 842, Leases, there have been no other material changes to our critical accounting policies and estimates during the three months ended March 31, 2019.</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301"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 xml:space="preserve">On January 1, 2019, we adopted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using the modified retrospective approach. We determine if an arrangement is or contains a lease at inception. Operating leases are recorded as operating lease right-of-use (“ROU”) assets and operating lease liabilities in our balance sheet. ROU assets represent our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We use an implicit rate when readily available, or our incremental borrowing rate based on the information available at lease commencement date in determining the present value of lease payments. The operating lease ROU assets also include any lease prepayments made and exclude lease incentives. Our lease terms may include options to extend the lease when it is reasonably certain that such option will be exercised. Lease expenses are recognized on a straight-line basis over the lease term. Our operating lease arrangement includes lease and non-lease components which are generally accounted for separately. See Note 9, Lease.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3" w:lineRule="exact"/>
        <w:rPr>
          <w:sz w:val="20"/>
          <w:szCs w:val="20"/>
          <w:color w:val="auto"/>
        </w:rPr>
      </w:pPr>
    </w:p>
    <w:p>
      <w:pPr>
        <w:ind w:right="40"/>
        <w:spacing w:after="0" w:line="311" w:lineRule="auto"/>
        <w:rPr>
          <w:sz w:val="20"/>
          <w:szCs w:val="20"/>
          <w:color w:val="auto"/>
        </w:rPr>
      </w:pPr>
      <w:r>
        <w:rPr>
          <w:rFonts w:ascii="Arial" w:cs="Arial" w:eastAsia="Arial" w:hAnsi="Arial"/>
          <w:sz w:val="14"/>
          <w:szCs w:val="14"/>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BMS and Pfizer for research and development costs incurred under our research, collaboration and license agreements with them are classified as revenue.</w:t>
      </w:r>
    </w:p>
    <w:p>
      <w:pPr>
        <w:spacing w:after="0" w:line="177"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BMS, ImmunoGen and any other collaboration partners, and as a result of the fluctuations in the research and development expenses we incur in the performance of assigned activities under these agreements.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28" w:name="page29"/>
    <w:bookmarkEnd w:id="28"/>
    <w:p>
      <w:pPr>
        <w:ind w:right="40"/>
        <w:spacing w:after="0" w:line="248" w:lineRule="auto"/>
        <w:rPr>
          <w:sz w:val="20"/>
          <w:szCs w:val="20"/>
          <w:color w:val="auto"/>
        </w:rPr>
      </w:pPr>
      <w:r>
        <w:rPr>
          <w:rFonts w:ascii="Arial" w:cs="Arial" w:eastAsia="Arial" w:hAnsi="Arial"/>
          <w:sz w:val="17"/>
          <w:szCs w:val="17"/>
          <w:color w:val="auto"/>
        </w:rPr>
        <w:t>AbbVie Ireland Unlimited Company (“AbbVie”),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CROs and CMOs,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83"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For example, we commenced enrollment of our Phase 1/2 clinical trial of CX-072, our candidate directed against PD-L1, for cancer and treated our first patient in January 2017, and our Phase 1/2 clinical trial of CX-2009, our PDC candidate directed against CD-166, for cancer and treated our first patient in June 2017. In June 2018, we commenced enrollment of our Phase 1/2 clinical trial for CX-2029, our CD71 Probody Drug Conjugate being developed in collaboration with AbbVie.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the Sarbanes-Oxley Act of 2002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Interest income primarily consists of interest income from our cash equivalents and short-term investments, and accretion of discounts or amortization of premiums on our short-term investments.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Other expense consists primarily of changes to currency exchange rates.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29" w:name="page30"/>
    <w:bookmarkEnd w:id="29"/>
    <w:p>
      <w:pPr>
        <w:ind w:right="80"/>
        <w:spacing w:after="0" w:line="253"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March 31,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Three Months Ended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7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6"/>
              </w:rPr>
              <w:t>March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05"/>
              <w:spacing w:after="0" w:line="142"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1"/>
        </w:trPr>
        <w:tc>
          <w:tcPr>
            <w:tcW w:w="6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840" w:type="dxa"/>
            <w:vAlign w:val="bottom"/>
            <w:shd w:val="clear" w:color="auto" w:fill="CFF0FC"/>
          </w:tcPr>
          <w:p>
            <w:pPr>
              <w:jc w:val="right"/>
              <w:ind w:right="66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29,485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14,184</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15,301</w:t>
            </w:r>
          </w:p>
        </w:tc>
        <w:tc>
          <w:tcPr>
            <w:tcW w:w="120" w:type="dxa"/>
            <w:vAlign w:val="bottom"/>
            <w:shd w:val="clear" w:color="auto" w:fill="CFF0FC"/>
          </w:tcPr>
          <w:p>
            <w:pPr>
              <w:spacing w:after="0"/>
              <w:rPr>
                <w:sz w:val="18"/>
                <w:szCs w:val="18"/>
                <w:color w:val="auto"/>
              </w:rPr>
            </w:pPr>
          </w:p>
        </w:tc>
      </w:tr>
      <w:tr>
        <w:trPr>
          <w:trHeight w:val="398"/>
        </w:trPr>
        <w:tc>
          <w:tcPr>
            <w:tcW w:w="6760" w:type="dxa"/>
            <w:vAlign w:val="bottom"/>
          </w:tcPr>
          <w:p>
            <w:pPr>
              <w:spacing w:after="0"/>
              <w:rPr>
                <w:sz w:val="20"/>
                <w:szCs w:val="20"/>
                <w:color w:val="auto"/>
              </w:rPr>
            </w:pPr>
            <w:r>
              <w:rPr>
                <w:rFonts w:ascii="Arial" w:cs="Arial" w:eastAsia="Arial" w:hAnsi="Arial"/>
                <w:sz w:val="17"/>
                <w:szCs w:val="17"/>
                <w:color w:val="auto"/>
                <w:w w:val="90"/>
              </w:rPr>
              <w:t>The following table summarizes our revenue by collaboration partner during the respective periods: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7"/>
        </w:trPr>
        <w:tc>
          <w:tcPr>
            <w:tcW w:w="6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Three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67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6"/>
              </w:rPr>
              <w:t>March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05"/>
              <w:spacing w:after="0" w:line="142"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7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AbbVie</w:t>
            </w:r>
          </w:p>
        </w:tc>
        <w:tc>
          <w:tcPr>
            <w:tcW w:w="840" w:type="dxa"/>
            <w:vAlign w:val="bottom"/>
            <w:shd w:val="clear" w:color="auto" w:fill="CFF0FC"/>
          </w:tcPr>
          <w:p>
            <w:pPr>
              <w:jc w:val="right"/>
              <w:ind w:right="66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2,671</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20" w:type="dxa"/>
            <w:vAlign w:val="bottom"/>
            <w:shd w:val="clear" w:color="auto" w:fill="CFF0FC"/>
          </w:tcPr>
          <w:p>
            <w:pPr>
              <w:spacing w:after="0"/>
              <w:rPr>
                <w:sz w:val="18"/>
                <w:szCs w:val="18"/>
                <w:color w:val="auto"/>
              </w:rPr>
            </w:pPr>
          </w:p>
        </w:tc>
      </w:tr>
      <w:tr>
        <w:trPr>
          <w:trHeight w:val="211"/>
        </w:trPr>
        <w:tc>
          <w:tcPr>
            <w:tcW w:w="6760" w:type="dxa"/>
            <w:vAlign w:val="bottom"/>
          </w:tcPr>
          <w:p>
            <w:pPr>
              <w:ind w:left="220"/>
              <w:spacing w:after="0"/>
              <w:rPr>
                <w:sz w:val="20"/>
                <w:szCs w:val="20"/>
                <w:color w:val="auto"/>
              </w:rPr>
            </w:pPr>
            <w:r>
              <w:rPr>
                <w:rFonts w:ascii="Arial" w:cs="Arial" w:eastAsia="Arial" w:hAnsi="Arial"/>
                <w:sz w:val="17"/>
                <w:szCs w:val="17"/>
                <w:color w:val="auto"/>
              </w:rPr>
              <w:t>Amgen</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(220)</w:t>
            </w:r>
          </w:p>
        </w:tc>
      </w:tr>
      <w:tr>
        <w:trPr>
          <w:trHeight w:val="211"/>
        </w:trPr>
        <w:tc>
          <w:tcPr>
            <w:tcW w:w="67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BMS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25,502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17,334</w:t>
            </w:r>
          </w:p>
        </w:tc>
        <w:tc>
          <w:tcPr>
            <w:tcW w:w="120" w:type="dxa"/>
            <w:vAlign w:val="bottom"/>
            <w:shd w:val="clear" w:color="auto" w:fill="CFF0FC"/>
          </w:tcPr>
          <w:p>
            <w:pPr>
              <w:spacing w:after="0"/>
              <w:rPr>
                <w:sz w:val="18"/>
                <w:szCs w:val="18"/>
                <w:color w:val="auto"/>
              </w:rPr>
            </w:pPr>
          </w:p>
        </w:tc>
      </w:tr>
      <w:tr>
        <w:trPr>
          <w:trHeight w:val="211"/>
        </w:trPr>
        <w:tc>
          <w:tcPr>
            <w:tcW w:w="6760" w:type="dxa"/>
            <w:vAlign w:val="bottom"/>
          </w:tcPr>
          <w:p>
            <w:pPr>
              <w:ind w:left="220"/>
              <w:spacing w:after="0"/>
              <w:rPr>
                <w:sz w:val="20"/>
                <w:szCs w:val="20"/>
                <w:color w:val="auto"/>
              </w:rPr>
            </w:pPr>
            <w:r>
              <w:rPr>
                <w:rFonts w:ascii="Arial" w:cs="Arial" w:eastAsia="Arial" w:hAnsi="Arial"/>
                <w:sz w:val="17"/>
                <w:szCs w:val="17"/>
                <w:color w:val="auto"/>
              </w:rPr>
              <w:t>ImmunoGen</w:t>
            </w:r>
          </w:p>
        </w:tc>
        <w:tc>
          <w:tcPr>
            <w:tcW w:w="8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(735)</w:t>
            </w:r>
          </w:p>
        </w:tc>
      </w:tr>
      <w:tr>
        <w:trPr>
          <w:trHeight w:val="211"/>
        </w:trPr>
        <w:tc>
          <w:tcPr>
            <w:tcW w:w="67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Pfizer</w:t>
            </w:r>
          </w:p>
        </w:tc>
        <w:tc>
          <w:tcPr>
            <w:tcW w:w="8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(1,355)</w:t>
            </w:r>
          </w:p>
        </w:tc>
      </w:tr>
      <w:tr>
        <w:trPr>
          <w:trHeight w:val="204"/>
        </w:trPr>
        <w:tc>
          <w:tcPr>
            <w:tcW w:w="6760" w:type="dxa"/>
            <w:vAlign w:val="bottom"/>
          </w:tcPr>
          <w:p>
            <w:pPr>
              <w:spacing w:after="0"/>
              <w:rPr>
                <w:sz w:val="20"/>
                <w:szCs w:val="20"/>
                <w:color w:val="auto"/>
              </w:rPr>
            </w:pPr>
            <w:r>
              <w:rPr>
                <w:rFonts w:ascii="Arial" w:cs="Arial" w:eastAsia="Arial" w:hAnsi="Arial"/>
                <w:sz w:val="17"/>
                <w:szCs w:val="17"/>
                <w:color w:val="auto"/>
              </w:rPr>
              <w:t>Total Revenue</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29,485</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14,184</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15,301</w:t>
            </w:r>
          </w:p>
        </w:tc>
        <w:tc>
          <w:tcPr>
            <w:tcW w:w="12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increase in revenue of $15.3 million for the current period compared to the corresponding period in 2018 was primarily due to the accelerated recognition of revenue of $17.4 million related to the termination of certain targets under our Collaboration and License BMS Agreement with BMS (the “BMS Agreement”) partially offset by decreases in revenue from ImmunoGen and Pfizer.</w:t>
      </w:r>
    </w:p>
    <w:p>
      <w:pPr>
        <w:spacing w:after="0" w:line="214"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The decrease in revenue from ImmunoGen of $0.7 million for the current period compared to the corresponding period in 2018 was due to the completion of the related research term in June 2018 under our Research Collaboration Agreement with Immunogen (the “Immunogen Research Agreement”).</w:t>
      </w:r>
    </w:p>
    <w:p>
      <w:pPr>
        <w:spacing w:after="0" w:line="169" w:lineRule="exact"/>
        <w:rPr>
          <w:sz w:val="20"/>
          <w:szCs w:val="20"/>
          <w:color w:val="auto"/>
        </w:rPr>
      </w:pPr>
    </w:p>
    <w:p>
      <w:pPr>
        <w:ind w:right="780"/>
        <w:spacing w:after="0" w:line="263" w:lineRule="auto"/>
        <w:rPr>
          <w:sz w:val="20"/>
          <w:szCs w:val="20"/>
          <w:color w:val="auto"/>
        </w:rPr>
      </w:pPr>
      <w:r>
        <w:rPr>
          <w:rFonts w:ascii="Arial" w:cs="Arial" w:eastAsia="Arial" w:hAnsi="Arial"/>
          <w:sz w:val="17"/>
          <w:szCs w:val="17"/>
          <w:color w:val="auto"/>
        </w:rPr>
        <w:t>The decrease in revenue from Pfizer of $1.3 million for the current period compared to the corresponding period in 2018 was due to termination of our Research Collaboration, Option and License Agreement with Pfizer Inc. in March 2018.</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Three Months Ended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2018</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5"/>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3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840" w:type="dxa"/>
            <w:vAlign w:val="bottom"/>
            <w:shd w:val="clear" w:color="auto" w:fill="CFF0FC"/>
          </w:tcPr>
          <w:p>
            <w:pPr>
              <w:jc w:val="right"/>
              <w:ind w:right="66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w w:val="88"/>
              </w:rPr>
              <w:t>36,376</w:t>
            </w:r>
          </w:p>
        </w:tc>
        <w:tc>
          <w:tcPr>
            <w:tcW w:w="32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22,458</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13,918</w:t>
            </w:r>
          </w:p>
        </w:tc>
        <w:tc>
          <w:tcPr>
            <w:tcW w:w="120" w:type="dxa"/>
            <w:vAlign w:val="bottom"/>
            <w:shd w:val="clear" w:color="auto" w:fill="CFF0FC"/>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expenses increased $13.9 million during the current period compared to the corresponding period in 2018. The increase was attributable to a</w:t>
      </w:r>
    </w:p>
    <w:p>
      <w:pPr>
        <w:spacing w:after="0" w:line="5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$5.0 million charge for an acquired technical know-how related to drug conjugate linker-toxin and CD3-based bispecific technologies during the current period, an increase of $2.5 million in expenses related to laboratory contracts and services and laboratory supplies and equipment, an increase of $2.1 million in clinical related expenses resulting from increased clinical trial activities, an increase of $3.4 million in personnel-related expenses due to an increase in headcount, and an increase of $0.8 million in the allocation of information technology and facilities related expenses resulting from an increase in headcount.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following table summarizes our research and development expenses by program incurred during the respective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Three Months Ended</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6"/>
              </w:rPr>
              <w:t>March 31,</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
              <w:spacing w:after="0" w:line="142" w:lineRule="exact"/>
              <w:rPr>
                <w:sz w:val="20"/>
                <w:szCs w:val="20"/>
                <w:color w:val="auto"/>
              </w:rPr>
            </w:pPr>
            <w:r>
              <w:rPr>
                <w:rFonts w:ascii="Arial" w:cs="Arial" w:eastAsia="Arial" w:hAnsi="Arial"/>
                <w:sz w:val="13"/>
                <w:szCs w:val="13"/>
                <w:b w:val="1"/>
                <w:bCs w:val="1"/>
                <w:color w:val="auto"/>
                <w:w w:val="89"/>
              </w:rPr>
              <w:t>2018</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60" w:type="dxa"/>
            <w:vAlign w:val="bottom"/>
            <w:vMerge w:val="restart"/>
          </w:tcPr>
          <w:p>
            <w:pPr>
              <w:spacing w:after="0"/>
              <w:rPr>
                <w:sz w:val="20"/>
                <w:szCs w:val="20"/>
                <w:color w:val="auto"/>
              </w:rPr>
            </w:pPr>
            <w:r>
              <w:rPr>
                <w:rFonts w:ascii="Arial" w:cs="Arial" w:eastAsia="Arial" w:hAnsi="Arial"/>
                <w:sz w:val="17"/>
                <w:szCs w:val="17"/>
                <w:b w:val="1"/>
                <w:bCs w:val="1"/>
                <w:color w:val="auto"/>
              </w:rPr>
              <w:t>External costs incurred by product candidate (target):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7"/>
                <w:szCs w:val="17"/>
                <w:color w:val="auto"/>
              </w:rPr>
              <w:t>CX-072 (PD-L1)</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4,786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4,075</w:t>
            </w:r>
          </w:p>
        </w:tc>
        <w:tc>
          <w:tcPr>
            <w:tcW w:w="3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CX-2009 (CD166)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7"/>
                <w:szCs w:val="17"/>
                <w:color w:val="auto"/>
              </w:rPr>
              <w:t>CX-2029 (CD71)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Other wholly owned and partnered programs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research and development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8,122</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23,929</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14,220</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Internal Costs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12,447</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8,238</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b w:val="1"/>
                <w:bCs w:val="1"/>
                <w:color w:val="auto"/>
              </w:rPr>
              <w:t>Total research and development expenses</w:t>
            </w: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36,376</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22,458</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80"/>
        <w:spacing w:after="0" w:line="311" w:lineRule="auto"/>
        <w:rPr>
          <w:sz w:val="20"/>
          <w:szCs w:val="20"/>
          <w:color w:val="auto"/>
        </w:rPr>
      </w:pPr>
      <w:r>
        <w:rPr>
          <w:rFonts w:ascii="Arial" w:cs="Arial" w:eastAsia="Arial" w:hAnsi="Arial"/>
          <w:sz w:val="14"/>
          <w:szCs w:val="14"/>
          <w:color w:val="auto"/>
        </w:rPr>
        <w:t>The decrease in “Other wholly owned and partnered programs” for the current period compared to the corresponding period of 2018 was primarily due to reduced activities for such programs. The increase in general research and development expenses for the current period compared to the corresponding period of 2018 was primarily due to a $5.0 million charge for an acquired technical know-how related to drug conjugate linker-toxin and CD3-based bispecific technologies during the current period. The increase in other categories of external costs for the current period was due primarily to increases in laboratory contracts and services and clinical trial expenses related to CX-072, CX-2009 and CX-2029 Phase 1/2 clinical development. The increase in internal costs for the current period was primarily due to increase in personnel-related expenses and allocation of information technology and facilities-related expenses resulting from an increase in headcount.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Three Months Ended</w:t>
            </w: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7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880" w:type="dxa"/>
            <w:vAlign w:val="bottom"/>
            <w:tcBorders>
              <w:bottom w:val="single" w:sz="8" w:color="auto"/>
            </w:tcBorders>
          </w:tcPr>
          <w:p>
            <w:pPr>
              <w:jc w:val="right"/>
              <w:ind w:right="5"/>
              <w:spacing w:after="0" w:line="142"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2018</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5"/>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3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880" w:type="dxa"/>
            <w:vAlign w:val="bottom"/>
            <w:shd w:val="clear" w:color="auto" w:fill="CFF0FC"/>
          </w:tcPr>
          <w:p>
            <w:pPr>
              <w:jc w:val="right"/>
              <w:ind w:right="70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w w:val="98"/>
              </w:rPr>
              <w:t>9,674</w:t>
            </w:r>
          </w:p>
        </w:tc>
        <w:tc>
          <w:tcPr>
            <w:tcW w:w="32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7,356</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2,318</w:t>
            </w:r>
          </w:p>
        </w:tc>
        <w:tc>
          <w:tcPr>
            <w:tcW w:w="120" w:type="dxa"/>
            <w:vAlign w:val="bottom"/>
            <w:shd w:val="clear" w:color="auto" w:fill="CFF0FC"/>
          </w:tcPr>
          <w:p>
            <w:pPr>
              <w:spacing w:after="0"/>
              <w:rPr>
                <w:sz w:val="18"/>
                <w:szCs w:val="18"/>
                <w:color w:val="auto"/>
              </w:rPr>
            </w:pPr>
          </w:p>
        </w:tc>
      </w:tr>
    </w:tbl>
    <w:p>
      <w:pPr>
        <w:spacing w:after="0" w:line="186"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General and administrative expense increased $2.3 million during the current period compared to the corresponding period in 2018. The increase was primarily attributable to an increase of $1.8 million in personnel-related expense due to an increase in headcount, and an increase of $0.5 million in consulting and professional services primarily due to an increase in tax and accounting compliance activities.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Other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Three Months Ended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6"/>
              </w:rPr>
              <w:t>March 31,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80" w:type="dxa"/>
            <w:vAlign w:val="bottom"/>
            <w:tcBorders>
              <w:bottom w:val="single" w:sz="8" w:color="auto"/>
            </w:tcBorders>
          </w:tcPr>
          <w:p>
            <w:pPr>
              <w:jc w:val="right"/>
              <w:ind w:right="5"/>
              <w:spacing w:after="0" w:line="142"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05"/>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3500" w:type="dxa"/>
            <w:vAlign w:val="bottom"/>
            <w:gridSpan w:val="2"/>
          </w:tcPr>
          <w:p>
            <w:pPr>
              <w:jc w:val="right"/>
              <w:ind w:right="705"/>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2,496</w:t>
            </w:r>
          </w:p>
        </w:tc>
        <w:tc>
          <w:tcPr>
            <w:tcW w:w="26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1,375</w:t>
            </w:r>
          </w:p>
        </w:tc>
        <w:tc>
          <w:tcPr>
            <w:tcW w:w="160" w:type="dxa"/>
            <w:vAlign w:val="bottom"/>
          </w:tcPr>
          <w:p>
            <w:pPr>
              <w:spacing w:after="0"/>
              <w:rPr>
                <w:sz w:val="18"/>
                <w:szCs w:val="18"/>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expense</w:t>
            </w:r>
          </w:p>
        </w:tc>
        <w:tc>
          <w:tcPr>
            <w:tcW w:w="26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20"/>
                <w:szCs w:val="20"/>
                <w:color w:val="auto"/>
              </w:rPr>
            </w:pPr>
            <w:r>
              <w:rPr>
                <w:rFonts w:ascii="Arial" w:cs="Arial" w:eastAsia="Arial" w:hAnsi="Arial"/>
                <w:sz w:val="17"/>
                <w:szCs w:val="17"/>
                <w:color w:val="auto"/>
              </w:rPr>
              <w:t>Total Interest income and other expense</w:t>
            </w:r>
          </w:p>
        </w:tc>
        <w:tc>
          <w:tcPr>
            <w:tcW w:w="26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2,435</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20" w:type="dxa"/>
            <w:vAlign w:val="bottom"/>
            <w:vMerge w:val="restart"/>
          </w:tcPr>
          <w:p>
            <w:pPr>
              <w:jc w:val="right"/>
              <w:ind w:right="877"/>
              <w:spacing w:after="0"/>
              <w:rPr>
                <w:sz w:val="20"/>
                <w:szCs w:val="20"/>
                <w:color w:val="auto"/>
              </w:rPr>
            </w:pPr>
            <w:r>
              <w:rPr>
                <w:rFonts w:ascii="Arial" w:cs="Arial" w:eastAsia="Arial" w:hAnsi="Arial"/>
                <w:sz w:val="17"/>
                <w:szCs w:val="17"/>
                <w:color w:val="auto"/>
              </w:rPr>
              <w:t>31</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1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63" w:right="19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Interest Income</w:t>
      </w:r>
    </w:p>
    <w:p>
      <w:pPr>
        <w:spacing w:after="0" w:line="103" w:lineRule="exact"/>
        <w:rPr>
          <w:sz w:val="20"/>
          <w:szCs w:val="20"/>
          <w:color w:val="auto"/>
        </w:rPr>
      </w:pPr>
    </w:p>
    <w:p>
      <w:pPr>
        <w:jc w:val="both"/>
        <w:ind w:right="220"/>
        <w:spacing w:after="0" w:line="253" w:lineRule="auto"/>
        <w:rPr>
          <w:sz w:val="20"/>
          <w:szCs w:val="20"/>
          <w:color w:val="auto"/>
        </w:rPr>
      </w:pPr>
      <w:r>
        <w:rPr>
          <w:rFonts w:ascii="Arial" w:cs="Arial" w:eastAsia="Arial" w:hAnsi="Arial"/>
          <w:sz w:val="17"/>
          <w:szCs w:val="17"/>
          <w:color w:val="auto"/>
        </w:rPr>
        <w:t>Interest income increased $1.1 million during the current period compared to the corresponding period in 2018. The increase was primarily attributable to an increase in interest earned on our short-term investments due to an overall increase in our cash and cash equivalents position resulting from the common stock offering completed in July 2018.</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w:t>
      </w:r>
    </w:p>
    <w:p>
      <w:pPr>
        <w:spacing w:after="0" w:line="103"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Other expense decreased $0.1 million during the current period compared to the corresponding period in 2018. The decrease was primarily attributable to a decrease in foreign currency losses resulting from the strengthening of the U.S. dollar against the Euro and British Pound Sterling.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tbl>
      <w:tblPr>
        <w:tblLayout w:type="fixed"/>
        <w:tblInd w:w="0" w:type="dxa"/>
        <w:tblCellMar>
          <w:top w:w="0" w:type="dxa"/>
          <w:left w:w="0" w:type="dxa"/>
          <w:bottom w:w="0" w:type="dxa"/>
          <w:right w:w="0" w:type="dxa"/>
        </w:tblCellMar>
      </w:tblPr>
      <w:tr>
        <w:trPr>
          <w:trHeight w:val="145"/>
        </w:trPr>
        <w:tc>
          <w:tcPr>
            <w:tcW w:w="6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4"/>
              </w:rPr>
              <w:t>Three Months Ended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760" w:type="dxa"/>
            <w:vAlign w:val="bottom"/>
          </w:tcPr>
          <w:p>
            <w:pPr>
              <w:spacing w:after="0"/>
              <w:rPr>
                <w:sz w:val="12"/>
                <w:szCs w:val="12"/>
                <w:color w:val="auto"/>
              </w:rPr>
            </w:pPr>
          </w:p>
        </w:tc>
        <w:tc>
          <w:tcPr>
            <w:tcW w:w="1000" w:type="dxa"/>
            <w:vAlign w:val="bottom"/>
            <w:tcBorders>
              <w:bottom w:val="single" w:sz="8" w:color="auto"/>
            </w:tcBorders>
          </w:tcPr>
          <w:p>
            <w:pPr>
              <w:jc w:val="right"/>
              <w:ind w:right="125"/>
              <w:spacing w:after="0" w:line="142" w:lineRule="exact"/>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2018</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3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Provision for (benefit from) income taxes</w:t>
            </w:r>
          </w:p>
        </w:tc>
        <w:tc>
          <w:tcPr>
            <w:tcW w:w="1000" w:type="dxa"/>
            <w:vAlign w:val="bottom"/>
            <w:shd w:val="clear" w:color="auto" w:fill="CFF0FC"/>
          </w:tcPr>
          <w:p>
            <w:pPr>
              <w:jc w:val="right"/>
              <w:ind w:right="82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(6)</w:t>
            </w:r>
          </w:p>
        </w:tc>
        <w:tc>
          <w:tcPr>
            <w:tcW w:w="28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1,098</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(1,104)</w:t>
            </w:r>
          </w:p>
        </w:tc>
      </w:tr>
    </w:tbl>
    <w:p>
      <w:pPr>
        <w:spacing w:after="0" w:line="149" w:lineRule="exact"/>
        <w:rPr>
          <w:sz w:val="20"/>
          <w:szCs w:val="20"/>
          <w:color w:val="auto"/>
        </w:rPr>
      </w:pPr>
    </w:p>
    <w:p>
      <w:pPr>
        <w:ind w:right="120"/>
        <w:spacing w:after="0" w:line="321" w:lineRule="auto"/>
        <w:rPr>
          <w:sz w:val="20"/>
          <w:szCs w:val="20"/>
          <w:color w:val="auto"/>
        </w:rPr>
      </w:pPr>
      <w:r>
        <w:rPr>
          <w:rFonts w:ascii="Arial" w:cs="Arial" w:eastAsia="Arial" w:hAnsi="Arial"/>
          <w:sz w:val="14"/>
          <w:szCs w:val="14"/>
          <w:color w:val="auto"/>
        </w:rPr>
        <w:t>Provision for income taxes decreased by $1.1 million during the current period compared to the corresponding period in 2018. The income tax benefit of $6,000 for the current period resulted from an unrealized-gain on the available for sale securities recorded in other comprehensive income during the period. The income tax expense of $1.1 million for the corresponding period in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03"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As of March 31, 2019, we had cash, cash equivalents and short-term investments of $396.6 million and an accumulated deficit of $329.1 million, compared to cash, cash equivalents and short-term investments of $436.1 million and an accumulated deficit of $315.0 million as of December 31, 2018. To date, we have financed our operations primarily through sales of our common stock in conjunction with the IPO and a subsequent stock offering, sales of our convertible preferred securities prior to our IPO and payments received under our collaboration agreements. In July 2018, we issued 5,867,347 shares of our common stock at a price of $24.50 per share, which included 765,306 shares issued pursuant to the underwriters’ exercise of their option to purchase additional shares of common stock, for net proceeds of $134.6 million.</w:t>
      </w:r>
    </w:p>
    <w:p>
      <w:pPr>
        <w:spacing w:after="0" w:line="13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into 2021.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Summary Statement of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5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3"/>
                <w:szCs w:val="13"/>
                <w:b w:val="1"/>
                <w:bCs w:val="1"/>
                <w:color w:val="auto"/>
                <w:w w:val="96"/>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5"/>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1"/>
        </w:trPr>
        <w:tc>
          <w:tcPr>
            <w:tcW w:w="5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left="425"/>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(39,029)</w:t>
            </w:r>
          </w:p>
        </w:tc>
        <w:tc>
          <w:tcPr>
            <w:tcW w:w="360" w:type="dxa"/>
            <w:vAlign w:val="bottom"/>
            <w:shd w:val="clear" w:color="auto" w:fill="CFF0FC"/>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(14,612)</w:t>
            </w:r>
          </w:p>
        </w:tc>
      </w:tr>
      <w:tr>
        <w:trPr>
          <w:trHeight w:val="211"/>
        </w:trPr>
        <w:tc>
          <w:tcPr>
            <w:tcW w:w="54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(18,606)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(23,383)</w:t>
            </w:r>
          </w:p>
        </w:tc>
      </w:tr>
      <w:tr>
        <w:trPr>
          <w:trHeight w:val="211"/>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2,602</w:t>
            </w:r>
          </w:p>
        </w:tc>
        <w:tc>
          <w:tcPr>
            <w:tcW w:w="100" w:type="dxa"/>
            <w:vAlign w:val="bottom"/>
            <w:shd w:val="clear" w:color="auto" w:fill="CFF0FC"/>
          </w:tcPr>
          <w:p>
            <w:pPr>
              <w:spacing w:after="0"/>
              <w:rPr>
                <w:sz w:val="18"/>
                <w:szCs w:val="18"/>
                <w:color w:val="auto"/>
              </w:rPr>
            </w:pPr>
          </w:p>
        </w:tc>
      </w:tr>
      <w:tr>
        <w:trPr>
          <w:trHeight w:val="204"/>
        </w:trPr>
        <w:tc>
          <w:tcPr>
            <w:tcW w:w="5480" w:type="dxa"/>
            <w:vAlign w:val="bottom"/>
          </w:tcPr>
          <w:p>
            <w:pPr>
              <w:spacing w:after="0"/>
              <w:rPr>
                <w:sz w:val="20"/>
                <w:szCs w:val="20"/>
                <w:color w:val="auto"/>
              </w:rPr>
            </w:pPr>
            <w:r>
              <w:rPr>
                <w:rFonts w:ascii="Arial" w:cs="Arial" w:eastAsia="Arial" w:hAnsi="Arial"/>
                <w:sz w:val="17"/>
                <w:szCs w:val="17"/>
                <w:color w:val="auto"/>
              </w:rPr>
              <w:t>Net decrease in cash, cash equivalents and restricted cash</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(57,170)</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(35,393)</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During the three months ended March 31, 2019, cash used in operating activities was $39.0 million, which consisted of a net loss of $14.1 million, adjusted by non-cash charges of $5.1 million and a net decrease of $30.0 million in our net operating assets. The non-cash charges primarily consist of $5.2 million in stock-based compensation and $0.6 million in depreciation and amortization, partially offset by $0.7 million in accretion of discounts on our short-term investments. The change in our net operating assets and liabilities was primarily due to a decrease of $29.5 million in deferred revenue resulting primarily from the accelerated recognition of revenue of $17.4 million related to the termination of certain targets under the BMS Agreement and recognition of upfront fees and milestone payments under ASC606 pursuant to our collaborative agreements, and a decrease of $6.6 million in accrued liabilities. These decreases were partially offset by an increase of $5.2 million in accounts payable due to the timing of certain payments and a decrease of $0.8 million in prepaid expenses and other current assets.</w:t>
      </w:r>
    </w:p>
    <w:p>
      <w:pPr>
        <w:spacing w:after="0" w:line="45"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During the three months ended March 31, 2018, cash used in operating activities was $14.6 million, which consisted of a net loss of $15.5 million, adjusted by non-cash charges of $3.8 million and a net decrease of $2.9 million in our net operating assets. The non-cash charges primarily consist of $3.7 million in stock-based compensation and $0.4 million in depreciation and amortization, partially offset by $0.3 million in accretion of discounts on our short-term investments. The change in our net operating assets and liabilities was primarily due to a decrease of $14.1 million in deferred revenue resulting from recognition of upfront fees under ASC 606 pursuant to our collaboration agreements and a decrease of $1.1 million in prepaid expenses and other current assets. These decreases were partially offset by an increase of $10.1 million in accounts receivable resulting primarily from the $10.0 million payment we received from BMS for the IND filing BMS-986249, an increase in accrued liabilities, income tax payable and other long-term liabilities of $1.1 million, and an increase in accounts payable of $1.1 million.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0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During the three months ended March 31, 2019, cash used in investing activities was $18.6 million, which consisted of $62.3 million used in the purchase of short-term investments and $1.8 million of capital expenditures used to purchase property and equipment. Such uses were partially offset by $45.5 million in proceeds received upon the maturity of marketable securities.</w:t>
      </w:r>
    </w:p>
    <w:p>
      <w:pPr>
        <w:spacing w:after="0" w:line="78"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During the three months ended March 31, 2018, cash used in investing activities was $23.4 million, which consisted of $48.1 million used in the purchase of short-term investments and $0.8 million of capital expenditures used to purchase property and equipment. Such uses were partially offset by $25.5 million in proceeds received upon the maturity of marketable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2019 and 2018, cash provided by financing activities primarily consisted of proceeds from the exercise of stock options.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Contractual Obligations</w:t>
      </w:r>
    </w:p>
    <w:p>
      <w:pPr>
        <w:spacing w:after="0" w:line="200" w:lineRule="exact"/>
        <w:rPr>
          <w:sz w:val="20"/>
          <w:szCs w:val="20"/>
          <w:color w:val="auto"/>
        </w:rPr>
      </w:pPr>
    </w:p>
    <w:p>
      <w:pPr>
        <w:spacing w:after="0" w:line="30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During the three months ended March 31, 2019, there were no material changes in contractual obligations from the amounts disclosed in our Annual Report on Form 10-K for the year ended December 31, 2018.</w:t>
      </w:r>
    </w:p>
    <w:p>
      <w:pPr>
        <w:spacing w:after="0" w:line="16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Following our entry into Amendment No. 3 to the UCSB Agreement in April 2019, we are obligated to pay an additional annual license maintenance fee of $750,000 from April 2019 through 2031. See Part I. Item I. Notes to Condensed Financial Statements, Note 11. Subsequent Event for further details.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one primary business activity and operate as one reportable segment.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7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107"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 risks. We had cash, cash equivalents and short-term investments of $396.6 million as of March 31, 2019 and cash, cash equivalents and short-term investments of $436.1 million as of December 31, 2018, which consists of bank deposits, money market funds and U.S. government bonds. Such interest-bearing instruments carry a degree of interest rate risk; however, historical fluctuations of interest income have not been significant.</w:t>
      </w:r>
    </w:p>
    <w:p>
      <w:pPr>
        <w:spacing w:after="0" w:line="179" w:lineRule="exact"/>
        <w:rPr>
          <w:sz w:val="20"/>
          <w:szCs w:val="20"/>
          <w:color w:val="auto"/>
        </w:rPr>
      </w:pPr>
    </w:p>
    <w:p>
      <w:pPr>
        <w:ind w:right="140"/>
        <w:spacing w:after="0" w:line="333" w:lineRule="auto"/>
        <w:rPr>
          <w:sz w:val="20"/>
          <w:szCs w:val="20"/>
          <w:color w:val="auto"/>
        </w:rPr>
      </w:pPr>
      <w:r>
        <w:rPr>
          <w:rFonts w:ascii="Arial" w:cs="Arial" w:eastAsia="Arial" w:hAnsi="Arial"/>
          <w:sz w:val="14"/>
          <w:szCs w:val="14"/>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March 31, 2019, a hypothetical 100 basis point change in interest rates would not have material effect in the fair value of the portfolio. Any changes would only be realized if we sold the investments prior to maturity.</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3"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34" w:name="page35"/>
    <w:bookmarkEnd w:id="34"/>
    <w:p>
      <w:pPr>
        <w:spacing w:after="0" w:line="248"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March 31, 2019,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03" w:lineRule="exact"/>
        <w:rPr>
          <w:sz w:val="20"/>
          <w:szCs w:val="20"/>
          <w:color w:val="auto"/>
        </w:rPr>
      </w:pPr>
    </w:p>
    <w:p>
      <w:pPr>
        <w:ind w:right="20"/>
        <w:spacing w:after="0" w:line="371" w:lineRule="auto"/>
        <w:rPr>
          <w:sz w:val="20"/>
          <w:szCs w:val="20"/>
          <w:color w:val="auto"/>
        </w:rPr>
      </w:pPr>
      <w:r>
        <w:rPr>
          <w:rFonts w:ascii="Arial" w:cs="Arial" w:eastAsia="Arial" w:hAnsi="Arial"/>
          <w:sz w:val="14"/>
          <w:szCs w:val="14"/>
          <w:color w:val="auto"/>
        </w:rPr>
        <w:t>There was no change in our internal control over financial reporting (as defined in Rules 13a-15(f) and 15d-15(f) under the Exchange Act) that occurred during our most recent fiscal quarter ended March 31, 2019 that has materially affected, or is reasonably likely to materially affect, our internal control over financial reporting.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00"/>
          </w:cols>
          <w:pgMar w:left="240" w:top="525"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07"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63"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March 31, 2019 and December 31, 2018, we had an accumulated deficit of $329.1 million and $315.0 million, respectively. Substantially all of our losses have resulted from expenses incurred in connection with our research and development programs and from general and administrative costs associated with our operations.</w:t>
      </w:r>
    </w:p>
    <w:p>
      <w:pPr>
        <w:spacing w:after="0" w:line="18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8"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continue to enroll patients in our ongoing Phase 1/2 clinical trials of CX-072, our candidate directed against PD-L1, CX-2009, our PDC candidate directed against CD-166, CX-2029, and our PDC candidate directed against CD71 in collaboration with AbbVie Inc.,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00" w:lineRule="exact"/>
        <w:rPr>
          <w:sz w:val="20"/>
          <w:szCs w:val="20"/>
          <w:color w:val="auto"/>
        </w:rPr>
      </w:pPr>
    </w:p>
    <w:p>
      <w:pPr>
        <w:spacing w:after="0" w:line="248" w:lineRule="exact"/>
        <w:rPr>
          <w:sz w:val="20"/>
          <w:szCs w:val="20"/>
          <w:color w:val="auto"/>
        </w:rPr>
      </w:pPr>
    </w:p>
    <w:p>
      <w:pPr>
        <w:jc w:val="both"/>
        <w:ind w:right="500"/>
        <w:spacing w:after="0" w:line="277"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6" w:name="page37"/>
    <w:bookmarkEnd w:id="36"/>
    <w:p>
      <w:pPr>
        <w:ind w:right="80"/>
        <w:spacing w:after="0" w:line="308" w:lineRule="auto"/>
        <w:rPr>
          <w:sz w:val="20"/>
          <w:szCs w:val="20"/>
          <w:color w:val="auto"/>
        </w:rPr>
      </w:pPr>
      <w:r>
        <w:rPr>
          <w:rFonts w:ascii="Arial" w:cs="Arial" w:eastAsia="Arial" w:hAnsi="Arial"/>
          <w:sz w:val="14"/>
          <w:szCs w:val="14"/>
          <w:color w:val="auto"/>
        </w:rPr>
        <w:t>As of March 31, 2019, we had $396.6 million in cash, cash equivalents and short-term investments. We believe that our existing capital resources will be sufficient to fund our planned operations into 2021.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continue to enroll patients in our ongoing Phase 1/2 clinical trials of CX-072, CX-2009, and CX-2029,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timing and amount of our operating expenditures will depend largely on:</w:t>
      </w:r>
    </w:p>
    <w:p>
      <w:pPr>
        <w:spacing w:after="0" w:line="103" w:lineRule="exact"/>
        <w:rPr>
          <w:sz w:val="20"/>
          <w:szCs w:val="20"/>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timing and progress of our ongoing clinical trials as well as any other preclinical and clinical development activities;</w:t>
      </w:r>
    </w:p>
    <w:p>
      <w:pPr>
        <w:spacing w:after="0" w:line="102" w:lineRule="exact"/>
        <w:rPr>
          <w:rFonts w:ascii="Arial" w:cs="Arial" w:eastAsia="Arial" w:hAnsi="Arial"/>
          <w:sz w:val="17"/>
          <w:szCs w:val="17"/>
          <w:color w:val="auto"/>
        </w:rPr>
      </w:pPr>
    </w:p>
    <w:p>
      <w:pPr>
        <w:ind w:left="1020" w:right="280" w:hanging="511"/>
        <w:spacing w:after="0" w:line="263"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size and type of clinical trials and preclinical studies that we may be required to complete for our product candidates, as well as the cost and time of such studies and trials;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scope and prioritization of preclinical and clinical programs we decide to pursue;</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 and cost necessary to produce clinical supplies of our product candidates;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time and cost necessary to scale our manufacturing capabilities following regulatory approval and commercial launch of any product candidates.</w:t>
      </w:r>
    </w:p>
    <w:p>
      <w:pPr>
        <w:spacing w:after="0" w:line="137" w:lineRule="exact"/>
        <w:rPr>
          <w:rFonts w:ascii="Arial" w:cs="Arial" w:eastAsia="Arial" w:hAnsi="Arial"/>
          <w:sz w:val="14"/>
          <w:szCs w:val="14"/>
          <w:color w:val="auto"/>
        </w:rPr>
      </w:pPr>
    </w:p>
    <w:p>
      <w:pPr>
        <w:ind w:left="1020" w:right="160" w:hanging="511"/>
        <w:spacing w:after="0" w:line="263"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we have entered or may in the future enter into collaborations and research and development agreements;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involved in prosecuting and enforcing patent and other intellectual property claims;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regulatory approvals; and</w:t>
      </w:r>
    </w:p>
    <w:p>
      <w:pPr>
        <w:spacing w:after="0" w:line="102" w:lineRule="exact"/>
        <w:rPr>
          <w:rFonts w:ascii="Arial" w:cs="Arial" w:eastAsia="Arial" w:hAnsi="Arial"/>
          <w:sz w:val="17"/>
          <w:szCs w:val="17"/>
          <w:color w:val="auto"/>
        </w:rPr>
      </w:pPr>
    </w:p>
    <w:p>
      <w:pPr>
        <w:ind w:left="1020" w:right="80" w:hanging="511"/>
        <w:spacing w:after="0" w:line="263"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including personnel to support development and commercialization of our product candidates and satisfy our obligations as a public company.</w:t>
      </w:r>
    </w:p>
    <w:p>
      <w:pPr>
        <w:spacing w:after="0" w:line="16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5" w:right="259" w:bottom="1440" w:gutter="0" w:footer="0" w:header="0"/>
        </w:sectPr>
      </w:pPr>
    </w:p>
    <w:bookmarkStart w:id="37" w:name="page38"/>
    <w:bookmarkEnd w:id="37"/>
    <w:p>
      <w:pPr>
        <w:jc w:val="both"/>
        <w:ind w:right="120"/>
        <w:spacing w:after="0" w:line="253"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As is the case with all oncology drugs, our product candidates in clinical development or preclinical development have a high risk of failure. We commenced enrollment of our Phase 1/2 clinical trial of CX-072, our candidate directed against PD-L1, for cancer and treated our first patient in January 2017. We also initiated our Phase 1/2 clinical trial of CX-2009, our PDC candidate directed against CD-166, for cancer in June 2017, and initiated our Phase 1/2 clinical trial of CX-2029, our PDC candidate directed against CD71 in collaboration with AbbVie, for cancer in June 2018.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34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66" w:lineRule="exact"/>
        <w:rPr>
          <w:sz w:val="20"/>
          <w:szCs w:val="20"/>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recruiting suitable patients to participate in a clinical trial;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and validating any companion diagnostic to be used in a clinical trial;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FDA or other regulatory authorities requiring us to submit additional data or imposing other requirements before permitting us to initiate a clinical trial;</w:t>
      </w:r>
    </w:p>
    <w:p>
      <w:pPr>
        <w:spacing w:after="0" w:line="137" w:lineRule="exact"/>
        <w:rPr>
          <w:rFonts w:ascii="Arial" w:cs="Arial" w:eastAsia="Arial" w:hAnsi="Arial"/>
          <w:sz w:val="14"/>
          <w:szCs w:val="14"/>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regulatory clearance to commence a clinical trial;</w:t>
      </w:r>
    </w:p>
    <w:p>
      <w:pPr>
        <w:spacing w:after="0" w:line="102" w:lineRule="exact"/>
        <w:rPr>
          <w:rFonts w:ascii="Arial" w:cs="Arial" w:eastAsia="Arial" w:hAnsi="Arial"/>
          <w:sz w:val="17"/>
          <w:szCs w:val="17"/>
          <w:color w:val="auto"/>
        </w:rPr>
      </w:pPr>
    </w:p>
    <w:p>
      <w:pPr>
        <w:ind w:left="1020" w:right="120" w:hanging="511"/>
        <w:spacing w:after="0" w:line="263"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institutional review board (“IRB”) approval at each clinical trial site;</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having patients complete a clinical trial or return for post-treatment follow-up;</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trial sites deviating from trial protocol or dropping out of a trial;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adding new clinical trial sites;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our product candidates in sufficient quality and quantity for use in clinical trials; or</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electing to not pursue development and commercialization of our product candidates.</w:t>
      </w:r>
    </w:p>
    <w:p>
      <w:pPr>
        <w:spacing w:after="0" w:line="202"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78" w:lineRule="exact"/>
        <w:rPr>
          <w:sz w:val="20"/>
          <w:szCs w:val="20"/>
          <w:color w:val="auto"/>
        </w:rPr>
      </w:pPr>
    </w:p>
    <w:p>
      <w:pPr>
        <w:ind w:right="220"/>
        <w:spacing w:after="0" w:line="315" w:lineRule="auto"/>
        <w:rPr>
          <w:sz w:val="20"/>
          <w:szCs w:val="20"/>
          <w:color w:val="auto"/>
        </w:rPr>
      </w:pPr>
      <w:r>
        <w:rPr>
          <w:rFonts w:ascii="Arial" w:cs="Arial" w:eastAsia="Arial" w:hAnsi="Arial"/>
          <w:sz w:val="14"/>
          <w:szCs w:val="14"/>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36"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45" w:lineRule="exact"/>
        <w:rPr>
          <w:sz w:val="20"/>
          <w:szCs w:val="20"/>
          <w:color w:val="auto"/>
        </w:rPr>
      </w:pPr>
    </w:p>
    <w:p>
      <w:pPr>
        <w:ind w:left="1020" w:right="100" w:hanging="511"/>
        <w:spacing w:after="0" w:line="295"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44" w:lineRule="exact"/>
        <w:rPr>
          <w:rFonts w:ascii="Arial" w:cs="Arial" w:eastAsia="Arial" w:hAnsi="Arial"/>
          <w:sz w:val="16"/>
          <w:szCs w:val="16"/>
          <w:color w:val="auto"/>
        </w:rPr>
      </w:pPr>
    </w:p>
    <w:p>
      <w:pPr>
        <w:ind w:left="1020" w:right="720" w:hanging="511"/>
        <w:spacing w:after="0" w:line="26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product-related side effects experienced by participants in our clinical trials, the clinical trials of our collaborators or by individuals using drugs or therapeutic biologics similar to our product candidates;</w:t>
      </w:r>
    </w:p>
    <w:p>
      <w:pPr>
        <w:spacing w:after="0" w:line="68" w:lineRule="exact"/>
        <w:rPr>
          <w:rFonts w:ascii="Arial" w:cs="Arial" w:eastAsia="Arial" w:hAnsi="Arial"/>
          <w:sz w:val="17"/>
          <w:szCs w:val="17"/>
          <w:color w:val="auto"/>
        </w:rPr>
      </w:pPr>
    </w:p>
    <w:p>
      <w:pPr>
        <w:ind w:left="1020" w:right="440" w:hanging="511"/>
        <w:spacing w:after="0" w:line="26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enrolling research subjects in clinical trials;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 drop-out rates of research subjects;</w:t>
      </w:r>
    </w:p>
    <w:p>
      <w:pPr>
        <w:spacing w:after="0" w:line="102" w:lineRule="exact"/>
        <w:rPr>
          <w:rFonts w:ascii="Arial" w:cs="Arial" w:eastAsia="Arial" w:hAnsi="Arial"/>
          <w:sz w:val="17"/>
          <w:szCs w:val="17"/>
          <w:color w:val="auto"/>
        </w:rPr>
      </w:pPr>
    </w:p>
    <w:p>
      <w:pPr>
        <w:ind w:left="1020" w:right="280" w:hanging="511"/>
        <w:spacing w:after="0" w:line="26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components or materials or other supplies necessary for the conduct of our clinical trials or the clinical trials of our collaborators;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in the development or approval of companion diagnostic tests for our product candidates;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02" w:lineRule="exact"/>
        <w:rPr>
          <w:rFonts w:ascii="Arial" w:cs="Arial" w:eastAsia="Arial" w:hAnsi="Arial"/>
          <w:sz w:val="17"/>
          <w:szCs w:val="17"/>
          <w:color w:val="auto"/>
        </w:rPr>
      </w:pPr>
    </w:p>
    <w:p>
      <w:pPr>
        <w:ind w:left="1020" w:right="380" w:hanging="511"/>
        <w:spacing w:after="0" w:line="26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8" w:lineRule="exact"/>
        <w:rPr>
          <w:rFonts w:ascii="Arial" w:cs="Arial" w:eastAsia="Arial" w:hAnsi="Arial"/>
          <w:sz w:val="17"/>
          <w:szCs w:val="17"/>
          <w:color w:val="auto"/>
        </w:rPr>
      </w:pPr>
    </w:p>
    <w:p>
      <w:pPr>
        <w:ind w:left="1020" w:right="360" w:hanging="511"/>
        <w:spacing w:after="0" w:line="263"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39" w:name="page40"/>
    <w:bookmarkEnd w:id="39"/>
    <w:p>
      <w:pPr>
        <w:ind w:right="60"/>
        <w:spacing w:after="0" w:line="308" w:lineRule="auto"/>
        <w:rPr>
          <w:sz w:val="20"/>
          <w:szCs w:val="20"/>
          <w:color w:val="auto"/>
        </w:rPr>
      </w:pPr>
      <w:r>
        <w:rPr>
          <w:rFonts w:ascii="Arial" w:cs="Arial" w:eastAsia="Arial" w:hAnsi="Arial"/>
          <w:sz w:val="14"/>
          <w:szCs w:val="14"/>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24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9"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For example, in June 2018 we announced initial clinical data on CX-072 at the Annual Meeting of the American Society of Clinical Oncology (“ASCO”) and in February 2019 we announced updated clinical data regarding CX-072 and our first clinical data on CX-2009. While CX-072 has generally been well tolerated to date, there can be no guaranty that unexpected adverse events will not occur later in this trial or in other trials involving our product candidates or the product candidates of our collaborators. The data described at ASCO show that the administration of monotherapy CX-072 was generally well tolerated with the majority of treatment-related adverse events (“TRAEs”) as Grade 1/2. However, Grade 3/4 TRAEs were reported in two patients (neutropenia and thrombocytopenia in a patient with thymic cancer (3 mg/kg) and transaminase elevation in a patient with breast cancer (30 mg/kg)) but both events were successfully managed with therapeutic intervention including steroids and discontinuation of CX-072. In addition, the results showed that the administration of CX-072 in combination with ipilimumab was generally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 On October 22, 2018, we presented follow-up data at the 2018 Annual Meeting of the European Society of Medical Oncology in Munich, Germany. In this presentation, we also disclosed initial data on immune related adverse events (irAE) and infusion related reactions (IRR). Of the 46 patients treated, 3 (7%) developed Grade 3/4 irAEs and 2 (4%) developed Grade 3/4 IRRs. Of the 20 patients treated in the combination with ipilimumab, 2 (10%) developed Grade 3/4 irAEs and 0 (0%) developed Grade 3/4 IRRs.</w:t>
      </w:r>
    </w:p>
    <w:p>
      <w:pPr>
        <w:spacing w:after="0" w:line="35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February 2019, we announced updated data on the ongoing monotherapy clinical trial for CX-072 focused on our dose expansion cohort of 10 mg/kg. While the safety data we reported at 10 mg/kg is trending toward a similar or better profile than data presented previously, that rate may change with time as more patients are enrolled in the ongoing studies. We also reported at the 10 mg/kg dose an anti-drug antibody (“ADA”) rate of approximately 62%, The rate across all dose levels, including lower dose levels in our trial, is approximately 77% at the data cutoff. We do not believe this ADA is impacting our ability to reach targeted drug exposures. However, we cannot provide assurance that it will not later limit drug exposure or cause severe adverse events.</w:t>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In February 2019, we announced data on the ongoing clinical trial for CX-2009. While CX-2009 has been generally well tolerated to date, 23 / 76 (30.3%) patients experienced a Grade 3/4 TRAE. The most common adverse event observed was ocular toxicity, an anticipated toxicity associated with the DM4 payload. Other Grade 3/4 TRAEs included liver function test abnormalities, gastrointestinal disorders and nervous system disorders.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 of CX-072 is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clinical trial of CX-072 enroll patients with tumor types that are not known to be responsive to PD-L1 agents and therefore may be less likely to show effectiveness. Because certain PD-1 and PD-L1 agents are already approved for the treatment of some tumor types, we cannot test CX-072 on those tumor types and will not be able to obtain clinical information about how CX-072 acts in these tumors. Comparing safety and efficacy of CX-072 against other PD-L1 or PD-1 antibodies (either in development or in the market) may be difficult since our Phase 1/2 study is enrolling a different patient population than other studies. Furthermore,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The Phase 1/2 clinical trial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40" w:name="page41"/>
    <w:bookmarkEnd w:id="40"/>
    <w:p>
      <w:pPr>
        <w:spacing w:after="0" w:line="248" w:lineRule="auto"/>
        <w:rPr>
          <w:sz w:val="20"/>
          <w:szCs w:val="20"/>
          <w:color w:val="auto"/>
        </w:rPr>
      </w:pPr>
      <w:r>
        <w:rPr>
          <w:rFonts w:ascii="Arial" w:cs="Arial" w:eastAsia="Arial" w:hAnsi="Arial"/>
          <w:sz w:val="17"/>
          <w:szCs w:val="17"/>
          <w:color w:val="auto"/>
        </w:rPr>
        <w:t>BMS-986249 being conducted by BMS includes the administration of the product candidate at relatively high dosage levels, which could further exacerbate such risks. In our Phase 1/2 clinical trials of CX-2009 and 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83"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ceased treatment due to ocular</w:t>
      </w:r>
    </w:p>
    <w:p>
      <w:pPr>
        <w:ind w:right="140"/>
        <w:spacing w:after="0" w:line="244" w:lineRule="auto"/>
        <w:rPr>
          <w:sz w:val="20"/>
          <w:szCs w:val="20"/>
          <w:color w:val="auto"/>
        </w:rPr>
      </w:pPr>
      <w:r>
        <w:rPr>
          <w:rFonts w:ascii="Arial" w:cs="Arial" w:eastAsia="Arial" w:hAnsi="Arial"/>
          <w:sz w:val="17"/>
          <w:szCs w:val="17"/>
          <w:color w:val="auto"/>
        </w:rPr>
        <w:t>toxicity. While we are using ocular toxicity prophylactic measures in our dose optimization phase,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8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8" w:lineRule="exact"/>
        <w:rPr>
          <w:sz w:val="20"/>
          <w:szCs w:val="20"/>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product or seize the product;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or our collaborators may be required to recall the product or change the way the product is administered to patients;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additional restrictions may be imposed on the marketing of the particular product or the manufacturing processes for the product or any component thereof;</w:t>
      </w:r>
    </w:p>
    <w:p>
      <w:pPr>
        <w:spacing w:after="0" w:line="137" w:lineRule="exact"/>
        <w:rPr>
          <w:rFonts w:ascii="Arial" w:cs="Arial" w:eastAsia="Arial" w:hAnsi="Arial"/>
          <w:sz w:val="14"/>
          <w:szCs w:val="14"/>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7" w:lineRule="exact"/>
        <w:rPr>
          <w:sz w:val="20"/>
          <w:szCs w:val="20"/>
          <w:color w:val="auto"/>
        </w:rPr>
      </w:pPr>
    </w:p>
    <w:p>
      <w:pPr>
        <w:ind w:right="120"/>
        <w:spacing w:after="0" w:line="371"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90" w:lineRule="exact"/>
        <w:rPr>
          <w:sz w:val="20"/>
          <w:szCs w:val="20"/>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size and nature of the target patient population;</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eligibility criteria for the clinical trial;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design of the clinical trial;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1" w:name="page42"/>
    <w:bookmarkEnd w:id="41"/>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02"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for indications with small population sizes could be particularly difficult to enroll. Furthermore, the part of our Phase 1/2 clinical trial of CX-072 in which patients are treated with the combination of CX-072 and vemurafenib can only enroll those patients who do not have access to MEK inhibitors because the emerging standard of care in jurisdictions where MEK inhibitors are available in combination with a BRAF inhibitor (such as vemurafenib), which may have an impact on enrollment in this part of the trial. Our Phase 1/2 clinical trial of CX-2009 studies patients who have one of seven specific tumor types rather than patients suffering from any cancer, which may limit the rate of enrollment of the trial. As with the clinical trials of CX-072, our Phase 1/2 clinical trials of CX-2009 and CX-2029 are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00" w:lineRule="exact"/>
        <w:rPr>
          <w:sz w:val="20"/>
          <w:szCs w:val="20"/>
          <w:color w:val="auto"/>
        </w:rPr>
      </w:pPr>
    </w:p>
    <w:p>
      <w:pPr>
        <w:spacing w:after="0" w:line="247"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b w:val="1"/>
          <w:bCs w:val="1"/>
          <w:i w:val="1"/>
          <w:iCs w:val="1"/>
          <w:color w:val="auto"/>
        </w:rPr>
        <w:t>Our approach to the discovery and development of our therapeutic treatments is based on novel technologies that are unproven and may not result in marketable products.</w:t>
      </w:r>
    </w:p>
    <w:p>
      <w:pPr>
        <w:spacing w:after="0" w:line="69"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Phase 1/2 clinical trials for CX-072, CX-2009 and CX-2029.</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42" w:name="page43"/>
    <w:bookmarkEnd w:id="42"/>
    <w:p>
      <w:pPr>
        <w:ind w:right="120"/>
        <w:spacing w:after="0" w:line="307" w:lineRule="auto"/>
        <w:rPr>
          <w:sz w:val="20"/>
          <w:szCs w:val="20"/>
          <w:color w:val="auto"/>
        </w:rPr>
      </w:pPr>
      <w:r>
        <w:rPr>
          <w:rFonts w:ascii="Arial" w:cs="Arial" w:eastAsia="Arial" w:hAnsi="Arial"/>
          <w:sz w:val="14"/>
          <w:szCs w:val="14"/>
          <w:color w:val="auto"/>
        </w:rPr>
        <w:t>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 reactions. For example, we reported in February 2019 that in our ongoing CX-072 trial at the 10 mg/kg dose, the anti-drug antibody (“ADA”) rate was approximately 62%. Across all dose levels, including lower dose levels in our trial, the rate is approximately 77% at the data cutoff. We do not believe ADA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41"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77"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00" w:lineRule="exact"/>
        <w:rPr>
          <w:sz w:val="20"/>
          <w:szCs w:val="20"/>
          <w:color w:val="auto"/>
        </w:rPr>
      </w:pPr>
    </w:p>
    <w:p>
      <w:pPr>
        <w:spacing w:after="0" w:line="243"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and BMS-986249) for which there are existing approved therapies, such as approved agents targeting PD-L1, PD-1, or CTLA-4. Market acceptance of our product candidates will depend on, among other factors:</w:t>
      </w:r>
    </w:p>
    <w:p>
      <w:pPr>
        <w:spacing w:after="0" w:line="69" w:lineRule="exact"/>
        <w:rPr>
          <w:sz w:val="20"/>
          <w:szCs w:val="20"/>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our receipt of any marketing and commercialization approvals;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terms of any approvals and the countries in which approvals are obtained;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including those being developed by our collaborators;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prevalence and severity of any adverse side effects associated with our product candidates;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or warnings contained in any labeling approved by the FDA or other regulatory authority;</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effective companion diagnostics;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43" w:name="page44"/>
    <w:bookmarkEnd w:id="43"/>
    <w:p>
      <w:pPr>
        <w:ind w:left="1020" w:hanging="511"/>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patients to accept any new methods of administration;</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adequate government and third-party payor reimbursement;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102" w:lineRule="exact"/>
        <w:rPr>
          <w:rFonts w:ascii="Arial" w:cs="Arial" w:eastAsia="Arial" w:hAnsi="Arial"/>
          <w:sz w:val="17"/>
          <w:szCs w:val="17"/>
          <w:color w:val="auto"/>
        </w:rPr>
      </w:pPr>
    </w:p>
    <w:p>
      <w:pPr>
        <w:ind w:left="1020" w:right="160" w:hanging="511"/>
        <w:spacing w:after="0" w:line="263"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alternative effective treatments for the disease indications our product candidates are intended to treat and the relative risks, benefits and costs of those treatments.</w:t>
      </w:r>
    </w:p>
    <w:p>
      <w:pPr>
        <w:spacing w:after="0" w:line="168"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If any product candidate we commercialize fails to achieve market acceptance, it could have a material and adverse effect on our business, financial condition, results of operations and prospects.</w:t>
      </w:r>
    </w:p>
    <w:p>
      <w:pPr>
        <w:spacing w:after="0" w:line="267"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7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Since 2013, we have entered into collaborations with AbbVie, Amgen, BMS,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January 2019, BMS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Overall, collaborations involving our product candidates currently pose, and will continue to pose, the following risks to us:</w:t>
      </w:r>
    </w:p>
    <w:p>
      <w:pPr>
        <w:spacing w:after="0" w:line="103" w:lineRule="exact"/>
        <w:rPr>
          <w:sz w:val="20"/>
          <w:szCs w:val="20"/>
          <w:color w:val="auto"/>
        </w:rPr>
      </w:pPr>
    </w:p>
    <w:p>
      <w:pPr>
        <w:ind w:left="1020" w:hanging="511"/>
        <w:spacing w:after="0" w:line="26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 including, with respect to BMS, BMS-986249;</w:t>
      </w:r>
    </w:p>
    <w:p>
      <w:pPr>
        <w:spacing w:after="0" w:line="68" w:lineRule="exact"/>
        <w:rPr>
          <w:rFonts w:ascii="Arial" w:cs="Arial" w:eastAsia="Arial" w:hAnsi="Arial"/>
          <w:sz w:val="17"/>
          <w:szCs w:val="17"/>
          <w:color w:val="auto"/>
        </w:rPr>
      </w:pPr>
    </w:p>
    <w:p>
      <w:pPr>
        <w:ind w:left="1020" w:right="220" w:hanging="511"/>
        <w:spacing w:after="0" w:line="25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7" w:lineRule="exact"/>
        <w:rPr>
          <w:rFonts w:ascii="Arial" w:cs="Arial" w:eastAsia="Arial" w:hAnsi="Arial"/>
          <w:sz w:val="17"/>
          <w:szCs w:val="17"/>
          <w:color w:val="auto"/>
        </w:rPr>
      </w:pPr>
    </w:p>
    <w:p>
      <w:pPr>
        <w:ind w:left="1020" w:right="360" w:hanging="511"/>
        <w:spacing w:after="0" w:line="25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77" w:lineRule="exact"/>
        <w:rPr>
          <w:rFonts w:ascii="Arial" w:cs="Arial" w:eastAsia="Arial" w:hAnsi="Arial"/>
          <w:sz w:val="17"/>
          <w:szCs w:val="17"/>
          <w:color w:val="auto"/>
        </w:rPr>
      </w:pPr>
    </w:p>
    <w:p>
      <w:pPr>
        <w:ind w:left="1020" w:right="80" w:hanging="511"/>
        <w:spacing w:after="0" w:line="25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7" w:lineRule="exact"/>
        <w:rPr>
          <w:rFonts w:ascii="Arial" w:cs="Arial" w:eastAsia="Arial" w:hAnsi="Arial"/>
          <w:sz w:val="17"/>
          <w:szCs w:val="17"/>
          <w:color w:val="auto"/>
        </w:rPr>
      </w:pPr>
    </w:p>
    <w:p>
      <w:pPr>
        <w:ind w:left="1020" w:right="560" w:hanging="511"/>
        <w:spacing w:after="0" w:line="25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7" w:lineRule="exact"/>
        <w:rPr>
          <w:rFonts w:ascii="Arial" w:cs="Arial" w:eastAsia="Arial" w:hAnsi="Arial"/>
          <w:sz w:val="17"/>
          <w:szCs w:val="17"/>
          <w:color w:val="auto"/>
        </w:rPr>
      </w:pPr>
    </w:p>
    <w:p>
      <w:pPr>
        <w:ind w:left="1020" w:right="160" w:hanging="511"/>
        <w:spacing w:after="0" w:line="263"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44" w:name="page45"/>
    <w:bookmarkEnd w:id="44"/>
    <w:p>
      <w:pPr>
        <w:ind w:left="1020" w:hanging="511"/>
        <w:spacing w:after="0" w:line="295"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44" w:lineRule="exact"/>
        <w:rPr>
          <w:rFonts w:ascii="Arial" w:cs="Arial" w:eastAsia="Arial" w:hAnsi="Arial"/>
          <w:sz w:val="16"/>
          <w:szCs w:val="16"/>
          <w:color w:val="auto"/>
        </w:rPr>
      </w:pPr>
    </w:p>
    <w:p>
      <w:pPr>
        <w:ind w:left="1020" w:hanging="511"/>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02" w:lineRule="exact"/>
        <w:rPr>
          <w:rFonts w:ascii="Arial" w:cs="Arial" w:eastAsia="Arial" w:hAnsi="Arial"/>
          <w:sz w:val="17"/>
          <w:szCs w:val="17"/>
          <w:color w:val="auto"/>
        </w:rPr>
      </w:pPr>
    </w:p>
    <w:p>
      <w:pPr>
        <w:ind w:left="1020" w:right="60" w:hanging="511"/>
        <w:spacing w:after="0" w:line="295"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44" w:lineRule="exact"/>
        <w:rPr>
          <w:rFonts w:ascii="Arial" w:cs="Arial" w:eastAsia="Arial" w:hAnsi="Arial"/>
          <w:sz w:val="16"/>
          <w:szCs w:val="16"/>
          <w:color w:val="auto"/>
        </w:rPr>
      </w:pPr>
    </w:p>
    <w:p>
      <w:pPr>
        <w:ind w:left="1020" w:right="200" w:hanging="511"/>
        <w:spacing w:after="0" w:line="263"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68"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7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4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and in January 2019, BMS terminated its programs for three targets it had selected under our agreement with them.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85" w:lineRule="exact"/>
        <w:rPr>
          <w:sz w:val="20"/>
          <w:szCs w:val="20"/>
          <w:color w:val="auto"/>
        </w:rPr>
      </w:pPr>
    </w:p>
    <w:p>
      <w:pPr>
        <w:ind w:left="1020" w:hanging="511"/>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available capital resources or capital constraints we experience;</w:t>
      </w:r>
    </w:p>
    <w:p>
      <w:pPr>
        <w:spacing w:after="0" w:line="102" w:lineRule="exact"/>
        <w:rPr>
          <w:rFonts w:ascii="Arial" w:cs="Arial" w:eastAsia="Arial" w:hAnsi="Arial"/>
          <w:sz w:val="17"/>
          <w:szCs w:val="17"/>
          <w:color w:val="auto"/>
        </w:rPr>
      </w:pPr>
    </w:p>
    <w:p>
      <w:pPr>
        <w:ind w:left="1020" w:right="620" w:hanging="511"/>
        <w:spacing w:after="0" w:line="263"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of progress, costs and results of our clinical trials and research and development activities, including the extent of scheduling conflicts with participating clinicians and collaborators;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identify and enroll patients who meet clinical trial eligibility criteria;</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receipt of approvals by the FDA and other regulatory authorities and the timing thereof;</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actions, decisions or rules issued by regulators;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5" w:right="259" w:bottom="1440" w:gutter="0" w:footer="0" w:header="0"/>
        </w:sectPr>
      </w:pPr>
    </w:p>
    <w:bookmarkStart w:id="45" w:name="page46"/>
    <w:bookmarkEnd w:id="45"/>
    <w:p>
      <w:pPr>
        <w:ind w:left="1020" w:hanging="511"/>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materials used in the manufacture of our product candidates;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manufacture and supply clinical trial materials to our clinical sites on a timely basis;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efforts of our collaborators with respect to the commercialization of our products;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0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If we fail to achieve announced milestones in the timeframes we expect, the commercialization of any of our product candidates may be delayed, and our business and results of operations may be harmed.</w:t>
      </w:r>
    </w:p>
    <w:p>
      <w:pPr>
        <w:spacing w:after="0" w:line="267" w:lineRule="exact"/>
        <w:rPr>
          <w:sz w:val="20"/>
          <w:szCs w:val="20"/>
          <w:color w:val="auto"/>
        </w:rPr>
      </w:pPr>
    </w:p>
    <w:p>
      <w:pPr>
        <w:ind w:right="420"/>
        <w:spacing w:after="0" w:line="370" w:lineRule="auto"/>
        <w:rPr>
          <w:sz w:val="20"/>
          <w:szCs w:val="20"/>
          <w:color w:val="auto"/>
        </w:rPr>
      </w:pPr>
      <w:r>
        <w:rPr>
          <w:rFonts w:ascii="Arial" w:cs="Arial" w:eastAsia="Arial" w:hAnsi="Arial"/>
          <w:sz w:val="14"/>
          <w:szCs w:val="14"/>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Since commencing operations, we have entered into several collaboration agreements, including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9"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5" w:right="25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5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82"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41" w:lineRule="exact"/>
        <w:rPr>
          <w:sz w:val="20"/>
          <w:szCs w:val="20"/>
          <w:color w:val="auto"/>
        </w:rPr>
      </w:pPr>
    </w:p>
    <w:p>
      <w:pPr>
        <w:ind w:right="520"/>
        <w:spacing w:after="0" w:line="370" w:lineRule="auto"/>
        <w:rPr>
          <w:sz w:val="20"/>
          <w:szCs w:val="20"/>
          <w:color w:val="auto"/>
        </w:rPr>
      </w:pPr>
      <w:r>
        <w:rPr>
          <w:rFonts w:ascii="Arial" w:cs="Arial" w:eastAsia="Arial" w:hAnsi="Arial"/>
          <w:sz w:val="14"/>
          <w:szCs w:val="14"/>
          <w:b w:val="1"/>
          <w:bCs w:val="1"/>
          <w:i w:val="1"/>
          <w:iCs w:val="1"/>
          <w:color w:val="auto"/>
        </w:rPr>
        <w:t>Because we have no long 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We rely on third-party contract manufacturers to manufacture our clinical trial and preclinical study product supplies.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own manufacturing facilities for producing such supplies and do not have any long 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initiated the transfer of the drug substance manufacturing process from ImmunoGen to CMO, where we have an existing relationship and which has expertise in the manufacture of antibody drug conjugates at a clinical and commercial scale. To date, the manufacturing transfer process is still ongoing and has not yet been completed. However, there can be no assurances that we will not experience a disruption to the supply of CX-2009 in connection with such transfer or that the transfer will be successful.</w:t>
      </w:r>
    </w:p>
    <w:p>
      <w:pPr>
        <w:spacing w:after="0" w:line="348"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47" w:name="page48"/>
    <w:bookmarkEnd w:id="47"/>
    <w:p>
      <w:pPr>
        <w:spacing w:after="0" w:line="266" w:lineRule="auto"/>
        <w:rPr>
          <w:sz w:val="20"/>
          <w:szCs w:val="20"/>
          <w:color w:val="auto"/>
        </w:rPr>
      </w:pPr>
      <w:r>
        <w:rPr>
          <w:rFonts w:ascii="Arial" w:cs="Arial" w:eastAsia="Arial" w:hAnsi="Arial"/>
          <w:sz w:val="16"/>
          <w:szCs w:val="16"/>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68" w:lineRule="exact"/>
        <w:rPr>
          <w:sz w:val="20"/>
          <w:szCs w:val="20"/>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02" w:lineRule="exact"/>
        <w:rPr>
          <w:sz w:val="20"/>
          <w:szCs w:val="20"/>
          <w:color w:val="auto"/>
        </w:rPr>
      </w:pPr>
    </w:p>
    <w:p>
      <w:pPr>
        <w:jc w:val="both"/>
        <w:ind w:right="240"/>
        <w:spacing w:after="0" w:line="333" w:lineRule="auto"/>
        <w:rPr>
          <w:sz w:val="20"/>
          <w:szCs w:val="20"/>
          <w:color w:val="auto"/>
        </w:rPr>
      </w:pPr>
      <w:r>
        <w:rPr>
          <w:rFonts w:ascii="Arial" w:cs="Arial" w:eastAsia="Arial" w:hAnsi="Arial"/>
          <w:sz w:val="14"/>
          <w:szCs w:val="14"/>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24"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It may prove more challenging than we anticipate to manufacture products that incorporate our Probody therapeutic technology. In order to conduct clinical trials of our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product candidates, including our Phase 1/2 clinical trials for CX-072, CX-2009 and CX-2029, we will need to manufacture them in large quantities. To date we have been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able to successfully manufacture CX-072, CX-2009 and CX-2029 for our ongoing early stage clinical trials. However, in order to conduct later stage clinical trials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including CX-072, CX-2009 and CX-2029, and eventually, if approved, commercial products, we will need to manufacture them in larger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quantities. We, or any manufacturing partners, may be unable to successfully increase the manufacturing scale and capacity for any of our product candidates in a timely or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cost-effective manner, or at all. For example, we are currently working with our CMOs to change our manufacturing processes and formulations as well as scaling up for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larger drug manufacturing capability and to increase the term of stability for CX-072 drug product for late stage clinical trials and commercialization. However, we may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have to start late stage trials with our early clinical trial drug product and switch to late stage or commercial drug product mid trial. In such event, the FDA will require us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to complete bridging studies to compare the earlier stage material with late stage or commercial material to assure comparability between the earlier trial material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late stage or commercial material. Changing formulation and scale up process is a complicated and difficult task. While we believe we can complete this process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successfully, there can be no assurances that the changes we make to the drug product and manufacturing process will be successful or completed in a timely manner or that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the FDA will not require additional development steps or studies from those we believe are necessary. If we are not able to scale up our manufacturing capabilities with</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respect to CX-072 or any of our other product candidates, increase the life of drug stability of CX-072 or such other product candidates, or successfully complete the FDA’s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bridging requirements, we may not be able to successfully obtain FDA approval and commercialize CX-072 or such other product candidates in a timely manner or at all.</w:t>
      </w:r>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 To date, the manufacturing transfer process is still ongoing and has not yet been completed.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525" w:right="2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We may acquire assets or form strategic alliances in the future, and we may not realize the benefits of such acquisitions</w:t>
      </w:r>
      <w:r>
        <w:rPr>
          <w:rFonts w:ascii="Arial" w:cs="Arial" w:eastAsia="Arial" w:hAnsi="Arial"/>
          <w:sz w:val="17"/>
          <w:szCs w:val="17"/>
          <w:color w:val="auto"/>
        </w:rPr>
        <w:t>.</w:t>
      </w:r>
    </w:p>
    <w:p>
      <w:pPr>
        <w:spacing w:after="0" w:line="115"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7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45" w:lineRule="exact"/>
        <w:rPr>
          <w:sz w:val="20"/>
          <w:szCs w:val="20"/>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 acquisition costs;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need to incur substantial debt or engage in dilutive issuances of equity securities to pay for acquisitions;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disruption of our historical business and our activities under our collaboration agreements;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strain on, and need to expand, our existing operational, technical, financial and administrative infrastructure;</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lack of experience in late-stage product development and commercialization;</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difficulties in assimilating employees and corporate cultures;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difficulties in hiring qualified personnel and establishing necessary development and/or commercialization capabilities;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failure to retain key management and other personnel;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challenges in controlling additional costs and expenses in connection with and as a result of the acquisition;</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need to write down assets or recognize impairment charges;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diversion of our management’s attention to integration of operations and corporate and administrative infrastructures;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unanticipated liabilities for activities of or related to the acquired business or its operations, products or product candidates.</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49" w:name="page50"/>
    <w:bookmarkEnd w:id="49"/>
    <w:p>
      <w:pPr>
        <w:ind w:right="280"/>
        <w:spacing w:after="0" w:line="263"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9"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Because we have limited financial and managerial resources, we focus on specific product candidates, including CX-072, CX-2009 and CX-2029.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difficulties in managing our growth and expanding our operations successfully.</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00" w:lineRule="exact"/>
        <w:rPr>
          <w:sz w:val="20"/>
          <w:szCs w:val="20"/>
          <w:color w:val="auto"/>
        </w:rPr>
      </w:pPr>
    </w:p>
    <w:p>
      <w:pPr>
        <w:spacing w:after="0" w:line="24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0"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0" w:name="page51"/>
    <w:bookmarkEnd w:id="50"/>
    <w:p>
      <w:pPr>
        <w:spacing w:after="0" w:line="305" w:lineRule="auto"/>
        <w:rPr>
          <w:sz w:val="20"/>
          <w:szCs w:val="20"/>
          <w:color w:val="auto"/>
        </w:rPr>
      </w:pPr>
      <w:r>
        <w:rPr>
          <w:rFonts w:ascii="Arial" w:cs="Arial" w:eastAsia="Arial" w:hAnsi="Arial"/>
          <w:sz w:val="14"/>
          <w:szCs w:val="14"/>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TESARO, Inc.,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345"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14"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Our success largely depends on the continued service of key management, advisors and other specialized personnel, including Sean A. McCarthy, D.Phil., our president and chief executive officer, W. Michael Kavanaugh, M.D., our chief scientific officer and Rachel W. Humphrey, M.D., our chief medical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8"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51" w:name="page52"/>
    <w:bookmarkEnd w:id="51"/>
    <w:p>
      <w:pPr>
        <w:ind w:right="220"/>
        <w:spacing w:after="0" w:line="263" w:lineRule="auto"/>
        <w:rPr>
          <w:sz w:val="20"/>
          <w:szCs w:val="20"/>
          <w:color w:val="auto"/>
        </w:rPr>
      </w:pPr>
      <w:r>
        <w:rPr>
          <w:rFonts w:ascii="Arial" w:cs="Arial" w:eastAsia="Arial" w:hAnsi="Arial"/>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controls imposed in foreign markets may adversely affect our future profitability.</w:t>
      </w:r>
    </w:p>
    <w:p>
      <w:pPr>
        <w:spacing w:after="0" w:line="103"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00" w:lineRule="exact"/>
        <w:rPr>
          <w:sz w:val="20"/>
          <w:szCs w:val="20"/>
          <w:color w:val="auto"/>
        </w:rPr>
      </w:pPr>
    </w:p>
    <w:p>
      <w:pPr>
        <w:spacing w:after="0" w:line="245"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9"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We are exposed to significant product liability risks inherent in the development, testing, manufacturing and marketing of therapeutic treatments, including as a result of the clinical testing of CX-072, CX-2009, CX-2029, BMS-986249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49" w:lineRule="exact"/>
        <w:rPr>
          <w:sz w:val="20"/>
          <w:szCs w:val="20"/>
          <w:color w:val="auto"/>
        </w:rPr>
      </w:pPr>
    </w:p>
    <w:p>
      <w:pPr>
        <w:ind w:right="720"/>
        <w:spacing w:after="0" w:line="263" w:lineRule="auto"/>
        <w:rPr>
          <w:sz w:val="20"/>
          <w:szCs w:val="20"/>
          <w:color w:val="auto"/>
        </w:rPr>
      </w:pPr>
      <w:r>
        <w:rPr>
          <w:rFonts w:ascii="Arial" w:cs="Arial" w:eastAsia="Arial" w:hAnsi="Arial"/>
          <w:sz w:val="17"/>
          <w:szCs w:val="17"/>
          <w:b w:val="1"/>
          <w:bCs w:val="1"/>
          <w:i w:val="1"/>
          <w:iCs w:val="1"/>
          <w:color w:val="auto"/>
        </w:rPr>
        <w:t>Our employees and independent contractors may engage in misconduct or other improper activities, including noncompliance with regulatory standards and requirements.</w:t>
      </w:r>
    </w:p>
    <w:p>
      <w:pPr>
        <w:spacing w:after="0" w:line="69" w:lineRule="exact"/>
        <w:rPr>
          <w:sz w:val="20"/>
          <w:szCs w:val="20"/>
          <w:color w:val="auto"/>
        </w:rPr>
      </w:pPr>
    </w:p>
    <w:p>
      <w:pPr>
        <w:ind w:right="260"/>
        <w:spacing w:after="0" w:line="315" w:lineRule="auto"/>
        <w:rPr>
          <w:sz w:val="20"/>
          <w:szCs w:val="20"/>
          <w:color w:val="auto"/>
        </w:rPr>
      </w:pPr>
      <w:r>
        <w:rPr>
          <w:rFonts w:ascii="Arial" w:cs="Arial" w:eastAsia="Arial" w:hAnsi="Arial"/>
          <w:sz w:val="14"/>
          <w:szCs w:val="14"/>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52" w:name="page53"/>
    <w:bookmarkEnd w:id="52"/>
    <w:p>
      <w:pPr>
        <w:ind w:right="20"/>
        <w:spacing w:after="0" w:line="308" w:lineRule="auto"/>
        <w:rPr>
          <w:sz w:val="20"/>
          <w:szCs w:val="20"/>
          <w:color w:val="auto"/>
        </w:rPr>
      </w:pPr>
      <w:r>
        <w:rPr>
          <w:rFonts w:ascii="Arial" w:cs="Arial" w:eastAsia="Arial" w:hAnsi="Arial"/>
          <w:sz w:val="14"/>
          <w:szCs w:val="14"/>
          <w:color w:val="auto"/>
        </w:rPr>
        <w:t>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4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breaches could expose us to liability, damage our reputation, compromise our confidential information or otherwise adversely affect our business.</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14"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44" w:lineRule="exact"/>
        <w:rPr>
          <w:sz w:val="20"/>
          <w:szCs w:val="20"/>
          <w:color w:val="auto"/>
        </w:rPr>
      </w:pPr>
    </w:p>
    <w:p>
      <w:pPr>
        <w:ind w:right="120"/>
        <w:spacing w:after="0" w:line="370" w:lineRule="auto"/>
        <w:rPr>
          <w:sz w:val="20"/>
          <w:szCs w:val="20"/>
          <w:color w:val="auto"/>
        </w:rPr>
      </w:pPr>
      <w:r>
        <w:rPr>
          <w:rFonts w:ascii="Arial" w:cs="Arial" w:eastAsia="Arial" w:hAnsi="Arial"/>
          <w:sz w:val="14"/>
          <w:szCs w:val="14"/>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jc w:val="both"/>
        <w:ind w:right="220"/>
        <w:spacing w:after="0" w:line="253"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53" w:name="page54"/>
    <w:bookmarkEnd w:id="53"/>
    <w:p>
      <w:pPr>
        <w:ind w:right="20"/>
        <w:spacing w:after="0" w:line="262" w:lineRule="auto"/>
        <w:rPr>
          <w:sz w:val="20"/>
          <w:szCs w:val="20"/>
          <w:color w:val="auto"/>
        </w:rPr>
      </w:pPr>
      <w:r>
        <w:rPr>
          <w:rFonts w:ascii="Arial" w:cs="Arial" w:eastAsia="Arial" w:hAnsi="Arial"/>
          <w:sz w:val="16"/>
          <w:szCs w:val="16"/>
          <w:color w:val="auto"/>
        </w:rPr>
        <w:t>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U.S.</w:t>
      </w:r>
    </w:p>
    <w:p>
      <w:pPr>
        <w:spacing w:after="0" w:line="103"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606), </w:t>
      </w:r>
      <w:r>
        <w:rPr>
          <w:rFonts w:ascii="Arial" w:cs="Arial" w:eastAsia="Arial" w:hAnsi="Arial"/>
          <w:sz w:val="14"/>
          <w:szCs w:val="14"/>
          <w:color w:val="auto"/>
        </w:rPr>
        <w:t>which requires an entity to recognize the amount of revenue to which it expects to be entitled for the transfer of promised goods or services to customers. The</w:t>
      </w:r>
      <w:r>
        <w:rPr>
          <w:rFonts w:ascii="Arial" w:cs="Arial" w:eastAsia="Arial" w:hAnsi="Arial"/>
          <w:sz w:val="14"/>
          <w:szCs w:val="14"/>
          <w:i w:val="1"/>
          <w:iCs w:val="1"/>
          <w:color w:val="auto"/>
        </w:rPr>
        <w:t xml:space="preserve"> </w:t>
      </w:r>
      <w:r>
        <w:rPr>
          <w:rFonts w:ascii="Arial" w:cs="Arial" w:eastAsia="Arial" w:hAnsi="Arial"/>
          <w:sz w:val="14"/>
          <w:szCs w:val="14"/>
          <w:color w:val="auto"/>
        </w:rPr>
        <w:t>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our company.</w:t>
      </w:r>
    </w:p>
    <w:p>
      <w:pPr>
        <w:spacing w:after="0" w:line="269"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9"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7"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81"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344"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44"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4"/>
          <w:szCs w:val="14"/>
          <w:i w:val="1"/>
          <w:iCs w:val="1"/>
          <w:color w:val="auto"/>
        </w:rPr>
        <w:t>Association for Molecular</w:t>
      </w:r>
      <w:r>
        <w:rPr>
          <w:rFonts w:ascii="Arial" w:cs="Arial" w:eastAsia="Arial" w:hAnsi="Arial"/>
          <w:sz w:val="14"/>
          <w:szCs w:val="14"/>
          <w:color w:val="auto"/>
        </w:rPr>
        <w:t xml:space="preserve"> </w:t>
      </w:r>
      <w:r>
        <w:rPr>
          <w:rFonts w:ascii="Arial" w:cs="Arial" w:eastAsia="Arial" w:hAnsi="Arial"/>
          <w:sz w:val="14"/>
          <w:szCs w:val="14"/>
          <w:i w:val="1"/>
          <w:iCs w:val="1"/>
          <w:color w:val="auto"/>
        </w:rPr>
        <w:t>Pathology v. Myriad Genetics, Inc</w:t>
      </w:r>
      <w:r>
        <w:rPr>
          <w:rFonts w:ascii="Arial" w:cs="Arial" w:eastAsia="Arial" w:hAnsi="Arial"/>
          <w:sz w:val="14"/>
          <w:szCs w:val="14"/>
          <w:color w:val="auto"/>
        </w:rPr>
        <w:t>. precludes a claim to a nucleic acid having a stated nucleotide sequence that is identical to a sequence found in nature and has not been</w:t>
      </w:r>
      <w:r>
        <w:rPr>
          <w:rFonts w:ascii="Arial" w:cs="Arial" w:eastAsia="Arial" w:hAnsi="Arial"/>
          <w:sz w:val="14"/>
          <w:szCs w:val="14"/>
          <w:i w:val="1"/>
          <w:iCs w:val="1"/>
          <w:color w:val="auto"/>
        </w:rPr>
        <w:t xml:space="preserve"> </w:t>
      </w:r>
      <w:r>
        <w:rPr>
          <w:rFonts w:ascii="Arial" w:cs="Arial" w:eastAsia="Arial" w:hAnsi="Arial"/>
          <w:sz w:val="14"/>
          <w:szCs w:val="14"/>
          <w:color w:val="auto"/>
        </w:rPr>
        <w:t>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63" w:lineRule="exact"/>
        <w:rPr>
          <w:sz w:val="20"/>
          <w:szCs w:val="20"/>
          <w:color w:val="auto"/>
        </w:rPr>
      </w:pPr>
    </w:p>
    <w:p>
      <w:pPr>
        <w:ind w:left="1020" w:right="220" w:hanging="511"/>
        <w:spacing w:after="0" w:line="263"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68" w:lineRule="exact"/>
        <w:rPr>
          <w:rFonts w:ascii="Arial" w:cs="Arial" w:eastAsia="Arial" w:hAnsi="Arial"/>
          <w:sz w:val="17"/>
          <w:szCs w:val="17"/>
          <w:color w:val="auto"/>
        </w:rPr>
      </w:pPr>
    </w:p>
    <w:p>
      <w:pPr>
        <w:ind w:left="1020" w:right="200" w:hanging="511"/>
        <w:spacing w:after="0" w:line="263"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make the inventions covered by each of our issued patents and pending patent applications that we own or license.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55" w:name="page56"/>
    <w:bookmarkEnd w:id="55"/>
    <w:p>
      <w:pPr>
        <w:ind w:left="1020" w:hanging="511"/>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file patent applications covering certain aspects of our inventions.</w:t>
      </w:r>
    </w:p>
    <w:p>
      <w:pPr>
        <w:spacing w:after="0" w:line="102" w:lineRule="exact"/>
        <w:rPr>
          <w:rFonts w:ascii="Arial" w:cs="Arial" w:eastAsia="Arial" w:hAnsi="Arial"/>
          <w:sz w:val="17"/>
          <w:szCs w:val="17"/>
          <w:color w:val="auto"/>
        </w:rPr>
      </w:pPr>
    </w:p>
    <w:p>
      <w:pPr>
        <w:ind w:left="1020" w:right="240" w:hanging="511"/>
        <w:spacing w:after="0" w:line="263"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our intellectual property rights.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14" w:lineRule="exact"/>
        <w:rPr>
          <w:rFonts w:ascii="Arial" w:cs="Arial" w:eastAsia="Arial" w:hAnsi="Arial"/>
          <w:sz w:val="16"/>
          <w:szCs w:val="16"/>
          <w:color w:val="auto"/>
        </w:rPr>
      </w:pPr>
    </w:p>
    <w:p>
      <w:pPr>
        <w:ind w:left="1020" w:hanging="511"/>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02" w:lineRule="exact"/>
        <w:rPr>
          <w:rFonts w:ascii="Arial" w:cs="Arial" w:eastAsia="Arial" w:hAnsi="Arial"/>
          <w:sz w:val="17"/>
          <w:szCs w:val="17"/>
          <w:color w:val="auto"/>
        </w:rPr>
      </w:pPr>
    </w:p>
    <w:p>
      <w:pPr>
        <w:ind w:left="1020" w:right="780" w:hanging="511"/>
        <w:spacing w:after="0" w:line="295"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43"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spacing w:after="0" w:line="69"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36"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03"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5"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57" w:name="page58"/>
    <w:bookmarkEnd w:id="57"/>
    <w:p>
      <w:pPr>
        <w:ind w:right="40"/>
        <w:spacing w:after="0" w:line="253"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34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03"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2"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8" w:name="page59"/>
    <w:bookmarkEnd w:id="58"/>
    <w:p>
      <w:pPr>
        <w:ind w:right="620"/>
        <w:spacing w:after="0" w:line="370" w:lineRule="auto"/>
        <w:rPr>
          <w:sz w:val="20"/>
          <w:szCs w:val="20"/>
          <w:color w:val="auto"/>
        </w:rPr>
      </w:pPr>
      <w:r>
        <w:rPr>
          <w:rFonts w:ascii="Arial" w:cs="Arial" w:eastAsia="Arial" w:hAnsi="Arial"/>
          <w:sz w:val="14"/>
          <w:szCs w:val="14"/>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0" w:lineRule="exact"/>
        <w:rPr>
          <w:sz w:val="20"/>
          <w:szCs w:val="20"/>
          <w:color w:val="auto"/>
        </w:rPr>
      </w:pPr>
    </w:p>
    <w:p>
      <w:pPr>
        <w:spacing w:after="0" w:line="24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84" w:lineRule="exact"/>
        <w:rPr>
          <w:sz w:val="20"/>
          <w:szCs w:val="20"/>
          <w:color w:val="auto"/>
        </w:rPr>
      </w:pPr>
    </w:p>
    <w:p>
      <w:pPr>
        <w:ind w:right="220"/>
        <w:spacing w:after="0" w:line="202" w:lineRule="exact"/>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4"/>
          <w:szCs w:val="14"/>
          <w:color w:val="auto"/>
        </w:rPr>
        <w:t>‑</w:t>
      </w:r>
      <w:r>
        <w:rPr>
          <w:rFonts w:ascii="Arial" w:cs="Arial" w:eastAsia="Arial" w:hAnsi="Arial"/>
          <w:sz w:val="14"/>
          <w:szCs w:val="14"/>
          <w:color w:val="auto"/>
        </w:rPr>
        <w:t>executing or may be breached, and we may be forced to bring claims against third parties, or defend claims they may bring against us, to determine the ownership of what we regard as our intellectual property.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65"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9" w:name="page60"/>
    <w:bookmarkEnd w:id="59"/>
    <w:p>
      <w:pPr>
        <w:ind w:right="160"/>
        <w:spacing w:after="0" w:line="253"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7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6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07"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b w:val="1"/>
          <w:bCs w:val="1"/>
          <w:i w:val="1"/>
          <w:iCs w:val="1"/>
          <w:color w:val="auto"/>
        </w:rPr>
        <w:t>We may be unable to obtain or be delayed in obtaining U.S. or foreign regulatory approval and, as a result, unable or delayed in being able to commercialize our product candidates.</w:t>
      </w:r>
    </w:p>
    <w:p>
      <w:pPr>
        <w:spacing w:after="0" w:line="6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68"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recent U.S. shutdown in late 2018 or the uncertainty of Great Britain’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345"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60" w:name="page61"/>
    <w:bookmarkEnd w:id="60"/>
    <w:p>
      <w:pPr>
        <w:spacing w:after="0" w:line="311" w:lineRule="auto"/>
        <w:rPr>
          <w:sz w:val="20"/>
          <w:szCs w:val="20"/>
          <w:color w:val="auto"/>
        </w:rPr>
      </w:pPr>
      <w:r>
        <w:rPr>
          <w:rFonts w:ascii="Arial" w:cs="Arial" w:eastAsia="Arial" w:hAnsi="Arial"/>
          <w:sz w:val="14"/>
          <w:szCs w:val="14"/>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40" w:lineRule="exact"/>
        <w:rPr>
          <w:sz w:val="20"/>
          <w:szCs w:val="20"/>
          <w:color w:val="auto"/>
        </w:rPr>
      </w:pPr>
    </w:p>
    <w:p>
      <w:pPr>
        <w:ind w:right="120"/>
        <w:spacing w:after="0" w:line="321" w:lineRule="auto"/>
        <w:rPr>
          <w:sz w:val="20"/>
          <w:szCs w:val="20"/>
          <w:color w:val="auto"/>
        </w:rPr>
      </w:pPr>
      <w:r>
        <w:rPr>
          <w:rFonts w:ascii="Arial" w:cs="Arial" w:eastAsia="Arial" w:hAnsi="Arial"/>
          <w:sz w:val="14"/>
          <w:szCs w:val="14"/>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32" w:lineRule="exact"/>
        <w:rPr>
          <w:sz w:val="20"/>
          <w:szCs w:val="20"/>
          <w:color w:val="auto"/>
        </w:rPr>
      </w:pPr>
    </w:p>
    <w:p>
      <w:pPr>
        <w:ind w:right="140"/>
        <w:spacing w:after="0" w:line="333" w:lineRule="auto"/>
        <w:rPr>
          <w:sz w:val="20"/>
          <w:szCs w:val="20"/>
          <w:color w:val="auto"/>
        </w:rPr>
      </w:pPr>
      <w:r>
        <w:rPr>
          <w:rFonts w:ascii="Arial" w:cs="Arial" w:eastAsia="Arial" w:hAnsi="Arial"/>
          <w:sz w:val="14"/>
          <w:szCs w:val="14"/>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6" w:lineRule="exact"/>
        <w:rPr>
          <w:sz w:val="20"/>
          <w:szCs w:val="20"/>
          <w:color w:val="auto"/>
        </w:rPr>
      </w:pPr>
    </w:p>
    <w:p>
      <w:pPr>
        <w:ind w:right="140"/>
        <w:spacing w:after="0" w:line="307" w:lineRule="auto"/>
        <w:rPr>
          <w:sz w:val="20"/>
          <w:szCs w:val="20"/>
          <w:color w:val="auto"/>
        </w:rPr>
      </w:pPr>
      <w:r>
        <w:rPr>
          <w:rFonts w:ascii="Arial" w:cs="Arial" w:eastAsia="Arial" w:hAnsi="Arial"/>
          <w:sz w:val="14"/>
          <w:szCs w:val="14"/>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2" w:lineRule="exact"/>
        <w:rPr>
          <w:sz w:val="20"/>
          <w:szCs w:val="20"/>
          <w:color w:val="auto"/>
        </w:rPr>
      </w:pPr>
    </w:p>
    <w:p>
      <w:pPr>
        <w:ind w:left="1020" w:hanging="511"/>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114" w:lineRule="exact"/>
        <w:rPr>
          <w:rFonts w:ascii="Arial" w:cs="Arial" w:eastAsia="Arial" w:hAnsi="Arial"/>
          <w:sz w:val="16"/>
          <w:szCs w:val="16"/>
          <w:color w:val="auto"/>
        </w:rPr>
      </w:pPr>
    </w:p>
    <w:p>
      <w:pPr>
        <w:ind w:left="1020" w:hanging="511"/>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suspension or revocation of product license approvals;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and adverse effect on our business and results of operations.</w:t>
      </w:r>
    </w:p>
    <w:p>
      <w:pPr>
        <w:spacing w:after="0" w:line="103"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345"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34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62" w:name="page63"/>
    <w:bookmarkEnd w:id="62"/>
    <w:p>
      <w:pPr>
        <w:spacing w:after="0" w:line="262" w:lineRule="auto"/>
        <w:rPr>
          <w:sz w:val="20"/>
          <w:szCs w:val="20"/>
          <w:color w:val="auto"/>
        </w:rPr>
      </w:pPr>
      <w:r>
        <w:rPr>
          <w:rFonts w:ascii="Arial" w:cs="Arial" w:eastAsia="Arial" w:hAnsi="Arial"/>
          <w:sz w:val="16"/>
          <w:szCs w:val="16"/>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7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9"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45" w:lineRule="exact"/>
        <w:rPr>
          <w:sz w:val="20"/>
          <w:szCs w:val="20"/>
          <w:color w:val="auto"/>
        </w:rPr>
      </w:pPr>
    </w:p>
    <w:p>
      <w:pPr>
        <w:ind w:left="1020" w:right="200" w:hanging="511"/>
        <w:spacing w:after="0" w:line="321"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3" w:lineRule="exact"/>
        <w:rPr>
          <w:rFonts w:ascii="Arial" w:cs="Arial" w:eastAsia="Arial" w:hAnsi="Arial"/>
          <w:sz w:val="14"/>
          <w:szCs w:val="14"/>
          <w:color w:val="auto"/>
        </w:rPr>
      </w:pPr>
    </w:p>
    <w:p>
      <w:pPr>
        <w:ind w:left="1020" w:right="60" w:hanging="511"/>
        <w:spacing w:after="0" w:line="315"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6" w:lineRule="exact"/>
        <w:rPr>
          <w:rFonts w:ascii="Arial" w:cs="Arial" w:eastAsia="Arial" w:hAnsi="Arial"/>
          <w:sz w:val="14"/>
          <w:szCs w:val="14"/>
          <w:color w:val="auto"/>
        </w:rPr>
      </w:pPr>
    </w:p>
    <w:p>
      <w:pPr>
        <w:ind w:left="1020" w:right="60" w:hanging="511"/>
        <w:spacing w:after="0" w:line="24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7"/>
          <w:szCs w:val="17"/>
          <w:color w:val="auto"/>
        </w:rPr>
      </w:pPr>
    </w:p>
    <w:p>
      <w:pPr>
        <w:ind w:left="1020" w:hanging="511"/>
        <w:spacing w:after="0" w:line="24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3" w:lineRule="exact"/>
        <w:rPr>
          <w:rFonts w:ascii="Arial" w:cs="Arial" w:eastAsia="Arial" w:hAnsi="Arial"/>
          <w:sz w:val="17"/>
          <w:szCs w:val="17"/>
          <w:color w:val="auto"/>
        </w:rPr>
      </w:pPr>
    </w:p>
    <w:p>
      <w:pPr>
        <w:ind w:left="1020" w:right="220" w:hanging="511"/>
        <w:spacing w:after="0" w:line="321"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3" w:name="page64"/>
    <w:bookmarkEnd w:id="63"/>
    <w:p>
      <w:pPr>
        <w:ind w:left="1020" w:right="20" w:hanging="511"/>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65" w:lineRule="exact"/>
        <w:rPr>
          <w:rFonts w:ascii="Arial" w:cs="Arial" w:eastAsia="Arial" w:hAnsi="Arial"/>
          <w:sz w:val="16"/>
          <w:szCs w:val="16"/>
          <w:color w:val="auto"/>
        </w:rPr>
      </w:pPr>
    </w:p>
    <w:p>
      <w:pPr>
        <w:ind w:left="1020" w:right="20" w:hanging="511"/>
        <w:spacing w:after="0" w:line="311" w:lineRule="auto"/>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8" w:lineRule="exact"/>
        <w:rPr>
          <w:sz w:val="20"/>
          <w:szCs w:val="20"/>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seizures or administrative detention of products;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civil and criminal penalties and fines.</w:t>
      </w:r>
    </w:p>
    <w:p>
      <w:pPr>
        <w:spacing w:after="0" w:line="30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425" w:right="259" w:bottom="1440" w:gutter="0" w:footer="0" w:header="0"/>
        </w:sectPr>
      </w:pPr>
    </w:p>
    <w:bookmarkStart w:id="64" w:name="page65"/>
    <w:bookmarkEnd w:id="64"/>
    <w:p>
      <w:pPr>
        <w:spacing w:after="0" w:line="262" w:lineRule="auto"/>
        <w:rPr>
          <w:sz w:val="20"/>
          <w:szCs w:val="20"/>
          <w:color w:val="auto"/>
        </w:rPr>
      </w:pPr>
      <w:r>
        <w:rPr>
          <w:rFonts w:ascii="Arial" w:cs="Arial" w:eastAsia="Arial" w:hAnsi="Arial"/>
          <w:sz w:val="16"/>
          <w:szCs w:val="16"/>
          <w:color w:val="auto"/>
        </w:rPr>
        <w:t>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75"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9"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4"/>
          <w:szCs w:val="14"/>
          <w:i w:val="1"/>
          <w:iCs w:val="1"/>
          <w:color w:val="auto"/>
        </w:rPr>
        <w:t>e.g</w:t>
      </w:r>
      <w:r>
        <w:rPr>
          <w:rFonts w:ascii="Arial" w:cs="Arial" w:eastAsia="Arial" w:hAnsi="Arial"/>
          <w:sz w:val="14"/>
          <w:szCs w:val="14"/>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34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9" w:lineRule="exact"/>
        <w:rPr>
          <w:sz w:val="20"/>
          <w:szCs w:val="20"/>
          <w:color w:val="auto"/>
        </w:rPr>
      </w:pPr>
    </w:p>
    <w:p>
      <w:pPr>
        <w:ind w:right="340"/>
        <w:spacing w:after="0" w:line="321" w:lineRule="auto"/>
        <w:rPr>
          <w:sz w:val="20"/>
          <w:szCs w:val="20"/>
          <w:color w:val="auto"/>
        </w:rPr>
      </w:pPr>
      <w:r>
        <w:rPr>
          <w:rFonts w:ascii="Arial" w:cs="Arial" w:eastAsia="Arial" w:hAnsi="Arial"/>
          <w:sz w:val="14"/>
          <w:szCs w:val="14"/>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65" w:name="page66"/>
    <w:bookmarkEnd w:id="65"/>
    <w:p>
      <w:pPr>
        <w:ind w:right="40"/>
        <w:spacing w:after="0" w:line="266"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6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68" w:lineRule="exact"/>
        <w:rPr>
          <w:sz w:val="20"/>
          <w:szCs w:val="20"/>
          <w:color w:val="auto"/>
        </w:rPr>
      </w:pPr>
    </w:p>
    <w:p>
      <w:pPr>
        <w:jc w:val="both"/>
        <w:ind w:right="140"/>
        <w:spacing w:after="0" w:line="333" w:lineRule="auto"/>
        <w:rPr>
          <w:sz w:val="20"/>
          <w:szCs w:val="20"/>
          <w:color w:val="auto"/>
        </w:rPr>
      </w:pPr>
      <w:r>
        <w:rPr>
          <w:rFonts w:ascii="Arial" w:cs="Arial" w:eastAsia="Arial" w:hAnsi="Arial"/>
          <w:sz w:val="14"/>
          <w:szCs w:val="14"/>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25"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36" w:lineRule="exact"/>
        <w:rPr>
          <w:sz w:val="20"/>
          <w:szCs w:val="20"/>
          <w:color w:val="auto"/>
        </w:rPr>
      </w:pPr>
    </w:p>
    <w:p>
      <w:pPr>
        <w:ind w:right="80"/>
        <w:spacing w:after="0" w:line="321" w:lineRule="auto"/>
        <w:rPr>
          <w:sz w:val="20"/>
          <w:szCs w:val="20"/>
          <w:color w:val="auto"/>
        </w:rPr>
      </w:pPr>
      <w:r>
        <w:rPr>
          <w:rFonts w:ascii="Arial" w:cs="Arial" w:eastAsia="Arial" w:hAnsi="Arial"/>
          <w:sz w:val="14"/>
          <w:szCs w:val="14"/>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3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4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6" w:name="page67"/>
    <w:bookmarkEnd w:id="66"/>
    <w:p>
      <w:pPr>
        <w:ind w:right="20"/>
        <w:spacing w:after="0" w:line="315" w:lineRule="auto"/>
        <w:rPr>
          <w:sz w:val="20"/>
          <w:szCs w:val="20"/>
          <w:color w:val="auto"/>
        </w:rPr>
      </w:pPr>
      <w:r>
        <w:rPr>
          <w:rFonts w:ascii="Arial" w:cs="Arial" w:eastAsia="Arial" w:hAnsi="Arial"/>
          <w:sz w:val="14"/>
          <w:szCs w:val="14"/>
          <w:color w:val="auto"/>
        </w:rPr>
        <w:t>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35"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6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68" w:lineRule="exact"/>
        <w:rPr>
          <w:sz w:val="20"/>
          <w:szCs w:val="20"/>
          <w:color w:val="auto"/>
        </w:rPr>
      </w:pPr>
    </w:p>
    <w:p>
      <w:pPr>
        <w:jc w:val="both"/>
        <w:ind w:right="80"/>
        <w:spacing w:after="0" w:line="268"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Fast Track Designation by the FDA for any of our product candidates may not actually lead to a faster development or regulatory review or approval process.</w:t>
      </w:r>
    </w:p>
    <w:p>
      <w:pPr>
        <w:spacing w:after="0" w:line="137"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35"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7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7" w:name="page68"/>
    <w:bookmarkEnd w:id="67"/>
    <w:p>
      <w:pPr>
        <w:spacing w:after="0" w:line="265" w:lineRule="auto"/>
        <w:rPr>
          <w:sz w:val="20"/>
          <w:szCs w:val="20"/>
          <w:color w:val="auto"/>
        </w:rPr>
      </w:pPr>
      <w:r>
        <w:rPr>
          <w:rFonts w:ascii="Arial" w:cs="Arial" w:eastAsia="Arial" w:hAnsi="Arial"/>
          <w:sz w:val="16"/>
          <w:szCs w:val="16"/>
          <w:color w:val="auto"/>
        </w:rPr>
        <w:t>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6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0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We expect our operating results to be subject to quarterly fluctuations. Our net loss and other operating results will be affected by numerous factors, including:</w:t>
      </w:r>
    </w:p>
    <w:p>
      <w:pPr>
        <w:spacing w:after="0" w:line="114" w:lineRule="exact"/>
        <w:rPr>
          <w:sz w:val="20"/>
          <w:szCs w:val="20"/>
          <w:color w:val="auto"/>
        </w:rPr>
      </w:pPr>
    </w:p>
    <w:p>
      <w:pPr>
        <w:ind w:left="1020" w:hanging="511"/>
        <w:spacing w:after="0"/>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variations in the level of expense related to the ongoing development of our Probody platform, our product candidates or future development programs;</w:t>
      </w:r>
    </w:p>
    <w:p>
      <w:pPr>
        <w:spacing w:after="0" w:line="137" w:lineRule="exact"/>
        <w:rPr>
          <w:rFonts w:ascii="Arial" w:cs="Arial" w:eastAsia="Arial" w:hAnsi="Arial"/>
          <w:sz w:val="14"/>
          <w:szCs w:val="14"/>
          <w:color w:val="auto"/>
        </w:rPr>
      </w:pPr>
    </w:p>
    <w:p>
      <w:pPr>
        <w:ind w:left="1020" w:hanging="511"/>
        <w:spacing w:after="0"/>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results of clinical trials, or the addition or termination of clinical trials or funding support by us, or existing or future collaborators or licensing partners;</w:t>
      </w:r>
    </w:p>
    <w:p>
      <w:pPr>
        <w:spacing w:after="0" w:line="137" w:lineRule="exact"/>
        <w:rPr>
          <w:rFonts w:ascii="Arial" w:cs="Arial" w:eastAsia="Arial" w:hAnsi="Arial"/>
          <w:sz w:val="14"/>
          <w:szCs w:val="14"/>
          <w:color w:val="auto"/>
        </w:rPr>
      </w:pPr>
    </w:p>
    <w:p>
      <w:pPr>
        <w:ind w:left="1020" w:right="400" w:hanging="511"/>
        <w:spacing w:after="0" w:line="26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8" w:lineRule="exact"/>
        <w:rPr>
          <w:rFonts w:ascii="Arial" w:cs="Arial" w:eastAsia="Arial" w:hAnsi="Arial"/>
          <w:sz w:val="17"/>
          <w:szCs w:val="17"/>
          <w:color w:val="auto"/>
        </w:rPr>
      </w:pPr>
    </w:p>
    <w:p>
      <w:pPr>
        <w:ind w:left="1020" w:right="220" w:hanging="511"/>
        <w:spacing w:after="0" w:line="26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strategic decisions by us or our competitors, such as acquisitions, divestitures, spin-offs, joint ventures, strategic investments or changes in business strategy;</w:t>
      </w:r>
    </w:p>
    <w:p>
      <w:pPr>
        <w:spacing w:after="0" w:line="137" w:lineRule="exact"/>
        <w:rPr>
          <w:rFonts w:ascii="Arial" w:cs="Arial" w:eastAsia="Arial" w:hAnsi="Arial"/>
          <w:sz w:val="14"/>
          <w:szCs w:val="14"/>
          <w:color w:val="auto"/>
        </w:rPr>
      </w:pPr>
    </w:p>
    <w:p>
      <w:pPr>
        <w:ind w:left="1020" w:hanging="511"/>
        <w:spacing w:after="0"/>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any of our product candidates receives regulatory approval, the terms of such approval and market acceptance and demand for such product candidates;</w:t>
      </w:r>
    </w:p>
    <w:p>
      <w:pPr>
        <w:spacing w:after="0" w:line="137" w:lineRule="exact"/>
        <w:rPr>
          <w:rFonts w:ascii="Arial" w:cs="Arial" w:eastAsia="Arial" w:hAnsi="Arial"/>
          <w:sz w:val="14"/>
          <w:szCs w:val="14"/>
          <w:color w:val="auto"/>
        </w:rPr>
      </w:pPr>
    </w:p>
    <w:p>
      <w:pPr>
        <w:ind w:left="1020" w:hanging="511"/>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developments affecting our product candidates or those of our competitors;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general market and economic conditions.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Our stock price may be volatile and purchasers of our common stock could incur substantial losses.</w:t>
      </w:r>
    </w:p>
    <w:p>
      <w:pPr>
        <w:spacing w:after="0" w:line="10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stock price is volatile. Since our initial public offering (“IPO”), our stock had high and low sales prices in the range of $9.01 and $35.00 per share. The market price for our common stock may be influenced by many factors, including the other risks described in this section titled “Risk Factors” and the following:</w:t>
      </w:r>
    </w:p>
    <w:p>
      <w:pPr>
        <w:spacing w:after="0" w:line="45" w:lineRule="exact"/>
        <w:rPr>
          <w:sz w:val="20"/>
          <w:szCs w:val="20"/>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collaborators;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2" w:lineRule="exact"/>
        <w:rPr>
          <w:rFonts w:ascii="Arial" w:cs="Arial" w:eastAsia="Arial" w:hAnsi="Arial"/>
          <w:sz w:val="17"/>
          <w:szCs w:val="17"/>
          <w:color w:val="auto"/>
        </w:rPr>
      </w:pPr>
    </w:p>
    <w:p>
      <w:pPr>
        <w:ind w:left="1020" w:right="80" w:hanging="511"/>
        <w:spacing w:after="0" w:line="263"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future commercialization partners, or our competitors, and the timing of these introductions or announcements;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those of companies that are perceived to be similar to us;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product candidates;</w:t>
      </w:r>
    </w:p>
    <w:p>
      <w:pPr>
        <w:spacing w:after="0" w:line="102" w:lineRule="exact"/>
        <w:rPr>
          <w:rFonts w:ascii="Arial" w:cs="Arial" w:eastAsia="Arial" w:hAnsi="Arial"/>
          <w:sz w:val="17"/>
          <w:szCs w:val="17"/>
          <w:color w:val="auto"/>
        </w:rPr>
      </w:pPr>
    </w:p>
    <w:p>
      <w:pPr>
        <w:ind w:left="1020" w:right="640" w:hanging="511"/>
        <w:spacing w:after="0" w:line="263"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concerning any existing or future collaborations, including but not limited to those with our sources of manufacturing supply and our commercialization partners;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02" w:lineRule="exact"/>
        <w:rPr>
          <w:rFonts w:ascii="Arial" w:cs="Arial" w:eastAsia="Arial" w:hAnsi="Arial"/>
          <w:sz w:val="17"/>
          <w:szCs w:val="17"/>
          <w:color w:val="auto"/>
        </w:rPr>
      </w:pPr>
    </w:p>
    <w:p>
      <w:pPr>
        <w:ind w:left="1020" w:right="220" w:hanging="511"/>
        <w:spacing w:after="0" w:line="263"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we raise it;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02" w:lineRule="exact"/>
        <w:rPr>
          <w:rFonts w:ascii="Arial" w:cs="Arial" w:eastAsia="Arial" w:hAnsi="Arial"/>
          <w:sz w:val="17"/>
          <w:szCs w:val="17"/>
          <w:color w:val="auto"/>
        </w:rPr>
      </w:pPr>
    </w:p>
    <w:p>
      <w:pPr>
        <w:ind w:left="1020" w:right="320" w:hanging="511"/>
        <w:spacing w:after="0" w:line="263"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The future issuance of equity or of debt securities that are convertible into equity will dilute our share capital.</w:t>
      </w:r>
    </w:p>
    <w:p>
      <w:pPr>
        <w:spacing w:after="0" w:line="1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9"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market for our common stock may not be maintained.</w:t>
      </w:r>
    </w:p>
    <w:p>
      <w:pPr>
        <w:spacing w:after="0" w:line="10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9" w:lineRule="exact"/>
        <w:rPr>
          <w:sz w:val="20"/>
          <w:szCs w:val="20"/>
          <w:color w:val="auto"/>
        </w:rPr>
      </w:pPr>
    </w:p>
    <w:p>
      <w:pPr>
        <w:jc w:val="both"/>
        <w:ind w:right="140"/>
        <w:spacing w:after="0" w:line="321"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69" w:lineRule="exact"/>
        <w:rPr>
          <w:sz w:val="20"/>
          <w:szCs w:val="20"/>
          <w:color w:val="auto"/>
        </w:rPr>
      </w:pPr>
    </w:p>
    <w:p>
      <w:pPr>
        <w:ind w:right="200"/>
        <w:spacing w:after="0" w:line="315" w:lineRule="auto"/>
        <w:rPr>
          <w:sz w:val="20"/>
          <w:szCs w:val="20"/>
          <w:color w:val="auto"/>
        </w:rPr>
      </w:pPr>
      <w:r>
        <w:rPr>
          <w:rFonts w:ascii="Arial" w:cs="Arial" w:eastAsia="Arial" w:hAnsi="Arial"/>
          <w:sz w:val="14"/>
          <w:szCs w:val="14"/>
          <w:color w:val="auto"/>
        </w:rPr>
        <w:t>As of March 31, 2019, our executive officers, directors, holders of 5% or more of our capital stock based on publicly available filings made with the SEC and their respective affiliates beneficially owned approximately 45%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35"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9"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360"/>
          </w:cols>
          <w:pgMar w:left="240" w:top="624" w:right="29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provisions could in turn affect any attempt by our stockholders to replace current members of our management team. These provisions include:</w:t>
      </w:r>
    </w:p>
    <w:p>
      <w:pPr>
        <w:spacing w:after="0" w:line="103" w:lineRule="exact"/>
        <w:rPr>
          <w:sz w:val="20"/>
          <w:szCs w:val="20"/>
          <w:color w:val="auto"/>
        </w:rPr>
      </w:pPr>
    </w:p>
    <w:p>
      <w:pPr>
        <w:ind w:left="1020" w:hanging="511"/>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prohibition on actions by our stockholders by written consent;</w:t>
      </w:r>
    </w:p>
    <w:p>
      <w:pPr>
        <w:spacing w:after="0" w:line="102" w:lineRule="exact"/>
        <w:rPr>
          <w:rFonts w:ascii="Arial" w:cs="Arial" w:eastAsia="Arial" w:hAnsi="Arial"/>
          <w:sz w:val="17"/>
          <w:szCs w:val="17"/>
          <w:color w:val="auto"/>
        </w:rPr>
      </w:pPr>
    </w:p>
    <w:p>
      <w:pPr>
        <w:ind w:left="1020" w:right="20" w:hanging="511"/>
        <w:spacing w:after="0" w:line="321" w:lineRule="auto"/>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33" w:lineRule="exact"/>
        <w:rPr>
          <w:rFonts w:ascii="Arial" w:cs="Arial" w:eastAsia="Arial" w:hAnsi="Arial"/>
          <w:sz w:val="14"/>
          <w:szCs w:val="14"/>
          <w:color w:val="auto"/>
        </w:rPr>
      </w:pPr>
    </w:p>
    <w:p>
      <w:pPr>
        <w:ind w:left="1020" w:hanging="511"/>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14" w:lineRule="exact"/>
        <w:rPr>
          <w:rFonts w:ascii="Arial" w:cs="Arial" w:eastAsia="Arial" w:hAnsi="Arial"/>
          <w:sz w:val="16"/>
          <w:szCs w:val="16"/>
          <w:color w:val="auto"/>
        </w:rPr>
      </w:pPr>
    </w:p>
    <w:p>
      <w:pPr>
        <w:ind w:left="1020" w:hanging="511"/>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division of our board of directors into three classes, serving staggered terms of three years each; and</w:t>
      </w:r>
    </w:p>
    <w:p>
      <w:pPr>
        <w:spacing w:after="0" w:line="102" w:lineRule="exact"/>
        <w:rPr>
          <w:rFonts w:ascii="Arial" w:cs="Arial" w:eastAsia="Arial" w:hAnsi="Arial"/>
          <w:sz w:val="17"/>
          <w:szCs w:val="17"/>
          <w:color w:val="auto"/>
        </w:rPr>
      </w:pPr>
    </w:p>
    <w:p>
      <w:pPr>
        <w:ind w:left="1020" w:hanging="511"/>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authority of the board of directors to issue preferred stock with such terms as the board of directors may determine.</w:t>
      </w:r>
    </w:p>
    <w:p>
      <w:pPr>
        <w:spacing w:after="0" w:line="202" w:lineRule="exact"/>
        <w:rPr>
          <w:sz w:val="20"/>
          <w:szCs w:val="20"/>
          <w:color w:val="auto"/>
        </w:rPr>
      </w:pPr>
    </w:p>
    <w:p>
      <w:pPr>
        <w:jc w:val="both"/>
        <w:ind w:right="360"/>
        <w:spacing w:after="0" w:line="321"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3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3"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 Based on our market capitalization at June 30, 2018, we ceased to be an emerging growth company at December 31, 2018 and, accordingly, were required to deliver an opinion from our independent registered public accounting firm on the effectiveness of our internal controls over financial reporting in our 2018 Annual Report and will be required to do so for future annual reports.</w:t>
      </w:r>
    </w:p>
    <w:p>
      <w:pPr>
        <w:spacing w:after="0" w:line="16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However,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13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our expected stock volatility.</w:t>
      </w:r>
    </w:p>
    <w:p>
      <w:pPr>
        <w:spacing w:after="0" w:line="10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79" w:lineRule="exact"/>
        <w:rPr>
          <w:sz w:val="20"/>
          <w:szCs w:val="20"/>
          <w:color w:val="auto"/>
        </w:rPr>
      </w:pPr>
    </w:p>
    <w:p>
      <w:pPr>
        <w:ind w:right="500"/>
        <w:spacing w:after="0" w:line="253" w:lineRule="auto"/>
        <w:rPr>
          <w:sz w:val="20"/>
          <w:szCs w:val="20"/>
          <w:color w:val="auto"/>
        </w:rPr>
      </w:pPr>
      <w:r>
        <w:rPr>
          <w:rFonts w:ascii="Arial" w:cs="Arial" w:eastAsia="Arial" w:hAnsi="Arial"/>
          <w:sz w:val="17"/>
          <w:szCs w:val="17"/>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72" w:name="page73"/>
    <w:bookmarkEnd w:id="72"/>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Repurchases of Shares or of Company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97"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107"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The Company entered into a consulting agreement (“the “Consulting Agreement”) with Mr. Debanjan Ray, effective on May 15, 2019, upon his departure from the Company as its CFO, pursuant to which Mr. Ray will serve as a special advisor to the Company, providing consulting services on finance, accounting, strategy and development matters of the Company from time to time as requested but not to exceed 15 hours in any given month without specific approval. As compensation for his services, the Company agreed to pay Mr. Ray a rate of $250 per hour and reimburse Mr. Ray for reasonable expenses incurred for the performance of his services. The Consulting Agreement will expire on December 31, 2020 unless extended by mutual agreement between the parties.</w:t>
      </w:r>
    </w:p>
    <w:p>
      <w:pPr>
        <w:spacing w:after="0" w:line="331"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120"/>
          </w:cols>
          <w:pgMar w:left="240" w:top="322" w:right="539" w:bottom="1440" w:gutter="0" w:footer="0" w:header="0"/>
        </w:sectPr>
      </w:pPr>
    </w:p>
    <w:bookmarkStart w:id="73" w:name="page74"/>
    <w:bookmarkEnd w:id="73"/>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Exhibit</w:t>
            </w: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100" w:type="dxa"/>
            <w:vAlign w:val="bottom"/>
            <w:gridSpan w:val="2"/>
          </w:tcPr>
          <w:p>
            <w:pPr>
              <w:ind w:left="220"/>
              <w:spacing w:after="0"/>
              <w:rPr>
                <w:sz w:val="20"/>
                <w:szCs w:val="20"/>
                <w:color w:val="auto"/>
              </w:rPr>
            </w:pPr>
            <w:r>
              <w:rPr>
                <w:rFonts w:ascii="Arial" w:cs="Arial" w:eastAsia="Arial" w:hAnsi="Arial"/>
                <w:sz w:val="13"/>
                <w:szCs w:val="13"/>
                <w:b w:val="1"/>
                <w:bCs w:val="1"/>
                <w:color w:val="auto"/>
              </w:rPr>
              <w:t>Number</w:t>
            </w:r>
          </w:p>
        </w:tc>
        <w:tc>
          <w:tcPr>
            <w:tcW w:w="6000" w:type="dxa"/>
            <w:vAlign w:val="bottom"/>
            <w:gridSpan w:val="19"/>
          </w:tcPr>
          <w:p>
            <w:pPr>
              <w:spacing w:after="0"/>
              <w:rPr>
                <w:sz w:val="20"/>
                <w:szCs w:val="20"/>
                <w:color w:val="auto"/>
              </w:rPr>
            </w:pPr>
            <w:r>
              <w:rPr>
                <w:rFonts w:ascii="Arial" w:cs="Arial" w:eastAsia="Arial" w:hAnsi="Arial"/>
                <w:sz w:val="13"/>
                <w:szCs w:val="13"/>
                <w:b w:val="1"/>
                <w:bCs w:val="1"/>
                <w:color w:val="auto"/>
              </w:rPr>
              <w:t>Exhibit Description</w:t>
            </w:r>
          </w:p>
        </w:tc>
      </w:tr>
      <w:tr>
        <w:trPr>
          <w:trHeight w:val="291"/>
        </w:trPr>
        <w:tc>
          <w:tcPr>
            <w:tcW w:w="9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3440" w:type="dxa"/>
            <w:vAlign w:val="bottom"/>
            <w:tcBorders>
              <w:top w:val="single" w:sz="8" w:color="auto"/>
              <w:bottom w:val="single" w:sz="8" w:color="0000EE"/>
            </w:tcBorders>
            <w:gridSpan w:val="3"/>
          </w:tcPr>
          <w:p>
            <w:pPr>
              <w:spacing w:after="0"/>
              <w:rPr>
                <w:rFonts w:ascii="Arial" w:cs="Arial" w:eastAsia="Arial" w:hAnsi="Arial"/>
                <w:sz w:val="17"/>
                <w:szCs w:val="17"/>
                <w:color w:val="0000EE"/>
                <w:w w:val="88"/>
              </w:rPr>
            </w:pPr>
            <w:hyperlink r:id="rId94">
              <w:r>
                <w:rPr>
                  <w:rFonts w:ascii="Arial" w:cs="Arial" w:eastAsia="Arial" w:hAnsi="Arial"/>
                  <w:sz w:val="17"/>
                  <w:szCs w:val="17"/>
                  <w:color w:val="0000EE"/>
                  <w:w w:val="88"/>
                </w:rPr>
                <w:t>Amended and Restated Certificate of Incorporation.</w:t>
              </w:r>
            </w:hyperlink>
          </w:p>
        </w:tc>
        <w:tc>
          <w:tcPr>
            <w:tcW w:w="2560" w:type="dxa"/>
            <w:vAlign w:val="bottom"/>
            <w:tcBorders>
              <w:top w:val="single" w:sz="8" w:color="auto"/>
            </w:tcBorders>
            <w:gridSpan w:val="16"/>
          </w:tcPr>
          <w:p>
            <w:pPr>
              <w:spacing w:after="0"/>
              <w:rPr>
                <w:sz w:val="24"/>
                <w:szCs w:val="24"/>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rPr>
            </w:pPr>
            <w:hyperlink r:id="rId95">
              <w:r>
                <w:rPr>
                  <w:rFonts w:ascii="Arial" w:cs="Arial" w:eastAsia="Arial" w:hAnsi="Arial"/>
                  <w:sz w:val="17"/>
                  <w:szCs w:val="17"/>
                  <w:color w:val="0000EE"/>
                </w:rPr>
                <w:t>Amended and Restated Bylaws.</w:t>
              </w:r>
            </w:hyperlink>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940" w:type="dxa"/>
            <w:vAlign w:val="bottom"/>
          </w:tcPr>
          <w:p>
            <w:pPr>
              <w:ind w:left="120"/>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6000" w:type="dxa"/>
            <w:vAlign w:val="bottom"/>
            <w:gridSpan w:val="19"/>
          </w:tcPr>
          <w:p>
            <w:pPr>
              <w:spacing w:after="0"/>
              <w:rPr>
                <w:sz w:val="20"/>
                <w:szCs w:val="20"/>
                <w:color w:val="auto"/>
              </w:rPr>
            </w:pPr>
            <w:r>
              <w:rPr>
                <w:rFonts w:ascii="Arial" w:cs="Arial" w:eastAsia="Arial" w:hAnsi="Arial"/>
                <w:sz w:val="17"/>
                <w:szCs w:val="17"/>
                <w:color w:val="auto"/>
              </w:rPr>
              <w:t>Reference is made to Exhibits 3.1 through 3.2.</w:t>
            </w:r>
          </w:p>
        </w:tc>
      </w:tr>
      <w:tr>
        <w:trPr>
          <w:trHeight w:val="298"/>
        </w:trPr>
        <w:tc>
          <w:tcPr>
            <w:tcW w:w="940" w:type="dxa"/>
            <w:vAlign w:val="bottom"/>
          </w:tcPr>
          <w:p>
            <w:pPr>
              <w:ind w:left="120"/>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rPr>
            </w:pPr>
            <w:hyperlink r:id="rId96">
              <w:r>
                <w:rPr>
                  <w:rFonts w:ascii="Arial" w:cs="Arial" w:eastAsia="Arial" w:hAnsi="Arial"/>
                  <w:sz w:val="17"/>
                  <w:szCs w:val="17"/>
                  <w:color w:val="0000EE"/>
                </w:rPr>
                <w:t>Specimen Common Stock Certificate.</w:t>
              </w:r>
            </w:hyperlink>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7"/>
                <w:szCs w:val="17"/>
                <w:color w:val="0000EE"/>
                <w:w w:val="86"/>
              </w:rPr>
            </w:pPr>
            <w:hyperlink r:id="rId97">
              <w:r>
                <w:rPr>
                  <w:rFonts w:ascii="Arial" w:cs="Arial" w:eastAsia="Arial" w:hAnsi="Arial"/>
                  <w:sz w:val="17"/>
                  <w:szCs w:val="17"/>
                  <w:color w:val="0000EE"/>
                  <w:w w:val="86"/>
                </w:rPr>
                <w:t>Amended and Restated Investors’ Rights Agreement dated as of June 12, 2015, by and</w:t>
              </w:r>
            </w:hyperlink>
          </w:p>
        </w:tc>
        <w:tc>
          <w:tcPr>
            <w:tcW w:w="260" w:type="dxa"/>
            <w:vAlign w:val="bottom"/>
            <w:gridSpan w:val="5"/>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Borders>
              <w:bottom w:val="single" w:sz="8" w:color="0000EE"/>
            </w:tcBorders>
            <w:gridSpan w:val="4"/>
          </w:tcPr>
          <w:p>
            <w:pPr>
              <w:spacing w:after="0" w:line="179" w:lineRule="exact"/>
              <w:rPr>
                <w:rFonts w:ascii="Arial" w:cs="Arial" w:eastAsia="Arial" w:hAnsi="Arial"/>
                <w:sz w:val="17"/>
                <w:szCs w:val="17"/>
                <w:color w:val="0000EE"/>
                <w:w w:val="87"/>
              </w:rPr>
            </w:pPr>
            <w:hyperlink r:id="rId97">
              <w:r>
                <w:rPr>
                  <w:rFonts w:ascii="Arial" w:cs="Arial" w:eastAsia="Arial" w:hAnsi="Arial"/>
                  <w:sz w:val="17"/>
                  <w:szCs w:val="17"/>
                  <w:color w:val="0000EE"/>
                  <w:w w:val="87"/>
                </w:rPr>
                <w:t>among CytomX Therapeutics, Inc. and the investors named therein.</w:t>
              </w:r>
            </w:hyperlink>
          </w:p>
        </w:tc>
        <w:tc>
          <w:tcPr>
            <w:tcW w:w="1520" w:type="dxa"/>
            <w:vAlign w:val="bottom"/>
            <w:gridSpan w:val="15"/>
          </w:tcPr>
          <w:p>
            <w:pPr>
              <w:spacing w:after="0"/>
              <w:rPr>
                <w:sz w:val="15"/>
                <w:szCs w:val="15"/>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w w:val="88"/>
              </w:rPr>
            </w:pPr>
            <w:hyperlink w:anchor="page77">
              <w:r>
                <w:rPr>
                  <w:rFonts w:ascii="Arial" w:cs="Arial" w:eastAsia="Arial" w:hAnsi="Arial"/>
                  <w:sz w:val="17"/>
                  <w:szCs w:val="17"/>
                  <w:color w:val="0000EE"/>
                  <w:w w:val="88"/>
                </w:rPr>
                <w:t>Amended and Restated Severance and Change of Control Agreement dated February 27,</w:t>
              </w:r>
            </w:hyperlink>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79" w:lineRule="exact"/>
              <w:rPr>
                <w:rFonts w:ascii="Arial" w:cs="Arial" w:eastAsia="Arial" w:hAnsi="Arial"/>
                <w:sz w:val="17"/>
                <w:szCs w:val="17"/>
                <w:color w:val="0000EE"/>
                <w:w w:val="98"/>
              </w:rPr>
            </w:pPr>
            <w:hyperlink w:anchor="page77">
              <w:r>
                <w:rPr>
                  <w:rFonts w:ascii="Arial" w:cs="Arial" w:eastAsia="Arial" w:hAnsi="Arial"/>
                  <w:sz w:val="17"/>
                  <w:szCs w:val="17"/>
                  <w:color w:val="0000EE"/>
                  <w:w w:val="98"/>
                </w:rPr>
                <w:t>2019, by and between CytomX Therapeutics, Inc. and Sean McCarthy. D. Phil.</w:t>
              </w:r>
            </w:hyperlink>
          </w:p>
        </w:tc>
        <w:tc>
          <w:tcPr>
            <w:tcW w:w="140" w:type="dxa"/>
            <w:vAlign w:val="bottom"/>
            <w:gridSpan w:val="3"/>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5720" w:type="dxa"/>
            <w:vAlign w:val="bottom"/>
            <w:tcBorders>
              <w:bottom w:val="single" w:sz="8" w:color="0000EE"/>
            </w:tcBorders>
            <w:gridSpan w:val="13"/>
          </w:tcPr>
          <w:p>
            <w:pPr>
              <w:spacing w:after="0"/>
              <w:rPr>
                <w:rFonts w:ascii="Arial" w:cs="Arial" w:eastAsia="Arial" w:hAnsi="Arial"/>
                <w:sz w:val="17"/>
                <w:szCs w:val="17"/>
                <w:color w:val="0000EE"/>
                <w:w w:val="86"/>
              </w:rPr>
            </w:pPr>
            <w:hyperlink w:anchor="page83">
              <w:r>
                <w:rPr>
                  <w:rFonts w:ascii="Arial" w:cs="Arial" w:eastAsia="Arial" w:hAnsi="Arial"/>
                  <w:sz w:val="17"/>
                  <w:szCs w:val="17"/>
                  <w:color w:val="0000EE"/>
                  <w:w w:val="86"/>
                </w:rPr>
                <w:t>Amended and Restated Severance and Change of Control Agreement dated March 25,</w:t>
              </w:r>
            </w:hyperlink>
          </w:p>
        </w:tc>
        <w:tc>
          <w:tcPr>
            <w:tcW w:w="280" w:type="dxa"/>
            <w:vAlign w:val="bottom"/>
            <w:gridSpan w:val="6"/>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19"/>
          </w:tcPr>
          <w:p>
            <w:pPr>
              <w:spacing w:after="0" w:line="179" w:lineRule="exact"/>
              <w:rPr>
                <w:rFonts w:ascii="Arial" w:cs="Arial" w:eastAsia="Arial" w:hAnsi="Arial"/>
                <w:sz w:val="17"/>
                <w:szCs w:val="17"/>
                <w:color w:val="0000EE"/>
              </w:rPr>
            </w:pPr>
            <w:hyperlink w:anchor="page83">
              <w:r>
                <w:rPr>
                  <w:rFonts w:ascii="Arial" w:cs="Arial" w:eastAsia="Arial" w:hAnsi="Arial"/>
                  <w:sz w:val="17"/>
                  <w:szCs w:val="17"/>
                  <w:color w:val="0000EE"/>
                </w:rPr>
                <w:t>2019, by and between CytomX Therapeutics, Inc. and Lloyd Rowland.</w:t>
              </w:r>
            </w:hyperlink>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w w:val="91"/>
              </w:rPr>
            </w:pPr>
            <w:hyperlink w:anchor="page89">
              <w:r>
                <w:rPr>
                  <w:rFonts w:ascii="Arial" w:cs="Arial" w:eastAsia="Arial" w:hAnsi="Arial"/>
                  <w:sz w:val="17"/>
                  <w:szCs w:val="17"/>
                  <w:color w:val="0000EE"/>
                  <w:w w:val="91"/>
                </w:rPr>
                <w:t>Amended and Restated Severance and Change of Control Agreement dated March 25,</w:t>
              </w:r>
            </w:hyperlink>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79" w:lineRule="exact"/>
              <w:rPr>
                <w:rFonts w:ascii="Arial" w:cs="Arial" w:eastAsia="Arial" w:hAnsi="Arial"/>
                <w:sz w:val="17"/>
                <w:szCs w:val="17"/>
                <w:color w:val="0000EE"/>
                <w:w w:val="92"/>
              </w:rPr>
            </w:pPr>
            <w:hyperlink w:anchor="page89">
              <w:r>
                <w:rPr>
                  <w:rFonts w:ascii="Arial" w:cs="Arial" w:eastAsia="Arial" w:hAnsi="Arial"/>
                  <w:sz w:val="17"/>
                  <w:szCs w:val="17"/>
                  <w:color w:val="0000EE"/>
                  <w:w w:val="92"/>
                </w:rPr>
                <w:t>2019, by and between CytomX Therapeutics, Inc. and Rachel W. Humphrey, M.D.</w:t>
              </w:r>
            </w:hyperlink>
          </w:p>
        </w:tc>
        <w:tc>
          <w:tcPr>
            <w:tcW w:w="260" w:type="dxa"/>
            <w:vAlign w:val="bottom"/>
            <w:gridSpan w:val="5"/>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w w:val="91"/>
              </w:rPr>
            </w:pPr>
            <w:hyperlink w:anchor="page95">
              <w:r>
                <w:rPr>
                  <w:rFonts w:ascii="Arial" w:cs="Arial" w:eastAsia="Arial" w:hAnsi="Arial"/>
                  <w:sz w:val="17"/>
                  <w:szCs w:val="17"/>
                  <w:color w:val="0000EE"/>
                  <w:w w:val="91"/>
                </w:rPr>
                <w:t>Amended and Restated Severance and Change of Control Agreement dated March 25,</w:t>
              </w:r>
            </w:hyperlink>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79" w:lineRule="exact"/>
              <w:rPr>
                <w:rFonts w:ascii="Arial" w:cs="Arial" w:eastAsia="Arial" w:hAnsi="Arial"/>
                <w:sz w:val="17"/>
                <w:szCs w:val="17"/>
                <w:color w:val="0000EE"/>
                <w:w w:val="94"/>
              </w:rPr>
            </w:pPr>
            <w:hyperlink w:anchor="page95">
              <w:r>
                <w:rPr>
                  <w:rFonts w:ascii="Arial" w:cs="Arial" w:eastAsia="Arial" w:hAnsi="Arial"/>
                  <w:sz w:val="17"/>
                  <w:szCs w:val="17"/>
                  <w:color w:val="0000EE"/>
                  <w:w w:val="94"/>
                </w:rPr>
                <w:t>2019, by and between CytomX Therapeutics, Inc. and Michael Kavanaugh, M.D.</w:t>
              </w:r>
            </w:hyperlink>
          </w:p>
        </w:tc>
        <w:tc>
          <w:tcPr>
            <w:tcW w:w="260" w:type="dxa"/>
            <w:vAlign w:val="bottom"/>
            <w:gridSpan w:val="5"/>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5720" w:type="dxa"/>
            <w:vAlign w:val="bottom"/>
            <w:tcBorders>
              <w:bottom w:val="single" w:sz="8" w:color="0000EE"/>
            </w:tcBorders>
            <w:gridSpan w:val="13"/>
          </w:tcPr>
          <w:p>
            <w:pPr>
              <w:spacing w:after="0"/>
              <w:rPr>
                <w:rFonts w:ascii="Arial" w:cs="Arial" w:eastAsia="Arial" w:hAnsi="Arial"/>
                <w:sz w:val="17"/>
                <w:szCs w:val="17"/>
                <w:color w:val="0000EE"/>
                <w:w w:val="86"/>
              </w:rPr>
            </w:pPr>
            <w:hyperlink w:anchor="page101">
              <w:r>
                <w:rPr>
                  <w:rFonts w:ascii="Arial" w:cs="Arial" w:eastAsia="Arial" w:hAnsi="Arial"/>
                  <w:sz w:val="17"/>
                  <w:szCs w:val="17"/>
                  <w:color w:val="0000EE"/>
                  <w:w w:val="86"/>
                </w:rPr>
                <w:t>Amended and Restated Severance and Change of Control Agreement dated March 25,</w:t>
              </w:r>
            </w:hyperlink>
          </w:p>
        </w:tc>
        <w:tc>
          <w:tcPr>
            <w:tcW w:w="280" w:type="dxa"/>
            <w:vAlign w:val="bottom"/>
            <w:gridSpan w:val="6"/>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19"/>
          </w:tcPr>
          <w:p>
            <w:pPr>
              <w:spacing w:after="0" w:line="179" w:lineRule="exact"/>
              <w:rPr>
                <w:rFonts w:ascii="Arial" w:cs="Arial" w:eastAsia="Arial" w:hAnsi="Arial"/>
                <w:sz w:val="17"/>
                <w:szCs w:val="17"/>
                <w:color w:val="0000EE"/>
              </w:rPr>
            </w:pPr>
            <w:hyperlink w:anchor="page101">
              <w:r>
                <w:rPr>
                  <w:rFonts w:ascii="Arial" w:cs="Arial" w:eastAsia="Arial" w:hAnsi="Arial"/>
                  <w:sz w:val="17"/>
                  <w:szCs w:val="17"/>
                  <w:color w:val="0000EE"/>
                </w:rPr>
                <w:t>2019, by and between CytomX Therapeutics, Inc. and Debanjan Ray.</w:t>
              </w:r>
            </w:hyperlink>
          </w:p>
        </w:tc>
      </w:tr>
      <w:tr>
        <w:trPr>
          <w:trHeight w:val="20"/>
        </w:trPr>
        <w:tc>
          <w:tcPr>
            <w:tcW w:w="1100" w:type="dxa"/>
            <w:vAlign w:val="bottom"/>
            <w:gridSpan w:val="2"/>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10.6†</w:t>
            </w:r>
          </w:p>
        </w:tc>
        <w:tc>
          <w:tcPr>
            <w:tcW w:w="5820" w:type="dxa"/>
            <w:vAlign w:val="bottom"/>
            <w:tcBorders>
              <w:bottom w:val="single" w:sz="8" w:color="0000EE"/>
            </w:tcBorders>
            <w:gridSpan w:val="15"/>
          </w:tcPr>
          <w:p>
            <w:pPr>
              <w:spacing w:after="0"/>
              <w:rPr>
                <w:rFonts w:ascii="Arial" w:cs="Arial" w:eastAsia="Arial" w:hAnsi="Arial"/>
                <w:sz w:val="17"/>
                <w:szCs w:val="17"/>
                <w:color w:val="0000EE"/>
                <w:w w:val="89"/>
              </w:rPr>
            </w:pPr>
            <w:hyperlink w:anchor="page107">
              <w:r>
                <w:rPr>
                  <w:rFonts w:ascii="Arial" w:cs="Arial" w:eastAsia="Arial" w:hAnsi="Arial"/>
                  <w:sz w:val="17"/>
                  <w:szCs w:val="17"/>
                  <w:color w:val="0000EE"/>
                  <w:w w:val="89"/>
                </w:rPr>
                <w:t>Amendment No.3 to Exclusive License Agreement effective as of April 2, 2019, by and</w:t>
              </w:r>
            </w:hyperlink>
          </w:p>
        </w:tc>
        <w:tc>
          <w:tcPr>
            <w:tcW w:w="180" w:type="dxa"/>
            <w:vAlign w:val="bottom"/>
            <w:gridSpan w:val="4"/>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40" w:type="dxa"/>
            <w:vAlign w:val="bottom"/>
            <w:tcBorders>
              <w:bottom w:val="single" w:sz="8" w:color="0000EE"/>
            </w:tcBorders>
            <w:gridSpan w:val="11"/>
          </w:tcPr>
          <w:p>
            <w:pPr>
              <w:spacing w:after="0" w:line="179" w:lineRule="exact"/>
              <w:rPr>
                <w:rFonts w:ascii="Arial" w:cs="Arial" w:eastAsia="Arial" w:hAnsi="Arial"/>
                <w:sz w:val="17"/>
                <w:szCs w:val="17"/>
                <w:color w:val="0000EE"/>
                <w:w w:val="89"/>
              </w:rPr>
            </w:pPr>
            <w:hyperlink w:anchor="page107">
              <w:r>
                <w:rPr>
                  <w:rFonts w:ascii="Arial" w:cs="Arial" w:eastAsia="Arial" w:hAnsi="Arial"/>
                  <w:sz w:val="17"/>
                  <w:szCs w:val="17"/>
                  <w:color w:val="0000EE"/>
                  <w:w w:val="89"/>
                </w:rPr>
                <w:t>between CytomX Therapeutics, Inc. and The Regents of the University of California.</w:t>
              </w:r>
            </w:hyperlink>
          </w:p>
        </w:tc>
        <w:tc>
          <w:tcPr>
            <w:tcW w:w="360" w:type="dxa"/>
            <w:vAlign w:val="bottom"/>
            <w:gridSpan w:val="8"/>
          </w:tcPr>
          <w:p>
            <w:pPr>
              <w:spacing w:after="0"/>
              <w:rPr>
                <w:sz w:val="15"/>
                <w:szCs w:val="15"/>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4"/>
                <w:szCs w:val="24"/>
                <w:color w:val="auto"/>
              </w:rPr>
            </w:pPr>
          </w:p>
        </w:tc>
        <w:tc>
          <w:tcPr>
            <w:tcW w:w="5220" w:type="dxa"/>
            <w:vAlign w:val="bottom"/>
            <w:tcBorders>
              <w:bottom w:val="single" w:sz="8" w:color="0000EE"/>
            </w:tcBorders>
            <w:gridSpan w:val="7"/>
          </w:tcPr>
          <w:p>
            <w:pPr>
              <w:spacing w:after="0"/>
              <w:rPr>
                <w:rFonts w:ascii="Arial" w:cs="Arial" w:eastAsia="Arial" w:hAnsi="Arial"/>
                <w:sz w:val="17"/>
                <w:szCs w:val="17"/>
                <w:color w:val="0000EE"/>
                <w:w w:val="89"/>
              </w:rPr>
            </w:pPr>
            <w:hyperlink w:anchor="page115">
              <w:r>
                <w:rPr>
                  <w:rFonts w:ascii="Arial" w:cs="Arial" w:eastAsia="Arial" w:hAnsi="Arial"/>
                  <w:sz w:val="17"/>
                  <w:szCs w:val="17"/>
                  <w:color w:val="0000EE"/>
                  <w:w w:val="89"/>
                </w:rPr>
                <w:t>Consulting Agreement effective as of May 15, 2019, by and between CytomX</w:t>
              </w:r>
            </w:hyperlink>
          </w:p>
        </w:tc>
        <w:tc>
          <w:tcPr>
            <w:tcW w:w="780" w:type="dxa"/>
            <w:vAlign w:val="bottom"/>
            <w:gridSpan w:val="12"/>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bottom w:val="single" w:sz="8" w:color="0000EE"/>
            </w:tcBorders>
            <w:gridSpan w:val="2"/>
          </w:tcPr>
          <w:p>
            <w:pPr>
              <w:spacing w:after="0" w:line="179" w:lineRule="exact"/>
              <w:rPr>
                <w:rFonts w:ascii="Arial" w:cs="Arial" w:eastAsia="Arial" w:hAnsi="Arial"/>
                <w:sz w:val="17"/>
                <w:szCs w:val="17"/>
                <w:color w:val="0000EE"/>
                <w:w w:val="86"/>
              </w:rPr>
            </w:pPr>
            <w:hyperlink w:anchor="page115">
              <w:r>
                <w:rPr>
                  <w:rFonts w:ascii="Arial" w:cs="Arial" w:eastAsia="Arial" w:hAnsi="Arial"/>
                  <w:sz w:val="17"/>
                  <w:szCs w:val="17"/>
                  <w:color w:val="0000EE"/>
                  <w:w w:val="86"/>
                </w:rPr>
                <w:t>Therapeutics, Inc. and Debanjan Ray.</w:t>
              </w:r>
            </w:hyperlink>
          </w:p>
        </w:tc>
        <w:tc>
          <w:tcPr>
            <w:tcW w:w="3500" w:type="dxa"/>
            <w:vAlign w:val="bottom"/>
            <w:gridSpan w:val="17"/>
          </w:tcPr>
          <w:p>
            <w:pPr>
              <w:spacing w:after="0"/>
              <w:rPr>
                <w:sz w:val="15"/>
                <w:szCs w:val="15"/>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31.1</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w w:val="93"/>
              </w:rPr>
            </w:pPr>
            <w:hyperlink w:anchor="page120">
              <w:r>
                <w:rPr>
                  <w:rFonts w:ascii="Arial" w:cs="Arial" w:eastAsia="Arial" w:hAnsi="Arial"/>
                  <w:sz w:val="17"/>
                  <w:szCs w:val="17"/>
                  <w:color w:val="0000EE"/>
                  <w:w w:val="93"/>
                </w:rPr>
                <w:t>Certification of Chief Executive Officer required by Rule 13a-14(a) or Rule 15d-14(a).</w:t>
              </w:r>
            </w:hyperlink>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31.2</w:t>
            </w:r>
          </w:p>
        </w:tc>
        <w:tc>
          <w:tcPr>
            <w:tcW w:w="16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89"/>
              </w:rPr>
            </w:pPr>
            <w:hyperlink w:anchor="page121">
              <w:r>
                <w:rPr>
                  <w:rFonts w:ascii="Arial" w:cs="Arial" w:eastAsia="Arial" w:hAnsi="Arial"/>
                  <w:sz w:val="17"/>
                  <w:szCs w:val="17"/>
                  <w:color w:val="0000EE"/>
                  <w:w w:val="89"/>
                </w:rPr>
                <w:t>Certification of Chief Financial Officer required by Rule 13a-14(a) or Rule 15d-14(a).</w:t>
              </w:r>
            </w:hyperlink>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5"/>
          </w:tcPr>
          <w:p>
            <w:pPr>
              <w:spacing w:after="0"/>
              <w:rPr>
                <w:sz w:val="24"/>
                <w:szCs w:val="24"/>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32.1*</w:t>
            </w:r>
          </w:p>
        </w:tc>
        <w:tc>
          <w:tcPr>
            <w:tcW w:w="1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7"/>
                <w:szCs w:val="17"/>
                <w:color w:val="0000EE"/>
                <w:w w:val="94"/>
              </w:rPr>
            </w:pPr>
            <w:hyperlink w:anchor="page122">
              <w:r>
                <w:rPr>
                  <w:rFonts w:ascii="Arial" w:cs="Arial" w:eastAsia="Arial" w:hAnsi="Arial"/>
                  <w:sz w:val="17"/>
                  <w:szCs w:val="17"/>
                  <w:color w:val="0000EE"/>
                  <w:w w:val="94"/>
                </w:rPr>
                <w:t>Certification of Chief Executive Officer required by Rule 13a-14(b) or Rule 15d-14(b)</w:t>
              </w:r>
            </w:hyperlink>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10"/>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80" w:type="dxa"/>
            <w:vAlign w:val="bottom"/>
            <w:tcBorders>
              <w:bottom w:val="single" w:sz="8" w:color="0000EE"/>
            </w:tcBorders>
            <w:gridSpan w:val="17"/>
          </w:tcPr>
          <w:p>
            <w:pPr>
              <w:spacing w:after="0" w:line="179" w:lineRule="exact"/>
              <w:rPr>
                <w:rFonts w:ascii="Arial" w:cs="Arial" w:eastAsia="Arial" w:hAnsi="Arial"/>
                <w:sz w:val="17"/>
                <w:szCs w:val="17"/>
                <w:color w:val="0000EE"/>
                <w:w w:val="88"/>
              </w:rPr>
            </w:pPr>
            <w:hyperlink w:anchor="page122">
              <w:r>
                <w:rPr>
                  <w:rFonts w:ascii="Arial" w:cs="Arial" w:eastAsia="Arial" w:hAnsi="Arial"/>
                  <w:sz w:val="17"/>
                  <w:szCs w:val="17"/>
                  <w:color w:val="0000EE"/>
                  <w:w w:val="88"/>
                </w:rPr>
                <w:t>and Section 1350 of Chapter 63 of Title 18 of the United States Code (18 U.S.C. §1350).</w:t>
              </w:r>
            </w:hyperlink>
          </w:p>
        </w:tc>
        <w:tc>
          <w:tcPr>
            <w:tcW w:w="120" w:type="dxa"/>
            <w:vAlign w:val="bottom"/>
            <w:gridSpan w:val="2"/>
          </w:tcPr>
          <w:p>
            <w:pPr>
              <w:spacing w:after="0"/>
              <w:rPr>
                <w:sz w:val="15"/>
                <w:szCs w:val="15"/>
                <w:color w:val="auto"/>
              </w:rPr>
            </w:pPr>
          </w:p>
        </w:tc>
      </w:tr>
      <w:tr>
        <w:trPr>
          <w:trHeight w:val="315"/>
        </w:trPr>
        <w:tc>
          <w:tcPr>
            <w:tcW w:w="940" w:type="dxa"/>
            <w:vAlign w:val="bottom"/>
          </w:tcPr>
          <w:p>
            <w:pPr>
              <w:ind w:left="120"/>
              <w:spacing w:after="0"/>
              <w:rPr>
                <w:sz w:val="20"/>
                <w:szCs w:val="20"/>
                <w:color w:val="auto"/>
              </w:rPr>
            </w:pPr>
            <w:r>
              <w:rPr>
                <w:rFonts w:ascii="Arial" w:cs="Arial" w:eastAsia="Arial" w:hAnsi="Arial"/>
                <w:sz w:val="17"/>
                <w:szCs w:val="17"/>
                <w:color w:val="auto"/>
              </w:rPr>
              <w:t>32.2*</w:t>
            </w:r>
          </w:p>
        </w:tc>
        <w:tc>
          <w:tcPr>
            <w:tcW w:w="160" w:type="dxa"/>
            <w:vAlign w:val="bottom"/>
          </w:tcPr>
          <w:p>
            <w:pPr>
              <w:spacing w:after="0"/>
              <w:rPr>
                <w:sz w:val="24"/>
                <w:szCs w:val="24"/>
                <w:color w:val="auto"/>
              </w:rPr>
            </w:pPr>
          </w:p>
        </w:tc>
        <w:tc>
          <w:tcPr>
            <w:tcW w:w="5960" w:type="dxa"/>
            <w:vAlign w:val="bottom"/>
            <w:tcBorders>
              <w:bottom w:val="single" w:sz="8" w:color="0000EE"/>
            </w:tcBorders>
            <w:gridSpan w:val="18"/>
          </w:tcPr>
          <w:p>
            <w:pPr>
              <w:spacing w:after="0"/>
              <w:rPr>
                <w:rFonts w:ascii="Arial" w:cs="Arial" w:eastAsia="Arial" w:hAnsi="Arial"/>
                <w:sz w:val="17"/>
                <w:szCs w:val="17"/>
                <w:color w:val="0000EE"/>
                <w:w w:val="90"/>
              </w:rPr>
            </w:pPr>
            <w:hyperlink w:anchor="page123">
              <w:r>
                <w:rPr>
                  <w:rFonts w:ascii="Arial" w:cs="Arial" w:eastAsia="Arial" w:hAnsi="Arial"/>
                  <w:sz w:val="17"/>
                  <w:szCs w:val="17"/>
                  <w:color w:val="0000EE"/>
                  <w:w w:val="90"/>
                </w:rPr>
                <w:t>Certification of Chief Financial Officer required by Rule 13a-14(b) or Rule 15d-14(b) and</w:t>
              </w:r>
            </w:hyperlink>
          </w:p>
        </w:tc>
        <w:tc>
          <w:tcPr>
            <w:tcW w:w="4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0" w:type="dxa"/>
            <w:vAlign w:val="bottom"/>
            <w:tcBorders>
              <w:bottom w:val="single" w:sz="8" w:color="0000EE"/>
            </w:tcBorders>
            <w:gridSpan w:val="10"/>
          </w:tcPr>
          <w:p>
            <w:pPr>
              <w:spacing w:after="0" w:line="179" w:lineRule="exact"/>
              <w:rPr>
                <w:rFonts w:ascii="Arial" w:cs="Arial" w:eastAsia="Arial" w:hAnsi="Arial"/>
                <w:sz w:val="17"/>
                <w:szCs w:val="17"/>
                <w:color w:val="0000EE"/>
                <w:w w:val="88"/>
              </w:rPr>
            </w:pPr>
            <w:hyperlink w:anchor="page123">
              <w:r>
                <w:rPr>
                  <w:rFonts w:ascii="Arial" w:cs="Arial" w:eastAsia="Arial" w:hAnsi="Arial"/>
                  <w:sz w:val="17"/>
                  <w:szCs w:val="17"/>
                  <w:color w:val="0000EE"/>
                  <w:w w:val="88"/>
                </w:rPr>
                <w:t>Section 1350 of Chapter 63 of Title 18 of the United States Code (18 U.S.C. §1350).</w:t>
              </w:r>
            </w:hyperlink>
          </w:p>
        </w:tc>
        <w:tc>
          <w:tcPr>
            <w:tcW w:w="400" w:type="dxa"/>
            <w:vAlign w:val="bottom"/>
            <w:gridSpan w:val="9"/>
          </w:tcPr>
          <w:p>
            <w:pPr>
              <w:spacing w:after="0"/>
              <w:rPr>
                <w:sz w:val="15"/>
                <w:szCs w:val="15"/>
                <w:color w:val="auto"/>
              </w:rPr>
            </w:pPr>
          </w:p>
        </w:tc>
      </w:tr>
      <w:tr>
        <w:trPr>
          <w:trHeight w:val="353"/>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101.INS</w:t>
            </w:r>
          </w:p>
        </w:tc>
        <w:tc>
          <w:tcPr>
            <w:tcW w:w="6000" w:type="dxa"/>
            <w:vAlign w:val="bottom"/>
            <w:gridSpan w:val="19"/>
          </w:tcPr>
          <w:p>
            <w:pPr>
              <w:spacing w:after="0"/>
              <w:rPr>
                <w:sz w:val="20"/>
                <w:szCs w:val="20"/>
                <w:color w:val="auto"/>
              </w:rPr>
            </w:pPr>
            <w:r>
              <w:rPr>
                <w:rFonts w:ascii="Arial" w:cs="Arial" w:eastAsia="Arial" w:hAnsi="Arial"/>
                <w:sz w:val="17"/>
                <w:szCs w:val="17"/>
                <w:color w:val="auto"/>
              </w:rPr>
              <w:t>XBRL Instance Document.</w:t>
            </w:r>
          </w:p>
        </w:tc>
      </w:tr>
      <w:tr>
        <w:trPr>
          <w:trHeight w:val="335"/>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101.SCH</w:t>
            </w:r>
          </w:p>
        </w:tc>
        <w:tc>
          <w:tcPr>
            <w:tcW w:w="6000" w:type="dxa"/>
            <w:vAlign w:val="bottom"/>
            <w:gridSpan w:val="19"/>
          </w:tcPr>
          <w:p>
            <w:pPr>
              <w:spacing w:after="0"/>
              <w:rPr>
                <w:sz w:val="20"/>
                <w:szCs w:val="20"/>
                <w:color w:val="auto"/>
              </w:rPr>
            </w:pPr>
            <w:r>
              <w:rPr>
                <w:rFonts w:ascii="Arial" w:cs="Arial" w:eastAsia="Arial" w:hAnsi="Arial"/>
                <w:sz w:val="17"/>
                <w:szCs w:val="17"/>
                <w:color w:val="auto"/>
              </w:rPr>
              <w:t>XBRL Taxonomy Extension Schema Document.</w:t>
            </w:r>
          </w:p>
        </w:tc>
      </w:tr>
      <w:tr>
        <w:trPr>
          <w:trHeight w:val="335"/>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101.CAL</w:t>
            </w:r>
          </w:p>
        </w:tc>
        <w:tc>
          <w:tcPr>
            <w:tcW w:w="6000" w:type="dxa"/>
            <w:vAlign w:val="bottom"/>
            <w:gridSpan w:val="19"/>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35"/>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101.DEF</w:t>
            </w:r>
          </w:p>
        </w:tc>
        <w:tc>
          <w:tcPr>
            <w:tcW w:w="6000" w:type="dxa"/>
            <w:vAlign w:val="bottom"/>
            <w:gridSpan w:val="19"/>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98"/>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7"/>
          </w:tcPr>
          <w:p>
            <w:pPr>
              <w:ind w:left="4540"/>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50165</wp:posOffset>
            </wp:positionV>
            <wp:extent cx="729869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3"/>
          <w:szCs w:val="13"/>
          <w:b w:val="1"/>
          <w:bCs w:val="1"/>
          <w:color w:val="auto"/>
        </w:rPr>
        <w:t>Incorporated by Reference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2"/>
              </w:rPr>
              <w:t>Filed</w:t>
            </w:r>
          </w:p>
        </w:tc>
      </w:tr>
      <w:tr>
        <w:trPr>
          <w:trHeight w:val="157"/>
        </w:trPr>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Form</w:t>
            </w:r>
          </w:p>
        </w:tc>
        <w:tc>
          <w:tcPr>
            <w:tcW w:w="160" w:type="dxa"/>
            <w:vAlign w:val="bottom"/>
          </w:tcPr>
          <w:p>
            <w:pPr>
              <w:spacing w:after="0"/>
              <w:rPr>
                <w:sz w:val="13"/>
                <w:szCs w:val="13"/>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3"/>
                <w:szCs w:val="13"/>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Herewith</w:t>
            </w:r>
          </w:p>
        </w:tc>
      </w:tr>
      <w:tr>
        <w:trPr>
          <w:trHeight w:val="328"/>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8-K</w:t>
            </w:r>
          </w:p>
        </w:tc>
        <w:tc>
          <w:tcPr>
            <w:tcW w:w="1140" w:type="dxa"/>
            <w:vAlign w:val="bottom"/>
          </w:tcPr>
          <w:p>
            <w:pPr>
              <w:ind w:left="100"/>
              <w:spacing w:after="0"/>
              <w:rPr>
                <w:sz w:val="20"/>
                <w:szCs w:val="20"/>
                <w:color w:val="auto"/>
              </w:rPr>
            </w:pPr>
            <w:r>
              <w:rPr>
                <w:rFonts w:ascii="Arial" w:cs="Arial" w:eastAsia="Arial" w:hAnsi="Arial"/>
                <w:sz w:val="17"/>
                <w:szCs w:val="17"/>
                <w:color w:val="auto"/>
              </w:rPr>
              <w:t>10/19/2015</w:t>
            </w:r>
          </w:p>
        </w:tc>
        <w:tc>
          <w:tcPr>
            <w:tcW w:w="180" w:type="dxa"/>
            <w:vAlign w:val="bottom"/>
          </w:tcPr>
          <w:p>
            <w:pPr>
              <w:spacing w:after="0"/>
              <w:rPr>
                <w:sz w:val="24"/>
                <w:szCs w:val="24"/>
                <w:color w:val="auto"/>
              </w:rPr>
            </w:pPr>
          </w:p>
        </w:tc>
        <w:tc>
          <w:tcPr>
            <w:tcW w:w="880" w:type="dxa"/>
            <w:vAlign w:val="bottom"/>
          </w:tcPr>
          <w:p>
            <w:pPr>
              <w:jc w:val="right"/>
              <w:ind w:right="481"/>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5"/>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8-K</w:t>
            </w:r>
          </w:p>
        </w:tc>
        <w:tc>
          <w:tcPr>
            <w:tcW w:w="1140" w:type="dxa"/>
            <w:vAlign w:val="bottom"/>
          </w:tcPr>
          <w:p>
            <w:pPr>
              <w:ind w:left="100"/>
              <w:spacing w:after="0"/>
              <w:rPr>
                <w:sz w:val="20"/>
                <w:szCs w:val="20"/>
                <w:color w:val="auto"/>
              </w:rPr>
            </w:pPr>
            <w:r>
              <w:rPr>
                <w:rFonts w:ascii="Arial" w:cs="Arial" w:eastAsia="Arial" w:hAnsi="Arial"/>
                <w:sz w:val="17"/>
                <w:szCs w:val="17"/>
                <w:color w:val="auto"/>
              </w:rPr>
              <w:t>10/19/2015</w:t>
            </w:r>
          </w:p>
        </w:tc>
        <w:tc>
          <w:tcPr>
            <w:tcW w:w="180" w:type="dxa"/>
            <w:vAlign w:val="bottom"/>
          </w:tcPr>
          <w:p>
            <w:pPr>
              <w:spacing w:after="0"/>
              <w:rPr>
                <w:sz w:val="24"/>
                <w:szCs w:val="24"/>
                <w:color w:val="auto"/>
              </w:rPr>
            </w:pPr>
          </w:p>
        </w:tc>
        <w:tc>
          <w:tcPr>
            <w:tcW w:w="880" w:type="dxa"/>
            <w:vAlign w:val="bottom"/>
          </w:tcPr>
          <w:p>
            <w:pPr>
              <w:jc w:val="right"/>
              <w:ind w:right="481"/>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1"/>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S-1/A</w:t>
            </w:r>
          </w:p>
        </w:tc>
        <w:tc>
          <w:tcPr>
            <w:tcW w:w="1140" w:type="dxa"/>
            <w:vAlign w:val="bottom"/>
          </w:tcPr>
          <w:p>
            <w:pPr>
              <w:ind w:left="100"/>
              <w:spacing w:after="0"/>
              <w:rPr>
                <w:sz w:val="20"/>
                <w:szCs w:val="20"/>
                <w:color w:val="auto"/>
              </w:rPr>
            </w:pPr>
            <w:r>
              <w:rPr>
                <w:rFonts w:ascii="Arial" w:cs="Arial" w:eastAsia="Arial" w:hAnsi="Arial"/>
                <w:sz w:val="17"/>
                <w:szCs w:val="17"/>
                <w:color w:val="auto"/>
              </w:rPr>
              <w:t>9/28/2015</w:t>
            </w:r>
          </w:p>
        </w:tc>
        <w:tc>
          <w:tcPr>
            <w:tcW w:w="180" w:type="dxa"/>
            <w:vAlign w:val="bottom"/>
          </w:tcPr>
          <w:p>
            <w:pPr>
              <w:spacing w:after="0"/>
              <w:rPr>
                <w:sz w:val="24"/>
                <w:szCs w:val="24"/>
                <w:color w:val="auto"/>
              </w:rPr>
            </w:pPr>
          </w:p>
        </w:tc>
        <w:tc>
          <w:tcPr>
            <w:tcW w:w="880" w:type="dxa"/>
            <w:vAlign w:val="bottom"/>
          </w:tcPr>
          <w:p>
            <w:pPr>
              <w:jc w:val="right"/>
              <w:ind w:right="481"/>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5"/>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S-1</w:t>
            </w:r>
          </w:p>
        </w:tc>
        <w:tc>
          <w:tcPr>
            <w:tcW w:w="1140" w:type="dxa"/>
            <w:vAlign w:val="bottom"/>
          </w:tcPr>
          <w:p>
            <w:pPr>
              <w:ind w:left="100"/>
              <w:spacing w:after="0"/>
              <w:rPr>
                <w:sz w:val="20"/>
                <w:szCs w:val="20"/>
                <w:color w:val="auto"/>
              </w:rPr>
            </w:pPr>
            <w:r>
              <w:rPr>
                <w:rFonts w:ascii="Arial" w:cs="Arial" w:eastAsia="Arial" w:hAnsi="Arial"/>
                <w:sz w:val="17"/>
                <w:szCs w:val="17"/>
                <w:color w:val="auto"/>
              </w:rPr>
              <w:t>8/28/2015</w:t>
            </w:r>
          </w:p>
        </w:tc>
        <w:tc>
          <w:tcPr>
            <w:tcW w:w="180" w:type="dxa"/>
            <w:vAlign w:val="bottom"/>
          </w:tcPr>
          <w:p>
            <w:pPr>
              <w:spacing w:after="0"/>
              <w:rPr>
                <w:sz w:val="24"/>
                <w:szCs w:val="24"/>
                <w:color w:val="auto"/>
              </w:rPr>
            </w:pPr>
          </w:p>
        </w:tc>
        <w:tc>
          <w:tcPr>
            <w:tcW w:w="880" w:type="dxa"/>
            <w:vAlign w:val="bottom"/>
          </w:tcPr>
          <w:p>
            <w:pPr>
              <w:jc w:val="right"/>
              <w:ind w:right="481"/>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2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2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140"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2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239"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140"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140"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pacing w:after="0" w:line="140"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100" w:space="160"/>
            <w:col w:w="4160"/>
          </w:cols>
          <w:pgMar w:left="240" w:top="529" w:right="239" w:bottom="1440" w:gutter="0" w:footer="0" w:header="0"/>
        </w:sectPr>
      </w:pPr>
    </w:p>
    <w:bookmarkStart w:id="74" w:name="page75"/>
    <w:bookmarkEnd w:id="74"/>
    <w:tbl>
      <w:tblPr>
        <w:tblLayout w:type="fixed"/>
        <w:tblInd w:w="121"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7"/>
                <w:szCs w:val="17"/>
                <w:color w:val="auto"/>
              </w:rPr>
              <w:t>101.LAB</w:t>
            </w:r>
          </w:p>
        </w:tc>
        <w:tc>
          <w:tcPr>
            <w:tcW w:w="7200" w:type="dxa"/>
            <w:vAlign w:val="bottom"/>
          </w:tcPr>
          <w:p>
            <w:pPr>
              <w:ind w:left="180"/>
              <w:spacing w:after="0"/>
              <w:rPr>
                <w:sz w:val="20"/>
                <w:szCs w:val="20"/>
                <w:color w:val="auto"/>
              </w:rPr>
            </w:pPr>
            <w:r>
              <w:rPr>
                <w:rFonts w:ascii="Arial" w:cs="Arial" w:eastAsia="Arial" w:hAnsi="Arial"/>
                <w:sz w:val="17"/>
                <w:szCs w:val="17"/>
                <w:color w:val="auto"/>
              </w:rPr>
              <w:t>XBRL Taxonomy Extension Label Linkbase Document.</w:t>
            </w:r>
          </w:p>
        </w:tc>
        <w:tc>
          <w:tcPr>
            <w:tcW w:w="2960" w:type="dxa"/>
            <w:vAlign w:val="bottom"/>
          </w:tcPr>
          <w:p>
            <w:pPr>
              <w:ind w:left="2840"/>
              <w:spacing w:after="0"/>
              <w:rPr>
                <w:sz w:val="20"/>
                <w:szCs w:val="20"/>
                <w:color w:val="auto"/>
              </w:rPr>
            </w:pPr>
            <w:r>
              <w:rPr>
                <w:rFonts w:ascii="Arial" w:cs="Arial" w:eastAsia="Arial" w:hAnsi="Arial"/>
                <w:sz w:val="17"/>
                <w:szCs w:val="17"/>
                <w:color w:val="auto"/>
                <w:w w:val="87"/>
              </w:rPr>
              <w:t>X</w:t>
            </w:r>
          </w:p>
        </w:tc>
      </w:tr>
      <w:tr>
        <w:trPr>
          <w:trHeight w:val="335"/>
        </w:trPr>
        <w:tc>
          <w:tcPr>
            <w:tcW w:w="800" w:type="dxa"/>
            <w:vAlign w:val="bottom"/>
          </w:tcPr>
          <w:p>
            <w:pPr>
              <w:spacing w:after="0"/>
              <w:rPr>
                <w:sz w:val="20"/>
                <w:szCs w:val="20"/>
                <w:color w:val="auto"/>
              </w:rPr>
            </w:pPr>
            <w:r>
              <w:rPr>
                <w:rFonts w:ascii="Arial" w:cs="Arial" w:eastAsia="Arial" w:hAnsi="Arial"/>
                <w:sz w:val="17"/>
                <w:szCs w:val="17"/>
                <w:color w:val="auto"/>
              </w:rPr>
              <w:t>101.PRE</w:t>
            </w:r>
          </w:p>
        </w:tc>
        <w:tc>
          <w:tcPr>
            <w:tcW w:w="7200" w:type="dxa"/>
            <w:vAlign w:val="bottom"/>
          </w:tcPr>
          <w:p>
            <w:pPr>
              <w:ind w:left="180"/>
              <w:spacing w:after="0"/>
              <w:rPr>
                <w:sz w:val="20"/>
                <w:szCs w:val="20"/>
                <w:color w:val="auto"/>
              </w:rPr>
            </w:pPr>
            <w:r>
              <w:rPr>
                <w:rFonts w:ascii="Arial" w:cs="Arial" w:eastAsia="Arial" w:hAnsi="Arial"/>
                <w:sz w:val="17"/>
                <w:szCs w:val="17"/>
                <w:color w:val="auto"/>
              </w:rPr>
              <w:t>XBRL Taxonomy Extension Presentation Linkbase Document.</w:t>
            </w:r>
          </w:p>
        </w:tc>
        <w:tc>
          <w:tcPr>
            <w:tcW w:w="2960" w:type="dxa"/>
            <w:vAlign w:val="bottom"/>
          </w:tcPr>
          <w:p>
            <w:pPr>
              <w:ind w:left="2840"/>
              <w:spacing w:after="0"/>
              <w:rPr>
                <w:sz w:val="20"/>
                <w:szCs w:val="20"/>
                <w:color w:val="auto"/>
              </w:rPr>
            </w:pPr>
            <w:r>
              <w:rPr>
                <w:rFonts w:ascii="Arial" w:cs="Arial" w:eastAsia="Arial" w:hAnsi="Arial"/>
                <w:sz w:val="17"/>
                <w:szCs w:val="17"/>
                <w:color w:val="auto"/>
                <w:w w:val="87"/>
              </w:rPr>
              <w:t>X</w:t>
            </w:r>
          </w:p>
        </w:tc>
      </w:tr>
    </w:tbl>
    <w:p>
      <w:pPr>
        <w:spacing w:after="0" w:line="200" w:lineRule="exact"/>
        <w:rPr>
          <w:sz w:val="20"/>
          <w:szCs w:val="20"/>
          <w:color w:val="auto"/>
        </w:rPr>
      </w:pPr>
    </w:p>
    <w:p>
      <w:pPr>
        <w:spacing w:after="0" w:line="247" w:lineRule="exact"/>
        <w:rPr>
          <w:sz w:val="20"/>
          <w:szCs w:val="20"/>
          <w:color w:val="auto"/>
        </w:rPr>
      </w:pPr>
    </w:p>
    <w:p>
      <w:pPr>
        <w:ind w:left="501" w:hanging="501"/>
        <w:spacing w:after="0"/>
        <w:tabs>
          <w:tab w:leader="none" w:pos="5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w:t>
      </w:r>
    </w:p>
    <w:p>
      <w:pPr>
        <w:spacing w:after="0" w:line="202"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4"/>
          <w:szCs w:val="14"/>
          <w:color w:val="auto"/>
        </w:rPr>
        <w:t>Indicates management contract or compensatory plan.</w:t>
      </w:r>
    </w:p>
    <w:p>
      <w:pPr>
        <w:spacing w:after="0" w:line="202" w:lineRule="exact"/>
        <w:rPr>
          <w:sz w:val="20"/>
          <w:szCs w:val="20"/>
          <w:color w:val="auto"/>
        </w:rPr>
      </w:pPr>
    </w:p>
    <w:p>
      <w:pPr>
        <w:ind w:left="501" w:hanging="501"/>
        <w:spacing w:after="0" w:line="333" w:lineRule="auto"/>
        <w:tabs>
          <w:tab w:leader="none" w:pos="5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1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161"/>
          </w:cols>
          <w:pgMar w:left="239" w:top="463" w:right="49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SIGNATURES</w:t>
      </w:r>
    </w:p>
    <w:p>
      <w:pPr>
        <w:spacing w:after="0" w:line="20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7560" w:type="dxa"/>
            <w:vAlign w:val="bottom"/>
            <w:gridSpan w:val="2"/>
          </w:tcPr>
          <w:p>
            <w:pPr>
              <w:ind w:left="2640"/>
              <w:spacing w:after="0"/>
              <w:rPr>
                <w:sz w:val="20"/>
                <w:szCs w:val="20"/>
                <w:color w:val="auto"/>
              </w:rPr>
            </w:pPr>
            <w:r>
              <w:rPr>
                <w:rFonts w:ascii="Arial" w:cs="Arial" w:eastAsia="Arial" w:hAnsi="Arial"/>
                <w:sz w:val="17"/>
                <w:szCs w:val="17"/>
                <w:b w:val="1"/>
                <w:bCs w:val="1"/>
                <w:color w:val="auto"/>
              </w:rPr>
              <w:t>CytomX Therapeutics, Inc.</w:t>
            </w:r>
          </w:p>
        </w:tc>
      </w:tr>
      <w:tr>
        <w:trPr>
          <w:trHeight w:val="422"/>
        </w:trPr>
        <w:tc>
          <w:tcPr>
            <w:tcW w:w="3860" w:type="dxa"/>
            <w:vAlign w:val="bottom"/>
          </w:tcPr>
          <w:p>
            <w:pPr>
              <w:spacing w:after="0"/>
              <w:rPr>
                <w:sz w:val="20"/>
                <w:szCs w:val="20"/>
                <w:color w:val="auto"/>
              </w:rPr>
            </w:pPr>
            <w:r>
              <w:rPr>
                <w:rFonts w:ascii="Arial" w:cs="Arial" w:eastAsia="Arial" w:hAnsi="Arial"/>
                <w:sz w:val="17"/>
                <w:szCs w:val="17"/>
                <w:color w:val="auto"/>
              </w:rPr>
              <w:t>Date: May 9, 2019</w:t>
            </w:r>
          </w:p>
        </w:tc>
        <w:tc>
          <w:tcPr>
            <w:tcW w:w="3000" w:type="dxa"/>
            <w:vAlign w:val="bottom"/>
          </w:tcPr>
          <w:p>
            <w:pPr>
              <w:ind w:left="264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Sean A. McCarthy</w:t>
            </w:r>
          </w:p>
        </w:tc>
      </w:tr>
      <w:tr>
        <w:trPr>
          <w:trHeight w:val="175"/>
        </w:trPr>
        <w:tc>
          <w:tcPr>
            <w:tcW w:w="3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56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0"/>
              </w:rPr>
              <w:t>Sean A. McCarthy, D. Phil.</w:t>
            </w:r>
          </w:p>
        </w:tc>
      </w:tr>
      <w:tr>
        <w:trPr>
          <w:trHeight w:val="203"/>
        </w:trPr>
        <w:tc>
          <w:tcPr>
            <w:tcW w:w="3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560" w:type="dxa"/>
            <w:vAlign w:val="bottom"/>
          </w:tcPr>
          <w:p>
            <w:pPr>
              <w:jc w:val="center"/>
              <w:spacing w:after="0"/>
              <w:rPr>
                <w:sz w:val="20"/>
                <w:szCs w:val="20"/>
                <w:color w:val="auto"/>
              </w:rPr>
            </w:pPr>
            <w:r>
              <w:rPr>
                <w:rFonts w:ascii="Arial" w:cs="Arial" w:eastAsia="Arial" w:hAnsi="Arial"/>
                <w:sz w:val="17"/>
                <w:szCs w:val="17"/>
                <w:b w:val="1"/>
                <w:bCs w:val="1"/>
                <w:color w:val="auto"/>
                <w:w w:val="88"/>
              </w:rPr>
              <w:t>President, Chief Executive Officer and Director</w:t>
            </w:r>
          </w:p>
        </w:tc>
      </w:tr>
      <w:tr>
        <w:trPr>
          <w:trHeight w:val="212"/>
        </w:trPr>
        <w:tc>
          <w:tcPr>
            <w:tcW w:w="3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7"/>
                <w:szCs w:val="17"/>
                <w:i w:val="1"/>
                <w:iCs w:val="1"/>
                <w:color w:val="auto"/>
                <w:w w:val="90"/>
              </w:rPr>
              <w:t>(principal executive officer)</w:t>
            </w:r>
          </w:p>
        </w:tc>
      </w:tr>
      <w:tr>
        <w:trPr>
          <w:trHeight w:val="422"/>
        </w:trPr>
        <w:tc>
          <w:tcPr>
            <w:tcW w:w="3860" w:type="dxa"/>
            <w:vAlign w:val="bottom"/>
          </w:tcPr>
          <w:p>
            <w:pPr>
              <w:spacing w:after="0"/>
              <w:rPr>
                <w:sz w:val="20"/>
                <w:szCs w:val="20"/>
                <w:color w:val="auto"/>
              </w:rPr>
            </w:pPr>
            <w:r>
              <w:rPr>
                <w:rFonts w:ascii="Arial" w:cs="Arial" w:eastAsia="Arial" w:hAnsi="Arial"/>
                <w:sz w:val="17"/>
                <w:szCs w:val="17"/>
                <w:color w:val="auto"/>
              </w:rPr>
              <w:t>Date: May 9, 2019</w:t>
            </w:r>
          </w:p>
        </w:tc>
        <w:tc>
          <w:tcPr>
            <w:tcW w:w="3000" w:type="dxa"/>
            <w:vAlign w:val="bottom"/>
          </w:tcPr>
          <w:p>
            <w:pPr>
              <w:ind w:left="264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Debanjan Ray</w:t>
            </w:r>
          </w:p>
        </w:tc>
      </w:tr>
      <w:tr>
        <w:trPr>
          <w:trHeight w:val="175"/>
        </w:trPr>
        <w:tc>
          <w:tcPr>
            <w:tcW w:w="3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56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0"/>
              </w:rPr>
              <w:t>Debanjan Ray</w:t>
            </w:r>
          </w:p>
        </w:tc>
      </w:tr>
      <w:tr>
        <w:trPr>
          <w:trHeight w:val="216"/>
        </w:trPr>
        <w:tc>
          <w:tcPr>
            <w:tcW w:w="3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7"/>
                <w:szCs w:val="17"/>
                <w:b w:val="1"/>
                <w:bCs w:val="1"/>
                <w:color w:val="auto"/>
                <w:w w:val="90"/>
              </w:rPr>
              <w:t>Chief Financial Officer</w:t>
            </w:r>
          </w:p>
        </w:tc>
      </w:tr>
    </w:tbl>
    <w:p>
      <w:pPr>
        <w:ind w:left="714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32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3"/>
          <w:szCs w:val="23"/>
          <w:b w:val="1"/>
          <w:bCs w:val="1"/>
          <w:color w:val="auto"/>
        </w:rPr>
        <w:t>Exhibit 10.1</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color w:val="auto"/>
        </w:rPr>
        <w:t>Amended and Restated Severance and Change of Control Agreement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Amended and Restated Severance and Change of Control Agreement (the “Agreement”) is made and entered into, effective as of February 27, 2019 (the “Effective Date”), by and between CytomX Therapeutics, Inc. a Delaware corporation (the “Company”), and Sean McCarthy, D. Phil. (“Employee”) and amends and restates in its entirety that certain Severance and Change of Control Agreement dated as of October 3, 2016 by and between the Company and Employee, as amended (the “Prior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Upon acceptance of this Agreement, the following terms and conditions shall apply to your employment:</w:t>
      </w:r>
    </w:p>
    <w:p>
      <w:pPr>
        <w:spacing w:after="0" w:line="196" w:lineRule="exact"/>
        <w:rPr>
          <w:sz w:val="20"/>
          <w:szCs w:val="20"/>
          <w:color w:val="auto"/>
        </w:rPr>
      </w:pPr>
    </w:p>
    <w:p>
      <w:pPr>
        <w:jc w:val="both"/>
        <w:ind w:left="860" w:hanging="426"/>
        <w:spacing w:after="0" w:line="261"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Term of Employment and Severance Benefits</w:t>
      </w:r>
      <w:r>
        <w:rPr>
          <w:rFonts w:ascii="Arial" w:cs="Arial" w:eastAsia="Arial" w:hAnsi="Arial"/>
          <w:sz w:val="16"/>
          <w:szCs w:val="16"/>
          <w:color w:val="auto"/>
        </w:rPr>
        <w:t>. It is important for you to understand that California is an "at will" employment state. This means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eighteen (18)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eighteen</w:t>
      </w:r>
    </w:p>
    <w:p>
      <w:pPr>
        <w:spacing w:after="0" w:line="5" w:lineRule="exact"/>
        <w:rPr>
          <w:rFonts w:ascii="Arial" w:cs="Arial" w:eastAsia="Arial" w:hAnsi="Arial"/>
          <w:sz w:val="16"/>
          <w:szCs w:val="16"/>
          <w:color w:val="auto"/>
        </w:rPr>
      </w:pPr>
    </w:p>
    <w:p>
      <w:pPr>
        <w:jc w:val="both"/>
        <w:ind w:left="860" w:firstLine="9"/>
        <w:spacing w:after="0" w:line="246" w:lineRule="auto"/>
        <w:tabs>
          <w:tab w:leader="none" w:pos="1215" w:val="left"/>
        </w:tabs>
        <w:numPr>
          <w:ilvl w:val="1"/>
          <w:numId w:val="41"/>
        </w:numPr>
        <w:rPr>
          <w:rFonts w:ascii="Arial" w:cs="Arial" w:eastAsia="Arial" w:hAnsi="Arial"/>
          <w:sz w:val="17"/>
          <w:szCs w:val="17"/>
          <w:color w:val="auto"/>
        </w:rPr>
      </w:pPr>
      <w:r>
        <w:rPr>
          <w:rFonts w:ascii="Arial" w:cs="Arial" w:eastAsia="Arial" w:hAnsi="Arial"/>
          <w:sz w:val="17"/>
          <w:szCs w:val="17"/>
          <w:color w:val="auto"/>
        </w:rPr>
        <w:t>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eighteen (18) months prior to your termination, payable within the period of time set forth in Section 3 below following your termination of employment.</w:t>
      </w:r>
    </w:p>
    <w:p>
      <w:pPr>
        <w:spacing w:after="0" w:line="169" w:lineRule="exact"/>
        <w:rPr>
          <w:rFonts w:ascii="Arial" w:cs="Arial" w:eastAsia="Arial" w:hAnsi="Arial"/>
          <w:sz w:val="17"/>
          <w:szCs w:val="17"/>
          <w:color w:val="auto"/>
        </w:rPr>
      </w:pPr>
    </w:p>
    <w:p>
      <w:pPr>
        <w:jc w:val="both"/>
        <w:ind w:left="860" w:hanging="426"/>
        <w:spacing w:after="0" w:line="256"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a Change of Control (the “Change of Control Period”), the Company, or any successor thereto, terminates your employment without Cause or you terminate your employment for Good Reason, then the Company shall (i) pay a lump sum amount equal to twenty four (24) months of your then current base salary (without giving any effect to any</w:t>
      </w:r>
    </w:p>
    <w:p>
      <w:pPr>
        <w:spacing w:after="0" w:line="190" w:lineRule="exact"/>
        <w:rPr>
          <w:rFonts w:ascii="Arial" w:cs="Arial" w:eastAsia="Arial" w:hAnsi="Arial"/>
          <w:sz w:val="17"/>
          <w:szCs w:val="17"/>
          <w:color w:val="auto"/>
        </w:rPr>
      </w:pPr>
    </w:p>
    <w:p>
      <w:pPr>
        <w:ind w:left="10820"/>
        <w:spacing w:after="0"/>
        <w:rPr>
          <w:rFonts w:ascii="Arial" w:cs="Arial" w:eastAsia="Arial" w:hAnsi="Arial"/>
          <w:sz w:val="17"/>
          <w:szCs w:val="17"/>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3"/>
          <w:szCs w:val="13"/>
          <w:color w:val="auto"/>
        </w:rPr>
        <w:t>US-DOCS\70602829.6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2574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46355</wp:posOffset>
            </wp:positionV>
            <wp:extent cx="729869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jc w:val="both"/>
        <w:ind w:left="860"/>
        <w:spacing w:after="0" w:line="263" w:lineRule="auto"/>
        <w:rPr>
          <w:sz w:val="20"/>
          <w:szCs w:val="20"/>
          <w:color w:val="auto"/>
        </w:rPr>
      </w:pPr>
      <w:r>
        <w:rPr>
          <w:rFonts w:ascii="Arial" w:cs="Arial" w:eastAsia="Arial" w:hAnsi="Arial"/>
          <w:sz w:val="16"/>
          <w:szCs w:val="16"/>
          <w:color w:val="auto"/>
        </w:rPr>
        <w:t>reduction thereof which may constitute Good Reason), which will be payable within the period of time set forth in Section 3 below following your termination of employment, (ii) pay a lump sum amount equal to twenty four (24)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twenty four (24)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twenty four (24) months prior to your termination, payable within the period of time set forth in Section 3 below following your termination of employment.</w:t>
      </w:r>
    </w:p>
    <w:p>
      <w:pPr>
        <w:spacing w:after="0" w:line="156" w:lineRule="exact"/>
        <w:rPr>
          <w:sz w:val="20"/>
          <w:szCs w:val="20"/>
          <w:color w:val="auto"/>
        </w:rPr>
      </w:pPr>
    </w:p>
    <w:p>
      <w:pPr>
        <w:jc w:val="both"/>
        <w:ind w:left="860" w:hanging="426"/>
        <w:spacing w:after="0" w:line="282" w:lineRule="auto"/>
        <w:tabs>
          <w:tab w:leader="none" w:pos="860" w:val="left"/>
        </w:tabs>
        <w:numPr>
          <w:ilvl w:val="0"/>
          <w:numId w:val="42"/>
        </w:numPr>
        <w:rPr>
          <w:rFonts w:ascii="Arial" w:cs="Arial" w:eastAsia="Arial" w:hAnsi="Arial"/>
          <w:sz w:val="15"/>
          <w:szCs w:val="15"/>
          <w:color w:val="auto"/>
        </w:rPr>
      </w:pPr>
      <w:r>
        <w:rPr>
          <w:rFonts w:ascii="Arial" w:cs="Arial" w:eastAsia="Arial" w:hAnsi="Arial"/>
          <w:sz w:val="15"/>
          <w:szCs w:val="15"/>
          <w:b w:val="1"/>
          <w:bCs w:val="1"/>
          <w:color w:val="auto"/>
        </w:rPr>
        <w:t>Release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obligations to make such payments and provide such benefits shall be contingent upon your execution of a release in a form</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acceptable to the Company (the "Release") which Release must be signed and any applicable revocation period with respect thereto must have expired by the 30th day following your termination of employment (unless your termination is “in connection with an exit incentive or other employment termination program” (as such phrase is defined in the Age Discrimination in Employment Act of 1967), in which case the date shall be by the 52nd day following your termination of employment). The Release will not waive any of your rights, or obligations of the Company, regarding:</w:t>
      </w:r>
    </w:p>
    <w:p>
      <w:pPr>
        <w:jc w:val="both"/>
        <w:ind w:left="860" w:firstLine="9"/>
        <w:spacing w:after="0" w:line="277" w:lineRule="auto"/>
        <w:tabs>
          <w:tab w:leader="none" w:pos="1117" w:val="left"/>
        </w:tabs>
        <w:numPr>
          <w:ilvl w:val="1"/>
          <w:numId w:val="42"/>
        </w:numPr>
        <w:rPr>
          <w:rFonts w:ascii="Arial" w:cs="Arial" w:eastAsia="Arial" w:hAnsi="Arial"/>
          <w:sz w:val="15"/>
          <w:szCs w:val="15"/>
          <w:color w:val="auto"/>
        </w:rPr>
      </w:pPr>
      <w:r>
        <w:rPr>
          <w:rFonts w:ascii="Arial" w:cs="Arial" w:eastAsia="Arial" w:hAnsi="Arial"/>
          <w:sz w:val="15"/>
          <w:szCs w:val="15"/>
          <w:color w:val="auto"/>
        </w:rPr>
        <w:t>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w:t>
      </w:r>
    </w:p>
    <w:p>
      <w:pPr>
        <w:spacing w:after="0" w:line="3" w:lineRule="exact"/>
        <w:rPr>
          <w:rFonts w:ascii="Arial" w:cs="Arial" w:eastAsia="Arial" w:hAnsi="Arial"/>
          <w:sz w:val="15"/>
          <w:szCs w:val="15"/>
          <w:color w:val="auto"/>
        </w:rPr>
      </w:pPr>
    </w:p>
    <w:p>
      <w:pPr>
        <w:jc w:val="both"/>
        <w:ind w:left="860" w:firstLine="9"/>
        <w:spacing w:after="0" w:line="245" w:lineRule="auto"/>
        <w:tabs>
          <w:tab w:leader="none" w:pos="11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any rights you may have as an existing shareholder of the Company; and (6) any claims arising after the effective date of the Release. </w:t>
      </w:r>
      <w:r>
        <w:rPr>
          <w:rFonts w:ascii="Arial" w:cs="Arial" w:eastAsia="Arial" w:hAnsi="Arial"/>
          <w:sz w:val="18"/>
          <w:szCs w:val="18"/>
          <w:color w:val="auto"/>
        </w:rPr>
        <w:t>Nothing in</w:t>
      </w:r>
      <w:r>
        <w:rPr>
          <w:rFonts w:ascii="Arial" w:cs="Arial" w:eastAsia="Arial" w:hAnsi="Arial"/>
          <w:sz w:val="17"/>
          <w:szCs w:val="17"/>
          <w:color w:val="auto"/>
        </w:rPr>
        <w:t xml:space="preserve"> </w:t>
      </w:r>
      <w:r>
        <w:rPr>
          <w:rFonts w:ascii="Arial" w:cs="Arial" w:eastAsia="Arial" w:hAnsi="Arial"/>
          <w:sz w:val="18"/>
          <w:szCs w:val="18"/>
          <w:color w:val="auto"/>
        </w:rPr>
        <w:t xml:space="preserve">the Release or any other agreement between you and the Company will prohibit or prevent you from </w:t>
      </w:r>
      <w:r>
        <w:rPr>
          <w:rFonts w:ascii="Arial" w:cs="Arial" w:eastAsia="Arial" w:hAnsi="Arial"/>
          <w:sz w:val="17"/>
          <w:szCs w:val="17"/>
          <w:color w:val="auto"/>
        </w:rPr>
        <w:t>providing truthful testimony or otherwise</w:t>
      </w:r>
      <w:r>
        <w:rPr>
          <w:rFonts w:ascii="Arial" w:cs="Arial" w:eastAsia="Arial" w:hAnsi="Arial"/>
          <w:sz w:val="18"/>
          <w:szCs w:val="18"/>
          <w:color w:val="auto"/>
        </w:rPr>
        <w:t xml:space="preserve"> </w:t>
      </w:r>
      <w:r>
        <w:rPr>
          <w:rFonts w:ascii="Arial" w:cs="Arial" w:eastAsia="Arial" w:hAnsi="Arial"/>
          <w:sz w:val="17"/>
          <w:szCs w:val="17"/>
          <w:color w:val="auto"/>
        </w:rPr>
        <w:t>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574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7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US-DOCS\70602829.6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729869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8" w:name="page79"/>
    <w:bookmarkEnd w:id="78"/>
    <w:p>
      <w:pPr>
        <w:ind w:left="860" w:hanging="426"/>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Section 280G of the Code</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1420" w:hanging="551"/>
        <w:spacing w:after="0" w:line="268" w:lineRule="auto"/>
        <w:tabs>
          <w:tab w:leader="none" w:pos="14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58" w:lineRule="exact"/>
        <w:rPr>
          <w:rFonts w:ascii="Arial" w:cs="Arial" w:eastAsia="Arial" w:hAnsi="Arial"/>
          <w:sz w:val="16"/>
          <w:szCs w:val="16"/>
          <w:color w:val="auto"/>
        </w:rPr>
      </w:pPr>
    </w:p>
    <w:p>
      <w:pPr>
        <w:jc w:val="both"/>
        <w:ind w:left="1420" w:hanging="551"/>
        <w:spacing w:after="0" w:line="275" w:lineRule="auto"/>
        <w:tabs>
          <w:tab w:leader="none" w:pos="14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50" w:lineRule="exact"/>
        <w:rPr>
          <w:rFonts w:ascii="Arial" w:cs="Arial" w:eastAsia="Arial" w:hAnsi="Arial"/>
          <w:sz w:val="16"/>
          <w:szCs w:val="16"/>
          <w:color w:val="auto"/>
        </w:rPr>
      </w:pPr>
    </w:p>
    <w:p>
      <w:pPr>
        <w:jc w:val="both"/>
        <w:ind w:left="1420" w:hanging="551"/>
        <w:spacing w:after="0" w:line="254"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66" w:lineRule="exact"/>
        <w:rPr>
          <w:rFonts w:ascii="Arial" w:cs="Arial" w:eastAsia="Arial" w:hAnsi="Arial"/>
          <w:sz w:val="17"/>
          <w:szCs w:val="17"/>
          <w:color w:val="auto"/>
        </w:rPr>
      </w:pPr>
    </w:p>
    <w:p>
      <w:pPr>
        <w:jc w:val="both"/>
        <w:ind w:left="1420" w:hanging="551"/>
        <w:spacing w:after="0" w:line="251"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74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4"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US-DOCS\70602829.6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729869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9" w:name="page80"/>
    <w:bookmarkEnd w:id="79"/>
    <w:p>
      <w:pPr>
        <w:jc w:val="both"/>
        <w:spacing w:after="0" w:line="280" w:lineRule="auto"/>
        <w:rPr>
          <w:sz w:val="20"/>
          <w:szCs w:val="20"/>
          <w:color w:val="auto"/>
        </w:rPr>
      </w:pPr>
      <w:r>
        <w:rPr>
          <w:rFonts w:ascii="Arial" w:cs="Arial" w:eastAsia="Arial" w:hAnsi="Arial"/>
          <w:sz w:val="15"/>
          <w:szCs w:val="15"/>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w:t>
      </w:r>
      <w:r>
        <w:rPr>
          <w:rFonts w:ascii="Arial" w:cs="Arial" w:eastAsia="Arial" w:hAnsi="Arial"/>
          <w:sz w:val="16"/>
          <w:szCs w:val="16"/>
          <w:color w:val="auto"/>
        </w:rPr>
        <w:t>provides you with written notice of any claimed ground for Cause and an opportunity to cure</w:t>
      </w:r>
      <w:r>
        <w:rPr>
          <w:rFonts w:ascii="Arial" w:cs="Arial" w:eastAsia="Arial" w:hAnsi="Arial"/>
          <w:sz w:val="15"/>
          <w:szCs w:val="15"/>
          <w:color w:val="auto"/>
        </w:rPr>
        <w:t xml:space="preserve"> </w:t>
      </w:r>
      <w:r>
        <w:rPr>
          <w:rFonts w:ascii="Arial" w:cs="Arial" w:eastAsia="Arial" w:hAnsi="Arial"/>
          <w:sz w:val="16"/>
          <w:szCs w:val="16"/>
          <w:color w:val="auto"/>
        </w:rPr>
        <w:t xml:space="preserve">such ground, if curable, for thirty (30) days. </w:t>
      </w:r>
      <w:r>
        <w:rPr>
          <w:rFonts w:ascii="Arial" w:cs="Arial" w:eastAsia="Arial" w:hAnsi="Arial"/>
          <w:sz w:val="15"/>
          <w:szCs w:val="15"/>
          <w:color w:val="auto"/>
        </w:rPr>
        <w:t>For purposes of this Agreement, no act or failure to act on your part will be considered “willful” unless it is done, or</w:t>
      </w:r>
      <w:r>
        <w:rPr>
          <w:rFonts w:ascii="Arial" w:cs="Arial" w:eastAsia="Arial" w:hAnsi="Arial"/>
          <w:sz w:val="16"/>
          <w:szCs w:val="16"/>
          <w:color w:val="auto"/>
        </w:rPr>
        <w:t xml:space="preserve"> </w:t>
      </w:r>
      <w:r>
        <w:rPr>
          <w:rFonts w:ascii="Arial" w:cs="Arial" w:eastAsia="Arial" w:hAnsi="Arial"/>
          <w:sz w:val="15"/>
          <w:szCs w:val="15"/>
          <w:color w:val="auto"/>
        </w:rPr>
        <w:t>omitted to be done, by you intentionally, not in good faith and without reasonable belief that the action or omission was in the best interest of the Company.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62" w:lineRule="exact"/>
        <w:rPr>
          <w:sz w:val="20"/>
          <w:szCs w:val="20"/>
          <w:color w:val="auto"/>
        </w:rPr>
      </w:pPr>
    </w:p>
    <w:p>
      <w:pPr>
        <w:jc w:val="both"/>
        <w:ind w:left="880" w:hanging="2"/>
        <w:spacing w:after="0" w:line="254" w:lineRule="auto"/>
        <w:tabs>
          <w:tab w:leader="none" w:pos="1132"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66" w:lineRule="exact"/>
        <w:rPr>
          <w:rFonts w:ascii="Arial" w:cs="Arial" w:eastAsia="Arial" w:hAnsi="Arial"/>
          <w:sz w:val="17"/>
          <w:szCs w:val="17"/>
          <w:color w:val="auto"/>
        </w:rPr>
      </w:pPr>
    </w:p>
    <w:p>
      <w:pPr>
        <w:jc w:val="both"/>
        <w:ind w:left="880" w:hanging="2"/>
        <w:spacing w:after="0" w:line="259" w:lineRule="auto"/>
        <w:tabs>
          <w:tab w:leader="none" w:pos="11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74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US-DOCS\70602829.6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729869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80" w:name="page81"/>
    <w:bookmarkEnd w:id="80"/>
    <w:p>
      <w:pPr>
        <w:ind w:left="1120" w:hanging="242"/>
        <w:spacing w:after="0"/>
        <w:tabs>
          <w:tab w:leader="none" w:pos="1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 Section 409A), then:</w:t>
      </w:r>
    </w:p>
    <w:p>
      <w:pPr>
        <w:spacing w:after="0" w:line="213" w:lineRule="exact"/>
        <w:rPr>
          <w:rFonts w:ascii="Arial" w:cs="Arial" w:eastAsia="Arial" w:hAnsi="Arial"/>
          <w:sz w:val="16"/>
          <w:szCs w:val="16"/>
          <w:color w:val="auto"/>
        </w:rPr>
      </w:pPr>
    </w:p>
    <w:p>
      <w:pPr>
        <w:jc w:val="both"/>
        <w:ind w:left="1760" w:hanging="3"/>
        <w:spacing w:after="0" w:line="254" w:lineRule="auto"/>
        <w:tabs>
          <w:tab w:leader="none" w:pos="1968"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66" w:lineRule="exact"/>
        <w:rPr>
          <w:rFonts w:ascii="Arial" w:cs="Arial" w:eastAsia="Arial" w:hAnsi="Arial"/>
          <w:sz w:val="17"/>
          <w:szCs w:val="17"/>
          <w:color w:val="auto"/>
        </w:rPr>
      </w:pPr>
    </w:p>
    <w:p>
      <w:pPr>
        <w:jc w:val="both"/>
        <w:ind w:left="1760" w:hanging="3"/>
        <w:spacing w:after="0" w:line="264" w:lineRule="auto"/>
        <w:tabs>
          <w:tab w:leader="none" w:pos="201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59" w:lineRule="exact"/>
        <w:rPr>
          <w:rFonts w:ascii="Arial" w:cs="Arial" w:eastAsia="Arial" w:hAnsi="Arial"/>
          <w:sz w:val="16"/>
          <w:szCs w:val="16"/>
          <w:color w:val="auto"/>
        </w:rPr>
      </w:pPr>
    </w:p>
    <w:p>
      <w:pPr>
        <w:jc w:val="both"/>
        <w:ind w:left="880" w:hanging="2"/>
        <w:spacing w:after="0" w:line="283" w:lineRule="auto"/>
        <w:tabs>
          <w:tab w:leader="none" w:pos="11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44" w:lineRule="exact"/>
        <w:rPr>
          <w:rFonts w:ascii="Arial" w:cs="Arial" w:eastAsia="Arial" w:hAnsi="Arial"/>
          <w:sz w:val="16"/>
          <w:szCs w:val="16"/>
          <w:color w:val="auto"/>
        </w:rPr>
      </w:pPr>
    </w:p>
    <w:p>
      <w:pPr>
        <w:jc w:val="both"/>
        <w:ind w:left="880" w:hanging="2"/>
        <w:spacing w:after="0" w:line="268" w:lineRule="auto"/>
        <w:tabs>
          <w:tab w:leader="none" w:pos="11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8" w:lineRule="exact"/>
        <w:rPr>
          <w:rFonts w:ascii="Arial" w:cs="Arial" w:eastAsia="Arial" w:hAnsi="Arial"/>
          <w:sz w:val="16"/>
          <w:szCs w:val="16"/>
          <w:color w:val="auto"/>
        </w:rPr>
      </w:pPr>
    </w:p>
    <w:p>
      <w:pPr>
        <w:jc w:val="both"/>
        <w:ind w:left="880" w:hanging="2"/>
        <w:spacing w:after="0" w:line="254" w:lineRule="auto"/>
        <w:tabs>
          <w:tab w:leader="none" w:pos="111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1"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US-DOCS\70602829.6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729869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81" w:name="page82"/>
    <w:bookmarkEnd w:id="81"/>
    <w:p>
      <w:pPr>
        <w:jc w:val="both"/>
        <w:ind w:left="880"/>
        <w:spacing w:after="0" w:line="254" w:lineRule="auto"/>
        <w:rPr>
          <w:sz w:val="20"/>
          <w:szCs w:val="20"/>
          <w:color w:val="auto"/>
        </w:rPr>
      </w:pPr>
      <w:r>
        <w:rPr>
          <w:rFonts w:ascii="Arial" w:cs="Arial" w:eastAsia="Arial" w:hAnsi="Arial"/>
          <w:sz w:val="17"/>
          <w:szCs w:val="17"/>
          <w:color w:val="auto"/>
        </w:rPr>
        <w:t>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California law, without regard to the conflict of law rules thereof.</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w:t>
      </w:r>
      <w:r>
        <w:rPr>
          <w:rFonts w:ascii="Arial" w:cs="Arial" w:eastAsia="Arial" w:hAnsi="Arial"/>
          <w:sz w:val="18"/>
          <w:szCs w:val="18"/>
          <w:color w:val="auto"/>
        </w:rPr>
        <w:t>The prevailing party in any dispute concerning the interpretation or enforcement of this Agreement will be entitled to an award of his or its</w:t>
      </w:r>
      <w:r>
        <w:rPr>
          <w:rFonts w:ascii="Arial" w:cs="Arial" w:eastAsia="Arial" w:hAnsi="Arial"/>
          <w:sz w:val="17"/>
          <w:szCs w:val="17"/>
          <w:color w:val="auto"/>
        </w:rPr>
        <w:t xml:space="preserve"> </w:t>
      </w:r>
      <w:r>
        <w:rPr>
          <w:rFonts w:ascii="Arial" w:cs="Arial" w:eastAsia="Arial" w:hAnsi="Arial"/>
          <w:sz w:val="18"/>
          <w:szCs w:val="18"/>
          <w:color w:val="auto"/>
        </w:rPr>
        <w:t>costs and reasonable attorneys' fees, in addition to any other eligible relief.</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Agreement (a) represents our entire understanding regarding the subject matter hereof, and supersedes and replaces all prior and contemporaneous understandings regarding such subject matter, whether oral or written, including, without limitation, the Prior Agreement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agrees to and accepts the terms and conditions set forth above.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gridSpan w:val="2"/>
          </w:tcPr>
          <w:p>
            <w:pPr>
              <w:spacing w:after="0"/>
              <w:rPr>
                <w:sz w:val="20"/>
                <w:szCs w:val="20"/>
                <w:color w:val="auto"/>
              </w:rPr>
            </w:pPr>
            <w:r>
              <w:rPr>
                <w:rFonts w:ascii="Arial" w:cs="Arial" w:eastAsia="Arial" w:hAnsi="Arial"/>
                <w:sz w:val="17"/>
                <w:szCs w:val="17"/>
                <w:color w:val="auto"/>
              </w:rPr>
              <w:t>February 27, 2019___________________</w:t>
            </w:r>
          </w:p>
        </w:tc>
        <w:tc>
          <w:tcPr>
            <w:tcW w:w="7280" w:type="dxa"/>
            <w:vAlign w:val="bottom"/>
            <w:gridSpan w:val="4"/>
          </w:tcPr>
          <w:p>
            <w:pPr>
              <w:spacing w:after="0"/>
              <w:rPr>
                <w:sz w:val="20"/>
                <w:szCs w:val="20"/>
                <w:color w:val="auto"/>
              </w:rPr>
            </w:pPr>
            <w:r>
              <w:rPr>
                <w:rFonts w:ascii="Arial" w:cs="Arial" w:eastAsia="Arial" w:hAnsi="Arial"/>
                <w:sz w:val="17"/>
                <w:szCs w:val="17"/>
                <w:color w:val="auto"/>
              </w:rPr>
              <w:t>/s/ Sean McCarthy____________________</w:t>
            </w:r>
          </w:p>
        </w:tc>
      </w:tr>
      <w:tr>
        <w:trPr>
          <w:trHeight w:val="218"/>
        </w:trPr>
        <w:tc>
          <w:tcPr>
            <w:tcW w:w="12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Date</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2"/>
          </w:tcPr>
          <w:p>
            <w:pPr>
              <w:ind w:left="1640"/>
              <w:spacing w:after="0"/>
              <w:rPr>
                <w:sz w:val="20"/>
                <w:szCs w:val="20"/>
                <w:color w:val="auto"/>
              </w:rPr>
            </w:pPr>
            <w:r>
              <w:rPr>
                <w:rFonts w:ascii="Arial" w:cs="Arial" w:eastAsia="Arial" w:hAnsi="Arial"/>
                <w:sz w:val="17"/>
                <w:szCs w:val="17"/>
                <w:color w:val="auto"/>
                <w:w w:val="97"/>
              </w:rPr>
              <w:t>Sean McCarthy, D. Phil.</w:t>
            </w:r>
          </w:p>
        </w:tc>
        <w:tc>
          <w:tcPr>
            <w:tcW w:w="3760" w:type="dxa"/>
            <w:vAlign w:val="bottom"/>
          </w:tcPr>
          <w:p>
            <w:pPr>
              <w:spacing w:after="0"/>
              <w:rPr>
                <w:sz w:val="18"/>
                <w:szCs w:val="18"/>
                <w:color w:val="auto"/>
              </w:rPr>
            </w:pPr>
          </w:p>
        </w:tc>
      </w:tr>
      <w:tr>
        <w:trPr>
          <w:trHeight w:val="756"/>
        </w:trPr>
        <w:tc>
          <w:tcPr>
            <w:tcW w:w="3520" w:type="dxa"/>
            <w:vAlign w:val="bottom"/>
            <w:gridSpan w:val="2"/>
          </w:tcPr>
          <w:p>
            <w:pPr>
              <w:spacing w:after="0"/>
              <w:rPr>
                <w:sz w:val="20"/>
                <w:szCs w:val="20"/>
                <w:color w:val="auto"/>
              </w:rPr>
            </w:pPr>
            <w:r>
              <w:rPr>
                <w:rFonts w:ascii="Arial" w:cs="Arial" w:eastAsia="Arial" w:hAnsi="Arial"/>
                <w:sz w:val="17"/>
                <w:szCs w:val="17"/>
                <w:color w:val="auto"/>
              </w:rPr>
              <w:t>February 27, 2019____________________</w:t>
            </w:r>
          </w:p>
        </w:tc>
        <w:tc>
          <w:tcPr>
            <w:tcW w:w="7280" w:type="dxa"/>
            <w:vAlign w:val="bottom"/>
            <w:gridSpan w:val="4"/>
          </w:tcPr>
          <w:p>
            <w:pPr>
              <w:ind w:left="100"/>
              <w:spacing w:after="0"/>
              <w:rPr>
                <w:sz w:val="20"/>
                <w:szCs w:val="20"/>
                <w:color w:val="auto"/>
              </w:rPr>
            </w:pPr>
            <w:r>
              <w:rPr>
                <w:rFonts w:ascii="Arial" w:cs="Arial" w:eastAsia="Arial" w:hAnsi="Arial"/>
                <w:sz w:val="17"/>
                <w:szCs w:val="17"/>
                <w:color w:val="auto"/>
              </w:rPr>
              <w:t>/s/ Lloyd A. Rowland_____________________</w:t>
            </w:r>
          </w:p>
        </w:tc>
      </w:tr>
      <w:tr>
        <w:trPr>
          <w:trHeight w:val="20"/>
        </w:trPr>
        <w:tc>
          <w:tcPr>
            <w:tcW w:w="1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218"/>
        </w:trPr>
        <w:tc>
          <w:tcPr>
            <w:tcW w:w="1280" w:type="dxa"/>
            <w:vAlign w:val="bottom"/>
          </w:tcPr>
          <w:p>
            <w:pPr>
              <w:spacing w:after="0"/>
              <w:rPr>
                <w:sz w:val="20"/>
                <w:szCs w:val="20"/>
                <w:color w:val="auto"/>
              </w:rPr>
            </w:pPr>
            <w:r>
              <w:rPr>
                <w:rFonts w:ascii="Arial" w:cs="Arial" w:eastAsia="Arial" w:hAnsi="Arial"/>
                <w:sz w:val="17"/>
                <w:szCs w:val="17"/>
                <w:color w:val="auto"/>
              </w:rPr>
              <w:t>Date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80" w:type="dxa"/>
            <w:vAlign w:val="bottom"/>
            <w:gridSpan w:val="3"/>
          </w:tcPr>
          <w:p>
            <w:pPr>
              <w:ind w:left="2520"/>
              <w:spacing w:after="0"/>
              <w:rPr>
                <w:sz w:val="20"/>
                <w:szCs w:val="20"/>
                <w:color w:val="auto"/>
              </w:rPr>
            </w:pPr>
            <w:r>
              <w:rPr>
                <w:rFonts w:ascii="Arial" w:cs="Arial" w:eastAsia="Arial" w:hAnsi="Arial"/>
                <w:sz w:val="17"/>
                <w:szCs w:val="17"/>
                <w:color w:val="auto"/>
                <w:w w:val="92"/>
              </w:rPr>
              <w:t>Lloyd A. Rowland, Jr., Senior Vice President and General Counsel</w:t>
            </w:r>
          </w:p>
        </w:tc>
      </w:tr>
    </w:tbl>
    <w:p>
      <w:pPr>
        <w:sectPr>
          <w:pgSz w:w="11900" w:h="16838" w:orient="portrait"/>
          <w:cols w:equalWidth="0" w:num="1">
            <w:col w:w="11420"/>
          </w:cols>
          <w:pgMar w:left="240" w:top="12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3"/>
          <w:szCs w:val="23"/>
          <w:b w:val="1"/>
          <w:bCs w:val="1"/>
          <w:color w:val="auto"/>
        </w:rPr>
        <w:t>Exhibit 10.2</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color w:val="auto"/>
        </w:rPr>
        <w:t>Amended and Restated Severance and Change of Control Agreement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Amended and Restated Severance and Change of Control Agreement (the “Agreement”) is made and entered into, effective as of March 25, 2019 (the “Effective Date”), by and between CytomX Therapeutics, Inc. a Delaware corporation (the “Company”), and Lloyd A. Rowland, Jr. (“Employee”) and amends and restates in its entirety that certain Severance and Change of Control Agreement dated as of May 16, 2018 by and between the Company and Employee, as amended (the “Prior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Upon acceptance of this Agreement, the following terms and conditions shall apply to your employment:</w:t>
      </w:r>
    </w:p>
    <w:p>
      <w:pPr>
        <w:spacing w:after="0" w:line="196" w:lineRule="exact"/>
        <w:rPr>
          <w:sz w:val="20"/>
          <w:szCs w:val="20"/>
          <w:color w:val="auto"/>
        </w:rPr>
      </w:pPr>
    </w:p>
    <w:p>
      <w:pPr>
        <w:jc w:val="both"/>
        <w:ind w:left="860" w:hanging="419"/>
        <w:spacing w:after="0" w:line="262" w:lineRule="auto"/>
        <w:tabs>
          <w:tab w:leader="none" w:pos="8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b w:val="1"/>
          <w:bCs w:val="1"/>
          <w:color w:val="auto"/>
        </w:rPr>
        <w:t>Term of Employment and Severance Benefits</w:t>
      </w:r>
      <w:r>
        <w:rPr>
          <w:rFonts w:ascii="Arial" w:cs="Arial" w:eastAsia="Arial" w:hAnsi="Arial"/>
          <w:sz w:val="16"/>
          <w:szCs w:val="16"/>
          <w:color w:val="auto"/>
        </w:rPr>
        <w:t>. It is important for you to understand that California is an "at will" employment state. This means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63" w:lineRule="exact"/>
        <w:rPr>
          <w:sz w:val="20"/>
          <w:szCs w:val="20"/>
          <w:color w:val="auto"/>
        </w:rPr>
      </w:pPr>
    </w:p>
    <w:p>
      <w:pPr>
        <w:jc w:val="both"/>
        <w:ind w:left="860" w:hanging="419"/>
        <w:spacing w:after="0" w:line="256" w:lineRule="auto"/>
        <w:tabs>
          <w:tab w:leader="none" w:pos="8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0"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both"/>
        <w:ind w:left="860"/>
        <w:spacing w:after="0" w:line="263" w:lineRule="auto"/>
        <w:rPr>
          <w:sz w:val="20"/>
          <w:szCs w:val="20"/>
          <w:color w:val="auto"/>
        </w:rPr>
      </w:pPr>
      <w:r>
        <w:rPr>
          <w:rFonts w:ascii="Arial" w:cs="Arial" w:eastAsia="Arial" w:hAnsi="Arial"/>
          <w:sz w:val="16"/>
          <w:szCs w:val="16"/>
          <w:color w:val="auto"/>
        </w:rPr>
        <w:t>effect to any reduction thereof which may constitute Good Reason), which will be payable within the period of time set forth in Section 3 below following your termination of employment, (ii) pay a lump sum amount equal to twelve (12)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56" w:lineRule="exact"/>
        <w:rPr>
          <w:sz w:val="20"/>
          <w:szCs w:val="20"/>
          <w:color w:val="auto"/>
        </w:rPr>
      </w:pPr>
    </w:p>
    <w:p>
      <w:pPr>
        <w:jc w:val="both"/>
        <w:ind w:left="860" w:hanging="426"/>
        <w:spacing w:after="0" w:line="260"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obligations to make such payments and provide such benefits shall be contingent upon your execution of a release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Company (the "Release") which Release must be signed and any applicable revocation period with respect thereto must have expired by the 30th day following your termination of employment (unless your termination </w:t>
      </w:r>
      <w:r>
        <w:rPr>
          <w:rFonts w:ascii="Arial" w:cs="Arial" w:eastAsia="Arial" w:hAnsi="Arial"/>
          <w:sz w:val="17"/>
          <w:szCs w:val="17"/>
          <w:color w:val="auto"/>
        </w:rPr>
        <w:t>is “in connection with an exit incentive or other</w:t>
      </w:r>
      <w:r>
        <w:rPr>
          <w:rFonts w:ascii="Arial" w:cs="Arial" w:eastAsia="Arial" w:hAnsi="Arial"/>
          <w:sz w:val="16"/>
          <w:szCs w:val="16"/>
          <w:color w:val="auto"/>
        </w:rPr>
        <w:t xml:space="preserve"> </w:t>
      </w:r>
      <w:r>
        <w:rPr>
          <w:rFonts w:ascii="Arial" w:cs="Arial" w:eastAsia="Arial" w:hAnsi="Arial"/>
          <w:sz w:val="17"/>
          <w:szCs w:val="17"/>
          <w:color w:val="auto"/>
        </w:rPr>
        <w:t>employment termination program” (as such phrase is defined in the Age Discrimination in Employment Act of 1967), in which case the date shall be by the 52nd day following your termination of employment)</w:t>
      </w:r>
      <w:r>
        <w:rPr>
          <w:rFonts w:ascii="Arial" w:cs="Arial" w:eastAsia="Arial" w:hAnsi="Arial"/>
          <w:sz w:val="16"/>
          <w:szCs w:val="16"/>
          <w:color w:val="auto"/>
        </w:rPr>
        <w:t>. The Release will not waive any of your rights, or obligations of the Company,</w:t>
      </w:r>
      <w:r>
        <w:rPr>
          <w:rFonts w:ascii="Arial" w:cs="Arial" w:eastAsia="Arial" w:hAnsi="Arial"/>
          <w:sz w:val="17"/>
          <w:szCs w:val="17"/>
          <w:color w:val="auto"/>
        </w:rPr>
        <w:t xml:space="preserve"> </w:t>
      </w:r>
      <w:r>
        <w:rPr>
          <w:rFonts w:ascii="Arial" w:cs="Arial" w:eastAsia="Arial" w:hAnsi="Arial"/>
          <w:sz w:val="16"/>
          <w:szCs w:val="16"/>
          <w:color w:val="auto"/>
        </w:rPr>
        <w:t xml:space="preserve">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w:t>
      </w:r>
      <w:r>
        <w:rPr>
          <w:rFonts w:ascii="Arial" w:cs="Arial" w:eastAsia="Arial" w:hAnsi="Arial"/>
          <w:sz w:val="17"/>
          <w:szCs w:val="17"/>
          <w:color w:val="auto"/>
        </w:rPr>
        <w:t xml:space="preserve">Nothing in the Release or any other agreement between you and the Company will prohibit or prevent you from </w:t>
      </w:r>
      <w:r>
        <w:rPr>
          <w:rFonts w:ascii="Arial" w:cs="Arial" w:eastAsia="Arial" w:hAnsi="Arial"/>
          <w:sz w:val="16"/>
          <w:szCs w:val="16"/>
          <w:color w:val="auto"/>
        </w:rPr>
        <w:t>providing truthful testimony or</w:t>
      </w:r>
      <w:r>
        <w:rPr>
          <w:rFonts w:ascii="Arial" w:cs="Arial" w:eastAsia="Arial" w:hAnsi="Arial"/>
          <w:sz w:val="17"/>
          <w:szCs w:val="17"/>
          <w:color w:val="auto"/>
        </w:rPr>
        <w:t xml:space="preserve"> </w:t>
      </w:r>
      <w:r>
        <w:rPr>
          <w:rFonts w:ascii="Arial" w:cs="Arial" w:eastAsia="Arial" w:hAnsi="Arial"/>
          <w:sz w:val="16"/>
          <w:szCs w:val="16"/>
          <w:color w:val="auto"/>
        </w:rPr>
        <w:t>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25741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73"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4" w:name="page85"/>
    <w:bookmarkEnd w:id="84"/>
    <w:p>
      <w:pPr>
        <w:ind w:left="860" w:hanging="426"/>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Section 280G of the Code</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1420" w:hanging="551"/>
        <w:spacing w:after="0" w:line="268" w:lineRule="auto"/>
        <w:tabs>
          <w:tab w:leader="none" w:pos="14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58" w:lineRule="exact"/>
        <w:rPr>
          <w:rFonts w:ascii="Arial" w:cs="Arial" w:eastAsia="Arial" w:hAnsi="Arial"/>
          <w:sz w:val="16"/>
          <w:szCs w:val="16"/>
          <w:color w:val="auto"/>
        </w:rPr>
      </w:pPr>
    </w:p>
    <w:p>
      <w:pPr>
        <w:jc w:val="both"/>
        <w:ind w:left="1420" w:hanging="551"/>
        <w:spacing w:after="0" w:line="275" w:lineRule="auto"/>
        <w:tabs>
          <w:tab w:leader="none" w:pos="14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50" w:lineRule="exact"/>
        <w:rPr>
          <w:rFonts w:ascii="Arial" w:cs="Arial" w:eastAsia="Arial" w:hAnsi="Arial"/>
          <w:sz w:val="16"/>
          <w:szCs w:val="16"/>
          <w:color w:val="auto"/>
        </w:rPr>
      </w:pPr>
    </w:p>
    <w:p>
      <w:pPr>
        <w:jc w:val="both"/>
        <w:ind w:left="1420" w:hanging="551"/>
        <w:spacing w:after="0" w:line="254" w:lineRule="auto"/>
        <w:tabs>
          <w:tab w:leader="none" w:pos="14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66" w:lineRule="exact"/>
        <w:rPr>
          <w:rFonts w:ascii="Arial" w:cs="Arial" w:eastAsia="Arial" w:hAnsi="Arial"/>
          <w:sz w:val="17"/>
          <w:szCs w:val="17"/>
          <w:color w:val="auto"/>
        </w:rPr>
      </w:pPr>
    </w:p>
    <w:p>
      <w:pPr>
        <w:jc w:val="both"/>
        <w:ind w:left="1420" w:hanging="551"/>
        <w:spacing w:after="0" w:line="251" w:lineRule="auto"/>
        <w:tabs>
          <w:tab w:leader="none" w:pos="14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741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4"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5" w:name="page86"/>
    <w:bookmarkEnd w:id="85"/>
    <w:p>
      <w:pPr>
        <w:jc w:val="both"/>
        <w:spacing w:after="0" w:line="280" w:lineRule="auto"/>
        <w:rPr>
          <w:sz w:val="20"/>
          <w:szCs w:val="20"/>
          <w:color w:val="auto"/>
        </w:rPr>
      </w:pPr>
      <w:r>
        <w:rPr>
          <w:rFonts w:ascii="Arial" w:cs="Arial" w:eastAsia="Arial" w:hAnsi="Arial"/>
          <w:sz w:val="15"/>
          <w:szCs w:val="15"/>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w:t>
      </w:r>
      <w:r>
        <w:rPr>
          <w:rFonts w:ascii="Arial" w:cs="Arial" w:eastAsia="Arial" w:hAnsi="Arial"/>
          <w:sz w:val="16"/>
          <w:szCs w:val="16"/>
          <w:color w:val="auto"/>
        </w:rPr>
        <w:t>provides you with written notice of any claimed ground for Cause and an opportunity to cure</w:t>
      </w:r>
      <w:r>
        <w:rPr>
          <w:rFonts w:ascii="Arial" w:cs="Arial" w:eastAsia="Arial" w:hAnsi="Arial"/>
          <w:sz w:val="15"/>
          <w:szCs w:val="15"/>
          <w:color w:val="auto"/>
        </w:rPr>
        <w:t xml:space="preserve"> </w:t>
      </w:r>
      <w:r>
        <w:rPr>
          <w:rFonts w:ascii="Arial" w:cs="Arial" w:eastAsia="Arial" w:hAnsi="Arial"/>
          <w:sz w:val="16"/>
          <w:szCs w:val="16"/>
          <w:color w:val="auto"/>
        </w:rPr>
        <w:t xml:space="preserve">such ground, if curable, for thirty (30) days. </w:t>
      </w:r>
      <w:r>
        <w:rPr>
          <w:rFonts w:ascii="Arial" w:cs="Arial" w:eastAsia="Arial" w:hAnsi="Arial"/>
          <w:sz w:val="15"/>
          <w:szCs w:val="15"/>
          <w:color w:val="auto"/>
        </w:rPr>
        <w:t>For purposes of this Agreement, no act or failure to act on your part will be considered “willful” unless it is done, or</w:t>
      </w:r>
      <w:r>
        <w:rPr>
          <w:rFonts w:ascii="Arial" w:cs="Arial" w:eastAsia="Arial" w:hAnsi="Arial"/>
          <w:sz w:val="16"/>
          <w:szCs w:val="16"/>
          <w:color w:val="auto"/>
        </w:rPr>
        <w:t xml:space="preserve"> </w:t>
      </w:r>
      <w:r>
        <w:rPr>
          <w:rFonts w:ascii="Arial" w:cs="Arial" w:eastAsia="Arial" w:hAnsi="Arial"/>
          <w:sz w:val="15"/>
          <w:szCs w:val="15"/>
          <w:color w:val="auto"/>
        </w:rPr>
        <w:t>omitted to be done, by you intentionally, not in good faith and without reasonable belief that the action or omission was in the best interest of the Company.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62" w:lineRule="exact"/>
        <w:rPr>
          <w:sz w:val="20"/>
          <w:szCs w:val="20"/>
          <w:color w:val="auto"/>
        </w:rPr>
      </w:pPr>
    </w:p>
    <w:p>
      <w:pPr>
        <w:jc w:val="both"/>
        <w:ind w:left="880" w:hanging="2"/>
        <w:spacing w:after="0" w:line="254" w:lineRule="auto"/>
        <w:tabs>
          <w:tab w:leader="none" w:pos="1132" w:val="left"/>
        </w:tabs>
        <w:numPr>
          <w:ilvl w:val="0"/>
          <w:numId w:val="49"/>
        </w:numPr>
        <w:rPr>
          <w:rFonts w:ascii="Arial" w:cs="Arial" w:eastAsia="Arial" w:hAnsi="Arial"/>
          <w:sz w:val="17"/>
          <w:szCs w:val="17"/>
          <w:color w:val="auto"/>
        </w:rPr>
      </w:pPr>
      <w:r>
        <w:rPr>
          <w:rFonts w:ascii="Arial" w:cs="Arial" w:eastAsia="Arial" w:hAnsi="Arial"/>
          <w:sz w:val="17"/>
          <w:szCs w:val="17"/>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66" w:lineRule="exact"/>
        <w:rPr>
          <w:rFonts w:ascii="Arial" w:cs="Arial" w:eastAsia="Arial" w:hAnsi="Arial"/>
          <w:sz w:val="17"/>
          <w:szCs w:val="17"/>
          <w:color w:val="auto"/>
        </w:rPr>
      </w:pPr>
    </w:p>
    <w:p>
      <w:pPr>
        <w:jc w:val="both"/>
        <w:ind w:left="880" w:hanging="2"/>
        <w:spacing w:after="0" w:line="259" w:lineRule="auto"/>
        <w:tabs>
          <w:tab w:leader="none" w:pos="11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74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86" w:name="page87"/>
    <w:bookmarkEnd w:id="86"/>
    <w:p>
      <w:pPr>
        <w:ind w:left="1120" w:hanging="242"/>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 Section 409A), then:</w:t>
      </w:r>
    </w:p>
    <w:p>
      <w:pPr>
        <w:spacing w:after="0" w:line="213" w:lineRule="exact"/>
        <w:rPr>
          <w:rFonts w:ascii="Arial" w:cs="Arial" w:eastAsia="Arial" w:hAnsi="Arial"/>
          <w:sz w:val="16"/>
          <w:szCs w:val="16"/>
          <w:color w:val="auto"/>
        </w:rPr>
      </w:pPr>
    </w:p>
    <w:p>
      <w:pPr>
        <w:jc w:val="both"/>
        <w:ind w:left="1760" w:hanging="3"/>
        <w:spacing w:after="0" w:line="254" w:lineRule="auto"/>
        <w:tabs>
          <w:tab w:leader="none" w:pos="1968" w:val="left"/>
        </w:tabs>
        <w:numPr>
          <w:ilvl w:val="1"/>
          <w:numId w:val="50"/>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66" w:lineRule="exact"/>
        <w:rPr>
          <w:rFonts w:ascii="Arial" w:cs="Arial" w:eastAsia="Arial" w:hAnsi="Arial"/>
          <w:sz w:val="17"/>
          <w:szCs w:val="17"/>
          <w:color w:val="auto"/>
        </w:rPr>
      </w:pPr>
    </w:p>
    <w:p>
      <w:pPr>
        <w:jc w:val="both"/>
        <w:ind w:left="1760" w:hanging="3"/>
        <w:spacing w:after="0" w:line="264" w:lineRule="auto"/>
        <w:tabs>
          <w:tab w:leader="none" w:pos="201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59" w:lineRule="exact"/>
        <w:rPr>
          <w:rFonts w:ascii="Arial" w:cs="Arial" w:eastAsia="Arial" w:hAnsi="Arial"/>
          <w:sz w:val="16"/>
          <w:szCs w:val="16"/>
          <w:color w:val="auto"/>
        </w:rPr>
      </w:pPr>
    </w:p>
    <w:p>
      <w:pPr>
        <w:jc w:val="both"/>
        <w:ind w:left="880" w:hanging="2"/>
        <w:spacing w:after="0" w:line="283" w:lineRule="auto"/>
        <w:tabs>
          <w:tab w:leader="none" w:pos="11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44" w:lineRule="exact"/>
        <w:rPr>
          <w:rFonts w:ascii="Arial" w:cs="Arial" w:eastAsia="Arial" w:hAnsi="Arial"/>
          <w:sz w:val="16"/>
          <w:szCs w:val="16"/>
          <w:color w:val="auto"/>
        </w:rPr>
      </w:pPr>
    </w:p>
    <w:p>
      <w:pPr>
        <w:jc w:val="both"/>
        <w:ind w:left="880" w:hanging="2"/>
        <w:spacing w:after="0" w:line="268" w:lineRule="auto"/>
        <w:tabs>
          <w:tab w:leader="none" w:pos="11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8" w:lineRule="exact"/>
        <w:rPr>
          <w:rFonts w:ascii="Arial" w:cs="Arial" w:eastAsia="Arial" w:hAnsi="Arial"/>
          <w:sz w:val="16"/>
          <w:szCs w:val="16"/>
          <w:color w:val="auto"/>
        </w:rPr>
      </w:pPr>
    </w:p>
    <w:p>
      <w:pPr>
        <w:jc w:val="both"/>
        <w:ind w:left="880" w:hanging="2"/>
        <w:spacing w:after="0" w:line="254" w:lineRule="auto"/>
        <w:tabs>
          <w:tab w:leader="none" w:pos="11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1"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87" w:name="page88"/>
    <w:bookmarkEnd w:id="87"/>
    <w:p>
      <w:pPr>
        <w:jc w:val="both"/>
        <w:ind w:left="880"/>
        <w:spacing w:after="0" w:line="254" w:lineRule="auto"/>
        <w:rPr>
          <w:sz w:val="20"/>
          <w:szCs w:val="20"/>
          <w:color w:val="auto"/>
        </w:rPr>
      </w:pPr>
      <w:r>
        <w:rPr>
          <w:rFonts w:ascii="Arial" w:cs="Arial" w:eastAsia="Arial" w:hAnsi="Arial"/>
          <w:sz w:val="17"/>
          <w:szCs w:val="17"/>
          <w:color w:val="auto"/>
        </w:rPr>
        <w:t>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California law, without regard to the conflict of law rules thereof.</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w:t>
      </w:r>
      <w:r>
        <w:rPr>
          <w:rFonts w:ascii="Arial" w:cs="Arial" w:eastAsia="Arial" w:hAnsi="Arial"/>
          <w:sz w:val="18"/>
          <w:szCs w:val="18"/>
          <w:color w:val="auto"/>
        </w:rPr>
        <w:t>The prevailing party in any dispute concerning the interpretation or enforcement of this Agreement will be entitled to an award of his or its</w:t>
      </w:r>
      <w:r>
        <w:rPr>
          <w:rFonts w:ascii="Arial" w:cs="Arial" w:eastAsia="Arial" w:hAnsi="Arial"/>
          <w:sz w:val="17"/>
          <w:szCs w:val="17"/>
          <w:color w:val="auto"/>
        </w:rPr>
        <w:t xml:space="preserve"> </w:t>
      </w:r>
      <w:r>
        <w:rPr>
          <w:rFonts w:ascii="Arial" w:cs="Arial" w:eastAsia="Arial" w:hAnsi="Arial"/>
          <w:sz w:val="18"/>
          <w:szCs w:val="18"/>
          <w:color w:val="auto"/>
        </w:rPr>
        <w:t>costs and reasonable attorneys' fees, in addition to any other eligible relief.</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Agreement (a) represents our entire understanding regarding the subject matter hereof, and supersedes and replaces all prior and contemporaneous understandings regarding such subject matter, whether oral or written, including, without limitation, the Prior Agreement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agrees to and accepts the terms and conditions set forth above.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3"/>
          </w:tcPr>
          <w:p>
            <w:pPr>
              <w:ind w:left="300"/>
              <w:spacing w:after="0"/>
              <w:rPr>
                <w:sz w:val="20"/>
                <w:szCs w:val="20"/>
                <w:color w:val="auto"/>
              </w:rPr>
            </w:pPr>
            <w:r>
              <w:rPr>
                <w:rFonts w:ascii="Arial" w:cs="Arial" w:eastAsia="Arial" w:hAnsi="Arial"/>
                <w:sz w:val="17"/>
                <w:szCs w:val="17"/>
                <w:color w:val="auto"/>
              </w:rPr>
              <w:t>/s/ Lloyd A. Rowland________________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500" w:type="dxa"/>
            <w:vAlign w:val="bottom"/>
            <w:tcBorders>
              <w:left w:val="single" w:sz="8" w:color="auto"/>
            </w:tcBorders>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2"/>
          </w:tcPr>
          <w:p>
            <w:pPr>
              <w:ind w:left="1640"/>
              <w:spacing w:after="0"/>
              <w:rPr>
                <w:sz w:val="20"/>
                <w:szCs w:val="20"/>
                <w:color w:val="auto"/>
              </w:rPr>
            </w:pPr>
            <w:r>
              <w:rPr>
                <w:rFonts w:ascii="Arial" w:cs="Arial" w:eastAsia="Arial" w:hAnsi="Arial"/>
                <w:sz w:val="17"/>
                <w:szCs w:val="17"/>
                <w:color w:val="auto"/>
              </w:rPr>
              <w:t>Lloyd A. Rowland, Jr.</w:t>
            </w:r>
          </w:p>
        </w:tc>
      </w:tr>
      <w:tr>
        <w:trPr>
          <w:trHeight w:val="756"/>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3"/>
          </w:tcPr>
          <w:p>
            <w:pPr>
              <w:ind w:left="300"/>
              <w:spacing w:after="0"/>
              <w:rPr>
                <w:sz w:val="20"/>
                <w:szCs w:val="20"/>
                <w:color w:val="auto"/>
              </w:rPr>
            </w:pPr>
            <w:r>
              <w:rPr>
                <w:rFonts w:ascii="Arial" w:cs="Arial" w:eastAsia="Arial" w:hAnsi="Arial"/>
                <w:sz w:val="17"/>
                <w:szCs w:val="17"/>
                <w:color w:val="auto"/>
              </w:rPr>
              <w:t>/s/ Sean McCarthy__________________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2"/>
          </w:tcPr>
          <w:p>
            <w:pPr>
              <w:ind w:left="2520"/>
              <w:spacing w:after="0"/>
              <w:rPr>
                <w:sz w:val="20"/>
                <w:szCs w:val="20"/>
                <w:color w:val="auto"/>
              </w:rPr>
            </w:pPr>
            <w:r>
              <w:rPr>
                <w:rFonts w:ascii="Arial" w:cs="Arial" w:eastAsia="Arial" w:hAnsi="Arial"/>
                <w:sz w:val="17"/>
                <w:szCs w:val="17"/>
                <w:color w:val="auto"/>
                <w:w w:val="94"/>
              </w:rPr>
              <w:t>Sean McCarthy, Chief Executive Officer</w:t>
            </w:r>
          </w:p>
        </w:tc>
      </w:tr>
    </w:tbl>
    <w:p>
      <w:pPr>
        <w:sectPr>
          <w:pgSz w:w="11900" w:h="16838" w:orient="portrait"/>
          <w:cols w:equalWidth="0" w:num="1">
            <w:col w:w="11420"/>
          </w:cols>
          <w:pgMar w:left="240" w:top="12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3"/>
          <w:szCs w:val="23"/>
          <w:b w:val="1"/>
          <w:bCs w:val="1"/>
          <w:color w:val="auto"/>
        </w:rPr>
        <w:t>Exhibit 10.3</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color w:val="auto"/>
        </w:rPr>
        <w:t>Amended and Restated Severance and Change of Control Agreement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Amended and Restated Severance and Change of Control Agreement (the “Agreement”) is made and entered into, effective as of March 25, 2019 (the “Effective Date”), by and between CytomX Therapeutics, Inc. a Delaware corporation (the “Company”), and Rachel Humphrey, M.D. (“Employee”) and amends and restates in its entirety that certain Severance and Change of Control Agreement dated as of March 23, 2016 by and between the Company and Employee, as amended (the “Prior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Upon acceptance of this Agreement, the following terms and conditions shall apply to your employment:</w:t>
      </w:r>
    </w:p>
    <w:p>
      <w:pPr>
        <w:spacing w:after="0" w:line="196" w:lineRule="exact"/>
        <w:rPr>
          <w:sz w:val="20"/>
          <w:szCs w:val="20"/>
          <w:color w:val="auto"/>
        </w:rPr>
      </w:pPr>
    </w:p>
    <w:p>
      <w:pPr>
        <w:jc w:val="both"/>
        <w:ind w:left="860" w:hanging="419"/>
        <w:spacing w:after="0" w:line="262" w:lineRule="auto"/>
        <w:tabs>
          <w:tab w:leader="none" w:pos="8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b w:val="1"/>
          <w:bCs w:val="1"/>
          <w:color w:val="auto"/>
        </w:rPr>
        <w:t>Term of Employment and Severance Benefits</w:t>
      </w:r>
      <w:r>
        <w:rPr>
          <w:rFonts w:ascii="Arial" w:cs="Arial" w:eastAsia="Arial" w:hAnsi="Arial"/>
          <w:sz w:val="16"/>
          <w:szCs w:val="16"/>
          <w:color w:val="auto"/>
        </w:rPr>
        <w:t>. It is important for you to understand that California is an "at will" employment state. This means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63" w:lineRule="exact"/>
        <w:rPr>
          <w:sz w:val="20"/>
          <w:szCs w:val="20"/>
          <w:color w:val="auto"/>
        </w:rPr>
      </w:pPr>
    </w:p>
    <w:p>
      <w:pPr>
        <w:jc w:val="both"/>
        <w:ind w:left="860" w:hanging="419"/>
        <w:spacing w:after="0" w:line="256" w:lineRule="auto"/>
        <w:tabs>
          <w:tab w:leader="none" w:pos="8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0"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both"/>
        <w:ind w:left="860"/>
        <w:spacing w:after="0" w:line="263" w:lineRule="auto"/>
        <w:rPr>
          <w:sz w:val="20"/>
          <w:szCs w:val="20"/>
          <w:color w:val="auto"/>
        </w:rPr>
      </w:pPr>
      <w:r>
        <w:rPr>
          <w:rFonts w:ascii="Arial" w:cs="Arial" w:eastAsia="Arial" w:hAnsi="Arial"/>
          <w:sz w:val="16"/>
          <w:szCs w:val="16"/>
          <w:color w:val="auto"/>
        </w:rPr>
        <w:t>effect to any reduction thereof which may constitute Good Reason), which will be payable within the period of time set forth in Section 3 below following your termination of employment, (ii) pay a lump sum amount equal to twelve (12)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56" w:lineRule="exact"/>
        <w:rPr>
          <w:sz w:val="20"/>
          <w:szCs w:val="20"/>
          <w:color w:val="auto"/>
        </w:rPr>
      </w:pPr>
    </w:p>
    <w:p>
      <w:pPr>
        <w:jc w:val="both"/>
        <w:ind w:left="860" w:hanging="426"/>
        <w:spacing w:after="0" w:line="260"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obligations to make such payments and provide such benefits shall be contingent upon your execution of a release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Company (the "Release") which Release must be signed and any applicable revocation period with respect thereto must have expired by the 30th day following your termination of employment (unless your termination </w:t>
      </w:r>
      <w:r>
        <w:rPr>
          <w:rFonts w:ascii="Arial" w:cs="Arial" w:eastAsia="Arial" w:hAnsi="Arial"/>
          <w:sz w:val="17"/>
          <w:szCs w:val="17"/>
          <w:color w:val="auto"/>
        </w:rPr>
        <w:t>is “in connection with an exit incentive or other</w:t>
      </w:r>
      <w:r>
        <w:rPr>
          <w:rFonts w:ascii="Arial" w:cs="Arial" w:eastAsia="Arial" w:hAnsi="Arial"/>
          <w:sz w:val="16"/>
          <w:szCs w:val="16"/>
          <w:color w:val="auto"/>
        </w:rPr>
        <w:t xml:space="preserve"> </w:t>
      </w:r>
      <w:r>
        <w:rPr>
          <w:rFonts w:ascii="Arial" w:cs="Arial" w:eastAsia="Arial" w:hAnsi="Arial"/>
          <w:sz w:val="17"/>
          <w:szCs w:val="17"/>
          <w:color w:val="auto"/>
        </w:rPr>
        <w:t>employment termination program” (as such phrase is defined in the Age Discrimination in Employment Act of 1967), in which case the date shall be by the 52nd day following your termination of employment)</w:t>
      </w:r>
      <w:r>
        <w:rPr>
          <w:rFonts w:ascii="Arial" w:cs="Arial" w:eastAsia="Arial" w:hAnsi="Arial"/>
          <w:sz w:val="16"/>
          <w:szCs w:val="16"/>
          <w:color w:val="auto"/>
        </w:rPr>
        <w:t>. The Release will not waive any of your rights, or obligations of the Company,</w:t>
      </w:r>
      <w:r>
        <w:rPr>
          <w:rFonts w:ascii="Arial" w:cs="Arial" w:eastAsia="Arial" w:hAnsi="Arial"/>
          <w:sz w:val="17"/>
          <w:szCs w:val="17"/>
          <w:color w:val="auto"/>
        </w:rPr>
        <w:t xml:space="preserve"> </w:t>
      </w:r>
      <w:r>
        <w:rPr>
          <w:rFonts w:ascii="Arial" w:cs="Arial" w:eastAsia="Arial" w:hAnsi="Arial"/>
          <w:sz w:val="16"/>
          <w:szCs w:val="16"/>
          <w:color w:val="auto"/>
        </w:rPr>
        <w:t xml:space="preserve">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w:t>
      </w:r>
      <w:r>
        <w:rPr>
          <w:rFonts w:ascii="Arial" w:cs="Arial" w:eastAsia="Arial" w:hAnsi="Arial"/>
          <w:sz w:val="17"/>
          <w:szCs w:val="17"/>
          <w:color w:val="auto"/>
        </w:rPr>
        <w:t xml:space="preserve">Nothing in the Release or any other agreement between you and the Company will prohibit or prevent you from </w:t>
      </w:r>
      <w:r>
        <w:rPr>
          <w:rFonts w:ascii="Arial" w:cs="Arial" w:eastAsia="Arial" w:hAnsi="Arial"/>
          <w:sz w:val="16"/>
          <w:szCs w:val="16"/>
          <w:color w:val="auto"/>
        </w:rPr>
        <w:t>providing truthful testimony or</w:t>
      </w:r>
      <w:r>
        <w:rPr>
          <w:rFonts w:ascii="Arial" w:cs="Arial" w:eastAsia="Arial" w:hAnsi="Arial"/>
          <w:sz w:val="17"/>
          <w:szCs w:val="17"/>
          <w:color w:val="auto"/>
        </w:rPr>
        <w:t xml:space="preserve"> </w:t>
      </w:r>
      <w:r>
        <w:rPr>
          <w:rFonts w:ascii="Arial" w:cs="Arial" w:eastAsia="Arial" w:hAnsi="Arial"/>
          <w:sz w:val="16"/>
          <w:szCs w:val="16"/>
          <w:color w:val="auto"/>
        </w:rPr>
        <w:t>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25741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73"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0" w:name="page91"/>
    <w:bookmarkEnd w:id="90"/>
    <w:p>
      <w:pPr>
        <w:ind w:left="860" w:hanging="426"/>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Section 280G of the Code</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1420" w:hanging="551"/>
        <w:spacing w:after="0" w:line="268" w:lineRule="auto"/>
        <w:tabs>
          <w:tab w:leader="none" w:pos="14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58" w:lineRule="exact"/>
        <w:rPr>
          <w:rFonts w:ascii="Arial" w:cs="Arial" w:eastAsia="Arial" w:hAnsi="Arial"/>
          <w:sz w:val="16"/>
          <w:szCs w:val="16"/>
          <w:color w:val="auto"/>
        </w:rPr>
      </w:pPr>
    </w:p>
    <w:p>
      <w:pPr>
        <w:jc w:val="both"/>
        <w:ind w:left="1420" w:hanging="551"/>
        <w:spacing w:after="0" w:line="275" w:lineRule="auto"/>
        <w:tabs>
          <w:tab w:leader="none" w:pos="14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50" w:lineRule="exact"/>
        <w:rPr>
          <w:rFonts w:ascii="Arial" w:cs="Arial" w:eastAsia="Arial" w:hAnsi="Arial"/>
          <w:sz w:val="16"/>
          <w:szCs w:val="16"/>
          <w:color w:val="auto"/>
        </w:rPr>
      </w:pPr>
    </w:p>
    <w:p>
      <w:pPr>
        <w:jc w:val="both"/>
        <w:ind w:left="1420" w:hanging="551"/>
        <w:spacing w:after="0" w:line="254" w:lineRule="auto"/>
        <w:tabs>
          <w:tab w:leader="none" w:pos="14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66" w:lineRule="exact"/>
        <w:rPr>
          <w:rFonts w:ascii="Arial" w:cs="Arial" w:eastAsia="Arial" w:hAnsi="Arial"/>
          <w:sz w:val="17"/>
          <w:szCs w:val="17"/>
          <w:color w:val="auto"/>
        </w:rPr>
      </w:pPr>
    </w:p>
    <w:p>
      <w:pPr>
        <w:jc w:val="both"/>
        <w:ind w:left="1420" w:hanging="551"/>
        <w:spacing w:after="0" w:line="251" w:lineRule="auto"/>
        <w:tabs>
          <w:tab w:leader="none" w:pos="14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74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4"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1" w:name="page92"/>
    <w:bookmarkEnd w:id="91"/>
    <w:p>
      <w:pPr>
        <w:jc w:val="both"/>
        <w:spacing w:after="0" w:line="280" w:lineRule="auto"/>
        <w:rPr>
          <w:sz w:val="20"/>
          <w:szCs w:val="20"/>
          <w:color w:val="auto"/>
        </w:rPr>
      </w:pPr>
      <w:r>
        <w:rPr>
          <w:rFonts w:ascii="Arial" w:cs="Arial" w:eastAsia="Arial" w:hAnsi="Arial"/>
          <w:sz w:val="15"/>
          <w:szCs w:val="15"/>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w:t>
      </w:r>
      <w:r>
        <w:rPr>
          <w:rFonts w:ascii="Arial" w:cs="Arial" w:eastAsia="Arial" w:hAnsi="Arial"/>
          <w:sz w:val="16"/>
          <w:szCs w:val="16"/>
          <w:color w:val="auto"/>
        </w:rPr>
        <w:t>provides you with written notice of any claimed ground for Cause and an opportunity to cure</w:t>
      </w:r>
      <w:r>
        <w:rPr>
          <w:rFonts w:ascii="Arial" w:cs="Arial" w:eastAsia="Arial" w:hAnsi="Arial"/>
          <w:sz w:val="15"/>
          <w:szCs w:val="15"/>
          <w:color w:val="auto"/>
        </w:rPr>
        <w:t xml:space="preserve"> </w:t>
      </w:r>
      <w:r>
        <w:rPr>
          <w:rFonts w:ascii="Arial" w:cs="Arial" w:eastAsia="Arial" w:hAnsi="Arial"/>
          <w:sz w:val="16"/>
          <w:szCs w:val="16"/>
          <w:color w:val="auto"/>
        </w:rPr>
        <w:t xml:space="preserve">such ground, if curable, for thirty (30) days. </w:t>
      </w:r>
      <w:r>
        <w:rPr>
          <w:rFonts w:ascii="Arial" w:cs="Arial" w:eastAsia="Arial" w:hAnsi="Arial"/>
          <w:sz w:val="15"/>
          <w:szCs w:val="15"/>
          <w:color w:val="auto"/>
        </w:rPr>
        <w:t>For purposes of this Agreement, no act or failure to act on your part will be considered “willful” unless it is done, or</w:t>
      </w:r>
      <w:r>
        <w:rPr>
          <w:rFonts w:ascii="Arial" w:cs="Arial" w:eastAsia="Arial" w:hAnsi="Arial"/>
          <w:sz w:val="16"/>
          <w:szCs w:val="16"/>
          <w:color w:val="auto"/>
        </w:rPr>
        <w:t xml:space="preserve"> </w:t>
      </w:r>
      <w:r>
        <w:rPr>
          <w:rFonts w:ascii="Arial" w:cs="Arial" w:eastAsia="Arial" w:hAnsi="Arial"/>
          <w:sz w:val="15"/>
          <w:szCs w:val="15"/>
          <w:color w:val="auto"/>
        </w:rPr>
        <w:t>omitted to be done, by you intentionally, not in good faith and without reasonable belief that the action or omission was in the best interest of the Company.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62" w:lineRule="exact"/>
        <w:rPr>
          <w:sz w:val="20"/>
          <w:szCs w:val="20"/>
          <w:color w:val="auto"/>
        </w:rPr>
      </w:pPr>
    </w:p>
    <w:p>
      <w:pPr>
        <w:jc w:val="both"/>
        <w:ind w:left="880" w:hanging="2"/>
        <w:spacing w:after="0" w:line="254" w:lineRule="auto"/>
        <w:tabs>
          <w:tab w:leader="none" w:pos="1132" w:val="left"/>
        </w:tabs>
        <w:numPr>
          <w:ilvl w:val="0"/>
          <w:numId w:val="53"/>
        </w:numPr>
        <w:rPr>
          <w:rFonts w:ascii="Arial" w:cs="Arial" w:eastAsia="Arial" w:hAnsi="Arial"/>
          <w:sz w:val="17"/>
          <w:szCs w:val="17"/>
          <w:color w:val="auto"/>
        </w:rPr>
      </w:pPr>
      <w:r>
        <w:rPr>
          <w:rFonts w:ascii="Arial" w:cs="Arial" w:eastAsia="Arial" w:hAnsi="Arial"/>
          <w:sz w:val="17"/>
          <w:szCs w:val="17"/>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66" w:lineRule="exact"/>
        <w:rPr>
          <w:rFonts w:ascii="Arial" w:cs="Arial" w:eastAsia="Arial" w:hAnsi="Arial"/>
          <w:sz w:val="17"/>
          <w:szCs w:val="17"/>
          <w:color w:val="auto"/>
        </w:rPr>
      </w:pPr>
    </w:p>
    <w:p>
      <w:pPr>
        <w:jc w:val="both"/>
        <w:ind w:left="880" w:hanging="2"/>
        <w:spacing w:after="0" w:line="259" w:lineRule="auto"/>
        <w:tabs>
          <w:tab w:leader="none" w:pos="11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74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2" w:name="page93"/>
    <w:bookmarkEnd w:id="92"/>
    <w:p>
      <w:pPr>
        <w:ind w:left="1120" w:hanging="242"/>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 Section 409A), then:</w:t>
      </w:r>
    </w:p>
    <w:p>
      <w:pPr>
        <w:spacing w:after="0" w:line="213" w:lineRule="exact"/>
        <w:rPr>
          <w:rFonts w:ascii="Arial" w:cs="Arial" w:eastAsia="Arial" w:hAnsi="Arial"/>
          <w:sz w:val="16"/>
          <w:szCs w:val="16"/>
          <w:color w:val="auto"/>
        </w:rPr>
      </w:pPr>
    </w:p>
    <w:p>
      <w:pPr>
        <w:jc w:val="both"/>
        <w:ind w:left="1760" w:hanging="3"/>
        <w:spacing w:after="0" w:line="254" w:lineRule="auto"/>
        <w:tabs>
          <w:tab w:leader="none" w:pos="19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66" w:lineRule="exact"/>
        <w:rPr>
          <w:rFonts w:ascii="Arial" w:cs="Arial" w:eastAsia="Arial" w:hAnsi="Arial"/>
          <w:sz w:val="17"/>
          <w:szCs w:val="17"/>
          <w:color w:val="auto"/>
        </w:rPr>
      </w:pPr>
    </w:p>
    <w:p>
      <w:pPr>
        <w:jc w:val="both"/>
        <w:ind w:left="1760" w:hanging="3"/>
        <w:spacing w:after="0" w:line="264" w:lineRule="auto"/>
        <w:tabs>
          <w:tab w:leader="none" w:pos="201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59" w:lineRule="exact"/>
        <w:rPr>
          <w:rFonts w:ascii="Arial" w:cs="Arial" w:eastAsia="Arial" w:hAnsi="Arial"/>
          <w:sz w:val="16"/>
          <w:szCs w:val="16"/>
          <w:color w:val="auto"/>
        </w:rPr>
      </w:pPr>
    </w:p>
    <w:p>
      <w:pPr>
        <w:jc w:val="both"/>
        <w:ind w:left="880" w:hanging="2"/>
        <w:spacing w:after="0" w:line="283" w:lineRule="auto"/>
        <w:tabs>
          <w:tab w:leader="none" w:pos="11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44" w:lineRule="exact"/>
        <w:rPr>
          <w:rFonts w:ascii="Arial" w:cs="Arial" w:eastAsia="Arial" w:hAnsi="Arial"/>
          <w:sz w:val="16"/>
          <w:szCs w:val="16"/>
          <w:color w:val="auto"/>
        </w:rPr>
      </w:pPr>
    </w:p>
    <w:p>
      <w:pPr>
        <w:jc w:val="both"/>
        <w:ind w:left="880" w:hanging="2"/>
        <w:spacing w:after="0" w:line="268" w:lineRule="auto"/>
        <w:tabs>
          <w:tab w:leader="none" w:pos="112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8" w:lineRule="exact"/>
        <w:rPr>
          <w:rFonts w:ascii="Arial" w:cs="Arial" w:eastAsia="Arial" w:hAnsi="Arial"/>
          <w:sz w:val="16"/>
          <w:szCs w:val="16"/>
          <w:color w:val="auto"/>
        </w:rPr>
      </w:pPr>
    </w:p>
    <w:p>
      <w:pPr>
        <w:jc w:val="both"/>
        <w:ind w:left="880" w:hanging="2"/>
        <w:spacing w:after="0" w:line="254" w:lineRule="auto"/>
        <w:tabs>
          <w:tab w:leader="none" w:pos="11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1"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3" w:name="page94"/>
    <w:bookmarkEnd w:id="93"/>
    <w:p>
      <w:pPr>
        <w:jc w:val="both"/>
        <w:ind w:left="880"/>
        <w:spacing w:after="0" w:line="254" w:lineRule="auto"/>
        <w:rPr>
          <w:sz w:val="20"/>
          <w:szCs w:val="20"/>
          <w:color w:val="auto"/>
        </w:rPr>
      </w:pPr>
      <w:r>
        <w:rPr>
          <w:rFonts w:ascii="Arial" w:cs="Arial" w:eastAsia="Arial" w:hAnsi="Arial"/>
          <w:sz w:val="17"/>
          <w:szCs w:val="17"/>
          <w:color w:val="auto"/>
        </w:rPr>
        <w:t>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California law, without regard to the conflict of law rules thereof.</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w:t>
      </w:r>
      <w:r>
        <w:rPr>
          <w:rFonts w:ascii="Arial" w:cs="Arial" w:eastAsia="Arial" w:hAnsi="Arial"/>
          <w:sz w:val="18"/>
          <w:szCs w:val="18"/>
          <w:color w:val="auto"/>
        </w:rPr>
        <w:t>The prevailing party in any dispute concerning the interpretation or enforcement of this Agreement will be entitled to an award of his or its</w:t>
      </w:r>
      <w:r>
        <w:rPr>
          <w:rFonts w:ascii="Arial" w:cs="Arial" w:eastAsia="Arial" w:hAnsi="Arial"/>
          <w:sz w:val="17"/>
          <w:szCs w:val="17"/>
          <w:color w:val="auto"/>
        </w:rPr>
        <w:t xml:space="preserve"> </w:t>
      </w:r>
      <w:r>
        <w:rPr>
          <w:rFonts w:ascii="Arial" w:cs="Arial" w:eastAsia="Arial" w:hAnsi="Arial"/>
          <w:sz w:val="18"/>
          <w:szCs w:val="18"/>
          <w:color w:val="auto"/>
        </w:rPr>
        <w:t>costs and reasonable attorneys' fees, in addition to any other eligible relief.</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Agreement (a) represents our entire understanding regarding the subject matter hereof, and supersedes and replaces all prior and contemporaneous understandings regarding such subject matter, whether oral or written, including, without limitation, the Prior Agreement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agrees to and accepts the terms and conditions set forth above.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Rachel Humphrey_______________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3"/>
          </w:tcPr>
          <w:p>
            <w:pPr>
              <w:ind w:left="1640"/>
              <w:spacing w:after="0"/>
              <w:rPr>
                <w:sz w:val="20"/>
                <w:szCs w:val="20"/>
                <w:color w:val="auto"/>
              </w:rPr>
            </w:pPr>
            <w:r>
              <w:rPr>
                <w:rFonts w:ascii="Arial" w:cs="Arial" w:eastAsia="Arial" w:hAnsi="Arial"/>
                <w:sz w:val="17"/>
                <w:szCs w:val="17"/>
                <w:color w:val="auto"/>
              </w:rPr>
              <w:t>Rachel Humphrey, M.D.</w:t>
            </w:r>
          </w:p>
        </w:tc>
      </w:tr>
      <w:tr>
        <w:trPr>
          <w:trHeight w:val="756"/>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Sean McCarthy__________________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3"/>
          </w:tcPr>
          <w:p>
            <w:pPr>
              <w:ind w:left="2520"/>
              <w:spacing w:after="0"/>
              <w:rPr>
                <w:sz w:val="20"/>
                <w:szCs w:val="20"/>
                <w:color w:val="auto"/>
              </w:rPr>
            </w:pPr>
            <w:r>
              <w:rPr>
                <w:rFonts w:ascii="Arial" w:cs="Arial" w:eastAsia="Arial" w:hAnsi="Arial"/>
                <w:sz w:val="17"/>
                <w:szCs w:val="17"/>
                <w:color w:val="auto"/>
                <w:w w:val="94"/>
              </w:rPr>
              <w:t>Sean McCarthy, Chief Executive Officer</w:t>
            </w:r>
          </w:p>
        </w:tc>
      </w:tr>
    </w:tbl>
    <w:p>
      <w:pPr>
        <w:sectPr>
          <w:pgSz w:w="11900" w:h="16838" w:orient="portrait"/>
          <w:cols w:equalWidth="0" w:num="1">
            <w:col w:w="11420"/>
          </w:cols>
          <w:pgMar w:left="240" w:top="12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3"/>
          <w:szCs w:val="23"/>
          <w:b w:val="1"/>
          <w:bCs w:val="1"/>
          <w:color w:val="auto"/>
        </w:rPr>
        <w:t>Exhibit 10.4</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color w:val="auto"/>
        </w:rPr>
        <w:t>Amended and Restated Severance and Change of Control Agreement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Amended and Restated Severance and Change of Control Agreement (the “Agreement”) is made and entered into, effective as of March 25, 2019 (the “Effective Date”), by and between CytomX Therapeutics, Inc. a Delaware corporation (the “Company”), and W. Michael Kavanaugh, M.D. (“Employee”) and amends and restates in its entirety that certain Severance and Change of Control Agreement dated as of March 23, 2016 by and between the Company and Employee, as amended (the “Prior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Upon acceptance of this Agreement, the following terms and conditions shall apply to your employment:</w:t>
      </w:r>
    </w:p>
    <w:p>
      <w:pPr>
        <w:spacing w:after="0" w:line="196" w:lineRule="exact"/>
        <w:rPr>
          <w:sz w:val="20"/>
          <w:szCs w:val="20"/>
          <w:color w:val="auto"/>
        </w:rPr>
      </w:pPr>
    </w:p>
    <w:p>
      <w:pPr>
        <w:jc w:val="both"/>
        <w:ind w:left="860" w:hanging="419"/>
        <w:spacing w:after="0" w:line="262" w:lineRule="auto"/>
        <w:tabs>
          <w:tab w:leader="none" w:pos="8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b w:val="1"/>
          <w:bCs w:val="1"/>
          <w:color w:val="auto"/>
        </w:rPr>
        <w:t>Term of Employment and Severance Benefits</w:t>
      </w:r>
      <w:r>
        <w:rPr>
          <w:rFonts w:ascii="Arial" w:cs="Arial" w:eastAsia="Arial" w:hAnsi="Arial"/>
          <w:sz w:val="16"/>
          <w:szCs w:val="16"/>
          <w:color w:val="auto"/>
        </w:rPr>
        <w:t>. It is important for you to understand that California is an "at will" employment state. This means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63" w:lineRule="exact"/>
        <w:rPr>
          <w:sz w:val="20"/>
          <w:szCs w:val="20"/>
          <w:color w:val="auto"/>
        </w:rPr>
      </w:pPr>
    </w:p>
    <w:p>
      <w:pPr>
        <w:jc w:val="both"/>
        <w:ind w:left="860" w:hanging="419"/>
        <w:spacing w:after="0" w:line="256" w:lineRule="auto"/>
        <w:tabs>
          <w:tab w:leader="none" w:pos="8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0"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both"/>
        <w:ind w:left="860"/>
        <w:spacing w:after="0" w:line="263" w:lineRule="auto"/>
        <w:rPr>
          <w:sz w:val="20"/>
          <w:szCs w:val="20"/>
          <w:color w:val="auto"/>
        </w:rPr>
      </w:pPr>
      <w:r>
        <w:rPr>
          <w:rFonts w:ascii="Arial" w:cs="Arial" w:eastAsia="Arial" w:hAnsi="Arial"/>
          <w:sz w:val="16"/>
          <w:szCs w:val="16"/>
          <w:color w:val="auto"/>
        </w:rPr>
        <w:t>effect to any reduction thereof which may constitute Good Reason), which will be payable within the period of time set forth in Section 3 below following your termination of employment, (ii) pay a lump sum amount equal to twelve (12)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56" w:lineRule="exact"/>
        <w:rPr>
          <w:sz w:val="20"/>
          <w:szCs w:val="20"/>
          <w:color w:val="auto"/>
        </w:rPr>
      </w:pPr>
    </w:p>
    <w:p>
      <w:pPr>
        <w:jc w:val="both"/>
        <w:ind w:left="860" w:hanging="426"/>
        <w:spacing w:after="0" w:line="260"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obligations to make such payments and provide such benefits shall be contingent upon your execution of a release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Company (the "Release") which Release must be signed and any applicable revocation period with respect thereto must have expired by the 30th day following your termination of employment (unless your termination </w:t>
      </w:r>
      <w:r>
        <w:rPr>
          <w:rFonts w:ascii="Arial" w:cs="Arial" w:eastAsia="Arial" w:hAnsi="Arial"/>
          <w:sz w:val="17"/>
          <w:szCs w:val="17"/>
          <w:color w:val="auto"/>
        </w:rPr>
        <w:t>is “in connection with an exit incentive or other</w:t>
      </w:r>
      <w:r>
        <w:rPr>
          <w:rFonts w:ascii="Arial" w:cs="Arial" w:eastAsia="Arial" w:hAnsi="Arial"/>
          <w:sz w:val="16"/>
          <w:szCs w:val="16"/>
          <w:color w:val="auto"/>
        </w:rPr>
        <w:t xml:space="preserve"> </w:t>
      </w:r>
      <w:r>
        <w:rPr>
          <w:rFonts w:ascii="Arial" w:cs="Arial" w:eastAsia="Arial" w:hAnsi="Arial"/>
          <w:sz w:val="17"/>
          <w:szCs w:val="17"/>
          <w:color w:val="auto"/>
        </w:rPr>
        <w:t>employment termination program” (as such phrase is defined in the Age Discrimination in Employment Act of 1967), in which case the date shall be by the 52nd day following your termination of employment)</w:t>
      </w:r>
      <w:r>
        <w:rPr>
          <w:rFonts w:ascii="Arial" w:cs="Arial" w:eastAsia="Arial" w:hAnsi="Arial"/>
          <w:sz w:val="16"/>
          <w:szCs w:val="16"/>
          <w:color w:val="auto"/>
        </w:rPr>
        <w:t>. The Release will not waive any of your rights, or obligations of the Company,</w:t>
      </w:r>
      <w:r>
        <w:rPr>
          <w:rFonts w:ascii="Arial" w:cs="Arial" w:eastAsia="Arial" w:hAnsi="Arial"/>
          <w:sz w:val="17"/>
          <w:szCs w:val="17"/>
          <w:color w:val="auto"/>
        </w:rPr>
        <w:t xml:space="preserve"> </w:t>
      </w:r>
      <w:r>
        <w:rPr>
          <w:rFonts w:ascii="Arial" w:cs="Arial" w:eastAsia="Arial" w:hAnsi="Arial"/>
          <w:sz w:val="16"/>
          <w:szCs w:val="16"/>
          <w:color w:val="auto"/>
        </w:rPr>
        <w:t xml:space="preserve">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w:t>
      </w:r>
      <w:r>
        <w:rPr>
          <w:rFonts w:ascii="Arial" w:cs="Arial" w:eastAsia="Arial" w:hAnsi="Arial"/>
          <w:sz w:val="17"/>
          <w:szCs w:val="17"/>
          <w:color w:val="auto"/>
        </w:rPr>
        <w:t xml:space="preserve">Nothing in the Release or any other agreement between you and the Company will prohibit or prevent you from </w:t>
      </w:r>
      <w:r>
        <w:rPr>
          <w:rFonts w:ascii="Arial" w:cs="Arial" w:eastAsia="Arial" w:hAnsi="Arial"/>
          <w:sz w:val="16"/>
          <w:szCs w:val="16"/>
          <w:color w:val="auto"/>
        </w:rPr>
        <w:t>providing truthful testimony or</w:t>
      </w:r>
      <w:r>
        <w:rPr>
          <w:rFonts w:ascii="Arial" w:cs="Arial" w:eastAsia="Arial" w:hAnsi="Arial"/>
          <w:sz w:val="17"/>
          <w:szCs w:val="17"/>
          <w:color w:val="auto"/>
        </w:rPr>
        <w:t xml:space="preserve"> </w:t>
      </w:r>
      <w:r>
        <w:rPr>
          <w:rFonts w:ascii="Arial" w:cs="Arial" w:eastAsia="Arial" w:hAnsi="Arial"/>
          <w:sz w:val="16"/>
          <w:szCs w:val="16"/>
          <w:color w:val="auto"/>
        </w:rPr>
        <w:t>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2574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73"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6" w:name="page97"/>
    <w:bookmarkEnd w:id="96"/>
    <w:p>
      <w:pPr>
        <w:ind w:left="860" w:hanging="426"/>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Section 280G of the Code</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1420" w:hanging="551"/>
        <w:spacing w:after="0" w:line="268"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58" w:lineRule="exact"/>
        <w:rPr>
          <w:rFonts w:ascii="Arial" w:cs="Arial" w:eastAsia="Arial" w:hAnsi="Arial"/>
          <w:sz w:val="16"/>
          <w:szCs w:val="16"/>
          <w:color w:val="auto"/>
        </w:rPr>
      </w:pPr>
    </w:p>
    <w:p>
      <w:pPr>
        <w:jc w:val="both"/>
        <w:ind w:left="1420" w:hanging="551"/>
        <w:spacing w:after="0" w:line="275"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50" w:lineRule="exact"/>
        <w:rPr>
          <w:rFonts w:ascii="Arial" w:cs="Arial" w:eastAsia="Arial" w:hAnsi="Arial"/>
          <w:sz w:val="16"/>
          <w:szCs w:val="16"/>
          <w:color w:val="auto"/>
        </w:rPr>
      </w:pPr>
    </w:p>
    <w:p>
      <w:pPr>
        <w:jc w:val="both"/>
        <w:ind w:left="1420" w:hanging="551"/>
        <w:spacing w:after="0" w:line="254" w:lineRule="auto"/>
        <w:tabs>
          <w:tab w:leader="none" w:pos="14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66" w:lineRule="exact"/>
        <w:rPr>
          <w:rFonts w:ascii="Arial" w:cs="Arial" w:eastAsia="Arial" w:hAnsi="Arial"/>
          <w:sz w:val="17"/>
          <w:szCs w:val="17"/>
          <w:color w:val="auto"/>
        </w:rPr>
      </w:pPr>
    </w:p>
    <w:p>
      <w:pPr>
        <w:jc w:val="both"/>
        <w:ind w:left="1420" w:hanging="551"/>
        <w:spacing w:after="0" w:line="251" w:lineRule="auto"/>
        <w:tabs>
          <w:tab w:leader="none" w:pos="14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74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4"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7" w:name="page98"/>
    <w:bookmarkEnd w:id="97"/>
    <w:p>
      <w:pPr>
        <w:jc w:val="both"/>
        <w:spacing w:after="0" w:line="280" w:lineRule="auto"/>
        <w:rPr>
          <w:sz w:val="20"/>
          <w:szCs w:val="20"/>
          <w:color w:val="auto"/>
        </w:rPr>
      </w:pPr>
      <w:r>
        <w:rPr>
          <w:rFonts w:ascii="Arial" w:cs="Arial" w:eastAsia="Arial" w:hAnsi="Arial"/>
          <w:sz w:val="15"/>
          <w:szCs w:val="15"/>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w:t>
      </w:r>
      <w:r>
        <w:rPr>
          <w:rFonts w:ascii="Arial" w:cs="Arial" w:eastAsia="Arial" w:hAnsi="Arial"/>
          <w:sz w:val="16"/>
          <w:szCs w:val="16"/>
          <w:color w:val="auto"/>
        </w:rPr>
        <w:t>provides you with written notice of any claimed ground for Cause and an opportunity to cure</w:t>
      </w:r>
      <w:r>
        <w:rPr>
          <w:rFonts w:ascii="Arial" w:cs="Arial" w:eastAsia="Arial" w:hAnsi="Arial"/>
          <w:sz w:val="15"/>
          <w:szCs w:val="15"/>
          <w:color w:val="auto"/>
        </w:rPr>
        <w:t xml:space="preserve"> </w:t>
      </w:r>
      <w:r>
        <w:rPr>
          <w:rFonts w:ascii="Arial" w:cs="Arial" w:eastAsia="Arial" w:hAnsi="Arial"/>
          <w:sz w:val="16"/>
          <w:szCs w:val="16"/>
          <w:color w:val="auto"/>
        </w:rPr>
        <w:t xml:space="preserve">such ground, if curable, for thirty (30) days. </w:t>
      </w:r>
      <w:r>
        <w:rPr>
          <w:rFonts w:ascii="Arial" w:cs="Arial" w:eastAsia="Arial" w:hAnsi="Arial"/>
          <w:sz w:val="15"/>
          <w:szCs w:val="15"/>
          <w:color w:val="auto"/>
        </w:rPr>
        <w:t>For purposes of this Agreement, no act or failure to act on your part will be considered “willful” unless it is done, or</w:t>
      </w:r>
      <w:r>
        <w:rPr>
          <w:rFonts w:ascii="Arial" w:cs="Arial" w:eastAsia="Arial" w:hAnsi="Arial"/>
          <w:sz w:val="16"/>
          <w:szCs w:val="16"/>
          <w:color w:val="auto"/>
        </w:rPr>
        <w:t xml:space="preserve"> </w:t>
      </w:r>
      <w:r>
        <w:rPr>
          <w:rFonts w:ascii="Arial" w:cs="Arial" w:eastAsia="Arial" w:hAnsi="Arial"/>
          <w:sz w:val="15"/>
          <w:szCs w:val="15"/>
          <w:color w:val="auto"/>
        </w:rPr>
        <w:t>omitted to be done, by you intentionally, not in good faith and without reasonable belief that the action or omission was in the best interest of the Company.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62" w:lineRule="exact"/>
        <w:rPr>
          <w:sz w:val="20"/>
          <w:szCs w:val="20"/>
          <w:color w:val="auto"/>
        </w:rPr>
      </w:pPr>
    </w:p>
    <w:p>
      <w:pPr>
        <w:jc w:val="both"/>
        <w:ind w:left="880" w:hanging="2"/>
        <w:spacing w:after="0" w:line="254" w:lineRule="auto"/>
        <w:tabs>
          <w:tab w:leader="none" w:pos="1132" w:val="left"/>
        </w:tabs>
        <w:numPr>
          <w:ilvl w:val="0"/>
          <w:numId w:val="57"/>
        </w:numPr>
        <w:rPr>
          <w:rFonts w:ascii="Arial" w:cs="Arial" w:eastAsia="Arial" w:hAnsi="Arial"/>
          <w:sz w:val="17"/>
          <w:szCs w:val="17"/>
          <w:color w:val="auto"/>
        </w:rPr>
      </w:pPr>
      <w:r>
        <w:rPr>
          <w:rFonts w:ascii="Arial" w:cs="Arial" w:eastAsia="Arial" w:hAnsi="Arial"/>
          <w:sz w:val="17"/>
          <w:szCs w:val="17"/>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66" w:lineRule="exact"/>
        <w:rPr>
          <w:rFonts w:ascii="Arial" w:cs="Arial" w:eastAsia="Arial" w:hAnsi="Arial"/>
          <w:sz w:val="17"/>
          <w:szCs w:val="17"/>
          <w:color w:val="auto"/>
        </w:rPr>
      </w:pPr>
    </w:p>
    <w:p>
      <w:pPr>
        <w:jc w:val="both"/>
        <w:ind w:left="880" w:hanging="2"/>
        <w:spacing w:after="0" w:line="259" w:lineRule="auto"/>
        <w:tabs>
          <w:tab w:leader="none" w:pos="11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741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8" w:name="page99"/>
    <w:bookmarkEnd w:id="98"/>
    <w:p>
      <w:pPr>
        <w:ind w:left="1120" w:hanging="242"/>
        <w:spacing w:after="0"/>
        <w:tabs>
          <w:tab w:leader="none" w:pos="11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 Section 409A), then:</w:t>
      </w:r>
    </w:p>
    <w:p>
      <w:pPr>
        <w:spacing w:after="0" w:line="213" w:lineRule="exact"/>
        <w:rPr>
          <w:rFonts w:ascii="Arial" w:cs="Arial" w:eastAsia="Arial" w:hAnsi="Arial"/>
          <w:sz w:val="16"/>
          <w:szCs w:val="16"/>
          <w:color w:val="auto"/>
        </w:rPr>
      </w:pPr>
    </w:p>
    <w:p>
      <w:pPr>
        <w:jc w:val="both"/>
        <w:ind w:left="1760" w:hanging="3"/>
        <w:spacing w:after="0" w:line="254" w:lineRule="auto"/>
        <w:tabs>
          <w:tab w:leader="none" w:pos="1968" w:val="left"/>
        </w:tabs>
        <w:numPr>
          <w:ilvl w:val="1"/>
          <w:numId w:val="58"/>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66" w:lineRule="exact"/>
        <w:rPr>
          <w:rFonts w:ascii="Arial" w:cs="Arial" w:eastAsia="Arial" w:hAnsi="Arial"/>
          <w:sz w:val="17"/>
          <w:szCs w:val="17"/>
          <w:color w:val="auto"/>
        </w:rPr>
      </w:pPr>
    </w:p>
    <w:p>
      <w:pPr>
        <w:jc w:val="both"/>
        <w:ind w:left="1760" w:hanging="3"/>
        <w:spacing w:after="0" w:line="264" w:lineRule="auto"/>
        <w:tabs>
          <w:tab w:leader="none" w:pos="201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59" w:lineRule="exact"/>
        <w:rPr>
          <w:rFonts w:ascii="Arial" w:cs="Arial" w:eastAsia="Arial" w:hAnsi="Arial"/>
          <w:sz w:val="16"/>
          <w:szCs w:val="16"/>
          <w:color w:val="auto"/>
        </w:rPr>
      </w:pPr>
    </w:p>
    <w:p>
      <w:pPr>
        <w:jc w:val="both"/>
        <w:ind w:left="880" w:hanging="2"/>
        <w:spacing w:after="0" w:line="283" w:lineRule="auto"/>
        <w:tabs>
          <w:tab w:leader="none" w:pos="113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44" w:lineRule="exact"/>
        <w:rPr>
          <w:rFonts w:ascii="Arial" w:cs="Arial" w:eastAsia="Arial" w:hAnsi="Arial"/>
          <w:sz w:val="16"/>
          <w:szCs w:val="16"/>
          <w:color w:val="auto"/>
        </w:rPr>
      </w:pPr>
    </w:p>
    <w:p>
      <w:pPr>
        <w:jc w:val="both"/>
        <w:ind w:left="880" w:hanging="2"/>
        <w:spacing w:after="0" w:line="268" w:lineRule="auto"/>
        <w:tabs>
          <w:tab w:leader="none" w:pos="112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8" w:lineRule="exact"/>
        <w:rPr>
          <w:rFonts w:ascii="Arial" w:cs="Arial" w:eastAsia="Arial" w:hAnsi="Arial"/>
          <w:sz w:val="16"/>
          <w:szCs w:val="16"/>
          <w:color w:val="auto"/>
        </w:rPr>
      </w:pPr>
    </w:p>
    <w:p>
      <w:pPr>
        <w:jc w:val="both"/>
        <w:ind w:left="880" w:hanging="2"/>
        <w:spacing w:after="0" w:line="254" w:lineRule="auto"/>
        <w:tabs>
          <w:tab w:leader="none" w:pos="11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1"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9" w:name="page100"/>
    <w:bookmarkEnd w:id="99"/>
    <w:p>
      <w:pPr>
        <w:jc w:val="both"/>
        <w:ind w:left="880"/>
        <w:spacing w:after="0" w:line="254" w:lineRule="auto"/>
        <w:rPr>
          <w:sz w:val="20"/>
          <w:szCs w:val="20"/>
          <w:color w:val="auto"/>
        </w:rPr>
      </w:pPr>
      <w:r>
        <w:rPr>
          <w:rFonts w:ascii="Arial" w:cs="Arial" w:eastAsia="Arial" w:hAnsi="Arial"/>
          <w:sz w:val="17"/>
          <w:szCs w:val="17"/>
          <w:color w:val="auto"/>
        </w:rPr>
        <w:t>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California law, without regard to the conflict of law rules thereof.</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w:t>
      </w:r>
      <w:r>
        <w:rPr>
          <w:rFonts w:ascii="Arial" w:cs="Arial" w:eastAsia="Arial" w:hAnsi="Arial"/>
          <w:sz w:val="18"/>
          <w:szCs w:val="18"/>
          <w:color w:val="auto"/>
        </w:rPr>
        <w:t>The prevailing party in any dispute concerning the interpretation or enforcement of this Agreement will be entitled to an award of his or its</w:t>
      </w:r>
      <w:r>
        <w:rPr>
          <w:rFonts w:ascii="Arial" w:cs="Arial" w:eastAsia="Arial" w:hAnsi="Arial"/>
          <w:sz w:val="17"/>
          <w:szCs w:val="17"/>
          <w:color w:val="auto"/>
        </w:rPr>
        <w:t xml:space="preserve"> </w:t>
      </w:r>
      <w:r>
        <w:rPr>
          <w:rFonts w:ascii="Arial" w:cs="Arial" w:eastAsia="Arial" w:hAnsi="Arial"/>
          <w:sz w:val="18"/>
          <w:szCs w:val="18"/>
          <w:color w:val="auto"/>
        </w:rPr>
        <w:t>costs and reasonable attorneys' fees, in addition to any other eligible relief.</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Agreement (a) represents our entire understanding regarding the subject matter hereof, and supersedes and replaces all prior and contemporaneous understandings regarding such subject matter, whether oral or written, including, without limitation, the Prior Agreement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agrees to and accepts the terms and conditions set forth above.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W. Michael Kavanaugh___________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3"/>
          </w:tcPr>
          <w:p>
            <w:pPr>
              <w:ind w:left="1640"/>
              <w:spacing w:after="0"/>
              <w:rPr>
                <w:sz w:val="20"/>
                <w:szCs w:val="20"/>
                <w:color w:val="auto"/>
              </w:rPr>
            </w:pPr>
            <w:r>
              <w:rPr>
                <w:rFonts w:ascii="Arial" w:cs="Arial" w:eastAsia="Arial" w:hAnsi="Arial"/>
                <w:sz w:val="17"/>
                <w:szCs w:val="17"/>
                <w:color w:val="auto"/>
              </w:rPr>
              <w:t>W. Michael Kavanaugh, M.D.</w:t>
            </w:r>
          </w:p>
        </w:tc>
      </w:tr>
      <w:tr>
        <w:trPr>
          <w:trHeight w:val="756"/>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Sean McCarthy__________________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3"/>
          </w:tcPr>
          <w:p>
            <w:pPr>
              <w:ind w:left="2520"/>
              <w:spacing w:after="0"/>
              <w:rPr>
                <w:sz w:val="20"/>
                <w:szCs w:val="20"/>
                <w:color w:val="auto"/>
              </w:rPr>
            </w:pPr>
            <w:r>
              <w:rPr>
                <w:rFonts w:ascii="Arial" w:cs="Arial" w:eastAsia="Arial" w:hAnsi="Arial"/>
                <w:sz w:val="17"/>
                <w:szCs w:val="17"/>
                <w:color w:val="auto"/>
                <w:w w:val="94"/>
              </w:rPr>
              <w:t>Sean McCarthy, Chief Executive Officer</w:t>
            </w:r>
          </w:p>
        </w:tc>
      </w:tr>
    </w:tbl>
    <w:p>
      <w:pPr>
        <w:sectPr>
          <w:pgSz w:w="11900" w:h="16838" w:orient="portrait"/>
          <w:cols w:equalWidth="0" w:num="1">
            <w:col w:w="11420"/>
          </w:cols>
          <w:pgMar w:left="240" w:top="12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3"/>
          <w:szCs w:val="23"/>
          <w:b w:val="1"/>
          <w:bCs w:val="1"/>
          <w:color w:val="auto"/>
        </w:rPr>
        <w:t>Exhibit 10.5</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color w:val="auto"/>
        </w:rPr>
        <w:t>Amended and Restated Severance and Change of Control Agreement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Amended and Restated Severance and Change of Control Agreement (the “Agreement”) is made and entered into, effective as of March 25, 2019 (the “Effective Date”), by and between CytomX Therapeutics, Inc. a Delaware corporation (the “Company”), and Debanjan Ray (“Employee”) and amends and restates in its entirety that certain Severance and Change of Control Agreement dated as of May 15, 2017 by and between the Company and Employee, as amended (the “Prior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Upon acceptance of this Agreement, the following terms and conditions shall apply to your employment:</w:t>
      </w:r>
    </w:p>
    <w:p>
      <w:pPr>
        <w:spacing w:after="0" w:line="196" w:lineRule="exact"/>
        <w:rPr>
          <w:sz w:val="20"/>
          <w:szCs w:val="20"/>
          <w:color w:val="auto"/>
        </w:rPr>
      </w:pPr>
    </w:p>
    <w:p>
      <w:pPr>
        <w:jc w:val="both"/>
        <w:ind w:left="860" w:hanging="419"/>
        <w:spacing w:after="0" w:line="262" w:lineRule="auto"/>
        <w:tabs>
          <w:tab w:leader="none" w:pos="8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b w:val="1"/>
          <w:bCs w:val="1"/>
          <w:color w:val="auto"/>
        </w:rPr>
        <w:t>Term of Employment and Severance Benefits</w:t>
      </w:r>
      <w:r>
        <w:rPr>
          <w:rFonts w:ascii="Arial" w:cs="Arial" w:eastAsia="Arial" w:hAnsi="Arial"/>
          <w:sz w:val="16"/>
          <w:szCs w:val="16"/>
          <w:color w:val="auto"/>
        </w:rPr>
        <w:t>. It is important for you to understand that California is an "at will" employment state. This means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63" w:lineRule="exact"/>
        <w:rPr>
          <w:sz w:val="20"/>
          <w:szCs w:val="20"/>
          <w:color w:val="auto"/>
        </w:rPr>
      </w:pPr>
    </w:p>
    <w:p>
      <w:pPr>
        <w:jc w:val="both"/>
        <w:ind w:left="860" w:hanging="419"/>
        <w:spacing w:after="0" w:line="256" w:lineRule="auto"/>
        <w:tabs>
          <w:tab w:leader="none" w:pos="8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0"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both"/>
        <w:ind w:left="860"/>
        <w:spacing w:after="0" w:line="263" w:lineRule="auto"/>
        <w:rPr>
          <w:sz w:val="20"/>
          <w:szCs w:val="20"/>
          <w:color w:val="auto"/>
        </w:rPr>
      </w:pPr>
      <w:r>
        <w:rPr>
          <w:rFonts w:ascii="Arial" w:cs="Arial" w:eastAsia="Arial" w:hAnsi="Arial"/>
          <w:sz w:val="16"/>
          <w:szCs w:val="16"/>
          <w:color w:val="auto"/>
        </w:rPr>
        <w:t>effect to any reduction thereof which may constitute Good Reason), which will be payable within the period of time set forth in Section 3 below following your termination of employment, (ii) pay a lump sum amount equal to twelve (12)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56" w:lineRule="exact"/>
        <w:rPr>
          <w:sz w:val="20"/>
          <w:szCs w:val="20"/>
          <w:color w:val="auto"/>
        </w:rPr>
      </w:pPr>
    </w:p>
    <w:p>
      <w:pPr>
        <w:jc w:val="both"/>
        <w:ind w:left="860" w:hanging="426"/>
        <w:spacing w:after="0" w:line="260"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obligations to make such payments and provide such benefits shall be contingent upon your execution of a release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Company (the "Release") which Release must be signed and any applicable revocation period with respect thereto must have expired by the 30th day following your termination of employment (unless your termination </w:t>
      </w:r>
      <w:r>
        <w:rPr>
          <w:rFonts w:ascii="Arial" w:cs="Arial" w:eastAsia="Arial" w:hAnsi="Arial"/>
          <w:sz w:val="17"/>
          <w:szCs w:val="17"/>
          <w:color w:val="auto"/>
        </w:rPr>
        <w:t>is “in connection with an exit incentive or other</w:t>
      </w:r>
      <w:r>
        <w:rPr>
          <w:rFonts w:ascii="Arial" w:cs="Arial" w:eastAsia="Arial" w:hAnsi="Arial"/>
          <w:sz w:val="16"/>
          <w:szCs w:val="16"/>
          <w:color w:val="auto"/>
        </w:rPr>
        <w:t xml:space="preserve"> </w:t>
      </w:r>
      <w:r>
        <w:rPr>
          <w:rFonts w:ascii="Arial" w:cs="Arial" w:eastAsia="Arial" w:hAnsi="Arial"/>
          <w:sz w:val="17"/>
          <w:szCs w:val="17"/>
          <w:color w:val="auto"/>
        </w:rPr>
        <w:t>employment termination program” (as such phrase is defined in the Age Discrimination in Employment Act of 1967), in which case the date shall be by the 52nd day following your termination of employment)</w:t>
      </w:r>
      <w:r>
        <w:rPr>
          <w:rFonts w:ascii="Arial" w:cs="Arial" w:eastAsia="Arial" w:hAnsi="Arial"/>
          <w:sz w:val="16"/>
          <w:szCs w:val="16"/>
          <w:color w:val="auto"/>
        </w:rPr>
        <w:t>. The Release will not waive any of your rights, or obligations of the Company,</w:t>
      </w:r>
      <w:r>
        <w:rPr>
          <w:rFonts w:ascii="Arial" w:cs="Arial" w:eastAsia="Arial" w:hAnsi="Arial"/>
          <w:sz w:val="17"/>
          <w:szCs w:val="17"/>
          <w:color w:val="auto"/>
        </w:rPr>
        <w:t xml:space="preserve"> </w:t>
      </w:r>
      <w:r>
        <w:rPr>
          <w:rFonts w:ascii="Arial" w:cs="Arial" w:eastAsia="Arial" w:hAnsi="Arial"/>
          <w:sz w:val="16"/>
          <w:szCs w:val="16"/>
          <w:color w:val="auto"/>
        </w:rPr>
        <w:t xml:space="preserve">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w:t>
      </w:r>
      <w:r>
        <w:rPr>
          <w:rFonts w:ascii="Arial" w:cs="Arial" w:eastAsia="Arial" w:hAnsi="Arial"/>
          <w:sz w:val="17"/>
          <w:szCs w:val="17"/>
          <w:color w:val="auto"/>
        </w:rPr>
        <w:t xml:space="preserve">Nothing in the Release or any other agreement between you and the Company will prohibit or prevent you from </w:t>
      </w:r>
      <w:r>
        <w:rPr>
          <w:rFonts w:ascii="Arial" w:cs="Arial" w:eastAsia="Arial" w:hAnsi="Arial"/>
          <w:sz w:val="16"/>
          <w:szCs w:val="16"/>
          <w:color w:val="auto"/>
        </w:rPr>
        <w:t>providing truthful testimony or</w:t>
      </w:r>
      <w:r>
        <w:rPr>
          <w:rFonts w:ascii="Arial" w:cs="Arial" w:eastAsia="Arial" w:hAnsi="Arial"/>
          <w:sz w:val="17"/>
          <w:szCs w:val="17"/>
          <w:color w:val="auto"/>
        </w:rPr>
        <w:t xml:space="preserve"> </w:t>
      </w:r>
      <w:r>
        <w:rPr>
          <w:rFonts w:ascii="Arial" w:cs="Arial" w:eastAsia="Arial" w:hAnsi="Arial"/>
          <w:sz w:val="16"/>
          <w:szCs w:val="16"/>
          <w:color w:val="auto"/>
        </w:rPr>
        <w:t>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2574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73"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2" w:name="page103"/>
    <w:bookmarkEnd w:id="102"/>
    <w:p>
      <w:pPr>
        <w:ind w:left="860" w:hanging="426"/>
        <w:spacing w:after="0"/>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Section 280G of the Code</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1420" w:hanging="551"/>
        <w:spacing w:after="0" w:line="268" w:lineRule="auto"/>
        <w:tabs>
          <w:tab w:leader="none" w:pos="14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58" w:lineRule="exact"/>
        <w:rPr>
          <w:rFonts w:ascii="Arial" w:cs="Arial" w:eastAsia="Arial" w:hAnsi="Arial"/>
          <w:sz w:val="16"/>
          <w:szCs w:val="16"/>
          <w:color w:val="auto"/>
        </w:rPr>
      </w:pPr>
    </w:p>
    <w:p>
      <w:pPr>
        <w:jc w:val="both"/>
        <w:ind w:left="1420" w:hanging="551"/>
        <w:spacing w:after="0" w:line="275" w:lineRule="auto"/>
        <w:tabs>
          <w:tab w:leader="none" w:pos="14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50" w:lineRule="exact"/>
        <w:rPr>
          <w:rFonts w:ascii="Arial" w:cs="Arial" w:eastAsia="Arial" w:hAnsi="Arial"/>
          <w:sz w:val="16"/>
          <w:szCs w:val="16"/>
          <w:color w:val="auto"/>
        </w:rPr>
      </w:pPr>
    </w:p>
    <w:p>
      <w:pPr>
        <w:jc w:val="both"/>
        <w:ind w:left="1420" w:hanging="551"/>
        <w:spacing w:after="0" w:line="254" w:lineRule="auto"/>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66" w:lineRule="exact"/>
        <w:rPr>
          <w:rFonts w:ascii="Arial" w:cs="Arial" w:eastAsia="Arial" w:hAnsi="Arial"/>
          <w:sz w:val="17"/>
          <w:szCs w:val="17"/>
          <w:color w:val="auto"/>
        </w:rPr>
      </w:pPr>
    </w:p>
    <w:p>
      <w:pPr>
        <w:jc w:val="both"/>
        <w:ind w:left="1420" w:hanging="551"/>
        <w:spacing w:after="0" w:line="251" w:lineRule="auto"/>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74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4"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3" w:name="page104"/>
    <w:bookmarkEnd w:id="103"/>
    <w:p>
      <w:pPr>
        <w:jc w:val="both"/>
        <w:spacing w:after="0" w:line="280" w:lineRule="auto"/>
        <w:rPr>
          <w:sz w:val="20"/>
          <w:szCs w:val="20"/>
          <w:color w:val="auto"/>
        </w:rPr>
      </w:pPr>
      <w:r>
        <w:rPr>
          <w:rFonts w:ascii="Arial" w:cs="Arial" w:eastAsia="Arial" w:hAnsi="Arial"/>
          <w:sz w:val="15"/>
          <w:szCs w:val="15"/>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w:t>
      </w:r>
      <w:r>
        <w:rPr>
          <w:rFonts w:ascii="Arial" w:cs="Arial" w:eastAsia="Arial" w:hAnsi="Arial"/>
          <w:sz w:val="16"/>
          <w:szCs w:val="16"/>
          <w:color w:val="auto"/>
        </w:rPr>
        <w:t>provides you with written notice of any claimed ground for Cause and an opportunity to cure</w:t>
      </w:r>
      <w:r>
        <w:rPr>
          <w:rFonts w:ascii="Arial" w:cs="Arial" w:eastAsia="Arial" w:hAnsi="Arial"/>
          <w:sz w:val="15"/>
          <w:szCs w:val="15"/>
          <w:color w:val="auto"/>
        </w:rPr>
        <w:t xml:space="preserve"> </w:t>
      </w:r>
      <w:r>
        <w:rPr>
          <w:rFonts w:ascii="Arial" w:cs="Arial" w:eastAsia="Arial" w:hAnsi="Arial"/>
          <w:sz w:val="16"/>
          <w:szCs w:val="16"/>
          <w:color w:val="auto"/>
        </w:rPr>
        <w:t xml:space="preserve">such ground, if curable, for thirty (30) days. </w:t>
      </w:r>
      <w:r>
        <w:rPr>
          <w:rFonts w:ascii="Arial" w:cs="Arial" w:eastAsia="Arial" w:hAnsi="Arial"/>
          <w:sz w:val="15"/>
          <w:szCs w:val="15"/>
          <w:color w:val="auto"/>
        </w:rPr>
        <w:t>For purposes of this Agreement, no act or failure to act on your part will be considered “willful” unless it is done, or</w:t>
      </w:r>
      <w:r>
        <w:rPr>
          <w:rFonts w:ascii="Arial" w:cs="Arial" w:eastAsia="Arial" w:hAnsi="Arial"/>
          <w:sz w:val="16"/>
          <w:szCs w:val="16"/>
          <w:color w:val="auto"/>
        </w:rPr>
        <w:t xml:space="preserve"> </w:t>
      </w:r>
      <w:r>
        <w:rPr>
          <w:rFonts w:ascii="Arial" w:cs="Arial" w:eastAsia="Arial" w:hAnsi="Arial"/>
          <w:sz w:val="15"/>
          <w:szCs w:val="15"/>
          <w:color w:val="auto"/>
        </w:rPr>
        <w:t>omitted to be done, by you intentionally, not in good faith and without reasonable belief that the action or omission was in the best interest of the Company.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62" w:lineRule="exact"/>
        <w:rPr>
          <w:sz w:val="20"/>
          <w:szCs w:val="20"/>
          <w:color w:val="auto"/>
        </w:rPr>
      </w:pPr>
    </w:p>
    <w:p>
      <w:pPr>
        <w:jc w:val="both"/>
        <w:ind w:left="880" w:hanging="2"/>
        <w:spacing w:after="0" w:line="254" w:lineRule="auto"/>
        <w:tabs>
          <w:tab w:leader="none" w:pos="11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66" w:lineRule="exact"/>
        <w:rPr>
          <w:rFonts w:ascii="Arial" w:cs="Arial" w:eastAsia="Arial" w:hAnsi="Arial"/>
          <w:sz w:val="17"/>
          <w:szCs w:val="17"/>
          <w:color w:val="auto"/>
        </w:rPr>
      </w:pPr>
    </w:p>
    <w:p>
      <w:pPr>
        <w:jc w:val="both"/>
        <w:ind w:left="880" w:hanging="2"/>
        <w:spacing w:after="0" w:line="259" w:lineRule="auto"/>
        <w:tabs>
          <w:tab w:leader="none" w:pos="11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741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7"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04" w:name="page105"/>
    <w:bookmarkEnd w:id="104"/>
    <w:p>
      <w:pPr>
        <w:ind w:left="1120" w:hanging="242"/>
        <w:spacing w:after="0"/>
        <w:tabs>
          <w:tab w:leader="none" w:pos="11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 Section 409A), then:</w:t>
      </w:r>
    </w:p>
    <w:p>
      <w:pPr>
        <w:spacing w:after="0" w:line="213" w:lineRule="exact"/>
        <w:rPr>
          <w:rFonts w:ascii="Arial" w:cs="Arial" w:eastAsia="Arial" w:hAnsi="Arial"/>
          <w:sz w:val="16"/>
          <w:szCs w:val="16"/>
          <w:color w:val="auto"/>
        </w:rPr>
      </w:pPr>
    </w:p>
    <w:p>
      <w:pPr>
        <w:jc w:val="both"/>
        <w:ind w:left="1760" w:hanging="3"/>
        <w:spacing w:after="0" w:line="254" w:lineRule="auto"/>
        <w:tabs>
          <w:tab w:leader="none" w:pos="1968" w:val="left"/>
        </w:tabs>
        <w:numPr>
          <w:ilvl w:val="1"/>
          <w:numId w:val="62"/>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66" w:lineRule="exact"/>
        <w:rPr>
          <w:rFonts w:ascii="Arial" w:cs="Arial" w:eastAsia="Arial" w:hAnsi="Arial"/>
          <w:sz w:val="17"/>
          <w:szCs w:val="17"/>
          <w:color w:val="auto"/>
        </w:rPr>
      </w:pPr>
    </w:p>
    <w:p>
      <w:pPr>
        <w:jc w:val="both"/>
        <w:ind w:left="1760" w:hanging="3"/>
        <w:spacing w:after="0" w:line="264" w:lineRule="auto"/>
        <w:tabs>
          <w:tab w:leader="none" w:pos="2018"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59" w:lineRule="exact"/>
        <w:rPr>
          <w:rFonts w:ascii="Arial" w:cs="Arial" w:eastAsia="Arial" w:hAnsi="Arial"/>
          <w:sz w:val="16"/>
          <w:szCs w:val="16"/>
          <w:color w:val="auto"/>
        </w:rPr>
      </w:pPr>
    </w:p>
    <w:p>
      <w:pPr>
        <w:jc w:val="both"/>
        <w:ind w:left="880" w:hanging="2"/>
        <w:spacing w:after="0" w:line="283" w:lineRule="auto"/>
        <w:tabs>
          <w:tab w:leader="none" w:pos="113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44" w:lineRule="exact"/>
        <w:rPr>
          <w:rFonts w:ascii="Arial" w:cs="Arial" w:eastAsia="Arial" w:hAnsi="Arial"/>
          <w:sz w:val="16"/>
          <w:szCs w:val="16"/>
          <w:color w:val="auto"/>
        </w:rPr>
      </w:pPr>
    </w:p>
    <w:p>
      <w:pPr>
        <w:jc w:val="both"/>
        <w:ind w:left="880" w:hanging="2"/>
        <w:spacing w:after="0" w:line="268" w:lineRule="auto"/>
        <w:tabs>
          <w:tab w:leader="none" w:pos="11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8" w:lineRule="exact"/>
        <w:rPr>
          <w:rFonts w:ascii="Arial" w:cs="Arial" w:eastAsia="Arial" w:hAnsi="Arial"/>
          <w:sz w:val="16"/>
          <w:szCs w:val="16"/>
          <w:color w:val="auto"/>
        </w:rPr>
      </w:pPr>
    </w:p>
    <w:p>
      <w:pPr>
        <w:jc w:val="both"/>
        <w:ind w:left="880" w:hanging="2"/>
        <w:spacing w:after="0" w:line="254" w:lineRule="auto"/>
        <w:tabs>
          <w:tab w:leader="none" w:pos="11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74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71" w:lineRule="exact"/>
        <w:rPr>
          <w:sz w:val="20"/>
          <w:szCs w:val="20"/>
          <w:color w:val="auto"/>
        </w:rPr>
      </w:pPr>
    </w:p>
    <w:p>
      <w:pPr>
        <w:ind w:left="1082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 a g 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US-DOCS\105988660.1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729869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105" w:name="page106"/>
    <w:bookmarkEnd w:id="105"/>
    <w:p>
      <w:pPr>
        <w:jc w:val="both"/>
        <w:ind w:left="880"/>
        <w:spacing w:after="0" w:line="254" w:lineRule="auto"/>
        <w:rPr>
          <w:sz w:val="20"/>
          <w:szCs w:val="20"/>
          <w:color w:val="auto"/>
        </w:rPr>
      </w:pPr>
      <w:r>
        <w:rPr>
          <w:rFonts w:ascii="Arial" w:cs="Arial" w:eastAsia="Arial" w:hAnsi="Arial"/>
          <w:sz w:val="17"/>
          <w:szCs w:val="17"/>
          <w:color w:val="auto"/>
        </w:rPr>
        <w:t>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California law, without regard to the conflict of law rules thereof.</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w:t>
      </w:r>
      <w:r>
        <w:rPr>
          <w:rFonts w:ascii="Arial" w:cs="Arial" w:eastAsia="Arial" w:hAnsi="Arial"/>
          <w:sz w:val="18"/>
          <w:szCs w:val="18"/>
          <w:color w:val="auto"/>
        </w:rPr>
        <w:t>The prevailing party in any dispute concerning the interpretation or enforcement of this Agreement will be entitled to an award of his or its</w:t>
      </w:r>
      <w:r>
        <w:rPr>
          <w:rFonts w:ascii="Arial" w:cs="Arial" w:eastAsia="Arial" w:hAnsi="Arial"/>
          <w:sz w:val="17"/>
          <w:szCs w:val="17"/>
          <w:color w:val="auto"/>
        </w:rPr>
        <w:t xml:space="preserve"> </w:t>
      </w:r>
      <w:r>
        <w:rPr>
          <w:rFonts w:ascii="Arial" w:cs="Arial" w:eastAsia="Arial" w:hAnsi="Arial"/>
          <w:sz w:val="18"/>
          <w:szCs w:val="18"/>
          <w:color w:val="auto"/>
        </w:rPr>
        <w:t>costs and reasonable attorneys' fees, in addition to any other eligible relief.</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Agreement (a) represents our entire understanding regarding the subject matter hereof, and supersedes and replaces all prior and contemporaneous understandings regarding such subject matter, whether oral or written, including, without limitation, the Prior Agreement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agrees to and accepts the terms and conditions set forth above.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Debanjan Ray___________________</w:t>
            </w:r>
          </w:p>
        </w:tc>
      </w:tr>
      <w:tr>
        <w:trPr>
          <w:trHeight w:val="218"/>
        </w:trPr>
        <w:tc>
          <w:tcPr>
            <w:tcW w:w="11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Borders>
              <w:top w:val="single" w:sz="8" w:color="auto"/>
            </w:tcBorders>
          </w:tcPr>
          <w:p>
            <w:pPr>
              <w:ind w:left="1640"/>
              <w:spacing w:after="0"/>
              <w:rPr>
                <w:sz w:val="20"/>
                <w:szCs w:val="20"/>
                <w:color w:val="auto"/>
              </w:rPr>
            </w:pPr>
            <w:r>
              <w:rPr>
                <w:rFonts w:ascii="Arial" w:cs="Arial" w:eastAsia="Arial" w:hAnsi="Arial"/>
                <w:sz w:val="17"/>
                <w:szCs w:val="17"/>
                <w:color w:val="auto"/>
              </w:rPr>
              <w:t>Debanjan Ray</w:t>
            </w:r>
          </w:p>
        </w:tc>
        <w:tc>
          <w:tcPr>
            <w:tcW w:w="2520" w:type="dxa"/>
            <w:vAlign w:val="bottom"/>
            <w:gridSpan w:val="2"/>
          </w:tcPr>
          <w:p>
            <w:pPr>
              <w:spacing w:after="0"/>
              <w:rPr>
                <w:sz w:val="18"/>
                <w:szCs w:val="18"/>
                <w:color w:val="auto"/>
              </w:rPr>
            </w:pPr>
          </w:p>
        </w:tc>
      </w:tr>
      <w:tr>
        <w:trPr>
          <w:trHeight w:val="756"/>
        </w:trPr>
        <w:tc>
          <w:tcPr>
            <w:tcW w:w="3320" w:type="dxa"/>
            <w:vAlign w:val="bottom"/>
            <w:gridSpan w:val="2"/>
          </w:tcPr>
          <w:p>
            <w:pPr>
              <w:spacing w:after="0"/>
              <w:rPr>
                <w:sz w:val="20"/>
                <w:szCs w:val="20"/>
                <w:color w:val="auto"/>
              </w:rPr>
            </w:pPr>
            <w:r>
              <w:rPr>
                <w:rFonts w:ascii="Arial" w:cs="Arial" w:eastAsia="Arial" w:hAnsi="Arial"/>
                <w:sz w:val="17"/>
                <w:szCs w:val="17"/>
                <w:color w:val="auto"/>
              </w:rPr>
              <w:t>March 25, 2019______________________</w:t>
            </w:r>
          </w:p>
        </w:tc>
        <w:tc>
          <w:tcPr>
            <w:tcW w:w="5660" w:type="dxa"/>
            <w:vAlign w:val="bottom"/>
            <w:gridSpan w:val="4"/>
          </w:tcPr>
          <w:p>
            <w:pPr>
              <w:ind w:left="300"/>
              <w:spacing w:after="0"/>
              <w:rPr>
                <w:sz w:val="20"/>
                <w:szCs w:val="20"/>
                <w:color w:val="auto"/>
              </w:rPr>
            </w:pPr>
            <w:r>
              <w:rPr>
                <w:rFonts w:ascii="Arial" w:cs="Arial" w:eastAsia="Arial" w:hAnsi="Arial"/>
                <w:sz w:val="17"/>
                <w:szCs w:val="17"/>
                <w:color w:val="auto"/>
              </w:rPr>
              <w:t>/s/ Sean McCarthy__________________</w:t>
            </w:r>
          </w:p>
        </w:tc>
      </w:tr>
      <w:tr>
        <w:trPr>
          <w:trHeight w:val="20"/>
        </w:trPr>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3"/>
          </w:tcPr>
          <w:p>
            <w:pPr>
              <w:ind w:left="2520"/>
              <w:spacing w:after="0"/>
              <w:rPr>
                <w:sz w:val="20"/>
                <w:szCs w:val="20"/>
                <w:color w:val="auto"/>
              </w:rPr>
            </w:pPr>
            <w:r>
              <w:rPr>
                <w:rFonts w:ascii="Arial" w:cs="Arial" w:eastAsia="Arial" w:hAnsi="Arial"/>
                <w:sz w:val="17"/>
                <w:szCs w:val="17"/>
                <w:color w:val="auto"/>
                <w:w w:val="94"/>
              </w:rPr>
              <w:t>Sean McCarthy, Chief Executive Officer</w:t>
            </w:r>
          </w:p>
        </w:tc>
      </w:tr>
    </w:tbl>
    <w:p>
      <w:pPr>
        <w:sectPr>
          <w:pgSz w:w="11900" w:h="16838" w:orient="portrait"/>
          <w:cols w:equalWidth="0" w:num="1">
            <w:col w:w="11420"/>
          </w:cols>
          <w:pgMar w:left="240" w:top="12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10.6</w:t>
      </w:r>
    </w:p>
    <w:p>
      <w:pPr>
        <w:spacing w:after="0" w:line="217" w:lineRule="exact"/>
        <w:rPr>
          <w:sz w:val="20"/>
          <w:szCs w:val="20"/>
          <w:color w:val="auto"/>
        </w:rPr>
      </w:pPr>
    </w:p>
    <w:p>
      <w:pPr>
        <w:ind w:left="1" w:right="420" w:hanging="1"/>
        <w:spacing w:after="0" w:line="278" w:lineRule="auto"/>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58" w:lineRule="exact"/>
        <w:rPr>
          <w:sz w:val="20"/>
          <w:szCs w:val="20"/>
          <w:color w:val="auto"/>
        </w:rPr>
      </w:pPr>
    </w:p>
    <w:p>
      <w:pPr>
        <w:ind w:left="10081"/>
        <w:spacing w:after="0"/>
        <w:rPr>
          <w:sz w:val="20"/>
          <w:szCs w:val="20"/>
          <w:color w:val="auto"/>
        </w:rPr>
      </w:pPr>
      <w:r>
        <w:rPr>
          <w:rFonts w:ascii="Arial" w:cs="Arial" w:eastAsia="Arial" w:hAnsi="Arial"/>
          <w:sz w:val="16"/>
          <w:szCs w:val="16"/>
          <w:color w:val="auto"/>
        </w:rPr>
        <w:t>Execution Version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EXCLUSIVE LICENSE AGREEMENT</w:t>
      </w:r>
    </w:p>
    <w:p>
      <w:pPr>
        <w:spacing w:after="0" w:line="187" w:lineRule="exact"/>
        <w:rPr>
          <w:sz w:val="20"/>
          <w:szCs w:val="20"/>
          <w:color w:val="auto"/>
        </w:rPr>
      </w:pPr>
    </w:p>
    <w:p>
      <w:pPr>
        <w:jc w:val="both"/>
        <w:ind w:left="1" w:firstLine="879"/>
        <w:spacing w:after="0" w:line="254" w:lineRule="auto"/>
        <w:rPr>
          <w:sz w:val="20"/>
          <w:szCs w:val="20"/>
          <w:color w:val="auto"/>
        </w:rPr>
      </w:pPr>
      <w:r>
        <w:rPr>
          <w:rFonts w:ascii="Arial" w:cs="Arial" w:eastAsia="Arial" w:hAnsi="Arial"/>
          <w:sz w:val="18"/>
          <w:szCs w:val="18"/>
          <w:color w:val="auto"/>
        </w:rPr>
        <w:t xml:space="preserve">This Amendment No. 3 to that certain Exclusive License Agreement dated as of August 19, 2010 and bearing UC Agreement No. 2011-03-0081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by and between THE REGENTS OF THE UNIVERSITY OF CALIFORNIA</w:t>
      </w:r>
      <w:r>
        <w:rPr>
          <w:rFonts w:ascii="Arial" w:cs="Arial" w:eastAsia="Arial" w:hAnsi="Arial"/>
          <w:sz w:val="18"/>
          <w:szCs w:val="18"/>
          <w:b w:val="1"/>
          <w:bCs w:val="1"/>
          <w:color w:val="auto"/>
        </w:rPr>
        <w:t xml:space="preserve"> (“The Regents”) </w:t>
      </w:r>
      <w:r>
        <w:rPr>
          <w:rFonts w:ascii="Arial" w:cs="Arial" w:eastAsia="Arial" w:hAnsi="Arial"/>
          <w:sz w:val="18"/>
          <w:szCs w:val="18"/>
          <w:color w:val="auto"/>
        </w:rPr>
        <w:t>and CYTOMX THERAPEUTICS, INC.</w:t>
      </w:r>
      <w:r>
        <w:rPr>
          <w:rFonts w:ascii="Arial" w:cs="Arial" w:eastAsia="Arial" w:hAnsi="Arial"/>
          <w:sz w:val="18"/>
          <w:szCs w:val="18"/>
          <w:b w:val="1"/>
          <w:bCs w:val="1"/>
          <w:color w:val="auto"/>
        </w:rPr>
        <w:t xml:space="preserve"> (“Licensee”)</w:t>
      </w:r>
      <w:r>
        <w:rPr>
          <w:rFonts w:ascii="Arial" w:cs="Arial" w:eastAsia="Arial" w:hAnsi="Arial"/>
          <w:sz w:val="18"/>
          <w:szCs w:val="18"/>
          <w:color w:val="auto"/>
        </w:rPr>
        <w:t>, as amended on May 30, 2013 and as further amended on November 8, 2013, is made effective as of April 2, 2019 (the</w:t>
      </w:r>
      <w:r>
        <w:rPr>
          <w:rFonts w:ascii="Arial" w:cs="Arial" w:eastAsia="Arial" w:hAnsi="Arial"/>
          <w:sz w:val="18"/>
          <w:szCs w:val="18"/>
          <w:b w:val="1"/>
          <w:bCs w:val="1"/>
          <w:color w:val="auto"/>
        </w:rPr>
        <w:t xml:space="preserve"> “Amendment Effective Date”</w:t>
      </w:r>
      <w:r>
        <w:rPr>
          <w:rFonts w:ascii="Arial" w:cs="Arial" w:eastAsia="Arial" w:hAnsi="Arial"/>
          <w:sz w:val="18"/>
          <w:szCs w:val="18"/>
          <w:color w:val="auto"/>
        </w:rPr>
        <w:t>).</w:t>
      </w:r>
    </w:p>
    <w:p>
      <w:pPr>
        <w:spacing w:after="0" w:line="167" w:lineRule="exact"/>
        <w:rPr>
          <w:sz w:val="20"/>
          <w:szCs w:val="20"/>
          <w:color w:val="auto"/>
        </w:rPr>
      </w:pPr>
    </w:p>
    <w:p>
      <w:pPr>
        <w:jc w:val="both"/>
        <w:ind w:left="1" w:firstLine="879"/>
        <w:spacing w:after="0" w:line="274" w:lineRule="auto"/>
        <w:rPr>
          <w:sz w:val="20"/>
          <w:szCs w:val="20"/>
          <w:color w:val="auto"/>
        </w:rPr>
      </w:pPr>
      <w:r>
        <w:rPr>
          <w:rFonts w:ascii="Arial" w:cs="Arial" w:eastAsia="Arial" w:hAnsi="Arial"/>
          <w:sz w:val="18"/>
          <w:szCs w:val="18"/>
          <w:color w:val="auto"/>
        </w:rPr>
        <w:t>WHEREAS, in the Agreement, Licensee agrees to license certain inventions to develop commercial products, and The Regents agrees to license such inventions so products are developed to benefit the public;</w:t>
      </w:r>
    </w:p>
    <w:p>
      <w:pPr>
        <w:spacing w:after="0" w:line="149" w:lineRule="exact"/>
        <w:rPr>
          <w:sz w:val="20"/>
          <w:szCs w:val="20"/>
          <w:color w:val="auto"/>
        </w:rPr>
      </w:pPr>
    </w:p>
    <w:p>
      <w:pPr>
        <w:ind w:left="881"/>
        <w:spacing w:after="0"/>
        <w:rPr>
          <w:sz w:val="20"/>
          <w:szCs w:val="20"/>
          <w:color w:val="auto"/>
        </w:rPr>
      </w:pPr>
      <w:r>
        <w:rPr>
          <w:rFonts w:ascii="Arial" w:cs="Arial" w:eastAsia="Arial" w:hAnsi="Arial"/>
          <w:sz w:val="18"/>
          <w:szCs w:val="18"/>
          <w:color w:val="auto"/>
        </w:rPr>
        <w:t>WHEREAS, the parties desire to amend the Agreement to adjust and/or clarify certain sublicense terms; and,</w:t>
      </w:r>
    </w:p>
    <w:p>
      <w:pPr>
        <w:spacing w:after="0" w:line="203" w:lineRule="exact"/>
        <w:rPr>
          <w:sz w:val="20"/>
          <w:szCs w:val="20"/>
          <w:color w:val="auto"/>
        </w:rPr>
      </w:pPr>
    </w:p>
    <w:p>
      <w:pPr>
        <w:ind w:left="881"/>
        <w:spacing w:after="0"/>
        <w:rPr>
          <w:sz w:val="20"/>
          <w:szCs w:val="20"/>
          <w:color w:val="auto"/>
        </w:rPr>
      </w:pPr>
      <w:r>
        <w:rPr>
          <w:rFonts w:ascii="Arial" w:cs="Arial" w:eastAsia="Arial" w:hAnsi="Arial"/>
          <w:sz w:val="16"/>
          <w:szCs w:val="16"/>
          <w:color w:val="auto"/>
        </w:rPr>
        <w:t>WHEREAS, for mutual consideration, the receipt and sufficiency of which is hereby acknowledged, the parties desire to modify the terms of the</w:t>
      </w:r>
    </w:p>
    <w:p>
      <w:pPr>
        <w:spacing w:after="0" w:line="43" w:lineRule="exact"/>
        <w:rPr>
          <w:sz w:val="20"/>
          <w:szCs w:val="20"/>
          <w:color w:val="auto"/>
        </w:rPr>
      </w:pPr>
    </w:p>
    <w:p>
      <w:pPr>
        <w:ind w:left="1"/>
        <w:spacing w:after="0"/>
        <w:rPr>
          <w:sz w:val="20"/>
          <w:szCs w:val="20"/>
          <w:color w:val="auto"/>
        </w:rPr>
      </w:pPr>
      <w:r>
        <w:rPr>
          <w:rFonts w:ascii="Arial" w:cs="Arial" w:eastAsia="Arial" w:hAnsi="Arial"/>
          <w:sz w:val="18"/>
          <w:szCs w:val="18"/>
          <w:color w:val="auto"/>
        </w:rPr>
        <w:t>Agreement.</w:t>
      </w:r>
    </w:p>
    <w:p>
      <w:pPr>
        <w:spacing w:after="0" w:line="187" w:lineRule="exact"/>
        <w:rPr>
          <w:sz w:val="20"/>
          <w:szCs w:val="20"/>
          <w:color w:val="auto"/>
        </w:rPr>
      </w:pPr>
    </w:p>
    <w:p>
      <w:pPr>
        <w:ind w:left="881"/>
        <w:spacing w:after="0"/>
        <w:rPr>
          <w:sz w:val="20"/>
          <w:szCs w:val="20"/>
          <w:color w:val="auto"/>
        </w:rPr>
      </w:pPr>
      <w:r>
        <w:rPr>
          <w:rFonts w:ascii="Arial" w:cs="Arial" w:eastAsia="Arial" w:hAnsi="Arial"/>
          <w:sz w:val="18"/>
          <w:szCs w:val="18"/>
          <w:color w:val="auto"/>
        </w:rPr>
        <w:t>NOW THEREFORE, the Agreement is hereby amended as follows:</w:t>
      </w:r>
    </w:p>
    <w:p>
      <w:pPr>
        <w:spacing w:after="0" w:line="203" w:lineRule="exact"/>
        <w:rPr>
          <w:sz w:val="20"/>
          <w:szCs w:val="20"/>
          <w:color w:val="auto"/>
        </w:rPr>
      </w:pPr>
    </w:p>
    <w:p>
      <w:pPr>
        <w:ind w:left="741" w:hanging="741"/>
        <w:spacing w:after="0"/>
        <w:tabs>
          <w:tab w:leader="none" w:pos="7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Capitalized terms not defined herein shall have the same meaning set forth in the Agreement.</w:t>
      </w:r>
    </w:p>
    <w:p>
      <w:pPr>
        <w:spacing w:after="0" w:line="202" w:lineRule="exact"/>
        <w:rPr>
          <w:rFonts w:ascii="Arial" w:cs="Arial" w:eastAsia="Arial" w:hAnsi="Arial"/>
          <w:sz w:val="18"/>
          <w:szCs w:val="18"/>
          <w:color w:val="auto"/>
        </w:rPr>
      </w:pPr>
    </w:p>
    <w:p>
      <w:pPr>
        <w:ind w:left="741" w:hanging="741"/>
        <w:spacing w:after="0"/>
        <w:tabs>
          <w:tab w:leader="none" w:pos="7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Section 1.14 is hereby deleted and replaced with the following definition:</w:t>
      </w:r>
    </w:p>
    <w:p>
      <w:pPr>
        <w:spacing w:after="0" w:line="199" w:lineRule="exact"/>
        <w:rPr>
          <w:sz w:val="20"/>
          <w:szCs w:val="20"/>
          <w:color w:val="auto"/>
        </w:rPr>
      </w:pPr>
    </w:p>
    <w:p>
      <w:pPr>
        <w:jc w:val="both"/>
        <w:ind w:left="881"/>
        <w:spacing w:after="0" w:line="261"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Sublicense Revenue</w:t>
      </w:r>
      <w:r>
        <w:rPr>
          <w:rFonts w:ascii="Arial" w:cs="Arial" w:eastAsia="Arial" w:hAnsi="Arial"/>
          <w:sz w:val="18"/>
          <w:szCs w:val="18"/>
          <w:color w:val="auto"/>
        </w:rPr>
        <w:t>” shall mean any fees (including any in-kind consideration) owed to or received by Licensee or its Affiliates (e.g., up-front fees, sublicense maintenance fees, milestone payments or any other sublicense revenues (other than royalties, which shall be treated as set forth in Section 3.4(b))) under a sublicense, provided that Sublicense Revenue shall exclude:</w:t>
      </w:r>
    </w:p>
    <w:p>
      <w:pPr>
        <w:spacing w:after="0" w:line="161" w:lineRule="exact"/>
        <w:rPr>
          <w:sz w:val="20"/>
          <w:szCs w:val="20"/>
          <w:color w:val="auto"/>
        </w:rPr>
      </w:pPr>
    </w:p>
    <w:p>
      <w:pPr>
        <w:ind w:left="1101" w:hanging="222"/>
        <w:spacing w:after="0"/>
        <w:tabs>
          <w:tab w:leader="none" w:pos="11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Deductible R&amp;D Costs;</w:t>
      </w:r>
    </w:p>
    <w:p>
      <w:pPr>
        <w:spacing w:after="0" w:line="202" w:lineRule="exact"/>
        <w:rPr>
          <w:rFonts w:ascii="Arial" w:cs="Arial" w:eastAsia="Arial" w:hAnsi="Arial"/>
          <w:sz w:val="18"/>
          <w:szCs w:val="18"/>
          <w:color w:val="auto"/>
        </w:rPr>
      </w:pPr>
    </w:p>
    <w:p>
      <w:pPr>
        <w:ind w:left="1141" w:hanging="262"/>
        <w:spacing w:after="0"/>
        <w:tabs>
          <w:tab w:leader="none" w:pos="11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debt financing at fair market returns; and</w:t>
      </w:r>
    </w:p>
    <w:p>
      <w:pPr>
        <w:spacing w:after="0" w:line="202" w:lineRule="exact"/>
        <w:rPr>
          <w:rFonts w:ascii="Arial" w:cs="Arial" w:eastAsia="Arial" w:hAnsi="Arial"/>
          <w:sz w:val="18"/>
          <w:szCs w:val="18"/>
          <w:color w:val="auto"/>
        </w:rPr>
      </w:pPr>
    </w:p>
    <w:p>
      <w:pPr>
        <w:ind w:left="1241" w:hanging="362"/>
        <w:spacing w:after="0"/>
        <w:tabs>
          <w:tab w:leader="none" w:pos="12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owed to or received for the purchase of equity.</w:t>
      </w:r>
    </w:p>
    <w:p>
      <w:pPr>
        <w:spacing w:after="0" w:line="203" w:lineRule="exact"/>
        <w:rPr>
          <w:sz w:val="20"/>
          <w:szCs w:val="20"/>
          <w:color w:val="auto"/>
        </w:rPr>
      </w:pPr>
    </w:p>
    <w:p>
      <w:pPr>
        <w:jc w:val="both"/>
        <w:ind w:left="881"/>
        <w:spacing w:after="0" w:line="254" w:lineRule="auto"/>
        <w:rPr>
          <w:sz w:val="20"/>
          <w:szCs w:val="20"/>
          <w:color w:val="auto"/>
        </w:rPr>
      </w:pPr>
      <w:r>
        <w:rPr>
          <w:rFonts w:ascii="Arial" w:cs="Arial" w:eastAsia="Arial" w:hAnsi="Arial"/>
          <w:sz w:val="18"/>
          <w:szCs w:val="18"/>
          <w:color w:val="auto"/>
        </w:rPr>
        <w:t>Notwithstanding the foregoing, if a Sublicensee purchases equity of Licensee pursuant to (iii), and the purchase price of such equity exceeds 100% of the fair market value of such equity (such excess being referred to as the “premium”), then such premium shall be considered Sublicense Revenue. For the purpose of clarity, revenue expressly excluded from Sublicense Revenue under this subparagraph in (i) shall not be considered a Licensed Service subject to an earned royalty under Article 7.”</w:t>
      </w:r>
    </w:p>
    <w:p>
      <w:pPr>
        <w:spacing w:after="0" w:line="163" w:lineRule="exact"/>
        <w:rPr>
          <w:sz w:val="20"/>
          <w:szCs w:val="20"/>
          <w:color w:val="auto"/>
        </w:rPr>
      </w:pPr>
    </w:p>
    <w:p>
      <w:pPr>
        <w:ind w:left="741" w:hanging="741"/>
        <w:spacing w:after="0"/>
        <w:tabs>
          <w:tab w:leader="none" w:pos="7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Section 1.15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ind w:left="881"/>
        <w:spacing w:after="0" w:line="30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Deductible R&amp;D Costs</w:t>
      </w:r>
      <w:r>
        <w:rPr>
          <w:rFonts w:ascii="Arial" w:cs="Arial" w:eastAsia="Arial" w:hAnsi="Arial"/>
          <w:sz w:val="17"/>
          <w:szCs w:val="17"/>
          <w:color w:val="auto"/>
        </w:rPr>
        <w:t>” means all out-of-pocket costs incurred by Licensee or its Affiliates from unaffiliated third parties in engaging clinical research organizations, contract manufacturing organizations conducting CMC process development and other vendors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9869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118" w:right="239" w:bottom="1440" w:gutter="0" w:footer="0" w:header="0"/>
        </w:sectPr>
      </w:pPr>
    </w:p>
    <w:bookmarkStart w:id="107" w:name="page108"/>
    <w:bookmarkEnd w:id="107"/>
    <w:p>
      <w:pPr>
        <w:jc w:val="both"/>
        <w:ind w:left="881"/>
        <w:spacing w:after="0" w:line="274" w:lineRule="auto"/>
        <w:rPr>
          <w:sz w:val="20"/>
          <w:szCs w:val="20"/>
          <w:color w:val="auto"/>
        </w:rPr>
      </w:pPr>
      <w:r>
        <w:rPr>
          <w:rFonts w:ascii="Arial" w:cs="Arial" w:eastAsia="Arial" w:hAnsi="Arial"/>
          <w:sz w:val="18"/>
          <w:szCs w:val="18"/>
          <w:color w:val="auto"/>
        </w:rPr>
        <w:t>research and development services to Licensee for Licensed Products or Licensed Services under the relevant sublicense agreement. For purposes of calculating Deductible R&amp;D Costs, such amounts must [***].</w:t>
      </w:r>
    </w:p>
    <w:p>
      <w:pPr>
        <w:spacing w:after="0" w:line="149" w:lineRule="exact"/>
        <w:rPr>
          <w:sz w:val="20"/>
          <w:szCs w:val="20"/>
          <w:color w:val="auto"/>
        </w:rPr>
      </w:pPr>
    </w:p>
    <w:p>
      <w:pPr>
        <w:jc w:val="both"/>
        <w:ind w:left="881"/>
        <w:spacing w:after="0" w:line="252" w:lineRule="auto"/>
        <w:rPr>
          <w:sz w:val="20"/>
          <w:szCs w:val="20"/>
          <w:color w:val="auto"/>
        </w:rPr>
      </w:pPr>
      <w:r>
        <w:rPr>
          <w:rFonts w:ascii="Arial" w:cs="Arial" w:eastAsia="Arial" w:hAnsi="Arial"/>
          <w:sz w:val="18"/>
          <w:szCs w:val="18"/>
          <w:color w:val="auto"/>
        </w:rPr>
        <w:t>For clarity, Deductible R&amp;D Costs would be used to calculate the Sublicense Revenue payments due and outstanding as of the Amendment Effective Date (i.e. not payments that have already been made to The Regents) with respect to the Amgen Agreement and the AbbVie Agreement. Furthermore, Deductible R&amp;D Costs described in subsection (iii) shall be subject to an annual reconciliation, on a sublicense agreement (or option thereto) by sublicense agreement (or option thereto) basis, by Licensee, pursuant to a process reasonably acceptable to both parties.”</w:t>
      </w:r>
    </w:p>
    <w:p>
      <w:pPr>
        <w:spacing w:after="0" w:line="164" w:lineRule="exact"/>
        <w:rPr>
          <w:sz w:val="20"/>
          <w:szCs w:val="20"/>
          <w:color w:val="auto"/>
        </w:rPr>
      </w:pPr>
    </w:p>
    <w:p>
      <w:pPr>
        <w:ind w:left="741" w:hanging="741"/>
        <w:spacing w:after="0"/>
        <w:tabs>
          <w:tab w:leader="none" w:pos="7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Section 1.16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jc w:val="both"/>
        <w:ind w:left="881"/>
        <w:spacing w:after="0" w:line="261"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AbbVie Agreement</w:t>
      </w:r>
      <w:r>
        <w:rPr>
          <w:rFonts w:ascii="Arial" w:cs="Arial" w:eastAsia="Arial" w:hAnsi="Arial"/>
          <w:sz w:val="18"/>
          <w:szCs w:val="18"/>
          <w:color w:val="auto"/>
        </w:rPr>
        <w:t>” means that certain Co-Development and License Agreement, dated April 21, 2016, by and between Licensee and AbbVie Ireland Unlimited Company (“</w:t>
      </w:r>
      <w:r>
        <w:rPr>
          <w:rFonts w:ascii="Arial" w:cs="Arial" w:eastAsia="Arial" w:hAnsi="Arial"/>
          <w:sz w:val="18"/>
          <w:szCs w:val="18"/>
          <w:b w:val="1"/>
          <w:bCs w:val="1"/>
          <w:color w:val="auto"/>
        </w:rPr>
        <w:t>AbbVie</w:t>
      </w:r>
      <w:r>
        <w:rPr>
          <w:rFonts w:ascii="Arial" w:cs="Arial" w:eastAsia="Arial" w:hAnsi="Arial"/>
          <w:sz w:val="18"/>
          <w:szCs w:val="18"/>
          <w:color w:val="auto"/>
        </w:rPr>
        <w:t>”), together with the Discovery Collaboration and License Agreement, dated April 21, 2016, by and between Licensee and AbbVie.”</w:t>
      </w:r>
    </w:p>
    <w:p>
      <w:pPr>
        <w:spacing w:after="0" w:line="157" w:lineRule="exact"/>
        <w:rPr>
          <w:sz w:val="20"/>
          <w:szCs w:val="20"/>
          <w:color w:val="auto"/>
        </w:rPr>
      </w:pPr>
    </w:p>
    <w:p>
      <w:pPr>
        <w:ind w:left="741" w:hanging="741"/>
        <w:spacing w:after="0"/>
        <w:tabs>
          <w:tab w:leader="none" w:pos="7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Section 1.17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ind w:left="881"/>
        <w:spacing w:after="0" w:line="278"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Amgen Agreement</w:t>
      </w:r>
      <w:r>
        <w:rPr>
          <w:rFonts w:ascii="Arial" w:cs="Arial" w:eastAsia="Arial" w:hAnsi="Arial"/>
          <w:sz w:val="18"/>
          <w:szCs w:val="18"/>
          <w:color w:val="auto"/>
        </w:rPr>
        <w:t>” means that certain Sublicense Agreement, dated as of September 29, 2017, by and between Amgen Inc. and Licensee.”</w:t>
      </w:r>
    </w:p>
    <w:p>
      <w:pPr>
        <w:spacing w:after="0" w:line="142" w:lineRule="exact"/>
        <w:rPr>
          <w:sz w:val="20"/>
          <w:szCs w:val="20"/>
          <w:color w:val="auto"/>
        </w:rPr>
      </w:pPr>
    </w:p>
    <w:p>
      <w:pPr>
        <w:ind w:left="741" w:hanging="741"/>
        <w:spacing w:after="0"/>
        <w:tabs>
          <w:tab w:leader="none" w:pos="74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Section 1.18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ind w:left="881"/>
        <w:spacing w:after="0" w:line="27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BMS Agreement</w:t>
      </w:r>
      <w:r>
        <w:rPr>
          <w:rFonts w:ascii="Arial" w:cs="Arial" w:eastAsia="Arial" w:hAnsi="Arial"/>
          <w:sz w:val="18"/>
          <w:szCs w:val="18"/>
          <w:color w:val="auto"/>
        </w:rPr>
        <w:t>” means that certain Collaboration and License Agreement, dated as of May 23, 2014, by and between Bristol-Myers Squibb Company and Licensee.”</w:t>
      </w:r>
    </w:p>
    <w:p>
      <w:pPr>
        <w:spacing w:after="0" w:line="142" w:lineRule="exact"/>
        <w:rPr>
          <w:sz w:val="20"/>
          <w:szCs w:val="20"/>
          <w:color w:val="auto"/>
        </w:rPr>
      </w:pPr>
    </w:p>
    <w:p>
      <w:pPr>
        <w:ind w:left="741" w:hanging="741"/>
        <w:spacing w:after="0"/>
        <w:tabs>
          <w:tab w:leader="none" w:pos="7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Section 1.19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jc w:val="both"/>
        <w:ind w:left="881"/>
        <w:spacing w:after="0" w:line="261"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ImmunoGen Agreements</w:t>
      </w:r>
      <w:r>
        <w:rPr>
          <w:rFonts w:ascii="Arial" w:cs="Arial" w:eastAsia="Arial" w:hAnsi="Arial"/>
          <w:sz w:val="18"/>
          <w:szCs w:val="18"/>
          <w:color w:val="auto"/>
        </w:rPr>
        <w:t>” means that certain Research Collaboration Agreement, dated as of January 8, 2014, by and between ImmunoGen, Inc. and Licensee, and that certain License Agreement, dated as of December 22, 2017, by and between ImmunoGen, Inc. and Licensee.”</w:t>
      </w:r>
    </w:p>
    <w:p>
      <w:pPr>
        <w:spacing w:after="0" w:line="157" w:lineRule="exact"/>
        <w:rPr>
          <w:sz w:val="20"/>
          <w:szCs w:val="20"/>
          <w:color w:val="auto"/>
        </w:rPr>
      </w:pPr>
    </w:p>
    <w:p>
      <w:pPr>
        <w:ind w:left="741" w:hanging="741"/>
        <w:spacing w:after="0"/>
        <w:tabs>
          <w:tab w:leader="none" w:pos="7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Section 1.20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ind w:left="881"/>
        <w:spacing w:after="0" w:line="278"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Pfizer Agreement</w:t>
      </w:r>
      <w:r>
        <w:rPr>
          <w:rFonts w:ascii="Arial" w:cs="Arial" w:eastAsia="Arial" w:hAnsi="Arial"/>
          <w:sz w:val="18"/>
          <w:szCs w:val="18"/>
          <w:color w:val="auto"/>
        </w:rPr>
        <w:t>” means that certain Research Collaboration, Option and License Agreement, dated as of May 30, 2013, by and between Pfizer, Inc. and Licensee.”</w:t>
      </w:r>
    </w:p>
    <w:p>
      <w:pPr>
        <w:spacing w:after="0" w:line="142" w:lineRule="exact"/>
        <w:rPr>
          <w:sz w:val="20"/>
          <w:szCs w:val="20"/>
          <w:color w:val="auto"/>
        </w:rPr>
      </w:pPr>
    </w:p>
    <w:p>
      <w:pPr>
        <w:ind w:left="741" w:hanging="741"/>
        <w:spacing w:after="0"/>
        <w:tabs>
          <w:tab w:leader="none" w:pos="7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Section 1.21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jc w:val="both"/>
        <w:ind w:left="881"/>
        <w:spacing w:after="0" w:line="25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Clinical Stage</w:t>
      </w:r>
      <w:r>
        <w:rPr>
          <w:rFonts w:ascii="Arial" w:cs="Arial" w:eastAsia="Arial" w:hAnsi="Arial"/>
          <w:sz w:val="18"/>
          <w:szCs w:val="18"/>
          <w:color w:val="auto"/>
        </w:rPr>
        <w:t>” means, for a given sublicense agreement (or option thereto), that an IND has been filed to study the safety and/or efficacy of at least one Licensed Product that is the subject of such sublicense agreement (or option thereto) in a clinical trial in humans anywhere in the world, at the time Licensee enters into such sublicense agreement (or option thereto). For the sake of clarity, to qualify as “Clinical Stage,” the aforesaid IND must [***].”</w:t>
      </w:r>
    </w:p>
    <w:p>
      <w:pPr>
        <w:spacing w:after="0" w:line="200" w:lineRule="exact"/>
        <w:rPr>
          <w:sz w:val="20"/>
          <w:szCs w:val="20"/>
          <w:color w:val="auto"/>
        </w:rPr>
      </w:pPr>
    </w:p>
    <w:p>
      <w:pPr>
        <w:spacing w:after="0" w:line="210" w:lineRule="exact"/>
        <w:rPr>
          <w:sz w:val="20"/>
          <w:szCs w:val="20"/>
          <w:color w:val="auto"/>
        </w:rPr>
      </w:pPr>
    </w:p>
    <w:p>
      <w:pPr>
        <w:ind w:left="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9869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34" w:right="239" w:bottom="1440" w:gutter="0" w:footer="0" w:header="0"/>
        </w:sectPr>
      </w:pPr>
    </w:p>
    <w:bookmarkStart w:id="108" w:name="page109"/>
    <w:bookmarkEnd w:id="108"/>
    <w:p>
      <w:pPr>
        <w:ind w:left="821" w:hanging="821"/>
        <w:spacing w:after="0"/>
        <w:tabs>
          <w:tab w:leader="none" w:pos="8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Section 1.22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ind w:left="881"/>
        <w:spacing w:after="0"/>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IND</w:t>
      </w:r>
      <w:r>
        <w:rPr>
          <w:rFonts w:ascii="Arial" w:cs="Arial" w:eastAsia="Arial" w:hAnsi="Arial"/>
          <w:sz w:val="16"/>
          <w:szCs w:val="16"/>
          <w:color w:val="auto"/>
        </w:rPr>
        <w:t>” means an Investigational New Drug Application (as defined in the United States Federal Food, Drug and Cosmetic Act, 21 U.S.C.</w:t>
      </w:r>
    </w:p>
    <w:p>
      <w:pPr>
        <w:spacing w:after="0" w:line="47" w:lineRule="exact"/>
        <w:rPr>
          <w:sz w:val="20"/>
          <w:szCs w:val="20"/>
          <w:color w:val="auto"/>
        </w:rPr>
      </w:pPr>
    </w:p>
    <w:p>
      <w:pPr>
        <w:ind w:left="1021" w:hanging="142"/>
        <w:spacing w:after="0"/>
        <w:tabs>
          <w:tab w:leader="none" w:pos="1021" w:val="left"/>
        </w:tabs>
        <w:numPr>
          <w:ilvl w:val="1"/>
          <w:numId w:val="74"/>
        </w:numPr>
        <w:rPr>
          <w:rFonts w:ascii="Arial" w:cs="Arial" w:eastAsia="Arial" w:hAnsi="Arial"/>
          <w:sz w:val="17"/>
          <w:szCs w:val="17"/>
          <w:color w:val="auto"/>
        </w:rPr>
      </w:pPr>
      <w:r>
        <w:rPr>
          <w:rFonts w:ascii="Arial" w:cs="Arial" w:eastAsia="Arial" w:hAnsi="Arial"/>
          <w:sz w:val="17"/>
          <w:szCs w:val="17"/>
          <w:color w:val="auto"/>
        </w:rPr>
        <w:t>321 et seq.) filed with the United States Food and Drug Administration or the equivalent thereof in countries other than the United States.”</w:t>
      </w:r>
    </w:p>
    <w:p>
      <w:pPr>
        <w:spacing w:after="0" w:line="194" w:lineRule="exact"/>
        <w:rPr>
          <w:rFonts w:ascii="Arial" w:cs="Arial" w:eastAsia="Arial" w:hAnsi="Arial"/>
          <w:sz w:val="17"/>
          <w:szCs w:val="17"/>
          <w:color w:val="auto"/>
        </w:rPr>
      </w:pPr>
    </w:p>
    <w:p>
      <w:pPr>
        <w:ind w:left="821" w:hanging="821"/>
        <w:spacing w:after="0"/>
        <w:tabs>
          <w:tab w:leader="none" w:pos="82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Section 1.23 is hereby added to Article 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03" w:lineRule="exact"/>
        <w:rPr>
          <w:sz w:val="20"/>
          <w:szCs w:val="20"/>
          <w:color w:val="auto"/>
        </w:rPr>
      </w:pPr>
    </w:p>
    <w:p>
      <w:pPr>
        <w:jc w:val="both"/>
        <w:ind w:left="881"/>
        <w:spacing w:after="0" w:line="261"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Pre-Clinical Stage</w:t>
      </w:r>
      <w:r>
        <w:rPr>
          <w:rFonts w:ascii="Arial" w:cs="Arial" w:eastAsia="Arial" w:hAnsi="Arial"/>
          <w:sz w:val="18"/>
          <w:szCs w:val="18"/>
          <w:color w:val="auto"/>
        </w:rPr>
        <w:t>” means, for a given sublicense agreement (or option thereto), that no IND has yet been filed to study the safety and/or efficacy of any Licensed Product that is subject to such sublicense agreement (or option thereto) in a clinical trial in humans anywhere in the world, at the time Licensee enters into such sublicense agreement (or option thereto).”</w:t>
      </w:r>
    </w:p>
    <w:p>
      <w:pPr>
        <w:spacing w:after="0" w:line="161" w:lineRule="exact"/>
        <w:rPr>
          <w:sz w:val="20"/>
          <w:szCs w:val="20"/>
          <w:color w:val="auto"/>
        </w:rPr>
      </w:pPr>
    </w:p>
    <w:p>
      <w:pPr>
        <w:ind w:left="821" w:hanging="821"/>
        <w:spacing w:after="0"/>
        <w:tabs>
          <w:tab w:leader="none" w:pos="8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3.4 is hereby deleted in its entirety and replaced with the following:</w:t>
      </w:r>
    </w:p>
    <w:p>
      <w:pPr>
        <w:spacing w:after="0" w:line="203" w:lineRule="exact"/>
        <w:rPr>
          <w:sz w:val="20"/>
          <w:szCs w:val="20"/>
          <w:color w:val="auto"/>
        </w:rPr>
      </w:pPr>
    </w:p>
    <w:p>
      <w:pPr>
        <w:ind w:left="881"/>
        <w:spacing w:after="0"/>
        <w:rPr>
          <w:sz w:val="20"/>
          <w:szCs w:val="20"/>
          <w:color w:val="auto"/>
        </w:rPr>
      </w:pPr>
      <w:r>
        <w:rPr>
          <w:rFonts w:ascii="Arial" w:cs="Arial" w:eastAsia="Arial" w:hAnsi="Arial"/>
          <w:sz w:val="16"/>
          <w:szCs w:val="16"/>
          <w:color w:val="auto"/>
        </w:rPr>
        <w:t>“3.4 Licensee will pay to The Regents in respect of all sublicenses (or option thereto) (regardless of tier) the following amounts with respect to</w:t>
      </w:r>
    </w:p>
    <w:p>
      <w:pPr>
        <w:spacing w:after="0" w:line="43" w:lineRule="exact"/>
        <w:rPr>
          <w:sz w:val="20"/>
          <w:szCs w:val="20"/>
          <w:color w:val="auto"/>
        </w:rPr>
      </w:pPr>
    </w:p>
    <w:p>
      <w:pPr>
        <w:ind w:left="881"/>
        <w:spacing w:after="0"/>
        <w:rPr>
          <w:sz w:val="20"/>
          <w:szCs w:val="20"/>
          <w:color w:val="auto"/>
        </w:rPr>
      </w:pPr>
      <w:r>
        <w:rPr>
          <w:rFonts w:ascii="Arial" w:cs="Arial" w:eastAsia="Arial" w:hAnsi="Arial"/>
          <w:sz w:val="18"/>
          <w:szCs w:val="18"/>
          <w:color w:val="auto"/>
        </w:rPr>
        <w:t>Sublicense Revenues received by or accruing to Licensee:</w:t>
      </w:r>
    </w:p>
    <w:p>
      <w:pPr>
        <w:spacing w:after="0" w:line="187" w:lineRule="exact"/>
        <w:rPr>
          <w:sz w:val="20"/>
          <w:szCs w:val="20"/>
          <w:color w:val="auto"/>
        </w:rPr>
      </w:pPr>
    </w:p>
    <w:p>
      <w:pPr>
        <w:ind w:left="1681" w:hanging="802"/>
        <w:spacing w:after="0"/>
        <w:tabs>
          <w:tab w:leader="none" w:pos="16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Sublicense Revenue.</w:t>
      </w:r>
    </w:p>
    <w:p>
      <w:pPr>
        <w:spacing w:after="0" w:line="215" w:lineRule="exact"/>
        <w:rPr>
          <w:rFonts w:ascii="Arial" w:cs="Arial" w:eastAsia="Arial" w:hAnsi="Arial"/>
          <w:sz w:val="18"/>
          <w:szCs w:val="18"/>
          <w:color w:val="auto"/>
        </w:rPr>
      </w:pPr>
    </w:p>
    <w:p>
      <w:pPr>
        <w:jc w:val="both"/>
        <w:ind w:left="1761" w:hanging="3"/>
        <w:spacing w:after="0" w:line="288" w:lineRule="auto"/>
        <w:tabs>
          <w:tab w:leader="none" w:pos="2589" w:val="left"/>
        </w:tabs>
        <w:numPr>
          <w:ilvl w:val="1"/>
          <w:numId w:val="76"/>
        </w:numPr>
        <w:rPr>
          <w:rFonts w:ascii="Arial" w:cs="Arial" w:eastAsia="Arial" w:hAnsi="Arial"/>
          <w:sz w:val="18"/>
          <w:szCs w:val="18"/>
          <w:color w:val="auto"/>
        </w:rPr>
      </w:pPr>
      <w:r>
        <w:rPr>
          <w:rFonts w:ascii="Arial" w:cs="Arial" w:eastAsia="Arial" w:hAnsi="Arial"/>
          <w:sz w:val="16"/>
          <w:szCs w:val="16"/>
          <w:color w:val="auto"/>
        </w:rPr>
        <w:t>Subject to Section 3.4(a)(3), for any amounts included in Sublicense Revenues that are received by Licensee or owed to Licensee on or after May 30, 2013 for the development of Licensed Products within the Therapeutic Compound Field, Licensee shall pay The Regents the following percentages of such Sublicense Revenue for the life of any sublicense(s) (or options thereto):</w:t>
      </w:r>
    </w:p>
    <w:p>
      <w:pPr>
        <w:spacing w:after="0" w:line="154" w:lineRule="exact"/>
        <w:rPr>
          <w:rFonts w:ascii="Arial" w:cs="Arial" w:eastAsia="Arial" w:hAnsi="Arial"/>
          <w:sz w:val="18"/>
          <w:szCs w:val="18"/>
          <w:color w:val="auto"/>
        </w:rPr>
      </w:pPr>
    </w:p>
    <w:p>
      <w:pPr>
        <w:ind w:left="2641" w:hanging="3"/>
        <w:spacing w:after="0" w:line="247" w:lineRule="auto"/>
        <w:tabs>
          <w:tab w:leader="none" w:pos="3513" w:val="left"/>
        </w:tabs>
        <w:numPr>
          <w:ilvl w:val="2"/>
          <w:numId w:val="76"/>
        </w:numPr>
        <w:rPr>
          <w:rFonts w:ascii="Arial" w:cs="Arial" w:eastAsia="Arial" w:hAnsi="Arial"/>
          <w:sz w:val="20"/>
          <w:szCs w:val="20"/>
          <w:color w:val="auto"/>
        </w:rPr>
      </w:pPr>
      <w:r>
        <w:rPr>
          <w:rFonts w:ascii="Arial" w:cs="Arial" w:eastAsia="Arial" w:hAnsi="Arial"/>
          <w:sz w:val="18"/>
          <w:szCs w:val="18"/>
          <w:color w:val="auto"/>
        </w:rPr>
        <w:t>An amount equal to fifteen percent (15%) of the amount received if the sublicense (or option thereto) is executed during the Pre-Clinical Stage; or</w:t>
      </w:r>
    </w:p>
    <w:p>
      <w:pPr>
        <w:spacing w:after="0" w:line="183" w:lineRule="exact"/>
        <w:rPr>
          <w:rFonts w:ascii="Arial" w:cs="Arial" w:eastAsia="Arial" w:hAnsi="Arial"/>
          <w:sz w:val="20"/>
          <w:szCs w:val="20"/>
          <w:color w:val="auto"/>
        </w:rPr>
      </w:pPr>
    </w:p>
    <w:p>
      <w:pPr>
        <w:ind w:left="2641" w:hanging="3"/>
        <w:spacing w:after="0" w:line="247" w:lineRule="auto"/>
        <w:tabs>
          <w:tab w:leader="none" w:pos="3502" w:val="left"/>
        </w:tabs>
        <w:numPr>
          <w:ilvl w:val="2"/>
          <w:numId w:val="76"/>
        </w:numPr>
        <w:rPr>
          <w:rFonts w:ascii="Arial" w:cs="Arial" w:eastAsia="Arial" w:hAnsi="Arial"/>
          <w:sz w:val="20"/>
          <w:szCs w:val="20"/>
          <w:color w:val="auto"/>
        </w:rPr>
      </w:pPr>
      <w:r>
        <w:rPr>
          <w:rFonts w:ascii="Arial" w:cs="Arial" w:eastAsia="Arial" w:hAnsi="Arial"/>
          <w:sz w:val="18"/>
          <w:szCs w:val="18"/>
          <w:color w:val="auto"/>
        </w:rPr>
        <w:t>An amount equal to five percent (5%) of the amount received if the sublicense agreement (or option thereto) is Clinical Stage.</w:t>
      </w:r>
    </w:p>
    <w:p>
      <w:pPr>
        <w:spacing w:after="0" w:line="171" w:lineRule="exact"/>
        <w:rPr>
          <w:sz w:val="20"/>
          <w:szCs w:val="20"/>
          <w:color w:val="auto"/>
        </w:rPr>
      </w:pPr>
    </w:p>
    <w:p>
      <w:pPr>
        <w:ind w:left="1761"/>
        <w:spacing w:after="0" w:line="304" w:lineRule="auto"/>
        <w:rPr>
          <w:sz w:val="20"/>
          <w:szCs w:val="20"/>
          <w:color w:val="auto"/>
        </w:rPr>
      </w:pPr>
      <w:r>
        <w:rPr>
          <w:rFonts w:ascii="Arial" w:cs="Arial" w:eastAsia="Arial" w:hAnsi="Arial"/>
          <w:sz w:val="17"/>
          <w:szCs w:val="17"/>
          <w:color w:val="auto"/>
        </w:rPr>
        <w:t>For clarity, Exhibit A sets forth a listing of all sublicense agreements for Licensed Products to which Licensee is a party as of the Amendment Effective Date, and categorizes the sublicense agreement as being either Pre-Clinical Stage or Clinical Stage.</w:t>
      </w:r>
    </w:p>
    <w:p>
      <w:pPr>
        <w:spacing w:after="0" w:line="138" w:lineRule="exact"/>
        <w:rPr>
          <w:sz w:val="20"/>
          <w:szCs w:val="20"/>
          <w:color w:val="auto"/>
        </w:rPr>
      </w:pPr>
    </w:p>
    <w:p>
      <w:pPr>
        <w:jc w:val="both"/>
        <w:ind w:left="1761" w:hanging="3"/>
        <w:spacing w:after="0" w:line="245" w:lineRule="auto"/>
        <w:tabs>
          <w:tab w:leader="none" w:pos="2589" w:val="left"/>
        </w:tabs>
        <w:numPr>
          <w:ilvl w:val="0"/>
          <w:numId w:val="77"/>
        </w:numPr>
        <w:rPr>
          <w:rFonts w:ascii="Arial" w:cs="Arial" w:eastAsia="Arial" w:hAnsi="Arial"/>
          <w:sz w:val="20"/>
          <w:szCs w:val="20"/>
          <w:color w:val="auto"/>
        </w:rPr>
      </w:pPr>
      <w:r>
        <w:rPr>
          <w:rFonts w:ascii="Arial" w:cs="Arial" w:eastAsia="Arial" w:hAnsi="Arial"/>
          <w:sz w:val="18"/>
          <w:szCs w:val="18"/>
          <w:color w:val="auto"/>
        </w:rPr>
        <w:t>For sublicenses covering only Discovery Tool Patent Rights and issued to third parties actively collaborating with Licensee for the purpose of identifying and/or developing compounds covered by UC Case No. 2007-677, Licensee or Sublicensee shall pay The Regents an annual maintenance fee of forty thousand dollars ($40,000) for each calendar year, or partial calendar year, that the sublicense is in effect.</w:t>
      </w:r>
    </w:p>
    <w:p>
      <w:pPr>
        <w:spacing w:after="0" w:line="187" w:lineRule="exact"/>
        <w:rPr>
          <w:rFonts w:ascii="Arial" w:cs="Arial" w:eastAsia="Arial" w:hAnsi="Arial"/>
          <w:sz w:val="20"/>
          <w:szCs w:val="20"/>
          <w:color w:val="auto"/>
        </w:rPr>
      </w:pPr>
    </w:p>
    <w:p>
      <w:pPr>
        <w:jc w:val="both"/>
        <w:ind w:left="1761" w:hanging="3"/>
        <w:spacing w:after="0" w:line="262" w:lineRule="auto"/>
        <w:tabs>
          <w:tab w:leader="none" w:pos="2589" w:val="left"/>
        </w:tabs>
        <w:numPr>
          <w:ilvl w:val="0"/>
          <w:numId w:val="77"/>
        </w:numPr>
        <w:rPr>
          <w:rFonts w:ascii="Arial" w:cs="Arial" w:eastAsia="Arial" w:hAnsi="Arial"/>
          <w:sz w:val="19"/>
          <w:szCs w:val="19"/>
          <w:color w:val="auto"/>
        </w:rPr>
      </w:pPr>
      <w:r>
        <w:rPr>
          <w:rFonts w:ascii="Arial" w:cs="Arial" w:eastAsia="Arial" w:hAnsi="Arial"/>
          <w:sz w:val="17"/>
          <w:szCs w:val="17"/>
          <w:color w:val="auto"/>
        </w:rPr>
        <w:t>For Sublicense Revenues Licensee or its Affiliates are owed or receive on or after [***] pursuant to sublicense agreements that are Pre-Clinical Stage for which payments are due to The Regents under Section 3.4(a)(1)(A), if (A) (i) Licensee or its Affiliate granted a sublicense to a Sublicensee under any patents owned or controlled by third parties contemporaneously and together with a sublicense of the Licensed Patent Rights, and/or (ii) Licensee or its Affiliate granted to a Sublicensee, contemporaneously and together with a sublicense under the Licensed Patent Rights, a license under other patent rights that Licensee or its Affiliate owns, and (B) at the time of such (sub)license grant, the Licensed</w:t>
      </w:r>
    </w:p>
    <w:p>
      <w:pPr>
        <w:spacing w:after="0" w:line="200" w:lineRule="exact"/>
        <w:rPr>
          <w:sz w:val="20"/>
          <w:szCs w:val="20"/>
          <w:color w:val="auto"/>
        </w:rPr>
      </w:pPr>
    </w:p>
    <w:p>
      <w:pPr>
        <w:spacing w:after="0" w:line="207" w:lineRule="exact"/>
        <w:rPr>
          <w:sz w:val="20"/>
          <w:szCs w:val="20"/>
          <w:color w:val="auto"/>
        </w:rPr>
      </w:pPr>
    </w:p>
    <w:p>
      <w:pPr>
        <w:ind w:left="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9869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30" w:right="239" w:bottom="1440" w:gutter="0" w:footer="0" w:header="0"/>
        </w:sectPr>
      </w:pPr>
    </w:p>
    <w:bookmarkStart w:id="109" w:name="page110"/>
    <w:bookmarkEnd w:id="109"/>
    <w:p>
      <w:pPr>
        <w:jc w:val="both"/>
        <w:ind w:left="1761"/>
        <w:spacing w:after="0" w:line="282" w:lineRule="auto"/>
        <w:rPr>
          <w:sz w:val="20"/>
          <w:szCs w:val="20"/>
          <w:color w:val="auto"/>
        </w:rPr>
      </w:pPr>
      <w:r>
        <w:rPr>
          <w:rFonts w:ascii="Arial" w:cs="Arial" w:eastAsia="Arial" w:hAnsi="Arial"/>
          <w:sz w:val="16"/>
          <w:szCs w:val="16"/>
          <w:color w:val="auto"/>
        </w:rPr>
        <w:t>Products that are the subject of such sublicense agreements are actually covered by the aforesaid patent rights that are owned or controlled by third parties or are other patent rights that Licensee or its Affiliate owns, then Licensee shall have the right to apportion the Sublicense Revenues that are subject to payments under Section 3.4(a)(1)(A) (but for clarity not under Section 3.4(a)</w:t>
      </w:r>
    </w:p>
    <w:p>
      <w:pPr>
        <w:spacing w:after="0" w:line="1" w:lineRule="exact"/>
        <w:rPr>
          <w:sz w:val="20"/>
          <w:szCs w:val="20"/>
          <w:color w:val="auto"/>
        </w:rPr>
      </w:pPr>
    </w:p>
    <w:p>
      <w:pPr>
        <w:jc w:val="both"/>
        <w:ind w:left="1761"/>
        <w:spacing w:after="0" w:line="261" w:lineRule="auto"/>
        <w:rPr>
          <w:sz w:val="20"/>
          <w:szCs w:val="20"/>
          <w:color w:val="auto"/>
        </w:rPr>
      </w:pPr>
      <w:r>
        <w:rPr>
          <w:rFonts w:ascii="Arial" w:cs="Arial" w:eastAsia="Arial" w:hAnsi="Arial"/>
          <w:sz w:val="17"/>
          <w:szCs w:val="17"/>
          <w:color w:val="auto"/>
        </w:rPr>
        <w:t>(1)(B)) as between consideration received for the grant of a sublicense under the Licensed Patent Rights and consideration received for the grant of a license under such third party patent rights or patent rights owned by Licensee or its Affiliate, prior to applying the calculation set forth in Section 3.4(a)(1)(A), such that the portion allocable to the Licensed Patent Rights is a percentage equal to the number of then-pending patent applications and patents within the Licensed Patent Rights that are at that time sublicensed to the Sublicensee divided by the number of all then-pending patent applications and patents that are at that time licensed or sublicensed to the Sublicensee; provided, however, that in no event shall the portion of Sublicense Revenues allocable to the Licensed Patent Rights in any given payment to be made pursuant to Section 3.4(a)(1)(A) be less than [***] percent ([***]%) of the relevant Sublicense Revenues otherwise payable pursuant to Section 3.4(a)(1)(A); provided, further, that in calculating the number of such patents and patent applications, a patent and/or patent application shall be counted only once based on the first non-provisional filing in each patent family (i.e., neither standalone provisional patent applications nor continuations, divisionals, reissues, foreign equivalent filings and other patents or patent applications that contain no new subject matter shall be counted as additional patent applications).</w:t>
      </w:r>
    </w:p>
    <w:p>
      <w:pPr>
        <w:spacing w:after="0" w:line="166" w:lineRule="exact"/>
        <w:rPr>
          <w:sz w:val="20"/>
          <w:szCs w:val="20"/>
          <w:color w:val="auto"/>
        </w:rPr>
      </w:pPr>
    </w:p>
    <w:p>
      <w:pPr>
        <w:ind w:left="881" w:hanging="2"/>
        <w:spacing w:after="0" w:line="274" w:lineRule="auto"/>
        <w:tabs>
          <w:tab w:leader="none" w:pos="1689"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Earned royalties on Net Sales by Sublicensees shall be payable at the rates provided for in Article 7 (Earned Royalties and Minimum Annual Royalties) of the Agreement.”</w:t>
      </w:r>
    </w:p>
    <w:p>
      <w:pPr>
        <w:spacing w:after="0" w:line="148" w:lineRule="exact"/>
        <w:rPr>
          <w:rFonts w:ascii="Arial" w:cs="Arial" w:eastAsia="Arial" w:hAnsi="Arial"/>
          <w:sz w:val="18"/>
          <w:szCs w:val="18"/>
          <w:color w:val="auto"/>
        </w:rPr>
      </w:pPr>
    </w:p>
    <w:p>
      <w:pPr>
        <w:ind w:left="821" w:hanging="821"/>
        <w:spacing w:after="0"/>
        <w:tabs>
          <w:tab w:leader="none" w:pos="8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new Section 3.5 is hereby added, which shall read as follows:</w:t>
      </w:r>
    </w:p>
    <w:p>
      <w:pPr>
        <w:spacing w:after="0" w:line="203" w:lineRule="exact"/>
        <w:rPr>
          <w:sz w:val="20"/>
          <w:szCs w:val="20"/>
          <w:color w:val="auto"/>
        </w:rPr>
      </w:pPr>
    </w:p>
    <w:p>
      <w:pPr>
        <w:jc w:val="both"/>
        <w:ind w:left="881"/>
        <w:spacing w:after="0" w:line="291" w:lineRule="auto"/>
        <w:rPr>
          <w:sz w:val="20"/>
          <w:szCs w:val="20"/>
          <w:color w:val="auto"/>
        </w:rPr>
      </w:pPr>
      <w:r>
        <w:rPr>
          <w:rFonts w:ascii="Arial" w:cs="Arial" w:eastAsia="Arial" w:hAnsi="Arial"/>
          <w:sz w:val="16"/>
          <w:szCs w:val="16"/>
          <w:color w:val="auto"/>
        </w:rPr>
        <w:t>“3.5 With respect to any Sublicense Revenues received pursuant to a sublicense granted under the Licensed Patent Rights, (i) Licensee shall provide to The Regents, contemporaneously with the payment to The Regents attributable thereto, a written summary of the amounts received by the Licensee pursuant to such sublicense agreement, and a reasonable written substantiation for the calculation of the payment to be made by Licensee with respect thereto pursuant to Section 3.4, and (ii) Licensee shall meet with The Regents, upon written request by The Regents, to discuss the sublicense and the calculation of amounts payable to The Regents with respect thereto pursuant to Section 3.4.”</w:t>
      </w:r>
    </w:p>
    <w:p>
      <w:pPr>
        <w:spacing w:after="0" w:line="139" w:lineRule="exact"/>
        <w:rPr>
          <w:sz w:val="20"/>
          <w:szCs w:val="20"/>
          <w:color w:val="auto"/>
        </w:rPr>
      </w:pPr>
    </w:p>
    <w:p>
      <w:pPr>
        <w:ind w:left="821" w:hanging="821"/>
        <w:spacing w:after="0"/>
        <w:tabs>
          <w:tab w:leader="none" w:pos="8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Section 7.4 is hereby added, which shall read as follows:</w:t>
      </w:r>
    </w:p>
    <w:p>
      <w:pPr>
        <w:spacing w:after="0" w:line="203" w:lineRule="exact"/>
        <w:rPr>
          <w:sz w:val="20"/>
          <w:szCs w:val="20"/>
          <w:color w:val="auto"/>
        </w:rPr>
      </w:pPr>
    </w:p>
    <w:p>
      <w:pPr>
        <w:jc w:val="both"/>
        <w:ind w:left="881"/>
        <w:spacing w:after="0" w:line="283" w:lineRule="auto"/>
        <w:rPr>
          <w:sz w:val="20"/>
          <w:szCs w:val="20"/>
          <w:color w:val="auto"/>
        </w:rPr>
      </w:pPr>
      <w:r>
        <w:rPr>
          <w:rFonts w:ascii="Arial" w:cs="Arial" w:eastAsia="Arial" w:hAnsi="Arial"/>
          <w:sz w:val="16"/>
          <w:szCs w:val="16"/>
          <w:color w:val="auto"/>
        </w:rPr>
        <w:t>“7.4 Licensee shall, within [***] days after the Amendment Effective Date, pay to The Regents a noncreditable and nonrefundable payment of one million dollars ($1,000,000). Furthermore, commencing in [***] 2019, Licensee shall pay to The Regents an annual, noncreditable and nonrefundable license maintenance fee of [***] dollars ($[***]) for each remaining year of the Agreement through 2031, provided that the last such payment shall be reduced to [***] thousand dollars ($[***]) (all such annual payments, “</w:t>
      </w:r>
      <w:r>
        <w:rPr>
          <w:rFonts w:ascii="Arial" w:cs="Arial" w:eastAsia="Arial" w:hAnsi="Arial"/>
          <w:sz w:val="16"/>
          <w:szCs w:val="16"/>
          <w:b w:val="1"/>
          <w:bCs w:val="1"/>
          <w:color w:val="auto"/>
        </w:rPr>
        <w:t>Annual Payments</w:t>
      </w:r>
      <w:r>
        <w:rPr>
          <w:rFonts w:ascii="Arial" w:cs="Arial" w:eastAsia="Arial" w:hAnsi="Arial"/>
          <w:sz w:val="16"/>
          <w:szCs w:val="16"/>
          <w:color w:val="auto"/>
        </w:rPr>
        <w:t>”). For clarity, the first such Annual Payment of $[***] shall be due by [***], 2019 and the last such Annual Payment of $[***] shall be due by [***], 2031. In the event of termination of the Agreement for any reason other than The Regents’ uncured material breach, all remaining Annual Payments that would have otherwise been due had the Agreement remained in effect until January 3, 2031 will become immediately due and payable (the “</w:t>
      </w:r>
      <w:r>
        <w:rPr>
          <w:rFonts w:ascii="Arial" w:cs="Arial" w:eastAsia="Arial" w:hAnsi="Arial"/>
          <w:sz w:val="16"/>
          <w:szCs w:val="16"/>
          <w:b w:val="1"/>
          <w:bCs w:val="1"/>
          <w:color w:val="auto"/>
        </w:rPr>
        <w:t>Accelerated</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provided that if Licensee terminates the Agreement because of material concerns regarding the safety or efficacy of,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unexpected technical issues impacting, Probody™ molecules generally, and Licensee has decided to cease all development and</w:t>
      </w:r>
    </w:p>
    <w:p>
      <w:pPr>
        <w:spacing w:after="0" w:line="393" w:lineRule="exact"/>
        <w:rPr>
          <w:sz w:val="20"/>
          <w:szCs w:val="20"/>
          <w:color w:val="auto"/>
        </w:rPr>
      </w:pPr>
    </w:p>
    <w:p>
      <w:pPr>
        <w:ind w:left="1"/>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9869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34" w:right="239" w:bottom="1440" w:gutter="0" w:footer="0" w:header="0"/>
        </w:sectPr>
      </w:pPr>
    </w:p>
    <w:bookmarkStart w:id="110" w:name="page111"/>
    <w:bookmarkEnd w:id="110"/>
    <w:p>
      <w:pPr>
        <w:ind w:left="881"/>
        <w:spacing w:after="0"/>
        <w:rPr>
          <w:sz w:val="20"/>
          <w:szCs w:val="20"/>
          <w:color w:val="auto"/>
        </w:rPr>
      </w:pPr>
      <w:r>
        <w:rPr>
          <w:rFonts w:ascii="Arial" w:cs="Arial" w:eastAsia="Arial" w:hAnsi="Arial"/>
          <w:sz w:val="16"/>
          <w:szCs w:val="16"/>
          <w:color w:val="auto"/>
        </w:rPr>
        <w:t>commercialization of Probody™ molecules (directly or through its Affiliates or Sublicensees), then the Accelerated Payment will be reduced by</w:t>
      </w:r>
    </w:p>
    <w:p>
      <w:pPr>
        <w:spacing w:after="0" w:line="43" w:lineRule="exact"/>
        <w:rPr>
          <w:sz w:val="20"/>
          <w:szCs w:val="20"/>
          <w:color w:val="auto"/>
        </w:rPr>
      </w:pPr>
    </w:p>
    <w:p>
      <w:pPr>
        <w:ind w:left="1321" w:hanging="442"/>
        <w:spacing w:after="0"/>
        <w:tabs>
          <w:tab w:leader="none" w:pos="1321"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percent ([***]%).”</w:t>
      </w:r>
    </w:p>
    <w:p>
      <w:pPr>
        <w:spacing w:after="0" w:line="186" w:lineRule="exact"/>
        <w:rPr>
          <w:rFonts w:ascii="Arial" w:cs="Arial" w:eastAsia="Arial" w:hAnsi="Arial"/>
          <w:sz w:val="18"/>
          <w:szCs w:val="18"/>
          <w:color w:val="auto"/>
        </w:rPr>
      </w:pPr>
    </w:p>
    <w:p>
      <w:pPr>
        <w:ind w:left="821" w:hanging="821"/>
        <w:spacing w:after="0"/>
        <w:tabs>
          <w:tab w:leader="none" w:pos="8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new Section 7.5 is hereby added, which shall read as follows:</w:t>
      </w:r>
    </w:p>
    <w:p>
      <w:pPr>
        <w:spacing w:after="0" w:line="203" w:lineRule="exact"/>
        <w:rPr>
          <w:sz w:val="20"/>
          <w:szCs w:val="20"/>
          <w:color w:val="auto"/>
        </w:rPr>
      </w:pPr>
    </w:p>
    <w:p>
      <w:pPr>
        <w:jc w:val="both"/>
        <w:ind w:left="881"/>
        <w:spacing w:after="0" w:line="254" w:lineRule="auto"/>
        <w:rPr>
          <w:sz w:val="20"/>
          <w:szCs w:val="20"/>
          <w:color w:val="auto"/>
        </w:rPr>
      </w:pPr>
      <w:r>
        <w:rPr>
          <w:rFonts w:ascii="Arial" w:cs="Arial" w:eastAsia="Arial" w:hAnsi="Arial"/>
          <w:sz w:val="18"/>
          <w:szCs w:val="18"/>
          <w:color w:val="auto"/>
        </w:rPr>
        <w:t>“7.5 Licensee shall, within [***] business days after the Amendment Effective Date, issue to The Regents 150,000 shares of its common stock, par value $0.00001 (the “</w:t>
      </w:r>
      <w:r>
        <w:rPr>
          <w:rFonts w:ascii="Arial" w:cs="Arial" w:eastAsia="Arial" w:hAnsi="Arial"/>
          <w:sz w:val="18"/>
          <w:szCs w:val="18"/>
          <w:b w:val="1"/>
          <w:bCs w:val="1"/>
          <w:color w:val="auto"/>
        </w:rPr>
        <w:t>Shares</w:t>
      </w:r>
      <w:r>
        <w:rPr>
          <w:rFonts w:ascii="Arial" w:cs="Arial" w:eastAsia="Arial" w:hAnsi="Arial"/>
          <w:sz w:val="18"/>
          <w:szCs w:val="18"/>
          <w:color w:val="auto"/>
        </w:rPr>
        <w:t>”), which Shares shall not be subject to contractual lock-up or other similar contractual restrictions on transfer and shall be transferable by the Regents, provided, however that such Shares shall be subject to restrictions on transfer pursuant to and in compliance with applicable securities laws.”</w:t>
      </w:r>
    </w:p>
    <w:p>
      <w:pPr>
        <w:spacing w:after="0" w:line="167" w:lineRule="exact"/>
        <w:rPr>
          <w:sz w:val="20"/>
          <w:szCs w:val="20"/>
          <w:color w:val="auto"/>
        </w:rPr>
      </w:pPr>
    </w:p>
    <w:p>
      <w:pPr>
        <w:ind w:left="861" w:hanging="861"/>
        <w:spacing w:after="0" w:line="274" w:lineRule="auto"/>
        <w:tabs>
          <w:tab w:leader="none" w:pos="8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expressly modified herein, all other provisions of the Agreement remain in full force and effect and are hereby reaffirmed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9869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34" w:right="239" w:bottom="1440" w:gutter="0" w:footer="0" w:header="0"/>
        </w:sectPr>
      </w:pPr>
    </w:p>
    <w:bookmarkStart w:id="111" w:name="page112"/>
    <w:bookmarkEnd w:id="111"/>
    <w:p>
      <w:pPr>
        <w:ind w:left="10481"/>
        <w:spacing w:after="0"/>
        <w:rPr>
          <w:sz w:val="20"/>
          <w:szCs w:val="20"/>
          <w:color w:val="auto"/>
        </w:rPr>
      </w:pPr>
      <w:r>
        <w:rPr>
          <w:rFonts w:ascii="Arial" w:cs="Arial" w:eastAsia="Arial" w:hAnsi="Arial"/>
          <w:sz w:val="17"/>
          <w:szCs w:val="17"/>
          <w:b w:val="1"/>
          <w:bCs w:val="1"/>
          <w:color w:val="auto"/>
        </w:rPr>
        <w:t>Exhibit 10.6</w:t>
      </w:r>
    </w:p>
    <w:p>
      <w:pPr>
        <w:spacing w:after="0" w:line="228" w:lineRule="exact"/>
        <w:rPr>
          <w:sz w:val="20"/>
          <w:szCs w:val="20"/>
          <w:color w:val="auto"/>
        </w:rPr>
      </w:pPr>
    </w:p>
    <w:p>
      <w:pPr>
        <w:ind w:left="1" w:right="460" w:hanging="1"/>
        <w:spacing w:after="0" w:line="278" w:lineRule="auto"/>
        <w:tabs>
          <w:tab w:leader="none" w:pos="4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32"/>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ACCEPTED AND AGREED:</w:t>
            </w:r>
          </w:p>
        </w:tc>
        <w:tc>
          <w:tcPr>
            <w:tcW w:w="1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60" w:type="dxa"/>
            <w:vAlign w:val="bottom"/>
          </w:tcPr>
          <w:p>
            <w:pPr>
              <w:ind w:left="1880"/>
              <w:spacing w:after="0"/>
              <w:rPr>
                <w:sz w:val="20"/>
                <w:szCs w:val="20"/>
                <w:color w:val="auto"/>
              </w:rPr>
            </w:pPr>
            <w:r>
              <w:rPr>
                <w:rFonts w:ascii="Arial" w:cs="Arial" w:eastAsia="Arial" w:hAnsi="Arial"/>
                <w:sz w:val="18"/>
                <w:szCs w:val="18"/>
                <w:color w:val="auto"/>
                <w:w w:val="93"/>
              </w:rPr>
              <w:t>Execution Version</w:t>
            </w:r>
          </w:p>
        </w:tc>
        <w:tc>
          <w:tcPr>
            <w:tcW w:w="0" w:type="dxa"/>
            <w:vAlign w:val="bottom"/>
          </w:tcPr>
          <w:p>
            <w:pPr>
              <w:spacing w:after="0"/>
              <w:rPr>
                <w:sz w:val="1"/>
                <w:szCs w:val="1"/>
                <w:color w:val="auto"/>
              </w:rPr>
            </w:pPr>
          </w:p>
        </w:tc>
      </w:tr>
      <w:tr>
        <w:trPr>
          <w:trHeight w:val="211"/>
        </w:trPr>
        <w:tc>
          <w:tcPr>
            <w:tcW w:w="432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320" w:type="dxa"/>
            <w:vAlign w:val="bottom"/>
            <w:gridSpan w:val="3"/>
          </w:tcPr>
          <w:p>
            <w:pPr>
              <w:ind w:left="80"/>
              <w:spacing w:after="0"/>
              <w:rPr>
                <w:sz w:val="20"/>
                <w:szCs w:val="20"/>
                <w:color w:val="auto"/>
              </w:rPr>
            </w:pPr>
            <w:r>
              <w:rPr>
                <w:rFonts w:ascii="Arial" w:cs="Arial" w:eastAsia="Arial" w:hAnsi="Arial"/>
                <w:sz w:val="18"/>
                <w:szCs w:val="18"/>
                <w:b w:val="1"/>
                <w:bCs w:val="1"/>
                <w:color w:val="auto"/>
              </w:rPr>
              <w:t>CYTOMX THERAPEUTICS, INC.</w:t>
            </w:r>
          </w:p>
        </w:tc>
        <w:tc>
          <w:tcPr>
            <w:tcW w:w="7140" w:type="dxa"/>
            <w:vAlign w:val="bottom"/>
            <w:gridSpan w:val="3"/>
          </w:tcPr>
          <w:p>
            <w:pPr>
              <w:ind w:left="1480"/>
              <w:spacing w:after="0"/>
              <w:rPr>
                <w:sz w:val="20"/>
                <w:szCs w:val="20"/>
                <w:color w:val="auto"/>
              </w:rPr>
            </w:pPr>
            <w:r>
              <w:rPr>
                <w:rFonts w:ascii="Arial" w:cs="Arial" w:eastAsia="Arial" w:hAnsi="Arial"/>
                <w:sz w:val="18"/>
                <w:szCs w:val="18"/>
                <w:b w:val="1"/>
                <w:bCs w:val="1"/>
                <w:color w:val="auto"/>
              </w:rPr>
              <w:t>THE REGENTS OF THE UNIVERSITY OF CALIFORNIA</w:t>
            </w:r>
          </w:p>
        </w:tc>
        <w:tc>
          <w:tcPr>
            <w:tcW w:w="0" w:type="dxa"/>
            <w:vAlign w:val="bottom"/>
          </w:tcPr>
          <w:p>
            <w:pPr>
              <w:spacing w:after="0"/>
              <w:rPr>
                <w:sz w:val="1"/>
                <w:szCs w:val="1"/>
                <w:color w:val="auto"/>
              </w:rPr>
            </w:pPr>
          </w:p>
        </w:tc>
      </w:tr>
      <w:tr>
        <w:trPr>
          <w:trHeight w:val="567"/>
        </w:trPr>
        <w:tc>
          <w:tcPr>
            <w:tcW w:w="4320" w:type="dxa"/>
            <w:vAlign w:val="bottom"/>
            <w:gridSpan w:val="3"/>
          </w:tcPr>
          <w:p>
            <w:pPr>
              <w:ind w:left="80"/>
              <w:spacing w:after="0"/>
              <w:rPr>
                <w:sz w:val="20"/>
                <w:szCs w:val="20"/>
                <w:color w:val="auto"/>
              </w:rPr>
            </w:pPr>
            <w:r>
              <w:rPr>
                <w:rFonts w:ascii="Arial" w:cs="Arial" w:eastAsia="Arial" w:hAnsi="Arial"/>
                <w:sz w:val="18"/>
                <w:szCs w:val="18"/>
                <w:color w:val="auto"/>
              </w:rPr>
              <w:t>By: /s/ Debanjan Ray</w:t>
            </w:r>
          </w:p>
        </w:tc>
        <w:tc>
          <w:tcPr>
            <w:tcW w:w="7140" w:type="dxa"/>
            <w:vAlign w:val="bottom"/>
            <w:gridSpan w:val="3"/>
          </w:tcPr>
          <w:p>
            <w:pPr>
              <w:ind w:left="1480"/>
              <w:spacing w:after="0"/>
              <w:rPr>
                <w:sz w:val="20"/>
                <w:szCs w:val="20"/>
                <w:color w:val="auto"/>
              </w:rPr>
            </w:pPr>
            <w:r>
              <w:rPr>
                <w:rFonts w:ascii="Arial" w:cs="Arial" w:eastAsia="Arial" w:hAnsi="Arial"/>
                <w:sz w:val="18"/>
                <w:szCs w:val="18"/>
                <w:color w:val="auto"/>
              </w:rPr>
              <w:t>By: /s/ Sherylle Mills Englander</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320" w:type="dxa"/>
            <w:vAlign w:val="bottom"/>
            <w:gridSpan w:val="3"/>
          </w:tcPr>
          <w:p>
            <w:pPr>
              <w:ind w:left="80"/>
              <w:spacing w:after="0"/>
              <w:rPr>
                <w:sz w:val="20"/>
                <w:szCs w:val="20"/>
                <w:color w:val="auto"/>
              </w:rPr>
            </w:pPr>
            <w:r>
              <w:rPr>
                <w:rFonts w:ascii="Arial" w:cs="Arial" w:eastAsia="Arial" w:hAnsi="Arial"/>
                <w:sz w:val="18"/>
                <w:szCs w:val="18"/>
                <w:color w:val="auto"/>
              </w:rPr>
              <w:t>Name: Debanjan Ray</w:t>
            </w:r>
          </w:p>
        </w:tc>
        <w:tc>
          <w:tcPr>
            <w:tcW w:w="7140" w:type="dxa"/>
            <w:vAlign w:val="bottom"/>
            <w:gridSpan w:val="3"/>
          </w:tcPr>
          <w:p>
            <w:pPr>
              <w:ind w:left="1480"/>
              <w:spacing w:after="0"/>
              <w:rPr>
                <w:sz w:val="20"/>
                <w:szCs w:val="20"/>
                <w:color w:val="auto"/>
              </w:rPr>
            </w:pPr>
            <w:r>
              <w:rPr>
                <w:rFonts w:ascii="Arial" w:cs="Arial" w:eastAsia="Arial" w:hAnsi="Arial"/>
                <w:sz w:val="18"/>
                <w:szCs w:val="18"/>
                <w:color w:val="auto"/>
              </w:rPr>
              <w:t>Name: Sherylle Mills Englander</w:t>
            </w:r>
          </w:p>
        </w:tc>
        <w:tc>
          <w:tcPr>
            <w:tcW w:w="0" w:type="dxa"/>
            <w:vAlign w:val="bottom"/>
          </w:tcPr>
          <w:p>
            <w:pPr>
              <w:spacing w:after="0"/>
              <w:rPr>
                <w:sz w:val="1"/>
                <w:szCs w:val="1"/>
                <w:color w:val="auto"/>
              </w:rPr>
            </w:pPr>
          </w:p>
        </w:tc>
      </w:tr>
      <w:tr>
        <w:trPr>
          <w:trHeight w:val="401"/>
        </w:trPr>
        <w:tc>
          <w:tcPr>
            <w:tcW w:w="4320" w:type="dxa"/>
            <w:vAlign w:val="bottom"/>
            <w:gridSpan w:val="3"/>
          </w:tcPr>
          <w:p>
            <w:pPr>
              <w:ind w:left="80"/>
              <w:spacing w:after="0"/>
              <w:rPr>
                <w:sz w:val="20"/>
                <w:szCs w:val="20"/>
                <w:color w:val="auto"/>
              </w:rPr>
            </w:pPr>
            <w:r>
              <w:rPr>
                <w:rFonts w:ascii="Arial" w:cs="Arial" w:eastAsia="Arial" w:hAnsi="Arial"/>
                <w:sz w:val="18"/>
                <w:szCs w:val="18"/>
                <w:color w:val="auto"/>
              </w:rPr>
              <w:t>Title: CFO</w:t>
            </w:r>
          </w:p>
        </w:tc>
        <w:tc>
          <w:tcPr>
            <w:tcW w:w="7140" w:type="dxa"/>
            <w:vAlign w:val="bottom"/>
            <w:gridSpan w:val="3"/>
          </w:tcPr>
          <w:p>
            <w:pPr>
              <w:ind w:left="1480"/>
              <w:spacing w:after="0"/>
              <w:rPr>
                <w:sz w:val="20"/>
                <w:szCs w:val="20"/>
                <w:color w:val="auto"/>
              </w:rPr>
            </w:pPr>
            <w:r>
              <w:rPr>
                <w:rFonts w:ascii="Arial" w:cs="Arial" w:eastAsia="Arial" w:hAnsi="Arial"/>
                <w:sz w:val="18"/>
                <w:szCs w:val="18"/>
                <w:color w:val="auto"/>
              </w:rPr>
              <w:t>Title: Director, Office of Technology &amp; Industry Alliances</w:t>
            </w:r>
          </w:p>
        </w:tc>
        <w:tc>
          <w:tcPr>
            <w:tcW w:w="0" w:type="dxa"/>
            <w:vAlign w:val="bottom"/>
          </w:tcPr>
          <w:p>
            <w:pPr>
              <w:spacing w:after="0"/>
              <w:rPr>
                <w:sz w:val="1"/>
                <w:szCs w:val="1"/>
                <w:color w:val="auto"/>
              </w:rPr>
            </w:pPr>
          </w:p>
        </w:tc>
      </w:tr>
      <w:tr>
        <w:trPr>
          <w:trHeight w:val="232"/>
        </w:trPr>
        <w:tc>
          <w:tcPr>
            <w:tcW w:w="4320" w:type="dxa"/>
            <w:vAlign w:val="bottom"/>
            <w:gridSpan w:val="3"/>
          </w:tcPr>
          <w:p>
            <w:pPr>
              <w:ind w:left="80"/>
              <w:spacing w:after="0"/>
              <w:rPr>
                <w:sz w:val="20"/>
                <w:szCs w:val="20"/>
                <w:color w:val="auto"/>
              </w:rPr>
            </w:pPr>
            <w:r>
              <w:rPr>
                <w:rFonts w:ascii="Arial" w:cs="Arial" w:eastAsia="Arial" w:hAnsi="Arial"/>
                <w:sz w:val="18"/>
                <w:szCs w:val="18"/>
                <w:color w:val="auto"/>
              </w:rPr>
              <w:t>Date: April 2, 2019</w:t>
            </w:r>
          </w:p>
        </w:tc>
        <w:tc>
          <w:tcPr>
            <w:tcW w:w="7140" w:type="dxa"/>
            <w:vAlign w:val="bottom"/>
            <w:gridSpan w:val="3"/>
            <w:vMerge w:val="restart"/>
          </w:tcPr>
          <w:p>
            <w:pPr>
              <w:ind w:left="1480"/>
              <w:spacing w:after="0"/>
              <w:rPr>
                <w:sz w:val="20"/>
                <w:szCs w:val="20"/>
                <w:color w:val="auto"/>
              </w:rPr>
            </w:pPr>
            <w:r>
              <w:rPr>
                <w:rFonts w:ascii="Arial" w:cs="Arial" w:eastAsia="Arial" w:hAnsi="Arial"/>
                <w:sz w:val="18"/>
                <w:szCs w:val="18"/>
                <w:color w:val="auto"/>
              </w:rPr>
              <w:t>Date: 4/2/19</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44"/>
        </w:trPr>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1"/>
          </w:cols>
          <w:pgMar w:left="239" w:top="118" w:right="199" w:bottom="1440" w:gutter="0" w:footer="0" w:header="0"/>
        </w:sectPr>
      </w:pPr>
    </w:p>
    <w:bookmarkStart w:id="112" w:name="page113"/>
    <w:bookmarkEnd w:id="112"/>
    <w:p>
      <w:pPr>
        <w:ind w:left="10481"/>
        <w:spacing w:after="0"/>
        <w:rPr>
          <w:sz w:val="20"/>
          <w:szCs w:val="20"/>
          <w:color w:val="auto"/>
        </w:rPr>
      </w:pPr>
      <w:r>
        <w:rPr>
          <w:rFonts w:ascii="Arial" w:cs="Arial" w:eastAsia="Arial" w:hAnsi="Arial"/>
          <w:sz w:val="17"/>
          <w:szCs w:val="17"/>
          <w:b w:val="1"/>
          <w:bCs w:val="1"/>
          <w:color w:val="auto"/>
        </w:rPr>
        <w:t>Exhibit 10.6</w:t>
      </w:r>
    </w:p>
    <w:p>
      <w:pPr>
        <w:spacing w:after="0" w:line="228" w:lineRule="exact"/>
        <w:rPr>
          <w:sz w:val="20"/>
          <w:szCs w:val="20"/>
          <w:color w:val="auto"/>
        </w:rPr>
      </w:pPr>
    </w:p>
    <w:p>
      <w:pPr>
        <w:ind w:left="1" w:right="460" w:hanging="1"/>
        <w:spacing w:after="0" w:line="278" w:lineRule="auto"/>
        <w:tabs>
          <w:tab w:leader="none" w:pos="4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58" w:lineRule="exact"/>
        <w:rPr>
          <w:sz w:val="20"/>
          <w:szCs w:val="20"/>
          <w:color w:val="auto"/>
        </w:rPr>
      </w:pPr>
    </w:p>
    <w:p>
      <w:pPr>
        <w:ind w:left="10081"/>
        <w:spacing w:after="0"/>
        <w:rPr>
          <w:sz w:val="20"/>
          <w:szCs w:val="20"/>
          <w:color w:val="auto"/>
        </w:rPr>
      </w:pPr>
      <w:r>
        <w:rPr>
          <w:rFonts w:ascii="Arial" w:cs="Arial" w:eastAsia="Arial" w:hAnsi="Arial"/>
          <w:sz w:val="17"/>
          <w:szCs w:val="17"/>
          <w:color w:val="auto"/>
        </w:rPr>
        <w:t>Execution Version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Categorization of Sublicenses</w:t>
      </w:r>
    </w:p>
    <w:p>
      <w:pPr>
        <w:spacing w:after="0" w:line="200" w:lineRule="exact"/>
        <w:rPr>
          <w:sz w:val="20"/>
          <w:szCs w:val="20"/>
          <w:color w:val="auto"/>
        </w:rPr>
      </w:pPr>
    </w:p>
    <w:p>
      <w:pPr>
        <w:spacing w:after="0" w:line="231" w:lineRule="exact"/>
        <w:rPr>
          <w:sz w:val="20"/>
          <w:szCs w:val="20"/>
          <w:color w:val="auto"/>
        </w:rPr>
      </w:pPr>
    </w:p>
    <w:p>
      <w:pPr>
        <w:ind w:left="6461"/>
        <w:spacing w:after="0"/>
        <w:rPr>
          <w:sz w:val="20"/>
          <w:szCs w:val="20"/>
          <w:color w:val="auto"/>
        </w:rPr>
      </w:pPr>
      <w:r>
        <w:rPr>
          <w:rFonts w:ascii="Arial" w:cs="Arial" w:eastAsia="Arial" w:hAnsi="Arial"/>
          <w:sz w:val="18"/>
          <w:szCs w:val="18"/>
          <w:color w:val="auto"/>
        </w:rPr>
        <w:t>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-128270</wp:posOffset>
            </wp:positionV>
            <wp:extent cx="4843780" cy="1885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4843780" cy="1885315"/>
                    </a:xfrm>
                    <a:prstGeom prst="rect">
                      <a:avLst/>
                    </a:prstGeom>
                    <a:noFill/>
                  </pic:spPr>
                </pic:pic>
              </a:graphicData>
            </a:graphic>
          </wp:anchor>
        </w:drawing>
      </w:r>
    </w:p>
    <w:p>
      <w:pPr>
        <w:spacing w:after="0" w:line="180" w:lineRule="exact"/>
        <w:rPr>
          <w:sz w:val="20"/>
          <w:szCs w:val="20"/>
          <w:color w:val="auto"/>
        </w:rPr>
      </w:pPr>
    </w:p>
    <w:tbl>
      <w:tblPr>
        <w:tblLayout w:type="fixed"/>
        <w:tblInd w:w="3321" w:type="dxa"/>
        <w:tblCellMar>
          <w:top w:w="0" w:type="dxa"/>
          <w:left w:w="0" w:type="dxa"/>
          <w:bottom w:w="0" w:type="dxa"/>
          <w:right w:w="0" w:type="dxa"/>
        </w:tblCellMar>
      </w:tblPr>
      <w:tr>
        <w:trPr>
          <w:trHeight w:val="245"/>
        </w:trPr>
        <w:tc>
          <w:tcPr>
            <w:tcW w:w="388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Pre-Clinical Stage</w:t>
            </w:r>
          </w:p>
        </w:tc>
        <w:tc>
          <w:tcPr>
            <w:tcW w:w="374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Clinical Stage</w:t>
            </w:r>
          </w:p>
        </w:tc>
      </w:tr>
    </w:tbl>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45"/>
        </w:trPr>
        <w:tc>
          <w:tcPr>
            <w:tcW w:w="520" w:type="dxa"/>
            <w:vAlign w:val="bottom"/>
            <w:tcBorders>
              <w:right w:val="single" w:sz="8" w:color="auto"/>
            </w:tcBorders>
          </w:tcPr>
          <w:p>
            <w:pPr>
              <w:spacing w:after="0"/>
              <w:rPr>
                <w:sz w:val="21"/>
                <w:szCs w:val="21"/>
                <w:color w:val="auto"/>
              </w:rPr>
            </w:pPr>
          </w:p>
        </w:tc>
        <w:tc>
          <w:tcPr>
            <w:tcW w:w="2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AbbVie Agreement</w:t>
            </w:r>
          </w:p>
        </w:tc>
        <w:tc>
          <w:tcPr>
            <w:tcW w:w="80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21"/>
                <w:szCs w:val="21"/>
                <w:color w:val="auto"/>
              </w:rPr>
            </w:pPr>
          </w:p>
        </w:tc>
      </w:tr>
      <w:tr>
        <w:trPr>
          <w:trHeight w:val="178"/>
        </w:trPr>
        <w:tc>
          <w:tcPr>
            <w:tcW w:w="520" w:type="dxa"/>
            <w:vAlign w:val="bottom"/>
            <w:tcBorders>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225"/>
        </w:trPr>
        <w:tc>
          <w:tcPr>
            <w:tcW w:w="520" w:type="dxa"/>
            <w:vAlign w:val="bottom"/>
            <w:tcBorders>
              <w:right w:val="single" w:sz="8" w:color="auto"/>
            </w:tcBorders>
          </w:tcPr>
          <w:p>
            <w:pPr>
              <w:spacing w:after="0"/>
              <w:rPr>
                <w:sz w:val="19"/>
                <w:szCs w:val="19"/>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Amgen Agreement</w:t>
            </w:r>
          </w:p>
        </w:tc>
        <w:tc>
          <w:tcPr>
            <w:tcW w:w="8000" w:type="dxa"/>
            <w:vAlign w:val="bottom"/>
          </w:tcPr>
          <w:p>
            <w:pPr>
              <w:ind w:left="48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9"/>
                <w:szCs w:val="19"/>
                <w:color w:val="auto"/>
              </w:rPr>
            </w:pPr>
          </w:p>
        </w:tc>
      </w:tr>
      <w:tr>
        <w:trPr>
          <w:trHeight w:val="178"/>
        </w:trPr>
        <w:tc>
          <w:tcPr>
            <w:tcW w:w="520" w:type="dxa"/>
            <w:vAlign w:val="bottom"/>
            <w:tcBorders>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225"/>
        </w:trPr>
        <w:tc>
          <w:tcPr>
            <w:tcW w:w="520" w:type="dxa"/>
            <w:vAlign w:val="bottom"/>
            <w:tcBorders>
              <w:right w:val="single" w:sz="8" w:color="auto"/>
            </w:tcBorders>
          </w:tcPr>
          <w:p>
            <w:pPr>
              <w:spacing w:after="0"/>
              <w:rPr>
                <w:sz w:val="19"/>
                <w:szCs w:val="19"/>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BMS Agreement</w:t>
            </w:r>
          </w:p>
        </w:tc>
        <w:tc>
          <w:tcPr>
            <w:tcW w:w="8000" w:type="dxa"/>
            <w:vAlign w:val="bottom"/>
          </w:tcPr>
          <w:p>
            <w:pPr>
              <w:ind w:left="48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9"/>
                <w:szCs w:val="19"/>
                <w:color w:val="auto"/>
              </w:rPr>
            </w:pPr>
          </w:p>
        </w:tc>
      </w:tr>
      <w:tr>
        <w:trPr>
          <w:trHeight w:val="178"/>
        </w:trPr>
        <w:tc>
          <w:tcPr>
            <w:tcW w:w="520" w:type="dxa"/>
            <w:vAlign w:val="bottom"/>
            <w:tcBorders>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225"/>
        </w:trPr>
        <w:tc>
          <w:tcPr>
            <w:tcW w:w="520" w:type="dxa"/>
            <w:vAlign w:val="bottom"/>
            <w:tcBorders>
              <w:right w:val="single" w:sz="8" w:color="auto"/>
            </w:tcBorders>
          </w:tcPr>
          <w:p>
            <w:pPr>
              <w:spacing w:after="0"/>
              <w:rPr>
                <w:sz w:val="19"/>
                <w:szCs w:val="19"/>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ImmunoGen Agreements</w:t>
            </w:r>
          </w:p>
        </w:tc>
        <w:tc>
          <w:tcPr>
            <w:tcW w:w="8000" w:type="dxa"/>
            <w:vAlign w:val="bottom"/>
          </w:tcPr>
          <w:p>
            <w:pPr>
              <w:ind w:left="48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9"/>
                <w:szCs w:val="19"/>
                <w:color w:val="auto"/>
              </w:rPr>
            </w:pPr>
          </w:p>
        </w:tc>
      </w:tr>
      <w:tr>
        <w:trPr>
          <w:trHeight w:val="178"/>
        </w:trPr>
        <w:tc>
          <w:tcPr>
            <w:tcW w:w="520" w:type="dxa"/>
            <w:vAlign w:val="bottom"/>
            <w:tcBorders>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402"/>
        </w:trPr>
        <w:tc>
          <w:tcPr>
            <w:tcW w:w="520" w:type="dxa"/>
            <w:vAlign w:val="bottom"/>
            <w:tcBorders>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730"/>
        </w:trPr>
        <w:tc>
          <w:tcPr>
            <w:tcW w:w="5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1"/>
          </w:cols>
          <w:pgMar w:left="239" w:top="118" w:right="199"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Exhibit 10.7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17" w:lineRule="exact"/>
        <w:rPr>
          <w:sz w:val="20"/>
          <w:szCs w:val="20"/>
          <w:color w:val="auto"/>
        </w:rPr>
      </w:pPr>
    </w:p>
    <w:p>
      <w:pPr>
        <w:ind w:right="340" w:firstLine="879"/>
        <w:spacing w:after="0" w:line="248"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ONSULTING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by and between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 xml:space="preserve">., </w:t>
      </w:r>
      <w:r>
        <w:rPr>
          <w:rFonts w:ascii="Arial" w:cs="Arial" w:eastAsia="Arial" w:hAnsi="Arial"/>
          <w:sz w:val="20"/>
          <w:szCs w:val="20"/>
          <w:color w:val="auto"/>
        </w:rPr>
        <w:t>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corporation, with an address at 151 Oyster Point Blvd, Suite 400, South San Francisco, CA 94080, (“</w:t>
      </w:r>
      <w:r>
        <w:rPr>
          <w:rFonts w:ascii="Arial" w:cs="Arial" w:eastAsia="Arial" w:hAnsi="Arial"/>
          <w:sz w:val="20"/>
          <w:szCs w:val="20"/>
          <w:b w:val="1"/>
          <w:bCs w:val="1"/>
          <w:color w:val="auto"/>
        </w:rPr>
        <w:t>Company</w:t>
      </w:r>
      <w:r>
        <w:rPr>
          <w:rFonts w:ascii="Arial" w:cs="Arial" w:eastAsia="Arial" w:hAnsi="Arial"/>
          <w:sz w:val="20"/>
          <w:szCs w:val="20"/>
          <w:color w:val="auto"/>
        </w:rPr>
        <w:t>”) and, D</w:t>
      </w:r>
      <w:r>
        <w:rPr>
          <w:rFonts w:ascii="Arial" w:cs="Arial" w:eastAsia="Arial" w:hAnsi="Arial"/>
          <w:sz w:val="13"/>
          <w:szCs w:val="13"/>
          <w:color w:val="auto"/>
        </w:rPr>
        <w:t>EBANJAN</w:t>
      </w:r>
      <w:r>
        <w:rPr>
          <w:rFonts w:ascii="Arial" w:cs="Arial" w:eastAsia="Arial" w:hAnsi="Arial"/>
          <w:sz w:val="20"/>
          <w:szCs w:val="20"/>
          <w:color w:val="auto"/>
        </w:rPr>
        <w:t xml:space="preserve"> R</w:t>
      </w:r>
      <w:r>
        <w:rPr>
          <w:rFonts w:ascii="Arial" w:cs="Arial" w:eastAsia="Arial" w:hAnsi="Arial"/>
          <w:sz w:val="13"/>
          <w:szCs w:val="13"/>
          <w:color w:val="auto"/>
        </w:rPr>
        <w:t>AY</w:t>
      </w:r>
      <w:r>
        <w:rPr>
          <w:rFonts w:ascii="Arial" w:cs="Arial" w:eastAsia="Arial" w:hAnsi="Arial"/>
          <w:sz w:val="20"/>
          <w:szCs w:val="20"/>
          <w:color w:val="auto"/>
        </w:rPr>
        <w:t>, an individual (“</w:t>
      </w:r>
      <w:r>
        <w:rPr>
          <w:rFonts w:ascii="Arial" w:cs="Arial" w:eastAsia="Arial" w:hAnsi="Arial"/>
          <w:sz w:val="20"/>
          <w:szCs w:val="20"/>
          <w:b w:val="1"/>
          <w:bCs w:val="1"/>
          <w:color w:val="auto"/>
        </w:rPr>
        <w:t>Consultant</w:t>
      </w:r>
      <w:r>
        <w:rPr>
          <w:rFonts w:ascii="Arial" w:cs="Arial" w:eastAsia="Arial" w:hAnsi="Arial"/>
          <w:sz w:val="20"/>
          <w:szCs w:val="20"/>
          <w:color w:val="auto"/>
        </w:rPr>
        <w:t>”), effective as of May 15, 2019 (“</w:t>
      </w:r>
      <w:r>
        <w:rPr>
          <w:rFonts w:ascii="Arial" w:cs="Arial" w:eastAsia="Arial" w:hAnsi="Arial"/>
          <w:sz w:val="20"/>
          <w:szCs w:val="20"/>
          <w:b w:val="1"/>
          <w:bCs w:val="1"/>
          <w:color w:val="auto"/>
        </w:rPr>
        <w:t>Effective Date</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Consultant has skills and knowledge in the Company’s field of endeavor and is well suited to advise the Company; and</w:t>
      </w:r>
    </w:p>
    <w:p>
      <w:pPr>
        <w:spacing w:after="0" w:line="240" w:lineRule="exact"/>
        <w:rPr>
          <w:sz w:val="20"/>
          <w:szCs w:val="20"/>
          <w:color w:val="auto"/>
        </w:rPr>
      </w:pPr>
    </w:p>
    <w:p>
      <w:pPr>
        <w:ind w:firstLine="879"/>
        <w:spacing w:after="0" w:line="263"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that Consultant advise and consult with the Company in Consultant’s area of expertise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set forth herein;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obligations specified in this Agreement, the parties agree to the following:</w:t>
      </w:r>
    </w:p>
    <w:p>
      <w:pPr>
        <w:spacing w:after="0" w:line="217" w:lineRule="exact"/>
        <w:rPr>
          <w:sz w:val="20"/>
          <w:szCs w:val="20"/>
          <w:color w:val="auto"/>
        </w:rPr>
      </w:pPr>
    </w:p>
    <w:p>
      <w:pPr>
        <w:jc w:val="both"/>
        <w:ind w:firstLine="878"/>
        <w:spacing w:after="0" w:line="248" w:lineRule="auto"/>
        <w:tabs>
          <w:tab w:leader="none" w:pos="1624"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ONSULTING</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20"/>
          <w:szCs w:val="20"/>
          <w:color w:val="auto"/>
        </w:rPr>
        <w:t>. Consultant shall serve as an advisor to the Company, providing consulting services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on finance, accounting, strategy and development matters of the Company from time to time as requested (the “</w:t>
      </w:r>
      <w:r>
        <w:rPr>
          <w:rFonts w:ascii="Arial" w:cs="Arial" w:eastAsia="Arial" w:hAnsi="Arial"/>
          <w:sz w:val="20"/>
          <w:szCs w:val="20"/>
          <w:b w:val="1"/>
          <w:bCs w:val="1"/>
          <w:color w:val="auto"/>
        </w:rPr>
        <w:t>Services</w:t>
      </w:r>
      <w:r>
        <w:rPr>
          <w:rFonts w:ascii="Arial" w:cs="Arial" w:eastAsia="Arial" w:hAnsi="Arial"/>
          <w:sz w:val="20"/>
          <w:szCs w:val="20"/>
          <w:color w:val="auto"/>
        </w:rPr>
        <w:t>”). Consultant will perform the Services using Consultant’s highest degree of professional skill and expertise.</w:t>
      </w:r>
    </w:p>
    <w:p>
      <w:pPr>
        <w:spacing w:after="0" w:line="188" w:lineRule="exact"/>
        <w:rPr>
          <w:sz w:val="20"/>
          <w:szCs w:val="20"/>
          <w:color w:val="auto"/>
        </w:rPr>
      </w:pPr>
    </w:p>
    <w:p>
      <w:pPr>
        <w:ind w:firstLine="879"/>
        <w:spacing w:after="0" w:line="283" w:lineRule="auto"/>
        <w:rPr>
          <w:sz w:val="20"/>
          <w:szCs w:val="20"/>
          <w:color w:val="auto"/>
        </w:rPr>
      </w:pPr>
      <w:r>
        <w:rPr>
          <w:rFonts w:ascii="Arial" w:cs="Arial" w:eastAsia="Arial" w:hAnsi="Arial"/>
          <w:sz w:val="19"/>
          <w:szCs w:val="19"/>
          <w:color w:val="auto"/>
        </w:rPr>
        <w:t>Consultant shall render the Services at such times and in such quantities as are mutually agreeable, provided that such Services shall not exceed fifteen (15) hours in any given month, unless otherwise specifically agreed to by Consultant and Company.</w:t>
      </w:r>
    </w:p>
    <w:p>
      <w:pPr>
        <w:spacing w:after="0" w:line="150" w:lineRule="exact"/>
        <w:rPr>
          <w:sz w:val="20"/>
          <w:szCs w:val="20"/>
          <w:color w:val="auto"/>
        </w:rPr>
      </w:pPr>
    </w:p>
    <w:p>
      <w:pPr>
        <w:jc w:val="both"/>
        <w:ind w:firstLine="878"/>
        <w:spacing w:after="0"/>
        <w:tabs>
          <w:tab w:leader="none" w:pos="1624"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w:t>
      </w:r>
      <w:r>
        <w:rPr>
          <w:rFonts w:ascii="Arial" w:cs="Arial" w:eastAsia="Arial" w:hAnsi="Arial"/>
          <w:sz w:val="20"/>
          <w:szCs w:val="20"/>
          <w:color w:val="auto"/>
        </w:rPr>
        <w:t>. Company shall pay Consultant $250.00 per hour, payable in arrears pursuant to monthly invoices</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by Consultant) for the Services, such invoices payable within thirty (30) days from date of receipt by the Company. The Company shall also reimburse Consultant for reasonable expenses. Additionally, Consultant’s outstanding stock options shall continue to vest through December 31, 2019, and Consultant shall be able to exercise vested options in accordance with applicable law and the terms of the respective option agreements.</w:t>
      </w:r>
    </w:p>
    <w:p>
      <w:pPr>
        <w:spacing w:after="0" w:line="191" w:lineRule="exact"/>
        <w:rPr>
          <w:rFonts w:ascii="Arial" w:cs="Arial" w:eastAsia="Arial" w:hAnsi="Arial"/>
          <w:sz w:val="20"/>
          <w:szCs w:val="20"/>
          <w:b w:val="1"/>
          <w:bCs w:val="1"/>
          <w:color w:val="auto"/>
        </w:rPr>
      </w:pPr>
    </w:p>
    <w:p>
      <w:pPr>
        <w:jc w:val="both"/>
        <w:ind w:firstLine="878"/>
        <w:spacing w:after="0" w:line="243" w:lineRule="auto"/>
        <w:tabs>
          <w:tab w:leader="none" w:pos="1624"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NDEPENDENT</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ONTRACTOR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TATUS</w:t>
      </w:r>
      <w:r>
        <w:rPr>
          <w:rFonts w:ascii="Arial" w:cs="Arial" w:eastAsia="Arial" w:hAnsi="Arial"/>
          <w:sz w:val="20"/>
          <w:szCs w:val="20"/>
          <w:color w:val="auto"/>
        </w:rPr>
        <w:t>. It is understood and agreed that Consultant is an independent contractor, is not an agent</w:t>
      </w:r>
      <w:r>
        <w:rPr>
          <w:rFonts w:ascii="Arial" w:cs="Arial" w:eastAsia="Arial" w:hAnsi="Arial"/>
          <w:sz w:val="20"/>
          <w:szCs w:val="20"/>
          <w:b w:val="1"/>
          <w:bCs w:val="1"/>
          <w:color w:val="auto"/>
        </w:rPr>
        <w:t xml:space="preserve"> </w:t>
      </w:r>
      <w:r>
        <w:rPr>
          <w:rFonts w:ascii="Arial" w:cs="Arial" w:eastAsia="Arial" w:hAnsi="Arial"/>
          <w:sz w:val="20"/>
          <w:szCs w:val="20"/>
          <w:color w:val="auto"/>
        </w:rPr>
        <w:t>or employee of the Company, and is not authorized to act on behalf of the Company. Consultant agrees not to hold himself or herself out as, or give any person any reason to believe that he is an employee, agent, joint venturer or partner of the Company. The Company will not make any deductions from any amounts payable to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118745</wp:posOffset>
            </wp:positionV>
            <wp:extent cx="7298690" cy="643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115" w:name="page116"/>
    <w:bookmarkEnd w:id="115"/>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for taxes or insurance (except to the extent the Company is required by law to do so). All payroll, income and employment taxes shall be the sole responsibility of Consultant.</w:t>
      </w:r>
    </w:p>
    <w:p>
      <w:pPr>
        <w:spacing w:after="0" w:line="172" w:lineRule="exact"/>
        <w:rPr>
          <w:sz w:val="20"/>
          <w:szCs w:val="20"/>
          <w:color w:val="auto"/>
        </w:rPr>
      </w:pPr>
    </w:p>
    <w:p>
      <w:pPr>
        <w:jc w:val="both"/>
        <w:ind w:firstLine="878"/>
        <w:spacing w:after="0" w:line="248" w:lineRule="auto"/>
        <w:tabs>
          <w:tab w:leader="none" w:pos="1624"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OLICITATION</w:t>
      </w:r>
      <w:r>
        <w:rPr>
          <w:rFonts w:ascii="Arial" w:cs="Arial" w:eastAsia="Arial" w:hAnsi="Arial"/>
          <w:sz w:val="20"/>
          <w:szCs w:val="20"/>
          <w:color w:val="auto"/>
        </w:rPr>
        <w:t>. During the term of this Agreement and for one (1) years after its termination, Consultant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personnel performing hereunder) will not personally or through others recruit, solicit or induce any employee of the Company to terminate his or her employment with the Company.</w:t>
      </w:r>
    </w:p>
    <w:p>
      <w:pPr>
        <w:spacing w:after="0" w:line="181" w:lineRule="exact"/>
        <w:rPr>
          <w:rFonts w:ascii="Arial" w:cs="Arial" w:eastAsia="Arial" w:hAnsi="Arial"/>
          <w:sz w:val="20"/>
          <w:szCs w:val="20"/>
          <w:b w:val="1"/>
          <w:bCs w:val="1"/>
          <w:color w:val="auto"/>
        </w:rPr>
      </w:pPr>
    </w:p>
    <w:p>
      <w:pPr>
        <w:ind w:left="1620" w:hanging="742"/>
        <w:spacing w:after="0"/>
        <w:tabs>
          <w:tab w:leader="none" w:pos="162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AINTAINING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ONFIDENTIAL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20"/>
          <w:szCs w:val="20"/>
          <w:color w:val="auto"/>
        </w:rPr>
        <w:t>.</w:t>
      </w:r>
    </w:p>
    <w:p>
      <w:pPr>
        <w:spacing w:after="0" w:line="217" w:lineRule="exact"/>
        <w:rPr>
          <w:sz w:val="20"/>
          <w:szCs w:val="20"/>
          <w:color w:val="auto"/>
        </w:rPr>
      </w:pPr>
    </w:p>
    <w:p>
      <w:pPr>
        <w:jc w:val="both"/>
        <w:ind w:firstLine="879"/>
        <w:spacing w:after="0" w:line="226" w:lineRule="exact"/>
        <w:rPr>
          <w:sz w:val="20"/>
          <w:szCs w:val="20"/>
          <w:color w:val="auto"/>
        </w:rPr>
      </w:pPr>
      <w:r>
        <w:rPr>
          <w:rFonts w:ascii="Arial" w:cs="Arial" w:eastAsia="Arial" w:hAnsi="Arial"/>
          <w:sz w:val="18"/>
          <w:szCs w:val="18"/>
          <w:b w:val="1"/>
          <w:bCs w:val="1"/>
          <w:color w:val="auto"/>
        </w:rPr>
        <w:t>5.1 Company Information</w:t>
      </w:r>
      <w:r>
        <w:rPr>
          <w:rFonts w:ascii="Arial" w:cs="Arial" w:eastAsia="Arial" w:hAnsi="Arial"/>
          <w:sz w:val="18"/>
          <w:szCs w:val="18"/>
          <w:color w:val="auto"/>
        </w:rPr>
        <w:t>. During the term of this Agreement, Consultant may receive or otherwise be exposed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Arial" w:cs="Arial" w:eastAsia="Arial" w:hAnsi="Arial"/>
          <w:sz w:val="18"/>
          <w:szCs w:val="18"/>
          <w:b w:val="1"/>
          <w:bCs w:val="1"/>
          <w:color w:val="auto"/>
        </w:rPr>
        <w:t>Information</w:t>
      </w:r>
      <w:r>
        <w:rPr>
          <w:rFonts w:ascii="Arial" w:cs="Arial" w:eastAsia="Arial" w:hAnsi="Arial"/>
          <w:sz w:val="18"/>
          <w:szCs w:val="18"/>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product know</w:t>
      </w:r>
      <w:r>
        <w:rPr>
          <w:rFonts w:ascii="MS PGothic" w:cs="MS PGothic" w:eastAsia="MS PGothic" w:hAnsi="MS PGothic"/>
          <w:sz w:val="18"/>
          <w:szCs w:val="18"/>
          <w:color w:val="auto"/>
        </w:rPr>
        <w:t>‑</w:t>
      </w:r>
      <w:r>
        <w:rPr>
          <w:rFonts w:ascii="Arial" w:cs="Arial" w:eastAsia="Arial" w:hAnsi="Arial"/>
          <w:sz w:val="18"/>
          <w:szCs w:val="18"/>
          <w:color w:val="auto"/>
        </w:rPr>
        <w:t>how and show</w:t>
      </w:r>
      <w:r>
        <w:rPr>
          <w:rFonts w:ascii="MS PGothic" w:cs="MS PGothic" w:eastAsia="MS PGothic" w:hAnsi="MS PGothic"/>
          <w:sz w:val="18"/>
          <w:szCs w:val="18"/>
          <w:color w:val="auto"/>
        </w:rPr>
        <w:t>‑</w:t>
      </w:r>
      <w:r>
        <w:rPr>
          <w:rFonts w:ascii="Arial" w:cs="Arial" w:eastAsia="Arial" w:hAnsi="Arial"/>
          <w:sz w:val="18"/>
          <w:szCs w:val="18"/>
          <w:color w:val="auto"/>
        </w:rPr>
        <w:t>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and (vi) information regarding the Consulting Inventions (defined in Section 6.1).</w:t>
      </w:r>
    </w:p>
    <w:p>
      <w:pPr>
        <w:spacing w:after="0" w:line="199" w:lineRule="exact"/>
        <w:rPr>
          <w:sz w:val="20"/>
          <w:szCs w:val="20"/>
          <w:color w:val="auto"/>
        </w:rPr>
      </w:pPr>
    </w:p>
    <w:p>
      <w:pPr>
        <w:jc w:val="both"/>
        <w:ind w:firstLine="879"/>
        <w:spacing w:after="0" w:line="238" w:lineRule="auto"/>
        <w:rPr>
          <w:sz w:val="20"/>
          <w:szCs w:val="20"/>
          <w:color w:val="auto"/>
        </w:rPr>
      </w:pPr>
      <w:r>
        <w:rPr>
          <w:rFonts w:ascii="Arial" w:cs="Arial" w:eastAsia="Arial" w:hAnsi="Arial"/>
          <w:sz w:val="20"/>
          <w:szCs w:val="20"/>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Agreement, nor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of the Information.</w:t>
      </w:r>
    </w:p>
    <w:p>
      <w:pPr>
        <w:spacing w:after="0" w:line="197" w:lineRule="exact"/>
        <w:rPr>
          <w:sz w:val="20"/>
          <w:szCs w:val="20"/>
          <w:color w:val="auto"/>
        </w:rPr>
      </w:pPr>
    </w:p>
    <w:p>
      <w:pPr>
        <w:jc w:val="both"/>
        <w:ind w:firstLine="879"/>
        <w:spacing w:after="0" w:line="257" w:lineRule="auto"/>
        <w:rPr>
          <w:sz w:val="20"/>
          <w:szCs w:val="20"/>
          <w:color w:val="auto"/>
        </w:rPr>
      </w:pPr>
      <w:r>
        <w:rPr>
          <w:rFonts w:ascii="Arial" w:cs="Arial" w:eastAsia="Arial" w:hAnsi="Arial"/>
          <w:sz w:val="20"/>
          <w:szCs w:val="20"/>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251460</wp:posOffset>
            </wp:positionV>
            <wp:extent cx="7298690" cy="643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16" w:name="page117"/>
    <w:bookmarkEnd w:id="116"/>
    <w:p>
      <w:pPr>
        <w:jc w:val="both"/>
        <w:ind w:firstLine="879"/>
        <w:spacing w:after="0" w:line="248"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5.2 Employer Information</w:t>
      </w:r>
      <w:r>
        <w:rPr>
          <w:rFonts w:ascii="Arial" w:cs="Arial" w:eastAsia="Arial" w:hAnsi="Arial"/>
          <w:sz w:val="20"/>
          <w:szCs w:val="20"/>
          <w:color w:val="auto"/>
        </w:rPr>
        <w:t>. Consultant agrees that he will not, during her or his engagement with the Company, improperly</w:t>
      </w:r>
      <w:r>
        <w:rPr>
          <w:rFonts w:ascii="Arial" w:cs="Arial" w:eastAsia="Arial" w:hAnsi="Arial"/>
          <w:sz w:val="20"/>
          <w:szCs w:val="20"/>
          <w:b w:val="1"/>
          <w:bCs w:val="1"/>
          <w:color w:val="auto"/>
        </w:rPr>
        <w:t xml:space="preserve"> </w:t>
      </w:r>
      <w:r>
        <w:rPr>
          <w:rFonts w:ascii="Arial" w:cs="Arial" w:eastAsia="Arial" w:hAnsi="Arial"/>
          <w:sz w:val="20"/>
          <w:szCs w:val="20"/>
          <w:color w:val="auto"/>
        </w:rPr>
        <w:t>use or disclose any proprietary information or trade secrets of her or his former or current employers or companies with which he has or has had a consulting or other relationship, if any.</w:t>
      </w:r>
    </w:p>
    <w:p>
      <w:pPr>
        <w:spacing w:after="0" w:line="182" w:lineRule="exact"/>
        <w:rPr>
          <w:sz w:val="20"/>
          <w:szCs w:val="20"/>
          <w:color w:val="auto"/>
        </w:rPr>
      </w:pPr>
    </w:p>
    <w:p>
      <w:pPr>
        <w:jc w:val="both"/>
        <w:ind w:firstLine="879"/>
        <w:spacing w:after="0" w:line="238" w:lineRule="auto"/>
        <w:rPr>
          <w:sz w:val="20"/>
          <w:szCs w:val="20"/>
          <w:color w:val="auto"/>
        </w:rPr>
      </w:pPr>
      <w:r>
        <w:rPr>
          <w:rFonts w:ascii="Arial" w:cs="Arial" w:eastAsia="Arial" w:hAnsi="Arial"/>
          <w:sz w:val="20"/>
          <w:szCs w:val="20"/>
          <w:b w:val="1"/>
          <w:bCs w:val="1"/>
          <w:color w:val="auto"/>
        </w:rPr>
        <w:t>5.3 Third Party Information</w:t>
      </w:r>
      <w:r>
        <w:rPr>
          <w:rFonts w:ascii="Arial" w:cs="Arial" w:eastAsia="Arial" w:hAnsi="Arial"/>
          <w:sz w:val="20"/>
          <w:szCs w:val="20"/>
          <w:color w:val="auto"/>
        </w:rPr>
        <w:t>. Consultant recognizes that the Company has received and in the future will receive from</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parties their confidential or proprietary information subject to a duty on the Company’s part to maintain the confidentiality of such information and, in some cases, to use it only for certain limited purposes. Consultant agrees that he owes the Company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92" w:lineRule="exact"/>
        <w:rPr>
          <w:sz w:val="20"/>
          <w:szCs w:val="20"/>
          <w:color w:val="auto"/>
        </w:rPr>
      </w:pPr>
    </w:p>
    <w:p>
      <w:pPr>
        <w:jc w:val="both"/>
        <w:ind w:firstLine="879"/>
        <w:spacing w:after="0" w:line="260" w:lineRule="auto"/>
        <w:rPr>
          <w:sz w:val="20"/>
          <w:szCs w:val="20"/>
          <w:color w:val="auto"/>
        </w:rPr>
      </w:pPr>
      <w:r>
        <w:rPr>
          <w:rFonts w:ascii="Arial" w:cs="Arial" w:eastAsia="Arial" w:hAnsi="Arial"/>
          <w:sz w:val="19"/>
          <w:szCs w:val="19"/>
          <w:b w:val="1"/>
          <w:bCs w:val="1"/>
          <w:color w:val="auto"/>
        </w:rPr>
        <w:t xml:space="preserve">5.4 Statutory Immunity from Prosecution. </w:t>
      </w:r>
      <w:r>
        <w:rPr>
          <w:rFonts w:ascii="Arial" w:cs="Arial" w:eastAsia="Arial" w:hAnsi="Arial"/>
          <w:sz w:val="19"/>
          <w:szCs w:val="19"/>
          <w:color w:val="auto"/>
        </w:rPr>
        <w:t>Consultant shall not be held criminally or civilly liable under any Federal or</w:t>
      </w:r>
      <w:r>
        <w:rPr>
          <w:rFonts w:ascii="Arial" w:cs="Arial" w:eastAsia="Arial" w:hAnsi="Arial"/>
          <w:sz w:val="19"/>
          <w:szCs w:val="19"/>
          <w:b w:val="1"/>
          <w:bCs w:val="1"/>
          <w:color w:val="auto"/>
        </w:rPr>
        <w:t xml:space="preserve"> </w:t>
      </w:r>
      <w:r>
        <w:rPr>
          <w:rFonts w:ascii="Arial" w:cs="Arial" w:eastAsia="Arial" w:hAnsi="Arial"/>
          <w:sz w:val="19"/>
          <w:szCs w:val="19"/>
          <w:color w:val="auto"/>
        </w:rPr>
        <w:t>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 (ii) is made in a complaint or other document filed in a lawsuit or other proceeding, if such filing is made under seal.</w:t>
      </w:r>
    </w:p>
    <w:p>
      <w:pPr>
        <w:spacing w:after="0" w:line="171" w:lineRule="exact"/>
        <w:rPr>
          <w:sz w:val="20"/>
          <w:szCs w:val="20"/>
          <w:color w:val="auto"/>
        </w:rPr>
      </w:pPr>
    </w:p>
    <w:p>
      <w:pPr>
        <w:ind w:left="1620" w:hanging="742"/>
        <w:spacing w:after="0"/>
        <w:tabs>
          <w:tab w:leader="none" w:pos="162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NVENTIONS</w:t>
      </w:r>
      <w:r>
        <w:rPr>
          <w:rFonts w:ascii="Arial" w:cs="Arial" w:eastAsia="Arial" w:hAnsi="Arial"/>
          <w:sz w:val="20"/>
          <w:szCs w:val="20"/>
          <w:color w:val="auto"/>
        </w:rPr>
        <w:t>.</w:t>
      </w:r>
    </w:p>
    <w:p>
      <w:pPr>
        <w:spacing w:after="0" w:line="217" w:lineRule="exact"/>
        <w:rPr>
          <w:sz w:val="20"/>
          <w:szCs w:val="20"/>
          <w:color w:val="auto"/>
        </w:rPr>
      </w:pPr>
    </w:p>
    <w:p>
      <w:pPr>
        <w:jc w:val="both"/>
        <w:ind w:firstLine="879"/>
        <w:spacing w:after="0" w:line="237" w:lineRule="auto"/>
        <w:rPr>
          <w:sz w:val="20"/>
          <w:szCs w:val="20"/>
          <w:color w:val="auto"/>
        </w:rPr>
      </w:pPr>
      <w:r>
        <w:rPr>
          <w:rFonts w:ascii="Arial" w:cs="Arial" w:eastAsia="Arial" w:hAnsi="Arial"/>
          <w:sz w:val="20"/>
          <w:szCs w:val="20"/>
          <w:b w:val="1"/>
          <w:bCs w:val="1"/>
          <w:color w:val="auto"/>
        </w:rPr>
        <w:t>6.1 Disclosure of Inventions</w:t>
      </w:r>
      <w:r>
        <w:rPr>
          <w:rFonts w:ascii="Arial" w:cs="Arial" w:eastAsia="Arial" w:hAnsi="Arial"/>
          <w:sz w:val="20"/>
          <w:szCs w:val="20"/>
          <w:color w:val="auto"/>
        </w:rPr>
        <w:t>. Consultant shall promptly and fully disclose to the Company any and all ideas, improvements,</w:t>
      </w:r>
      <w:r>
        <w:rPr>
          <w:rFonts w:ascii="Arial" w:cs="Arial" w:eastAsia="Arial" w:hAnsi="Arial"/>
          <w:sz w:val="20"/>
          <w:szCs w:val="20"/>
          <w:b w:val="1"/>
          <w:bCs w:val="1"/>
          <w:color w:val="auto"/>
        </w:rPr>
        <w:t xml:space="preserve"> </w:t>
      </w:r>
      <w:r>
        <w:rPr>
          <w:rFonts w:ascii="Arial" w:cs="Arial" w:eastAsia="Arial" w:hAnsi="Arial"/>
          <w:sz w:val="20"/>
          <w:szCs w:val="20"/>
          <w:color w:val="auto"/>
        </w:rPr>
        <w:t>inventions, know-how, techniques and works of authorship learned, conceived or developed by Consultant pursuant to her, his or its performance of the Services for the Company and/or using the Information (whether such use of Information occurs during or after the term of this Agreement (and without implying any right to use the Information outside of performing the Services)) (all of the foregoing, together with all intellectual property rights therein (including without limitation patent applications and patents), the “</w:t>
      </w:r>
      <w:r>
        <w:rPr>
          <w:rFonts w:ascii="Arial" w:cs="Arial" w:eastAsia="Arial" w:hAnsi="Arial"/>
          <w:sz w:val="20"/>
          <w:szCs w:val="20"/>
          <w:b w:val="1"/>
          <w:bCs w:val="1"/>
          <w:color w:val="auto"/>
        </w:rPr>
        <w:t>Consulting Inventions</w:t>
      </w:r>
      <w:r>
        <w:rPr>
          <w:rFonts w:ascii="Arial" w:cs="Arial" w:eastAsia="Arial" w:hAnsi="Arial"/>
          <w:sz w:val="20"/>
          <w:szCs w:val="20"/>
          <w:color w:val="auto"/>
        </w:rPr>
        <w:t xml:space="preserve">”). </w:t>
      </w:r>
      <w:r>
        <w:rPr>
          <w:rFonts w:ascii="Arial" w:cs="Arial" w:eastAsia="Arial" w:hAnsi="Arial"/>
          <w:sz w:val="20"/>
          <w:szCs w:val="20"/>
          <w:b w:val="1"/>
          <w:bCs w:val="1"/>
          <w:color w:val="auto"/>
        </w:rPr>
        <w:t>All</w:t>
      </w:r>
      <w:r>
        <w:rPr>
          <w:rFonts w:ascii="Arial" w:cs="Arial" w:eastAsia="Arial" w:hAnsi="Arial"/>
          <w:sz w:val="20"/>
          <w:szCs w:val="20"/>
          <w:color w:val="auto"/>
        </w:rPr>
        <w:t xml:space="preserve"> </w:t>
      </w:r>
      <w:r>
        <w:rPr>
          <w:rFonts w:ascii="Arial" w:cs="Arial" w:eastAsia="Arial" w:hAnsi="Arial"/>
          <w:sz w:val="20"/>
          <w:szCs w:val="20"/>
          <w:b w:val="1"/>
          <w:bCs w:val="1"/>
          <w:color w:val="auto"/>
        </w:rPr>
        <w:t>inventions by Consultant during the term of the Services or within one (1) year thereafter and having utility in the field of protease-activated biologics shall be presumed to have been made using the Information unless Consultant is able to show conclusively that they were not.</w:t>
      </w:r>
    </w:p>
    <w:p>
      <w:pPr>
        <w:spacing w:after="0" w:line="196" w:lineRule="exact"/>
        <w:rPr>
          <w:sz w:val="20"/>
          <w:szCs w:val="20"/>
          <w:color w:val="auto"/>
        </w:rPr>
      </w:pPr>
    </w:p>
    <w:p>
      <w:pPr>
        <w:jc w:val="both"/>
        <w:ind w:firstLine="879"/>
        <w:spacing w:after="0" w:line="256" w:lineRule="auto"/>
        <w:rPr>
          <w:sz w:val="20"/>
          <w:szCs w:val="20"/>
          <w:color w:val="auto"/>
        </w:rPr>
      </w:pPr>
      <w:r>
        <w:rPr>
          <w:rFonts w:ascii="Arial" w:cs="Arial" w:eastAsia="Arial" w:hAnsi="Arial"/>
          <w:sz w:val="19"/>
          <w:szCs w:val="19"/>
          <w:b w:val="1"/>
          <w:bCs w:val="1"/>
          <w:color w:val="auto"/>
        </w:rPr>
        <w:t>6.2 Inventions Assigned to the Company</w:t>
      </w:r>
      <w:r>
        <w:rPr>
          <w:rFonts w:ascii="Arial" w:cs="Arial" w:eastAsia="Arial" w:hAnsi="Arial"/>
          <w:sz w:val="19"/>
          <w:szCs w:val="19"/>
          <w:color w:val="auto"/>
        </w:rPr>
        <w:t>. Consultant agrees that any and all Consulting Inventions shall be the sole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property of the Company. Accordingly, Consultant hereby assigns to the Company all her, his or its right, title and interest in and to the Consulting Inventions, and agrees to execute and deliver (during and after the term of this Agreement and for no additional consideration) all documents and take all reasonable, lawful actions to assist the Company to evidence or record such assignment or perfect, defend or enforce the Consulting Inventions. Consultant shall do so both during and after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112395</wp:posOffset>
            </wp:positionV>
            <wp:extent cx="7298690" cy="643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117" w:name="page118"/>
    <w:bookmarkEnd w:id="117"/>
    <w:p>
      <w:pPr>
        <w:jc w:val="both"/>
        <w:spacing w:after="0" w:line="24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for no additional consideration beyond the payments from Company to Consultant for the Services during the term of this Agreement. Further, if Company is unable, after making reasonable inquiry, to obtain Consultant’s signature on any such documents, Consultant hereby appoints Company as Consultant’s attorney-in-fact to execute and deliver such documents.</w:t>
      </w:r>
    </w:p>
    <w:p>
      <w:pPr>
        <w:spacing w:after="0" w:line="190" w:lineRule="exact"/>
        <w:rPr>
          <w:sz w:val="20"/>
          <w:szCs w:val="20"/>
          <w:color w:val="auto"/>
        </w:rPr>
      </w:pPr>
    </w:p>
    <w:p>
      <w:pPr>
        <w:jc w:val="both"/>
        <w:ind w:firstLine="879"/>
        <w:spacing w:after="0" w:line="283" w:lineRule="auto"/>
        <w:rPr>
          <w:sz w:val="20"/>
          <w:szCs w:val="20"/>
          <w:color w:val="auto"/>
        </w:rPr>
      </w:pPr>
      <w:r>
        <w:rPr>
          <w:rFonts w:ascii="Arial" w:cs="Arial" w:eastAsia="Arial" w:hAnsi="Arial"/>
          <w:sz w:val="19"/>
          <w:szCs w:val="19"/>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50" w:lineRule="exact"/>
        <w:rPr>
          <w:sz w:val="20"/>
          <w:szCs w:val="20"/>
          <w:color w:val="auto"/>
        </w:rPr>
      </w:pPr>
    </w:p>
    <w:p>
      <w:pPr>
        <w:jc w:val="both"/>
        <w:ind w:firstLine="878"/>
        <w:spacing w:after="0" w:line="239" w:lineRule="auto"/>
        <w:tabs>
          <w:tab w:leader="none" w:pos="1624"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 AND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expire December 31, 2020. Notwithstanding the foregoing,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Consultant may terminate this Agreement at any time with or without cause by giving thirty (30) days written notice. If this Agreement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4-6 of this Agreement shall survive any termination of this Agreement.</w:t>
      </w:r>
    </w:p>
    <w:p>
      <w:pPr>
        <w:spacing w:after="0" w:line="191" w:lineRule="exact"/>
        <w:rPr>
          <w:rFonts w:ascii="Arial" w:cs="Arial" w:eastAsia="Arial" w:hAnsi="Arial"/>
          <w:sz w:val="20"/>
          <w:szCs w:val="20"/>
          <w:b w:val="1"/>
          <w:bCs w:val="1"/>
          <w:color w:val="auto"/>
        </w:rPr>
      </w:pPr>
    </w:p>
    <w:p>
      <w:pPr>
        <w:ind w:firstLine="878"/>
        <w:spacing w:after="0" w:line="263" w:lineRule="auto"/>
        <w:tabs>
          <w:tab w:leader="none" w:pos="1624"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 WITH</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PPLICABLE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AWS</w:t>
      </w:r>
      <w:r>
        <w:rPr>
          <w:rFonts w:ascii="Arial" w:cs="Arial" w:eastAsia="Arial" w:hAnsi="Arial"/>
          <w:sz w:val="20"/>
          <w:szCs w:val="20"/>
          <w:color w:val="auto"/>
        </w:rPr>
        <w:t>. Consultant warrants that all work performed under this Agreement complies with or</w:t>
      </w:r>
      <w:r>
        <w:rPr>
          <w:rFonts w:ascii="Arial" w:cs="Arial" w:eastAsia="Arial" w:hAnsi="Arial"/>
          <w:sz w:val="20"/>
          <w:szCs w:val="20"/>
          <w:b w:val="1"/>
          <w:bCs w:val="1"/>
          <w:color w:val="auto"/>
        </w:rPr>
        <w:t xml:space="preserve"> </w:t>
      </w:r>
      <w:r>
        <w:rPr>
          <w:rFonts w:ascii="Arial" w:cs="Arial" w:eastAsia="Arial" w:hAnsi="Arial"/>
          <w:sz w:val="20"/>
          <w:szCs w:val="20"/>
          <w:color w:val="auto"/>
        </w:rPr>
        <w:t>will comply with all applicable United States and foreign laws and regulations.</w:t>
      </w:r>
    </w:p>
    <w:p>
      <w:pPr>
        <w:spacing w:after="0" w:line="166" w:lineRule="exact"/>
        <w:rPr>
          <w:rFonts w:ascii="Arial" w:cs="Arial" w:eastAsia="Arial" w:hAnsi="Arial"/>
          <w:sz w:val="20"/>
          <w:szCs w:val="20"/>
          <w:b w:val="1"/>
          <w:bCs w:val="1"/>
          <w:color w:val="auto"/>
        </w:rPr>
      </w:pPr>
    </w:p>
    <w:p>
      <w:pPr>
        <w:jc w:val="both"/>
        <w:ind w:firstLine="878"/>
        <w:spacing w:after="0" w:line="243" w:lineRule="auto"/>
        <w:tabs>
          <w:tab w:leader="none" w:pos="1624"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B</w:t>
      </w:r>
      <w:r>
        <w:rPr>
          <w:rFonts w:ascii="Arial" w:cs="Arial" w:eastAsia="Arial" w:hAnsi="Arial"/>
          <w:sz w:val="13"/>
          <w:szCs w:val="13"/>
          <w:b w:val="1"/>
          <w:bCs w:val="1"/>
          <w:color w:val="auto"/>
        </w:rPr>
        <w:t>ENEFIT</w:t>
      </w:r>
      <w:r>
        <w:rPr>
          <w:rFonts w:ascii="Arial" w:cs="Arial" w:eastAsia="Arial" w:hAnsi="Arial"/>
          <w:sz w:val="20"/>
          <w:szCs w:val="20"/>
          <w:color w:val="auto"/>
        </w:rPr>
        <w:t>. This Agreement is for the personal services of Consultant and may not be assigned by her, him or</w:t>
      </w:r>
      <w:r>
        <w:rPr>
          <w:rFonts w:ascii="Arial" w:cs="Arial" w:eastAsia="Arial" w:hAnsi="Arial"/>
          <w:sz w:val="20"/>
          <w:szCs w:val="20"/>
          <w:b w:val="1"/>
          <w:bCs w:val="1"/>
          <w:color w:val="auto"/>
        </w:rPr>
        <w:t xml:space="preserve"> </w:t>
      </w:r>
      <w:r>
        <w:rPr>
          <w:rFonts w:ascii="Arial" w:cs="Arial" w:eastAsia="Arial" w:hAnsi="Arial"/>
          <w:sz w:val="20"/>
          <w:szCs w:val="20"/>
          <w:color w:val="auto"/>
        </w:rPr>
        <w:t>it. Consultant may not delegate any of his, her or its duties under this Agreement nor shall it be assignable by Consultant by operation of law, without the prior written consent of the Company. The parties’ rights and obligations under this Agreement will bind and inure to the benefit of their respective successors, heirs, executors, and administrators and permitted assigns.</w:t>
      </w:r>
    </w:p>
    <w:p>
      <w:pPr>
        <w:spacing w:after="0" w:line="186" w:lineRule="exact"/>
        <w:rPr>
          <w:rFonts w:ascii="Arial" w:cs="Arial" w:eastAsia="Arial" w:hAnsi="Arial"/>
          <w:sz w:val="20"/>
          <w:szCs w:val="20"/>
          <w:b w:val="1"/>
          <w:bCs w:val="1"/>
          <w:color w:val="auto"/>
        </w:rPr>
      </w:pPr>
    </w:p>
    <w:p>
      <w:pPr>
        <w:jc w:val="both"/>
        <w:ind w:firstLine="878"/>
        <w:spacing w:after="0" w:line="239" w:lineRule="auto"/>
        <w:tabs>
          <w:tab w:leader="none" w:pos="1723"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EGAL AND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QUITABLE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EMEDIES</w:t>
      </w:r>
      <w:r>
        <w:rPr>
          <w:rFonts w:ascii="Arial" w:cs="Arial" w:eastAsia="Arial" w:hAnsi="Arial"/>
          <w:sz w:val="20"/>
          <w:szCs w:val="20"/>
          <w:color w:val="auto"/>
        </w:rPr>
        <w:t>. Consultant hereby acknowledges and agrees that if Consultant breaches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91" w:lineRule="exact"/>
        <w:rPr>
          <w:rFonts w:ascii="Arial" w:cs="Arial" w:eastAsia="Arial" w:hAnsi="Arial"/>
          <w:sz w:val="20"/>
          <w:szCs w:val="20"/>
          <w:b w:val="1"/>
          <w:bCs w:val="1"/>
          <w:color w:val="auto"/>
        </w:rPr>
      </w:pPr>
    </w:p>
    <w:p>
      <w:pPr>
        <w:jc w:val="both"/>
        <w:ind w:firstLine="878"/>
        <w:spacing w:after="0" w:line="243" w:lineRule="auto"/>
        <w:tabs>
          <w:tab w:leader="none" w:pos="1712"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notices required or permitted hereunder shall be given to the appropriate party at the address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118745</wp:posOffset>
            </wp:positionV>
            <wp:extent cx="7298690" cy="643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98690" cy="643890"/>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18" w:name="page119"/>
    <w:bookmarkEnd w:id="11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899160" cy="5048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899160" cy="504825"/>
                    </a:xfrm>
                    <a:prstGeom prst="rect">
                      <a:avLst/>
                    </a:prstGeom>
                    <a:noFill/>
                  </pic:spPr>
                </pic:pic>
              </a:graphicData>
            </a:graphic>
          </wp:anchor>
        </w:drawing>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If to the Consultant:</w:t>
      </w:r>
    </w:p>
    <w:p>
      <w:pPr>
        <w:spacing w:after="0" w:line="26" w:lineRule="exact"/>
        <w:rPr>
          <w:sz w:val="20"/>
          <w:szCs w:val="20"/>
          <w:color w:val="auto"/>
        </w:rPr>
      </w:pPr>
    </w:p>
    <w:p>
      <w:pPr>
        <w:sectPr>
          <w:pgSz w:w="11900" w:h="16838" w:orient="portrait"/>
          <w:cols w:equalWidth="0" w:num="2">
            <w:col w:w="6140" w:space="720"/>
            <w:col w:w="4560"/>
          </w:cols>
          <w:pgMar w:left="240" w:top="1338" w:right="239" w:bottom="1440" w:gutter="0" w:footer="0" w:header="0"/>
        </w:sectPr>
      </w:pPr>
    </w:p>
    <w:p>
      <w:pPr>
        <w:ind w:left="88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ind w:left="880"/>
        <w:spacing w:after="0"/>
        <w:rPr>
          <w:sz w:val="20"/>
          <w:szCs w:val="20"/>
          <w:color w:val="auto"/>
        </w:rPr>
      </w:pPr>
      <w:r>
        <w:rPr>
          <w:rFonts w:ascii="Arial" w:cs="Arial" w:eastAsia="Arial" w:hAnsi="Arial"/>
          <w:sz w:val="18"/>
          <w:szCs w:val="18"/>
          <w:color w:val="auto"/>
        </w:rPr>
        <w:t>151 Oyster Point Blvd, Suite 400</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South San Francisco, CA 94080</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ATTN: General Counsel</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b w:val="1"/>
          <w:bCs w:val="1"/>
          <w:color w:val="auto"/>
        </w:rPr>
        <w:t>Debanjan Ray</w:t>
      </w:r>
    </w:p>
    <w:p>
      <w:pPr>
        <w:spacing w:after="0" w:line="875" w:lineRule="exact"/>
        <w:rPr>
          <w:sz w:val="20"/>
          <w:szCs w:val="20"/>
          <w:color w:val="auto"/>
        </w:rPr>
      </w:pPr>
    </w:p>
    <w:p>
      <w:pPr>
        <w:sectPr>
          <w:pgSz w:w="11900" w:h="16838" w:orient="portrait"/>
          <w:cols w:equalWidth="0" w:num="2">
            <w:col w:w="6140" w:space="720"/>
            <w:col w:w="4560"/>
          </w:cols>
          <w:pgMar w:left="240" w:top="1338" w:right="239" w:bottom="1440" w:gutter="0" w:footer="0" w:header="0"/>
          <w:type w:val="continuous"/>
        </w:sectPr>
      </w:pPr>
    </w:p>
    <w:p>
      <w:pPr>
        <w:jc w:val="both"/>
        <w:ind w:firstLine="878"/>
        <w:spacing w:after="0" w:line="271" w:lineRule="auto"/>
        <w:tabs>
          <w:tab w:leader="none" w:pos="1723"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S</w:t>
      </w:r>
      <w:r>
        <w:rPr>
          <w:rFonts w:ascii="Arial" w:cs="Arial" w:eastAsia="Arial" w:hAnsi="Arial"/>
          <w:sz w:val="12"/>
          <w:szCs w:val="12"/>
          <w:b w:val="1"/>
          <w:bCs w:val="1"/>
          <w:color w:val="auto"/>
        </w:rPr>
        <w:t>EVERABILITY</w:t>
      </w:r>
      <w:r>
        <w:rPr>
          <w:rFonts w:ascii="Arial" w:cs="Arial" w:eastAsia="Arial" w:hAnsi="Arial"/>
          <w:sz w:val="18"/>
          <w:szCs w:val="18"/>
          <w:color w:val="auto"/>
        </w:rPr>
        <w:t>. This Agreement shall be governed by and construed according to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California, without giving effect to its conflict of laws rules. If any provision of this Agreement is found by a court of competent jurisdiction to be unenforceable, that provision shall be severed and the remainder of this Agreement shall continue in full force and effect. Any disputes arising under this Agreement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162" w:lineRule="exact"/>
        <w:rPr>
          <w:rFonts w:ascii="Arial" w:cs="Arial" w:eastAsia="Arial" w:hAnsi="Arial"/>
          <w:sz w:val="18"/>
          <w:szCs w:val="18"/>
          <w:b w:val="1"/>
          <w:bCs w:val="1"/>
          <w:color w:val="auto"/>
        </w:rPr>
      </w:pPr>
    </w:p>
    <w:p>
      <w:pPr>
        <w:jc w:val="both"/>
        <w:ind w:firstLine="878"/>
        <w:spacing w:after="0" w:line="279" w:lineRule="auto"/>
        <w:tabs>
          <w:tab w:leader="none" w:pos="1723"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OMPLETE</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NDERSTANDING</w:t>
      </w:r>
      <w:r>
        <w:rPr>
          <w:rFonts w:ascii="Arial" w:cs="Arial" w:eastAsia="Arial" w:hAnsi="Arial"/>
          <w:sz w:val="18"/>
          <w:szCs w:val="18"/>
          <w:b w:val="1"/>
          <w:bCs w:val="1"/>
          <w:color w:val="auto"/>
        </w:rPr>
        <w:t>; M</w:t>
      </w:r>
      <w:r>
        <w:rPr>
          <w:rFonts w:ascii="Arial" w:cs="Arial" w:eastAsia="Arial" w:hAnsi="Arial"/>
          <w:sz w:val="12"/>
          <w:szCs w:val="12"/>
          <w:b w:val="1"/>
          <w:bCs w:val="1"/>
          <w:color w:val="auto"/>
        </w:rPr>
        <w:t>ODIFICATION</w:t>
      </w:r>
      <w:r>
        <w:rPr>
          <w:rFonts w:ascii="Arial" w:cs="Arial" w:eastAsia="Arial" w:hAnsi="Arial"/>
          <w:sz w:val="18"/>
          <w:szCs w:val="18"/>
          <w:color w:val="auto"/>
        </w:rPr>
        <w:t>. This Agreement constitutes the final, exclusive and complete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 of the Company and Consultant with respect to the subject matter hereof. There are no other understandings, agreements, representations or warranties between the parties with respect to that subject matter other than those set forth in this Agreement. Any waiver, modification or amendment of any provision of this Agreement shall be effective only if in writing and signed by a Company officer.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executed this Agreement as of the Effective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00" w:type="dxa"/>
            <w:vAlign w:val="bottom"/>
            <w:gridSpan w:val="5"/>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3280" w:type="dxa"/>
            <w:vAlign w:val="bottom"/>
            <w:gridSpan w:val="5"/>
          </w:tcPr>
          <w:p>
            <w:pPr>
              <w:ind w:left="17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ONSULTANT</w:t>
            </w:r>
          </w:p>
        </w:tc>
      </w:tr>
      <w:tr>
        <w:trPr>
          <w:trHeight w:val="387"/>
        </w:trPr>
        <w:tc>
          <w:tcPr>
            <w:tcW w:w="4000" w:type="dxa"/>
            <w:vAlign w:val="bottom"/>
            <w:gridSpan w:val="5"/>
          </w:tcPr>
          <w:p>
            <w:pPr>
              <w:spacing w:after="0"/>
              <w:rPr>
                <w:sz w:val="20"/>
                <w:szCs w:val="20"/>
                <w:color w:val="auto"/>
              </w:rPr>
            </w:pPr>
            <w:r>
              <w:rPr>
                <w:rFonts w:ascii="Arial" w:cs="Arial" w:eastAsia="Arial" w:hAnsi="Arial"/>
                <w:sz w:val="18"/>
                <w:szCs w:val="18"/>
                <w:color w:val="auto"/>
              </w:rPr>
              <w:t>By: /s/Sean McCarthy</w:t>
            </w:r>
          </w:p>
        </w:tc>
        <w:tc>
          <w:tcPr>
            <w:tcW w:w="3280" w:type="dxa"/>
            <w:vAlign w:val="bottom"/>
            <w:gridSpan w:val="5"/>
          </w:tcPr>
          <w:p>
            <w:pPr>
              <w:ind w:left="1720"/>
              <w:spacing w:after="0"/>
              <w:rPr>
                <w:sz w:val="20"/>
                <w:szCs w:val="20"/>
                <w:color w:val="auto"/>
              </w:rPr>
            </w:pPr>
            <w:r>
              <w:rPr>
                <w:rFonts w:ascii="Arial" w:cs="Arial" w:eastAsia="Arial" w:hAnsi="Arial"/>
                <w:sz w:val="18"/>
                <w:szCs w:val="18"/>
                <w:color w:val="auto"/>
                <w:w w:val="93"/>
              </w:rPr>
              <w:t>By: /s/Debanjan Ray</w:t>
            </w: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6"/>
        </w:trPr>
        <w:tc>
          <w:tcPr>
            <w:tcW w:w="4000" w:type="dxa"/>
            <w:vAlign w:val="bottom"/>
            <w:gridSpan w:val="5"/>
          </w:tcPr>
          <w:p>
            <w:pPr>
              <w:spacing w:after="0"/>
              <w:rPr>
                <w:sz w:val="20"/>
                <w:szCs w:val="20"/>
                <w:color w:val="auto"/>
              </w:rPr>
            </w:pPr>
            <w:r>
              <w:rPr>
                <w:rFonts w:ascii="Arial" w:cs="Arial" w:eastAsia="Arial" w:hAnsi="Arial"/>
                <w:sz w:val="18"/>
                <w:szCs w:val="18"/>
                <w:color w:val="auto"/>
              </w:rPr>
              <w:t>Name: Dr. Sean McCarthy</w:t>
            </w:r>
          </w:p>
        </w:tc>
        <w:tc>
          <w:tcPr>
            <w:tcW w:w="3280" w:type="dxa"/>
            <w:vAlign w:val="bottom"/>
            <w:gridSpan w:val="5"/>
          </w:tcPr>
          <w:p>
            <w:pPr>
              <w:ind w:left="1720"/>
              <w:spacing w:after="0"/>
              <w:rPr>
                <w:sz w:val="20"/>
                <w:szCs w:val="20"/>
                <w:color w:val="auto"/>
              </w:rPr>
            </w:pPr>
            <w:r>
              <w:rPr>
                <w:rFonts w:ascii="Arial" w:cs="Arial" w:eastAsia="Arial" w:hAnsi="Arial"/>
                <w:sz w:val="18"/>
                <w:szCs w:val="18"/>
                <w:color w:val="auto"/>
                <w:w w:val="89"/>
              </w:rPr>
              <w:t>Name: Debanjan Ray</w:t>
            </w:r>
          </w:p>
        </w:tc>
      </w:tr>
      <w:tr>
        <w:trPr>
          <w:trHeight w:val="435"/>
        </w:trPr>
        <w:tc>
          <w:tcPr>
            <w:tcW w:w="4000" w:type="dxa"/>
            <w:vAlign w:val="bottom"/>
            <w:gridSpan w:val="5"/>
          </w:tcPr>
          <w:p>
            <w:pPr>
              <w:spacing w:after="0"/>
              <w:rPr>
                <w:sz w:val="20"/>
                <w:szCs w:val="20"/>
                <w:color w:val="auto"/>
              </w:rPr>
            </w:pPr>
            <w:r>
              <w:rPr>
                <w:rFonts w:ascii="Arial" w:cs="Arial" w:eastAsia="Arial" w:hAnsi="Arial"/>
                <w:sz w:val="18"/>
                <w:szCs w:val="18"/>
                <w:color w:val="auto"/>
              </w:rPr>
              <w:t>Title: President and CEO</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4000" w:type="dxa"/>
            <w:vAlign w:val="bottom"/>
            <w:gridSpan w:val="5"/>
          </w:tcPr>
          <w:p>
            <w:pPr>
              <w:spacing w:after="0"/>
              <w:rPr>
                <w:sz w:val="20"/>
                <w:szCs w:val="20"/>
                <w:color w:val="auto"/>
              </w:rPr>
            </w:pPr>
            <w:r>
              <w:rPr>
                <w:rFonts w:ascii="Arial" w:cs="Arial" w:eastAsia="Arial" w:hAnsi="Arial"/>
                <w:sz w:val="18"/>
                <w:szCs w:val="18"/>
                <w:color w:val="auto"/>
              </w:rPr>
              <w:t>Date: May 8, 2019</w:t>
            </w:r>
          </w:p>
        </w:tc>
        <w:tc>
          <w:tcPr>
            <w:tcW w:w="3280" w:type="dxa"/>
            <w:vAlign w:val="bottom"/>
            <w:gridSpan w:val="5"/>
          </w:tcPr>
          <w:p>
            <w:pPr>
              <w:ind w:left="1720"/>
              <w:spacing w:after="0"/>
              <w:rPr>
                <w:sz w:val="20"/>
                <w:szCs w:val="20"/>
                <w:color w:val="auto"/>
              </w:rPr>
            </w:pPr>
            <w:r>
              <w:rPr>
                <w:rFonts w:ascii="Arial" w:cs="Arial" w:eastAsia="Arial" w:hAnsi="Arial"/>
                <w:sz w:val="18"/>
                <w:szCs w:val="18"/>
                <w:color w:val="auto"/>
              </w:rPr>
              <w:t>Date: May 8, 2019</w:t>
            </w:r>
          </w:p>
        </w:tc>
      </w:tr>
      <w:tr>
        <w:trPr>
          <w:trHeight w:val="25"/>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836295</wp:posOffset>
            </wp:positionV>
            <wp:extent cx="6074410" cy="552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074410" cy="552450"/>
                    </a:xfrm>
                    <a:prstGeom prst="rect">
                      <a:avLst/>
                    </a:prstGeom>
                    <a:noFill/>
                  </pic:spPr>
                </pic:pic>
              </a:graphicData>
            </a:graphic>
          </wp:anchor>
        </w:drawing>
      </w:r>
    </w:p>
    <w:p>
      <w:pPr>
        <w:sectPr>
          <w:pgSz w:w="11900" w:h="16838" w:orient="portrait"/>
          <w:cols w:equalWidth="0" w:num="1">
            <w:col w:w="11420"/>
          </w:cols>
          <w:pgMar w:left="240" w:top="1338"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 Sean A. McCarthy, President and Chief Executive Officer of CytomX Therapeutics, Inc., certify that:</w:t>
      </w:r>
    </w:p>
    <w:p>
      <w:pPr>
        <w:spacing w:after="0" w:line="103" w:lineRule="exact"/>
        <w:rPr>
          <w:sz w:val="20"/>
          <w:szCs w:val="20"/>
          <w:color w:val="auto"/>
        </w:rPr>
      </w:pPr>
    </w:p>
    <w:p>
      <w:pPr>
        <w:ind w:left="760" w:hanging="251"/>
        <w:spacing w:after="0"/>
        <w:tabs>
          <w:tab w:leader="none" w:pos="7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CytomX Therapeutics, Inc.;</w:t>
      </w:r>
    </w:p>
    <w:p>
      <w:pPr>
        <w:spacing w:after="0" w:line="202" w:lineRule="exact"/>
        <w:rPr>
          <w:rFonts w:ascii="Arial" w:cs="Arial" w:eastAsia="Arial" w:hAnsi="Arial"/>
          <w:sz w:val="17"/>
          <w:szCs w:val="17"/>
          <w:color w:val="auto"/>
        </w:rPr>
      </w:pPr>
    </w:p>
    <w:p>
      <w:pPr>
        <w:ind w:left="760" w:right="300" w:hanging="251"/>
        <w:spacing w:after="0" w:line="371" w:lineRule="auto"/>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760" w:right="380" w:hanging="251"/>
        <w:spacing w:after="0" w:line="263" w:lineRule="auto"/>
        <w:tabs>
          <w:tab w:leader="none" w:pos="7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jc w:val="both"/>
        <w:ind w:left="760" w:right="180" w:hanging="251"/>
        <w:spacing w:after="0" w:line="203" w:lineRule="exact"/>
        <w:tabs>
          <w:tab w:leader="none" w:pos="7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15d-15(e)) and internal control over financial reporting (as defined in Exchange Act Rules 13a-15(f) and 15d-15(f)) for the registrant and have:</w:t>
      </w:r>
    </w:p>
    <w:p>
      <w:pPr>
        <w:spacing w:after="0" w:line="87" w:lineRule="exact"/>
        <w:rPr>
          <w:rFonts w:ascii="Arial" w:cs="Arial" w:eastAsia="Arial" w:hAnsi="Arial"/>
          <w:sz w:val="17"/>
          <w:szCs w:val="17"/>
          <w:color w:val="auto"/>
        </w:rPr>
      </w:pPr>
    </w:p>
    <w:p>
      <w:pPr>
        <w:ind w:left="1540" w:right="20" w:hanging="509"/>
        <w:spacing w:after="0" w:line="253" w:lineRule="auto"/>
        <w:tabs>
          <w:tab w:leader="none" w:pos="1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540" w:hanging="509"/>
        <w:spacing w:after="0" w:line="253" w:lineRule="auto"/>
        <w:tabs>
          <w:tab w:leader="none" w:pos="1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left="1540" w:right="60" w:hanging="509"/>
        <w:spacing w:after="0" w:line="295" w:lineRule="auto"/>
        <w:tabs>
          <w:tab w:leader="none" w:pos="15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6"/>
          <w:szCs w:val="16"/>
          <w:color w:val="auto"/>
        </w:rPr>
      </w:pPr>
    </w:p>
    <w:p>
      <w:pPr>
        <w:ind w:left="1540" w:right="80" w:hanging="509"/>
        <w:spacing w:after="0" w:line="253" w:lineRule="auto"/>
        <w:tabs>
          <w:tab w:leader="none" w:pos="1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760" w:right="160" w:hanging="251"/>
        <w:spacing w:after="0" w:line="263" w:lineRule="auto"/>
        <w:tabs>
          <w:tab w:leader="none" w:pos="7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540" w:right="400" w:hanging="509"/>
        <w:spacing w:after="0" w:line="295" w:lineRule="auto"/>
        <w:tabs>
          <w:tab w:leader="none" w:pos="15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6"/>
          <w:szCs w:val="16"/>
          <w:color w:val="auto"/>
        </w:rPr>
      </w:pPr>
    </w:p>
    <w:p>
      <w:pPr>
        <w:ind w:left="1540" w:right="20" w:hanging="509"/>
        <w:spacing w:after="0" w:line="263" w:lineRule="auto"/>
        <w:tabs>
          <w:tab w:leader="none" w:pos="1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80" w:type="dxa"/>
            <w:vAlign w:val="bottom"/>
          </w:tcPr>
          <w:p>
            <w:pPr>
              <w:spacing w:after="0"/>
              <w:rPr>
                <w:sz w:val="20"/>
                <w:szCs w:val="20"/>
                <w:color w:val="auto"/>
              </w:rPr>
            </w:pPr>
            <w:r>
              <w:rPr>
                <w:rFonts w:ascii="Arial" w:cs="Arial" w:eastAsia="Arial" w:hAnsi="Arial"/>
                <w:sz w:val="17"/>
                <w:szCs w:val="17"/>
                <w:color w:val="auto"/>
              </w:rPr>
              <w:t>Date: May 9, 2019</w:t>
            </w:r>
          </w:p>
        </w:tc>
        <w:tc>
          <w:tcPr>
            <w:tcW w:w="2840" w:type="dxa"/>
            <w:vAlign w:val="bottom"/>
          </w:tcPr>
          <w:p>
            <w:pPr>
              <w:ind w:left="2040"/>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A. McCarthy</w:t>
            </w:r>
          </w:p>
        </w:tc>
      </w:tr>
      <w:tr>
        <w:trPr>
          <w:trHeight w:val="204"/>
        </w:trPr>
        <w:tc>
          <w:tcPr>
            <w:tcW w:w="3280" w:type="dxa"/>
            <w:vAlign w:val="bottom"/>
          </w:tcPr>
          <w:p>
            <w:pPr>
              <w:spacing w:after="0"/>
              <w:rPr>
                <w:sz w:val="17"/>
                <w:szCs w:val="17"/>
                <w:color w:val="auto"/>
              </w:rPr>
            </w:pPr>
          </w:p>
        </w:tc>
        <w:tc>
          <w:tcPr>
            <w:tcW w:w="2840" w:type="dxa"/>
            <w:vAlign w:val="bottom"/>
          </w:tcPr>
          <w:p>
            <w:pPr>
              <w:ind w:left="2040"/>
              <w:spacing w:after="0" w:line="192" w:lineRule="exact"/>
              <w:rPr>
                <w:sz w:val="20"/>
                <w:szCs w:val="20"/>
                <w:color w:val="auto"/>
              </w:rPr>
            </w:pPr>
            <w:r>
              <w:rPr>
                <w:rFonts w:ascii="Arial" w:cs="Arial" w:eastAsia="Arial" w:hAnsi="Arial"/>
                <w:sz w:val="17"/>
                <w:szCs w:val="17"/>
                <w:color w:val="auto"/>
              </w:rPr>
              <w:t>Name:</w:t>
            </w:r>
          </w:p>
        </w:tc>
        <w:tc>
          <w:tcPr>
            <w:tcW w:w="4720" w:type="dxa"/>
            <w:vAlign w:val="bottom"/>
          </w:tcPr>
          <w:p>
            <w:pPr>
              <w:spacing w:after="0"/>
              <w:rPr>
                <w:sz w:val="20"/>
                <w:szCs w:val="20"/>
                <w:color w:val="auto"/>
              </w:rPr>
            </w:pPr>
            <w:r>
              <w:rPr>
                <w:rFonts w:ascii="Arial" w:cs="Arial" w:eastAsia="Arial" w:hAnsi="Arial"/>
                <w:sz w:val="17"/>
                <w:szCs w:val="17"/>
                <w:color w:val="auto"/>
              </w:rPr>
              <w:t>Sean A. McCarthy</w:t>
            </w:r>
          </w:p>
        </w:tc>
      </w:tr>
      <w:tr>
        <w:trPr>
          <w:trHeight w:val="212"/>
        </w:trPr>
        <w:tc>
          <w:tcPr>
            <w:tcW w:w="3280" w:type="dxa"/>
            <w:vAlign w:val="bottom"/>
          </w:tcPr>
          <w:p>
            <w:pPr>
              <w:spacing w:after="0"/>
              <w:rPr>
                <w:sz w:val="18"/>
                <w:szCs w:val="18"/>
                <w:color w:val="auto"/>
              </w:rPr>
            </w:pPr>
          </w:p>
        </w:tc>
        <w:tc>
          <w:tcPr>
            <w:tcW w:w="2840" w:type="dxa"/>
            <w:vAlign w:val="bottom"/>
          </w:tcPr>
          <w:p>
            <w:pPr>
              <w:ind w:left="2040"/>
              <w:spacing w:after="0"/>
              <w:rPr>
                <w:sz w:val="20"/>
                <w:szCs w:val="20"/>
                <w:color w:val="auto"/>
              </w:rPr>
            </w:pPr>
            <w:r>
              <w:rPr>
                <w:rFonts w:ascii="Arial" w:cs="Arial" w:eastAsia="Arial" w:hAnsi="Arial"/>
                <w:sz w:val="17"/>
                <w:szCs w:val="17"/>
                <w:color w:val="auto"/>
              </w:rPr>
              <w:t>Title:</w:t>
            </w:r>
          </w:p>
        </w:tc>
        <w:tc>
          <w:tcPr>
            <w:tcW w:w="47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3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 Debanjan Ray, Chief Financial Officer of CytomX Therapeutics, Inc., certify that:</w:t>
      </w:r>
    </w:p>
    <w:p>
      <w:pPr>
        <w:spacing w:after="0" w:line="103" w:lineRule="exact"/>
        <w:rPr>
          <w:sz w:val="20"/>
          <w:szCs w:val="20"/>
          <w:color w:val="auto"/>
        </w:rPr>
      </w:pPr>
    </w:p>
    <w:p>
      <w:pPr>
        <w:ind w:left="760" w:hanging="251"/>
        <w:spacing w:after="0"/>
        <w:tabs>
          <w:tab w:leader="none" w:pos="7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CytomX Therapeutics, Inc.;</w:t>
      </w:r>
    </w:p>
    <w:p>
      <w:pPr>
        <w:spacing w:after="0" w:line="202" w:lineRule="exact"/>
        <w:rPr>
          <w:rFonts w:ascii="Arial" w:cs="Arial" w:eastAsia="Arial" w:hAnsi="Arial"/>
          <w:sz w:val="17"/>
          <w:szCs w:val="17"/>
          <w:color w:val="auto"/>
        </w:rPr>
      </w:pPr>
    </w:p>
    <w:p>
      <w:pPr>
        <w:ind w:left="760" w:right="300" w:hanging="251"/>
        <w:spacing w:after="0" w:line="371" w:lineRule="auto"/>
        <w:tabs>
          <w:tab w:leader="none" w:pos="7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760" w:right="380" w:hanging="251"/>
        <w:spacing w:after="0" w:line="263" w:lineRule="auto"/>
        <w:tabs>
          <w:tab w:leader="none" w:pos="7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jc w:val="both"/>
        <w:ind w:left="760" w:right="180" w:hanging="251"/>
        <w:spacing w:after="0" w:line="203" w:lineRule="exact"/>
        <w:tabs>
          <w:tab w:leader="none" w:pos="7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15d-15(e)) and internal control over financial reporting (as defined in Exchange Act Rules 13a-15(f) and 15d-15(f)) for the registrant and have:</w:t>
      </w:r>
    </w:p>
    <w:p>
      <w:pPr>
        <w:spacing w:after="0" w:line="87" w:lineRule="exact"/>
        <w:rPr>
          <w:rFonts w:ascii="Arial" w:cs="Arial" w:eastAsia="Arial" w:hAnsi="Arial"/>
          <w:sz w:val="17"/>
          <w:szCs w:val="17"/>
          <w:color w:val="auto"/>
        </w:rPr>
      </w:pPr>
    </w:p>
    <w:p>
      <w:pPr>
        <w:ind w:left="1540" w:right="20" w:hanging="509"/>
        <w:spacing w:after="0" w:line="253" w:lineRule="auto"/>
        <w:tabs>
          <w:tab w:leader="none" w:pos="1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540" w:hanging="509"/>
        <w:spacing w:after="0" w:line="253" w:lineRule="auto"/>
        <w:tabs>
          <w:tab w:leader="none" w:pos="1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left="1540" w:right="60" w:hanging="509"/>
        <w:spacing w:after="0" w:line="295" w:lineRule="auto"/>
        <w:tabs>
          <w:tab w:leader="none" w:pos="15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6"/>
          <w:szCs w:val="16"/>
          <w:color w:val="auto"/>
        </w:rPr>
      </w:pPr>
    </w:p>
    <w:p>
      <w:pPr>
        <w:ind w:left="1540" w:right="80" w:hanging="509"/>
        <w:spacing w:after="0" w:line="253" w:lineRule="auto"/>
        <w:tabs>
          <w:tab w:leader="none" w:pos="1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760" w:right="160" w:hanging="251"/>
        <w:spacing w:after="0" w:line="263" w:lineRule="auto"/>
        <w:tabs>
          <w:tab w:leader="none" w:pos="7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540" w:right="400" w:hanging="509"/>
        <w:spacing w:after="0" w:line="295" w:lineRule="auto"/>
        <w:tabs>
          <w:tab w:leader="none" w:pos="15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6"/>
          <w:szCs w:val="16"/>
          <w:color w:val="auto"/>
        </w:rPr>
      </w:pPr>
    </w:p>
    <w:p>
      <w:pPr>
        <w:ind w:left="1540" w:right="20" w:hanging="509"/>
        <w:spacing w:after="0" w:line="263" w:lineRule="auto"/>
        <w:tabs>
          <w:tab w:leader="none" w:pos="1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80" w:type="dxa"/>
            <w:vAlign w:val="bottom"/>
          </w:tcPr>
          <w:p>
            <w:pPr>
              <w:spacing w:after="0"/>
              <w:rPr>
                <w:sz w:val="20"/>
                <w:szCs w:val="20"/>
                <w:color w:val="auto"/>
              </w:rPr>
            </w:pPr>
            <w:r>
              <w:rPr>
                <w:rFonts w:ascii="Arial" w:cs="Arial" w:eastAsia="Arial" w:hAnsi="Arial"/>
                <w:sz w:val="17"/>
                <w:szCs w:val="17"/>
                <w:color w:val="auto"/>
              </w:rPr>
              <w:t>Date: May 9, 2019</w:t>
            </w:r>
          </w:p>
        </w:tc>
        <w:tc>
          <w:tcPr>
            <w:tcW w:w="2840" w:type="dxa"/>
            <w:vAlign w:val="bottom"/>
          </w:tcPr>
          <w:p>
            <w:pPr>
              <w:ind w:left="2040"/>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Debanjan Ray</w:t>
            </w:r>
          </w:p>
        </w:tc>
      </w:tr>
      <w:tr>
        <w:trPr>
          <w:trHeight w:val="204"/>
        </w:trPr>
        <w:tc>
          <w:tcPr>
            <w:tcW w:w="3280" w:type="dxa"/>
            <w:vAlign w:val="bottom"/>
          </w:tcPr>
          <w:p>
            <w:pPr>
              <w:spacing w:after="0"/>
              <w:rPr>
                <w:sz w:val="17"/>
                <w:szCs w:val="17"/>
                <w:color w:val="auto"/>
              </w:rPr>
            </w:pPr>
          </w:p>
        </w:tc>
        <w:tc>
          <w:tcPr>
            <w:tcW w:w="2840" w:type="dxa"/>
            <w:vAlign w:val="bottom"/>
          </w:tcPr>
          <w:p>
            <w:pPr>
              <w:ind w:left="2040"/>
              <w:spacing w:after="0" w:line="192" w:lineRule="exact"/>
              <w:rPr>
                <w:sz w:val="20"/>
                <w:szCs w:val="20"/>
                <w:color w:val="auto"/>
              </w:rPr>
            </w:pPr>
            <w:r>
              <w:rPr>
                <w:rFonts w:ascii="Arial" w:cs="Arial" w:eastAsia="Arial" w:hAnsi="Arial"/>
                <w:sz w:val="17"/>
                <w:szCs w:val="17"/>
                <w:color w:val="auto"/>
              </w:rPr>
              <w:t>Name:</w:t>
            </w:r>
          </w:p>
        </w:tc>
        <w:tc>
          <w:tcPr>
            <w:tcW w:w="4720" w:type="dxa"/>
            <w:vAlign w:val="bottom"/>
          </w:tcPr>
          <w:p>
            <w:pPr>
              <w:spacing w:after="0"/>
              <w:rPr>
                <w:sz w:val="20"/>
                <w:szCs w:val="20"/>
                <w:color w:val="auto"/>
              </w:rPr>
            </w:pPr>
            <w:r>
              <w:rPr>
                <w:rFonts w:ascii="Arial" w:cs="Arial" w:eastAsia="Arial" w:hAnsi="Arial"/>
                <w:sz w:val="17"/>
                <w:szCs w:val="17"/>
                <w:color w:val="auto"/>
              </w:rPr>
              <w:t>Debanjan Ray</w:t>
            </w:r>
          </w:p>
        </w:tc>
      </w:tr>
      <w:tr>
        <w:trPr>
          <w:trHeight w:val="212"/>
        </w:trPr>
        <w:tc>
          <w:tcPr>
            <w:tcW w:w="3280" w:type="dxa"/>
            <w:vAlign w:val="bottom"/>
          </w:tcPr>
          <w:p>
            <w:pPr>
              <w:spacing w:after="0"/>
              <w:rPr>
                <w:sz w:val="18"/>
                <w:szCs w:val="18"/>
                <w:color w:val="auto"/>
              </w:rPr>
            </w:pPr>
          </w:p>
        </w:tc>
        <w:tc>
          <w:tcPr>
            <w:tcW w:w="2840" w:type="dxa"/>
            <w:vAlign w:val="bottom"/>
          </w:tcPr>
          <w:p>
            <w:pPr>
              <w:ind w:left="2040"/>
              <w:spacing w:after="0"/>
              <w:rPr>
                <w:sz w:val="20"/>
                <w:szCs w:val="20"/>
                <w:color w:val="auto"/>
              </w:rPr>
            </w:pPr>
            <w:r>
              <w:rPr>
                <w:rFonts w:ascii="Arial" w:cs="Arial" w:eastAsia="Arial" w:hAnsi="Arial"/>
                <w:sz w:val="17"/>
                <w:szCs w:val="17"/>
                <w:color w:val="auto"/>
              </w:rPr>
              <w:t>Title:</w:t>
            </w:r>
          </w:p>
        </w:tc>
        <w:tc>
          <w:tcPr>
            <w:tcW w:w="47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3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9" w:lineRule="exact"/>
        <w:rPr>
          <w:sz w:val="20"/>
          <w:szCs w:val="20"/>
          <w:color w:val="auto"/>
        </w:rPr>
      </w:pPr>
    </w:p>
    <w:p>
      <w:pPr>
        <w:jc w:val="both"/>
        <w:ind w:left="1" w:right="200"/>
        <w:spacing w:after="0" w:line="253"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78" w:lineRule="exact"/>
        <w:rPr>
          <w:sz w:val="20"/>
          <w:szCs w:val="20"/>
          <w:color w:val="auto"/>
        </w:rPr>
      </w:pPr>
    </w:p>
    <w:p>
      <w:pPr>
        <w:ind w:left="501" w:hanging="501"/>
        <w:spacing w:after="0"/>
        <w:tabs>
          <w:tab w:leader="none" w:pos="50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501" w:hanging="501"/>
        <w:spacing w:after="0"/>
        <w:tabs>
          <w:tab w:leader="none" w:pos="50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3300" w:type="dxa"/>
            <w:vAlign w:val="bottom"/>
          </w:tcPr>
          <w:p>
            <w:pPr>
              <w:spacing w:after="0"/>
              <w:rPr>
                <w:sz w:val="20"/>
                <w:szCs w:val="20"/>
                <w:color w:val="auto"/>
              </w:rPr>
            </w:pPr>
            <w:r>
              <w:rPr>
                <w:rFonts w:ascii="Arial" w:cs="Arial" w:eastAsia="Arial" w:hAnsi="Arial"/>
                <w:sz w:val="17"/>
                <w:szCs w:val="17"/>
                <w:color w:val="auto"/>
              </w:rPr>
              <w:t>Date: May 9, 2019</w:t>
            </w:r>
          </w:p>
        </w:tc>
        <w:tc>
          <w:tcPr>
            <w:tcW w:w="2740" w:type="dxa"/>
            <w:vAlign w:val="bottom"/>
          </w:tcPr>
          <w:p>
            <w:pPr>
              <w:ind w:left="206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A. McCarthy</w:t>
            </w:r>
          </w:p>
        </w:tc>
      </w:tr>
      <w:tr>
        <w:trPr>
          <w:trHeight w:val="204"/>
        </w:trPr>
        <w:tc>
          <w:tcPr>
            <w:tcW w:w="3300" w:type="dxa"/>
            <w:vAlign w:val="bottom"/>
          </w:tcPr>
          <w:p>
            <w:pPr>
              <w:spacing w:after="0"/>
              <w:rPr>
                <w:sz w:val="17"/>
                <w:szCs w:val="17"/>
                <w:color w:val="auto"/>
              </w:rPr>
            </w:pPr>
          </w:p>
        </w:tc>
        <w:tc>
          <w:tcPr>
            <w:tcW w:w="2740" w:type="dxa"/>
            <w:vAlign w:val="bottom"/>
          </w:tcPr>
          <w:p>
            <w:pPr>
              <w:ind w:left="2060"/>
              <w:spacing w:after="0"/>
              <w:rPr>
                <w:sz w:val="20"/>
                <w:szCs w:val="20"/>
                <w:color w:val="auto"/>
              </w:rPr>
            </w:pPr>
            <w:r>
              <w:rPr>
                <w:rFonts w:ascii="Arial" w:cs="Arial" w:eastAsia="Arial" w:hAnsi="Arial"/>
                <w:sz w:val="17"/>
                <w:szCs w:val="17"/>
                <w:color w:val="auto"/>
              </w:rPr>
              <w:t>Name:</w:t>
            </w:r>
          </w:p>
        </w:tc>
        <w:tc>
          <w:tcPr>
            <w:tcW w:w="4800" w:type="dxa"/>
            <w:vAlign w:val="bottom"/>
          </w:tcPr>
          <w:p>
            <w:pPr>
              <w:spacing w:after="0"/>
              <w:rPr>
                <w:sz w:val="20"/>
                <w:szCs w:val="20"/>
                <w:color w:val="auto"/>
              </w:rPr>
            </w:pPr>
            <w:r>
              <w:rPr>
                <w:rFonts w:ascii="Arial" w:cs="Arial" w:eastAsia="Arial" w:hAnsi="Arial"/>
                <w:sz w:val="17"/>
                <w:szCs w:val="17"/>
                <w:color w:val="auto"/>
              </w:rPr>
              <w:t>Sean A. McCarthy</w:t>
            </w:r>
          </w:p>
        </w:tc>
      </w:tr>
      <w:tr>
        <w:trPr>
          <w:trHeight w:val="212"/>
        </w:trPr>
        <w:tc>
          <w:tcPr>
            <w:tcW w:w="3300" w:type="dxa"/>
            <w:vAlign w:val="bottom"/>
          </w:tcPr>
          <w:p>
            <w:pPr>
              <w:spacing w:after="0"/>
              <w:rPr>
                <w:sz w:val="18"/>
                <w:szCs w:val="18"/>
                <w:color w:val="auto"/>
              </w:rPr>
            </w:pPr>
          </w:p>
        </w:tc>
        <w:tc>
          <w:tcPr>
            <w:tcW w:w="2740" w:type="dxa"/>
            <w:vAlign w:val="bottom"/>
          </w:tcPr>
          <w:p>
            <w:pPr>
              <w:ind w:left="2060"/>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186" w:lineRule="exact"/>
        <w:rPr>
          <w:sz w:val="20"/>
          <w:szCs w:val="20"/>
          <w:color w:val="auto"/>
        </w:rPr>
      </w:pPr>
    </w:p>
    <w:p>
      <w:pPr>
        <w:ind w:left="1" w:right="180"/>
        <w:spacing w:after="0" w:line="27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1"/>
          </w:cols>
          <w:pgMar w:left="239" w:top="123"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9" w:lineRule="exact"/>
        <w:rPr>
          <w:sz w:val="20"/>
          <w:szCs w:val="20"/>
          <w:color w:val="auto"/>
        </w:rPr>
      </w:pPr>
    </w:p>
    <w:p>
      <w:pPr>
        <w:ind w:left="1" w:right="220"/>
        <w:spacing w:after="0" w:line="253"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Debanjan Ray,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78" w:lineRule="exact"/>
        <w:rPr>
          <w:sz w:val="20"/>
          <w:szCs w:val="20"/>
          <w:color w:val="auto"/>
        </w:rPr>
      </w:pPr>
    </w:p>
    <w:p>
      <w:pPr>
        <w:ind w:left="501" w:hanging="501"/>
        <w:spacing w:after="0"/>
        <w:tabs>
          <w:tab w:leader="none" w:pos="5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501" w:hanging="501"/>
        <w:spacing w:after="0"/>
        <w:tabs>
          <w:tab w:leader="none" w:pos="5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3300" w:type="dxa"/>
            <w:vAlign w:val="bottom"/>
          </w:tcPr>
          <w:p>
            <w:pPr>
              <w:spacing w:after="0"/>
              <w:rPr>
                <w:sz w:val="20"/>
                <w:szCs w:val="20"/>
                <w:color w:val="auto"/>
              </w:rPr>
            </w:pPr>
            <w:r>
              <w:rPr>
                <w:rFonts w:ascii="Arial" w:cs="Arial" w:eastAsia="Arial" w:hAnsi="Arial"/>
                <w:sz w:val="17"/>
                <w:szCs w:val="17"/>
                <w:color w:val="auto"/>
              </w:rPr>
              <w:t>Date: May 9, 2019</w:t>
            </w:r>
          </w:p>
        </w:tc>
        <w:tc>
          <w:tcPr>
            <w:tcW w:w="2740" w:type="dxa"/>
            <w:vAlign w:val="bottom"/>
          </w:tcPr>
          <w:p>
            <w:pPr>
              <w:ind w:left="206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Debanjan Ray</w:t>
            </w:r>
          </w:p>
        </w:tc>
      </w:tr>
      <w:tr>
        <w:trPr>
          <w:trHeight w:val="204"/>
        </w:trPr>
        <w:tc>
          <w:tcPr>
            <w:tcW w:w="3300" w:type="dxa"/>
            <w:vAlign w:val="bottom"/>
          </w:tcPr>
          <w:p>
            <w:pPr>
              <w:spacing w:after="0"/>
              <w:rPr>
                <w:sz w:val="17"/>
                <w:szCs w:val="17"/>
                <w:color w:val="auto"/>
              </w:rPr>
            </w:pPr>
          </w:p>
        </w:tc>
        <w:tc>
          <w:tcPr>
            <w:tcW w:w="2740" w:type="dxa"/>
            <w:vAlign w:val="bottom"/>
          </w:tcPr>
          <w:p>
            <w:pPr>
              <w:ind w:left="2060"/>
              <w:spacing w:after="0"/>
              <w:rPr>
                <w:sz w:val="20"/>
                <w:szCs w:val="20"/>
                <w:color w:val="auto"/>
              </w:rPr>
            </w:pPr>
            <w:r>
              <w:rPr>
                <w:rFonts w:ascii="Arial" w:cs="Arial" w:eastAsia="Arial" w:hAnsi="Arial"/>
                <w:sz w:val="17"/>
                <w:szCs w:val="17"/>
                <w:color w:val="auto"/>
              </w:rPr>
              <w:t>Name:</w:t>
            </w:r>
          </w:p>
        </w:tc>
        <w:tc>
          <w:tcPr>
            <w:tcW w:w="4800" w:type="dxa"/>
            <w:vAlign w:val="bottom"/>
          </w:tcPr>
          <w:p>
            <w:pPr>
              <w:spacing w:after="0"/>
              <w:rPr>
                <w:sz w:val="20"/>
                <w:szCs w:val="20"/>
                <w:color w:val="auto"/>
              </w:rPr>
            </w:pPr>
            <w:r>
              <w:rPr>
                <w:rFonts w:ascii="Arial" w:cs="Arial" w:eastAsia="Arial" w:hAnsi="Arial"/>
                <w:sz w:val="17"/>
                <w:szCs w:val="17"/>
                <w:color w:val="auto"/>
              </w:rPr>
              <w:t>Debanjan Ray</w:t>
            </w:r>
          </w:p>
        </w:tc>
      </w:tr>
      <w:tr>
        <w:trPr>
          <w:trHeight w:val="212"/>
        </w:trPr>
        <w:tc>
          <w:tcPr>
            <w:tcW w:w="3300" w:type="dxa"/>
            <w:vAlign w:val="bottom"/>
          </w:tcPr>
          <w:p>
            <w:pPr>
              <w:spacing w:after="0"/>
              <w:rPr>
                <w:sz w:val="18"/>
                <w:szCs w:val="18"/>
                <w:color w:val="auto"/>
              </w:rPr>
            </w:pPr>
          </w:p>
        </w:tc>
        <w:tc>
          <w:tcPr>
            <w:tcW w:w="2740" w:type="dxa"/>
            <w:vAlign w:val="bottom"/>
          </w:tcPr>
          <w:p>
            <w:pPr>
              <w:ind w:left="2060"/>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86" w:lineRule="exact"/>
        <w:rPr>
          <w:sz w:val="20"/>
          <w:szCs w:val="20"/>
          <w:color w:val="auto"/>
        </w:rPr>
      </w:pPr>
    </w:p>
    <w:p>
      <w:pPr>
        <w:ind w:left="1" w:right="180"/>
        <w:spacing w:after="0" w:line="27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1"/>
      </w:cols>
      <w:pgMar w:left="239"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lowerRoman"/>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14">
    <w:nsid w:val="4F4EF005"/>
    <w:multiLevelType w:val="hybridMultilevel"/>
    <w:lvl w:ilvl="0">
      <w:lvlJc w:val="left"/>
      <w:lvlText w:val="%1."/>
      <w:numFmt w:val="decimal"/>
      <w:start w:val="72"/>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41">
    <w:nsid w:val="5DB70AE5"/>
    <w:multiLevelType w:val="hybridMultilevel"/>
    <w:lvl w:ilvl="0">
      <w:lvlJc w:val="left"/>
      <w:lvlText w:val="%1."/>
      <w:numFmt w:val="decimal"/>
      <w:start w:val="3"/>
    </w:lvl>
    <w:lvl w:ilvl="1">
      <w:lvlJc w:val="left"/>
      <w:lvlText w:val="(%2)"/>
      <w:numFmt w:val="decimal"/>
      <w:start w:val="1"/>
    </w:lvl>
  </w:abstractNum>
  <w:abstractNum w:abstractNumId="42">
    <w:nsid w:val="100F8FCA"/>
    <w:multiLevelType w:val="hybridMultilevel"/>
    <w:lvl w:ilvl="0">
      <w:lvlJc w:val="left"/>
      <w:lvlText w:val="%1"/>
      <w:numFmt w:val="decimal"/>
      <w:start w:val="1"/>
    </w:lvl>
    <w:lvl w:ilvl="1">
      <w:lvlJc w:val="left"/>
      <w:lvlText w:val="(%2)"/>
      <w:numFmt w:val="decimal"/>
      <w:start w:val="5"/>
    </w:lvl>
  </w:abstractNum>
  <w:abstractNum w:abstractNumId="43">
    <w:nsid w:val="6590700B"/>
    <w:multiLevelType w:val="hybridMultilevel"/>
    <w:lvl w:ilvl="0">
      <w:lvlJc w:val="left"/>
      <w:lvlText w:val="%1."/>
      <w:numFmt w:val="decimal"/>
      <w:start w:val="4"/>
    </w:lvl>
    <w:lvl w:ilvl="1">
      <w:lvlJc w:val="left"/>
      <w:lvlText w:val="(%2)"/>
      <w:numFmt w:val="lowerLetter"/>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3"/>
    </w:lvl>
    <w:lvl w:ilvl="1">
      <w:lvlJc w:val="left"/>
      <w:lvlText w:val="(%2)"/>
      <w:numFmt w:val="lowerRoman"/>
      <w:start w:val="1"/>
    </w:lvl>
  </w:abstractNum>
  <w:abstractNum w:abstractNumId="46">
    <w:nsid w:val="98A3148"/>
    <w:multiLevelType w:val="hybridMultilevel"/>
    <w:lvl w:ilvl="0">
      <w:lvlJc w:val="left"/>
      <w:lvlText w:val="%1."/>
      <w:numFmt w:val="decimal"/>
      <w:start w:val="3"/>
    </w:lvl>
  </w:abstractNum>
  <w:abstractNum w:abstractNumId="47">
    <w:nsid w:val="799D0247"/>
    <w:multiLevelType w:val="hybridMultilevel"/>
    <w:lvl w:ilvl="0">
      <w:lvlJc w:val="left"/>
      <w:lvlText w:val="%1."/>
      <w:numFmt w:val="decimal"/>
      <w:start w:val="4"/>
    </w:lvl>
    <w:lvl w:ilvl="1">
      <w:lvlJc w:val="left"/>
      <w:lvlText w:val="(%2)"/>
      <w:numFmt w:val="lowerLetter"/>
      <w:start w:val="1"/>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lowerLetter"/>
      <w:start w:val="3"/>
    </w:lvl>
    <w:lvl w:ilvl="1">
      <w:lvlJc w:val="left"/>
      <w:lvlText w:val="(%2)"/>
      <w:numFmt w:val="lowerRoman"/>
      <w:start w:val="1"/>
    </w:lvl>
  </w:abstractNum>
  <w:abstractNum w:abstractNumId="50">
    <w:nsid w:val="168E121F"/>
    <w:multiLevelType w:val="hybridMultilevel"/>
    <w:lvl w:ilvl="0">
      <w:lvlJc w:val="left"/>
      <w:lvlText w:val="%1."/>
      <w:numFmt w:val="decimal"/>
      <w:start w:val="3"/>
    </w:lvl>
  </w:abstractNum>
  <w:abstractNum w:abstractNumId="51">
    <w:nsid w:val="1EBA5D23"/>
    <w:multiLevelType w:val="hybridMultilevel"/>
    <w:lvl w:ilvl="0">
      <w:lvlJc w:val="left"/>
      <w:lvlText w:val="%1."/>
      <w:numFmt w:val="decimal"/>
      <w:start w:val="4"/>
    </w:lvl>
    <w:lvl w:ilvl="1">
      <w:lvlJc w:val="left"/>
      <w:lvlText w:val="(%2)"/>
      <w:numFmt w:val="lowerLetter"/>
      <w:start w:val="1"/>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3"/>
    </w:lvl>
    <w:lvl w:ilvl="1">
      <w:lvlJc w:val="left"/>
      <w:lvlText w:val="(%2)"/>
      <w:numFmt w:val="lowerRoman"/>
      <w:start w:val="1"/>
    </w:lvl>
  </w:abstractNum>
  <w:abstractNum w:abstractNumId="54">
    <w:nsid w:val="540A471C"/>
    <w:multiLevelType w:val="hybridMultilevel"/>
    <w:lvl w:ilvl="0">
      <w:lvlJc w:val="left"/>
      <w:lvlText w:val="%1."/>
      <w:numFmt w:val="decimal"/>
      <w:start w:val="3"/>
    </w:lvl>
  </w:abstractNum>
  <w:abstractNum w:abstractNumId="55">
    <w:nsid w:val="7BD3EE7B"/>
    <w:multiLevelType w:val="hybridMultilevel"/>
    <w:lvl w:ilvl="0">
      <w:lvlJc w:val="left"/>
      <w:lvlText w:val="%1."/>
      <w:numFmt w:val="decimal"/>
      <w:start w:val="4"/>
    </w:lvl>
    <w:lvl w:ilvl="1">
      <w:lvlJc w:val="left"/>
      <w:lvlText w:val="(%2)"/>
      <w:numFmt w:val="lowerLetter"/>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3"/>
    </w:lvl>
    <w:lvl w:ilvl="1">
      <w:lvlJc w:val="left"/>
      <w:lvlText w:val="(%2)"/>
      <w:numFmt w:val="lowerRoman"/>
      <w:start w:val="1"/>
    </w:lvl>
  </w:abstractNum>
  <w:abstractNum w:abstractNumId="58">
    <w:nsid w:val="BF72B14"/>
    <w:multiLevelType w:val="hybridMultilevel"/>
    <w:lvl w:ilvl="0">
      <w:lvlJc w:val="left"/>
      <w:lvlText w:val="%1."/>
      <w:numFmt w:val="decimal"/>
      <w:start w:val="3"/>
    </w:lvl>
  </w:abstractNum>
  <w:abstractNum w:abstractNumId="59">
    <w:nsid w:val="11447B73"/>
    <w:multiLevelType w:val="hybridMultilevel"/>
    <w:lvl w:ilvl="0">
      <w:lvlJc w:val="left"/>
      <w:lvlText w:val="%1."/>
      <w:numFmt w:val="decimal"/>
      <w:start w:val="4"/>
    </w:lvl>
    <w:lvl w:ilvl="1">
      <w:lvlJc w:val="left"/>
      <w:lvlText w:val="(%2)"/>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3"/>
    </w:lvl>
    <w:lvl w:ilvl="1">
      <w:lvlJc w:val="left"/>
      <w:lvlText w:val="(%2)"/>
      <w:numFmt w:val="lowerRoman"/>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1)"/>
      <w:numFmt w:val="lowerRoman"/>
      <w:start w:val="1"/>
    </w:lvl>
  </w:abstractNum>
  <w:abstractNum w:abstractNumId="65">
    <w:nsid w:val="68EB2F63"/>
    <w:multiLevelType w:val="hybridMultilevel"/>
    <w:lvl w:ilvl="0">
      <w:lvlJc w:val="left"/>
      <w:lvlText w:val="%1."/>
      <w:numFmt w:val="decimal"/>
      <w:start w:val="3"/>
    </w:lvl>
  </w:abstractNum>
  <w:abstractNum w:abstractNumId="66">
    <w:nsid w:val="4962813B"/>
    <w:multiLevelType w:val="hybridMultilevel"/>
    <w:lvl w:ilvl="0">
      <w:lvlJc w:val="left"/>
      <w:lvlText w:val="%1."/>
      <w:numFmt w:val="decimal"/>
      <w:start w:val="4"/>
    </w:lvl>
  </w:abstractNum>
  <w:abstractNum w:abstractNumId="67">
    <w:nsid w:val="60B6DF70"/>
    <w:multiLevelType w:val="hybridMultilevel"/>
    <w:lvl w:ilvl="0">
      <w:lvlJc w:val="left"/>
      <w:lvlText w:val="%1."/>
      <w:numFmt w:val="decimal"/>
      <w:start w:val="5"/>
    </w:lvl>
  </w:abstractNum>
  <w:abstractNum w:abstractNumId="68">
    <w:nsid w:val="6A5EE64"/>
    <w:multiLevelType w:val="hybridMultilevel"/>
    <w:lvl w:ilvl="0">
      <w:lvlJc w:val="left"/>
      <w:lvlText w:val="%1."/>
      <w:numFmt w:val="decimal"/>
      <w:start w:val="6"/>
    </w:lvl>
  </w:abstractNum>
  <w:abstractNum w:abstractNumId="69">
    <w:nsid w:val="14330624"/>
    <w:multiLevelType w:val="hybridMultilevel"/>
    <w:lvl w:ilvl="0">
      <w:lvlJc w:val="left"/>
      <w:lvlText w:val="%1."/>
      <w:numFmt w:val="decimal"/>
      <w:start w:val="7"/>
    </w:lvl>
  </w:abstractNum>
  <w:abstractNum w:abstractNumId="70">
    <w:nsid w:val="7FFFCA11"/>
    <w:multiLevelType w:val="hybridMultilevel"/>
    <w:lvl w:ilvl="0">
      <w:lvlJc w:val="left"/>
      <w:lvlText w:val="%1."/>
      <w:numFmt w:val="decimal"/>
      <w:start w:val="8"/>
    </w:lvl>
  </w:abstractNum>
  <w:abstractNum w:abstractNumId="71">
    <w:nsid w:val="1A27709E"/>
    <w:multiLevelType w:val="hybridMultilevel"/>
    <w:lvl w:ilvl="0">
      <w:lvlJc w:val="left"/>
      <w:lvlText w:val="%1."/>
      <w:numFmt w:val="decimal"/>
      <w:start w:val="9"/>
    </w:lvl>
  </w:abstractNum>
  <w:abstractNum w:abstractNumId="72">
    <w:nsid w:val="71EA1109"/>
    <w:multiLevelType w:val="hybridMultilevel"/>
    <w:lvl w:ilvl="0">
      <w:lvlJc w:val="left"/>
      <w:lvlText w:val="%1."/>
      <w:numFmt w:val="decimal"/>
      <w:start w:val="10"/>
    </w:lvl>
  </w:abstractNum>
  <w:abstractNum w:abstractNumId="73">
    <w:nsid w:val="100F59DC"/>
    <w:multiLevelType w:val="hybridMultilevel"/>
    <w:lvl w:ilvl="0">
      <w:lvlJc w:val="left"/>
      <w:lvlText w:val="%1."/>
      <w:numFmt w:val="decimal"/>
      <w:start w:val="10"/>
    </w:lvl>
    <w:lvl w:ilvl="1">
      <w:lvlJc w:val="left"/>
      <w:lvlText w:val="§"/>
      <w:numFmt w:val="bullet"/>
      <w:start w:val="1"/>
    </w:lvl>
  </w:abstractNum>
  <w:abstractNum w:abstractNumId="74">
    <w:nsid w:val="7FB7E0AA"/>
    <w:multiLevelType w:val="hybridMultilevel"/>
    <w:lvl w:ilvl="0">
      <w:lvlJc w:val="left"/>
      <w:lvlText w:val="%1."/>
      <w:numFmt w:val="decimal"/>
      <w:start w:val="12"/>
    </w:lvl>
  </w:abstractNum>
  <w:abstractNum w:abstractNumId="75">
    <w:nsid w:val="6EB5B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6">
    <w:nsid w:val="6F6DD9AC"/>
    <w:multiLevelType w:val="hybridMultilevel"/>
    <w:lvl w:ilvl="0">
      <w:lvlJc w:val="left"/>
      <w:lvlText w:val="(%1)"/>
      <w:numFmt w:val="decimal"/>
      <w:start w:val="2"/>
    </w:lvl>
  </w:abstractNum>
  <w:abstractNum w:abstractNumId="77">
    <w:nsid w:val="94211F2"/>
    <w:multiLevelType w:val="hybridMultilevel"/>
    <w:lvl w:ilvl="0">
      <w:lvlJc w:val="left"/>
      <w:lvlText w:val="%1"/>
      <w:numFmt w:val="decimal"/>
      <w:start w:val="1"/>
    </w:lvl>
    <w:lvl w:ilvl="1">
      <w:lvlJc w:val="left"/>
      <w:lvlText w:val="(%2)"/>
      <w:numFmt w:val="lowerLetter"/>
      <w:start w:val="2"/>
    </w:lvl>
  </w:abstractNum>
  <w:abstractNum w:abstractNumId="78">
    <w:nsid w:val="885E1B"/>
    <w:multiLevelType w:val="hybridMultilevel"/>
    <w:lvl w:ilvl="0">
      <w:lvlJc w:val="left"/>
      <w:lvlText w:val="%1."/>
      <w:numFmt w:val="decimal"/>
      <w:start w:val="13"/>
    </w:lvl>
    <w:lvl w:ilvl="1">
      <w:lvlJc w:val="left"/>
      <w:lvlText w:val="%2"/>
      <w:numFmt w:val="lowerLetter"/>
      <w:start w:val="1"/>
    </w:lvl>
  </w:abstractNum>
  <w:abstractNum w:abstractNumId="79">
    <w:nsid w:val="76272110"/>
    <w:multiLevelType w:val="hybridMultilevel"/>
    <w:lvl w:ilvl="0">
      <w:lvlJc w:val="left"/>
      <w:lvlText w:val="%1."/>
      <w:numFmt w:val="decimal"/>
      <w:start w:val="14"/>
    </w:lvl>
  </w:abstractNum>
  <w:abstractNum w:abstractNumId="80">
    <w:nsid w:val="4C04A8AF"/>
    <w:multiLevelType w:val="hybridMultilevel"/>
    <w:lvl w:ilvl="0">
      <w:lvlJc w:val="left"/>
      <w:lvlText w:val="%1."/>
      <w:numFmt w:val="decimal"/>
      <w:start w:val="14"/>
    </w:lvl>
    <w:lvl w:ilvl="1">
      <w:lvlJc w:val="left"/>
      <w:lvlText w:val="[***]"/>
      <w:numFmt w:val="bullet"/>
      <w:start w:val="1"/>
    </w:lvl>
  </w:abstractNum>
  <w:abstractNum w:abstractNumId="81">
    <w:nsid w:val="1716703B"/>
    <w:multiLevelType w:val="hybridMultilevel"/>
    <w:lvl w:ilvl="0">
      <w:lvlJc w:val="left"/>
      <w:lvlText w:val="%1."/>
      <w:numFmt w:val="decimal"/>
      <w:start w:val="16"/>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decimal"/>
      <w:start w:val="2"/>
    </w:lvl>
  </w:abstractNum>
  <w:abstractNum w:abstractNumId="86">
    <w:nsid w:val="2DF6D648"/>
    <w:multiLevelType w:val="hybridMultilevel"/>
    <w:lvl w:ilvl="0">
      <w:lvlJc w:val="left"/>
      <w:lvlText w:val="%1."/>
      <w:numFmt w:val="decimal"/>
      <w:start w:val="4"/>
    </w:lvl>
  </w:abstractNum>
  <w:abstractNum w:abstractNumId="87">
    <w:nsid w:val="46B7D447"/>
    <w:multiLevelType w:val="hybridMultilevel"/>
    <w:lvl w:ilvl="0">
      <w:lvlJc w:val="left"/>
      <w:lvlText w:val="%1."/>
      <w:numFmt w:val="decimal"/>
      <w:start w:val="6"/>
    </w:lvl>
  </w:abstractNum>
  <w:abstractNum w:abstractNumId="88">
    <w:nsid w:val="4A2AC315"/>
    <w:multiLevelType w:val="hybridMultilevel"/>
    <w:lvl w:ilvl="0">
      <w:lvlJc w:val="left"/>
      <w:lvlText w:val="%1."/>
      <w:numFmt w:val="decimal"/>
      <w:start w:val="7"/>
    </w:lvl>
  </w:abstractNum>
  <w:abstractNum w:abstractNumId="89">
    <w:nsid w:val="39EE015C"/>
    <w:multiLevelType w:val="hybridMultilevel"/>
    <w:lvl w:ilvl="0">
      <w:lvlJc w:val="left"/>
      <w:lvlText w:val="%1."/>
      <w:numFmt w:val="decimal"/>
      <w:start w:val="12"/>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jpeg"/><Relationship Id="rId161" Type="http://schemas.openxmlformats.org/officeDocument/2006/relationships/image" Target="media/image150.png"/><Relationship Id="rId162" Type="http://schemas.openxmlformats.org/officeDocument/2006/relationships/image" Target="media/image151.jpeg"/><Relationship Id="rId163" Type="http://schemas.openxmlformats.org/officeDocument/2006/relationships/image" Target="media/image152.png"/><Relationship Id="rId164" Type="http://schemas.openxmlformats.org/officeDocument/2006/relationships/image" Target="media/image153.jpeg"/><Relationship Id="rId165" Type="http://schemas.openxmlformats.org/officeDocument/2006/relationships/image" Target="media/image154.png"/><Relationship Id="rId166" Type="http://schemas.openxmlformats.org/officeDocument/2006/relationships/image" Target="media/image155.jpeg"/><Relationship Id="rId167" Type="http://schemas.openxmlformats.org/officeDocument/2006/relationships/image" Target="media/image156.png"/><Relationship Id="rId168" Type="http://schemas.openxmlformats.org/officeDocument/2006/relationships/image" Target="media/image157.jpeg"/><Relationship Id="rId169" Type="http://schemas.openxmlformats.org/officeDocument/2006/relationships/image" Target="media/image158.jpeg"/><Relationship Id="rId94" Type="http://schemas.openxmlformats.org/officeDocument/2006/relationships/hyperlink" Target="http://www.sec.gov/Archives/edgar/data/0001501989/000119312515347080/d78795dex31.htm" TargetMode="External"/><Relationship Id="rId95" Type="http://schemas.openxmlformats.org/officeDocument/2006/relationships/hyperlink" Target="http://www.sec.gov/Archives/edgar/data/0001501989/000119312515347080/d78795dex32.htm" TargetMode="External"/><Relationship Id="rId96" Type="http://schemas.openxmlformats.org/officeDocument/2006/relationships/hyperlink" Target="http://www.sec.gov/Archives/edgar/data/0001501989/000119312515329662/d948537dex41.htm" TargetMode="External"/><Relationship Id="rId97" Type="http://schemas.openxmlformats.org/officeDocument/2006/relationships/hyperlink" Target="http://www.sec.gov/Archives/edgar/data/1501989/000119312515307013/d9485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2019-12-28T12:37:38Z</dcterms:created>
  <dcterms:modified xsi:type="dcterms:W3CDTF">2019-12-28T12:37:38Z</dcterms:modified>
</cp:coreProperties>
</file>