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26,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CYTOMX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2540" w:type="dxa"/>
            <w:vAlign w:val="bottom"/>
          </w:tcPr>
          <w:p>
            <w:pPr>
              <w:jc w:val="center"/>
              <w:ind w:right="78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200" w:type="dxa"/>
            <w:vAlign w:val="bottom"/>
          </w:tcPr>
          <w:p>
            <w:pPr>
              <w:jc w:val="center"/>
              <w:ind w:right="18"/>
              <w:spacing w:after="0"/>
              <w:rPr>
                <w:sz w:val="20"/>
                <w:szCs w:val="20"/>
                <w:color w:val="auto"/>
              </w:rPr>
            </w:pPr>
            <w:r>
              <w:rPr>
                <w:rFonts w:ascii="Times New Roman" w:cs="Times New Roman" w:eastAsia="Times New Roman" w:hAnsi="Times New Roman"/>
                <w:sz w:val="18"/>
                <w:szCs w:val="18"/>
                <w:b w:val="1"/>
                <w:bCs w:val="1"/>
                <w:color w:val="auto"/>
                <w:w w:val="99"/>
              </w:rPr>
              <w:t>001-37587</w:t>
            </w:r>
          </w:p>
        </w:tc>
        <w:tc>
          <w:tcPr>
            <w:tcW w:w="20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27-3521219</w:t>
            </w:r>
          </w:p>
        </w:tc>
      </w:tr>
      <w:tr>
        <w:trPr>
          <w:trHeight w:val="148"/>
        </w:trPr>
        <w:tc>
          <w:tcPr>
            <w:tcW w:w="2540" w:type="dxa"/>
            <w:vAlign w:val="bottom"/>
          </w:tcPr>
          <w:p>
            <w:pPr>
              <w:jc w:val="center"/>
              <w:ind w:right="76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060" w:type="dxa"/>
            <w:vAlign w:val="bottom"/>
          </w:tcPr>
          <w:p>
            <w:pPr>
              <w:jc w:val="center"/>
              <w:ind w:left="8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540" w:type="dxa"/>
            <w:vAlign w:val="bottom"/>
          </w:tcPr>
          <w:p>
            <w:pPr>
              <w:jc w:val="center"/>
              <w:ind w:right="76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060" w:type="dxa"/>
            <w:vAlign w:val="bottom"/>
          </w:tcPr>
          <w:p>
            <w:pPr>
              <w:jc w:val="center"/>
              <w:ind w:left="8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2540" w:type="dxa"/>
            <w:vAlign w:val="bottom"/>
          </w:tcPr>
          <w:p>
            <w:pPr>
              <w:spacing w:after="0"/>
              <w:rPr>
                <w:sz w:val="24"/>
                <w:szCs w:val="24"/>
                <w:color w:val="auto"/>
              </w:rPr>
            </w:pPr>
          </w:p>
        </w:tc>
        <w:tc>
          <w:tcPr>
            <w:tcW w:w="4200" w:type="dxa"/>
            <w:vAlign w:val="bottom"/>
          </w:tcPr>
          <w:p>
            <w:pPr>
              <w:jc w:val="center"/>
              <w:ind w:right="18"/>
              <w:spacing w:after="0"/>
              <w:rPr>
                <w:sz w:val="20"/>
                <w:szCs w:val="20"/>
                <w:color w:val="auto"/>
              </w:rPr>
            </w:pPr>
            <w:r>
              <w:rPr>
                <w:rFonts w:ascii="Times New Roman" w:cs="Times New Roman" w:eastAsia="Times New Roman" w:hAnsi="Times New Roman"/>
                <w:sz w:val="18"/>
                <w:szCs w:val="18"/>
                <w:b w:val="1"/>
                <w:bCs w:val="1"/>
                <w:color w:val="auto"/>
                <w:w w:val="99"/>
              </w:rPr>
              <w:t>151 Oyster Point Blvd.</w:t>
            </w:r>
          </w:p>
        </w:tc>
        <w:tc>
          <w:tcPr>
            <w:tcW w:w="2060" w:type="dxa"/>
            <w:vAlign w:val="bottom"/>
          </w:tcPr>
          <w:p>
            <w:pPr>
              <w:spacing w:after="0"/>
              <w:rPr>
                <w:sz w:val="24"/>
                <w:szCs w:val="24"/>
                <w:color w:val="auto"/>
              </w:rPr>
            </w:pPr>
          </w:p>
        </w:tc>
      </w:tr>
      <w:tr>
        <w:trPr>
          <w:trHeight w:val="216"/>
        </w:trPr>
        <w:tc>
          <w:tcPr>
            <w:tcW w:w="2540" w:type="dxa"/>
            <w:vAlign w:val="bottom"/>
          </w:tcPr>
          <w:p>
            <w:pPr>
              <w:spacing w:after="0"/>
              <w:rPr>
                <w:sz w:val="18"/>
                <w:szCs w:val="18"/>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Suite 400</w:t>
            </w:r>
          </w:p>
        </w:tc>
        <w:tc>
          <w:tcPr>
            <w:tcW w:w="2060" w:type="dxa"/>
            <w:vAlign w:val="bottom"/>
          </w:tcPr>
          <w:p>
            <w:pPr>
              <w:spacing w:after="0"/>
              <w:rPr>
                <w:sz w:val="18"/>
                <w:szCs w:val="18"/>
                <w:color w:val="auto"/>
              </w:rPr>
            </w:pPr>
          </w:p>
        </w:tc>
      </w:tr>
      <w:tr>
        <w:trPr>
          <w:trHeight w:val="227"/>
        </w:trPr>
        <w:tc>
          <w:tcPr>
            <w:tcW w:w="2540" w:type="dxa"/>
            <w:vAlign w:val="bottom"/>
          </w:tcPr>
          <w:p>
            <w:pPr>
              <w:spacing w:after="0"/>
              <w:rPr>
                <w:sz w:val="19"/>
                <w:szCs w:val="19"/>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South San Francisco, CA</w:t>
            </w:r>
          </w:p>
        </w:tc>
        <w:tc>
          <w:tcPr>
            <w:tcW w:w="20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90"/>
        </w:trPr>
        <w:tc>
          <w:tcPr>
            <w:tcW w:w="2540" w:type="dxa"/>
            <w:vAlign w:val="bottom"/>
          </w:tcPr>
          <w:p>
            <w:pPr>
              <w:spacing w:after="0"/>
              <w:rPr>
                <w:sz w:val="16"/>
                <w:szCs w:val="16"/>
                <w:color w:val="auto"/>
              </w:rPr>
            </w:pPr>
          </w:p>
        </w:tc>
        <w:tc>
          <w:tcPr>
            <w:tcW w:w="420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060" w:type="dxa"/>
            <w:vAlign w:val="bottom"/>
          </w:tcPr>
          <w:p>
            <w:pPr>
              <w:jc w:val="center"/>
              <w:ind w:left="8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515-3185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251460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$0.00001 par value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CTMX</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sectPr>
      </w:pPr>
    </w:p>
    <w:bookmarkStart w:id="1" w:name="page2"/>
    <w:bookmarkEnd w:id="1"/>
    <w:p>
      <w:pPr>
        <w:ind w:left="1200" w:right="960" w:hanging="1200"/>
        <w:spacing w:after="0" w:line="286" w:lineRule="auto"/>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Compensatory Arrangements of Certain Officers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February 26, 2021, the Compensation Committee of the Board of Directors (the “Board”) of CytomX Therapeutics, Inc. (the “Company”) approved: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annual base salaries for 2021, and (b) cash performance bonuses for 2020 for the following named executive officers of the Company:</w:t>
      </w:r>
    </w:p>
    <w:p>
      <w:pPr>
        <w:spacing w:after="0" w:line="215"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000" w:type="dxa"/>
            <w:vAlign w:val="bottom"/>
            <w:gridSpan w:val="2"/>
          </w:tcPr>
          <w:p>
            <w:pPr>
              <w:jc w:val="center"/>
              <w:ind w:left="23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20" w:type="dxa"/>
            <w:vAlign w:val="bottom"/>
            <w:gridSpan w:val="2"/>
          </w:tcPr>
          <w:p>
            <w:pPr>
              <w:jc w:val="center"/>
              <w:ind w:left="239"/>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Current Position</w:t>
            </w:r>
          </w:p>
        </w:tc>
        <w:tc>
          <w:tcPr>
            <w:tcW w:w="4320" w:type="dxa"/>
            <w:vAlign w:val="bottom"/>
            <w:vMerge w:val="restart"/>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3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Base</w:t>
            </w:r>
          </w:p>
        </w:tc>
        <w:tc>
          <w:tcPr>
            <w:tcW w:w="340" w:type="dxa"/>
            <w:vAlign w:val="bottom"/>
          </w:tcPr>
          <w:p>
            <w:pPr>
              <w:spacing w:after="0"/>
              <w:rPr>
                <w:sz w:val="12"/>
                <w:szCs w:val="12"/>
                <w:color w:val="auto"/>
              </w:rPr>
            </w:pPr>
          </w:p>
        </w:tc>
        <w:tc>
          <w:tcPr>
            <w:tcW w:w="7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Cash</w:t>
            </w:r>
          </w:p>
        </w:tc>
        <w:tc>
          <w:tcPr>
            <w:tcW w:w="0" w:type="dxa"/>
            <w:vAlign w:val="bottom"/>
          </w:tcPr>
          <w:p>
            <w:pPr>
              <w:spacing w:after="0"/>
              <w:rPr>
                <w:sz w:val="1"/>
                <w:szCs w:val="1"/>
                <w:color w:val="auto"/>
              </w:rPr>
            </w:pPr>
          </w:p>
        </w:tc>
      </w:tr>
      <w:tr>
        <w:trPr>
          <w:trHeight w:val="180"/>
        </w:trPr>
        <w:tc>
          <w:tcPr>
            <w:tcW w:w="1700" w:type="dxa"/>
            <w:vAlign w:val="bottom"/>
            <w:tcBorders>
              <w:bottom w:val="single" w:sz="8" w:color="auto"/>
            </w:tcBorders>
            <w:vMerge w:val="continue"/>
          </w:tcPr>
          <w:p>
            <w:pPr>
              <w:spacing w:after="0"/>
              <w:rPr>
                <w:sz w:val="15"/>
                <w:szCs w:val="15"/>
                <w:color w:val="auto"/>
              </w:rPr>
            </w:pPr>
          </w:p>
        </w:tc>
        <w:tc>
          <w:tcPr>
            <w:tcW w:w="4320" w:type="dxa"/>
            <w:vAlign w:val="bottom"/>
            <w:vMerge w:val="continue"/>
          </w:tcPr>
          <w:p>
            <w:pPr>
              <w:spacing w:after="0"/>
              <w:rPr>
                <w:sz w:val="15"/>
                <w:szCs w:val="15"/>
                <w:color w:val="auto"/>
              </w:rPr>
            </w:pPr>
          </w:p>
        </w:tc>
        <w:tc>
          <w:tcPr>
            <w:tcW w:w="1160" w:type="dxa"/>
            <w:vAlign w:val="bottom"/>
            <w:gridSpan w:val="2"/>
          </w:tcPr>
          <w:p>
            <w:pPr>
              <w:jc w:val="center"/>
              <w:ind w:left="459"/>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5"/>
                <w:szCs w:val="15"/>
                <w:color w:val="auto"/>
              </w:rPr>
            </w:pPr>
          </w:p>
        </w:tc>
        <w:tc>
          <w:tcPr>
            <w:tcW w:w="6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Salary</w:t>
            </w:r>
          </w:p>
        </w:tc>
        <w:tc>
          <w:tcPr>
            <w:tcW w:w="340" w:type="dxa"/>
            <w:vAlign w:val="bottom"/>
          </w:tcPr>
          <w:p>
            <w:pPr>
              <w:spacing w:after="0"/>
              <w:rPr>
                <w:sz w:val="15"/>
                <w:szCs w:val="15"/>
                <w:color w:val="auto"/>
              </w:rPr>
            </w:pPr>
          </w:p>
        </w:tc>
        <w:tc>
          <w:tcPr>
            <w:tcW w:w="74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Bonus</w:t>
            </w:r>
          </w:p>
        </w:tc>
        <w:tc>
          <w:tcPr>
            <w:tcW w:w="0" w:type="dxa"/>
            <w:vAlign w:val="bottom"/>
          </w:tcPr>
          <w:p>
            <w:pPr>
              <w:spacing w:after="0"/>
              <w:rPr>
                <w:sz w:val="1"/>
                <w:szCs w:val="1"/>
                <w:color w:val="auto"/>
              </w:rPr>
            </w:pPr>
          </w:p>
        </w:tc>
      </w:tr>
      <w:tr>
        <w:trPr>
          <w:trHeight w:val="203"/>
        </w:trPr>
        <w:tc>
          <w:tcPr>
            <w:tcW w:w="60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Lloyd Rowland, Senior Vice President, General Counsel</w:t>
            </w:r>
          </w:p>
        </w:tc>
        <w:tc>
          <w:tcPr>
            <w:tcW w:w="5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$14,128</w:t>
            </w:r>
          </w:p>
        </w:tc>
        <w:tc>
          <w:tcPr>
            <w:tcW w:w="3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$417,778</w:t>
            </w:r>
          </w:p>
        </w:tc>
        <w:tc>
          <w:tcPr>
            <w:tcW w:w="3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$161,460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Amy Peterson, M.D., Executive Vice President, Chief Development Officer</w:t>
            </w:r>
          </w:p>
        </w:tc>
        <w:tc>
          <w:tcPr>
            <w:tcW w:w="1160" w:type="dxa"/>
            <w:vAlign w:val="bottom"/>
            <w:gridSpan w:val="2"/>
          </w:tcPr>
          <w:p>
            <w:pPr>
              <w:jc w:val="center"/>
              <w:ind w:left="459"/>
              <w:spacing w:after="0"/>
              <w:rPr>
                <w:sz w:val="20"/>
                <w:szCs w:val="20"/>
                <w:color w:val="auto"/>
              </w:rPr>
            </w:pPr>
            <w:r>
              <w:rPr>
                <w:rFonts w:ascii="Times New Roman" w:cs="Times New Roman" w:eastAsia="Times New Roman" w:hAnsi="Times New Roman"/>
                <w:sz w:val="18"/>
                <w:szCs w:val="18"/>
                <w:color w:val="auto"/>
                <w:w w:val="99"/>
              </w:rPr>
              <w:t>$17,605</w:t>
            </w:r>
          </w:p>
        </w:tc>
        <w:tc>
          <w:tcPr>
            <w:tcW w:w="1000" w:type="dxa"/>
            <w:vAlign w:val="bottom"/>
            <w:gridSpan w:val="2"/>
          </w:tcPr>
          <w:p>
            <w:pPr>
              <w:jc w:val="center"/>
              <w:ind w:left="239"/>
              <w:spacing w:after="0"/>
              <w:rPr>
                <w:sz w:val="20"/>
                <w:szCs w:val="20"/>
                <w:color w:val="auto"/>
              </w:rPr>
            </w:pPr>
            <w:r>
              <w:rPr>
                <w:rFonts w:ascii="Times New Roman" w:cs="Times New Roman" w:eastAsia="Times New Roman" w:hAnsi="Times New Roman"/>
                <w:sz w:val="18"/>
                <w:szCs w:val="18"/>
                <w:color w:val="auto"/>
              </w:rPr>
              <w:t>$520,605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$301,800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On February 26, 2021, the Board approved (a) the annual base salary for 2021, and (b) cash performance bonus for 2020 for the following principal executive officer:</w:t>
      </w:r>
    </w:p>
    <w:p>
      <w:pPr>
        <w:spacing w:after="0" w:line="170"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000" w:type="dxa"/>
            <w:vAlign w:val="bottom"/>
            <w:gridSpan w:val="2"/>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20" w:type="dxa"/>
            <w:vAlign w:val="bottom"/>
            <w:gridSpan w:val="2"/>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Current Position</w:t>
            </w:r>
          </w:p>
        </w:tc>
        <w:tc>
          <w:tcPr>
            <w:tcW w:w="4400" w:type="dxa"/>
            <w:vAlign w:val="bottom"/>
            <w:vMerge w:val="restart"/>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3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Base</w:t>
            </w:r>
          </w:p>
        </w:tc>
        <w:tc>
          <w:tcPr>
            <w:tcW w:w="340" w:type="dxa"/>
            <w:vAlign w:val="bottom"/>
          </w:tcPr>
          <w:p>
            <w:pPr>
              <w:spacing w:after="0"/>
              <w:rPr>
                <w:sz w:val="12"/>
                <w:szCs w:val="12"/>
                <w:color w:val="auto"/>
              </w:rPr>
            </w:pPr>
          </w:p>
        </w:tc>
        <w:tc>
          <w:tcPr>
            <w:tcW w:w="7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Cash</w:t>
            </w:r>
          </w:p>
        </w:tc>
        <w:tc>
          <w:tcPr>
            <w:tcW w:w="0" w:type="dxa"/>
            <w:vAlign w:val="bottom"/>
          </w:tcPr>
          <w:p>
            <w:pPr>
              <w:spacing w:after="0"/>
              <w:rPr>
                <w:sz w:val="1"/>
                <w:szCs w:val="1"/>
                <w:color w:val="auto"/>
              </w:rPr>
            </w:pPr>
          </w:p>
        </w:tc>
      </w:tr>
      <w:tr>
        <w:trPr>
          <w:trHeight w:val="180"/>
        </w:trPr>
        <w:tc>
          <w:tcPr>
            <w:tcW w:w="1700" w:type="dxa"/>
            <w:vAlign w:val="bottom"/>
            <w:tcBorders>
              <w:bottom w:val="single" w:sz="8" w:color="auto"/>
            </w:tcBorders>
            <w:vMerge w:val="continue"/>
          </w:tcPr>
          <w:p>
            <w:pPr>
              <w:spacing w:after="0"/>
              <w:rPr>
                <w:sz w:val="15"/>
                <w:szCs w:val="15"/>
                <w:color w:val="auto"/>
              </w:rPr>
            </w:pPr>
          </w:p>
        </w:tc>
        <w:tc>
          <w:tcPr>
            <w:tcW w:w="4400" w:type="dxa"/>
            <w:vAlign w:val="bottom"/>
            <w:vMerge w:val="continue"/>
          </w:tcPr>
          <w:p>
            <w:pPr>
              <w:spacing w:after="0"/>
              <w:rPr>
                <w:sz w:val="15"/>
                <w:szCs w:val="15"/>
                <w:color w:val="auto"/>
              </w:rPr>
            </w:pPr>
          </w:p>
        </w:tc>
        <w:tc>
          <w:tcPr>
            <w:tcW w:w="1080" w:type="dxa"/>
            <w:vAlign w:val="bottom"/>
            <w:gridSpan w:val="2"/>
          </w:tcPr>
          <w:p>
            <w:pPr>
              <w:jc w:val="right"/>
              <w:ind w:right="142"/>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5"/>
                <w:szCs w:val="15"/>
                <w:color w:val="auto"/>
              </w:rPr>
            </w:pPr>
          </w:p>
        </w:tc>
        <w:tc>
          <w:tcPr>
            <w:tcW w:w="6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Salary</w:t>
            </w:r>
          </w:p>
        </w:tc>
        <w:tc>
          <w:tcPr>
            <w:tcW w:w="340" w:type="dxa"/>
            <w:vAlign w:val="bottom"/>
          </w:tcPr>
          <w:p>
            <w:pPr>
              <w:spacing w:after="0"/>
              <w:rPr>
                <w:sz w:val="15"/>
                <w:szCs w:val="15"/>
                <w:color w:val="auto"/>
              </w:rPr>
            </w:pPr>
          </w:p>
        </w:tc>
        <w:tc>
          <w:tcPr>
            <w:tcW w:w="74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Bonus</w:t>
            </w:r>
          </w:p>
        </w:tc>
        <w:tc>
          <w:tcPr>
            <w:tcW w:w="0" w:type="dxa"/>
            <w:vAlign w:val="bottom"/>
          </w:tcPr>
          <w:p>
            <w:pPr>
              <w:spacing w:after="0"/>
              <w:rPr>
                <w:sz w:val="1"/>
                <w:szCs w:val="1"/>
                <w:color w:val="auto"/>
              </w:rPr>
            </w:pPr>
          </w:p>
        </w:tc>
      </w:tr>
      <w:tr>
        <w:trPr>
          <w:trHeight w:val="203"/>
        </w:trPr>
        <w:tc>
          <w:tcPr>
            <w:tcW w:w="61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Sean A. McCarthy, D. Phil., President, Chief Executive Officer and Chairman</w:t>
            </w:r>
          </w:p>
        </w:tc>
        <w:tc>
          <w:tcPr>
            <w:tcW w:w="4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$20,825</w:t>
            </w:r>
          </w:p>
        </w:tc>
        <w:tc>
          <w:tcPr>
            <w:tcW w:w="3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$615,825</w:t>
            </w:r>
          </w:p>
        </w:tc>
        <w:tc>
          <w:tcPr>
            <w:tcW w:w="3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$357,000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40" w:top="293" w:right="49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March 4, 2021</w:t>
      </w:r>
      <w:r>
        <w:rPr>
          <w:sz w:val="20"/>
          <w:szCs w:val="20"/>
          <w:color w:val="auto"/>
        </w:rPr>
        <w:tab/>
      </w:r>
      <w:r>
        <w:rPr>
          <w:rFonts w:ascii="Times New Roman" w:cs="Times New Roman" w:eastAsia="Times New Roman" w:hAnsi="Times New Roman"/>
          <w:sz w:val="18"/>
          <w:szCs w:val="18"/>
          <w:b w:val="1"/>
          <w:bCs w:val="1"/>
          <w:color w:val="auto"/>
        </w:rPr>
        <w:t>CYTOMX THERAPEUTICS, INC.</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Lloyd Rowland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Lloyd Rowland</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SVP, General Counsel</w:t>
      </w:r>
    </w:p>
    <w:sectPr>
      <w:pgSz w:w="11900" w:h="16838" w:orient="portrait"/>
      <w:cols w:equalWidth="0" w:num="1">
        <w:col w:w="10940"/>
      </w:cols>
      <w:pgMar w:left="440" w:top="293"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2021-03-04T15:23:35Z</dcterms:created>
  <dcterms:modified xsi:type="dcterms:W3CDTF">2021-03-04T15:23:35Z</dcterms:modified>
</cp:coreProperties>
</file>