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574040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591185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95885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120015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0" w:lineRule="exact"/>
        <w:rPr>
          <w:sz w:val="24"/>
          <w:szCs w:val="24"/>
          <w:color w:val="auto"/>
        </w:rPr>
      </w:pPr>
    </w:p>
    <w:p>
      <w:pPr>
        <w:ind w:left="480" w:right="340" w:hanging="459"/>
        <w:spacing w:after="0" w:line="262" w:lineRule="auto"/>
        <w:tabs>
          <w:tab w:leader="none" w:pos="4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9" w:lineRule="exact"/>
        <w:rPr>
          <w:sz w:val="24"/>
          <w:szCs w:val="24"/>
          <w:color w:val="auto"/>
        </w:rPr>
      </w:pPr>
    </w:p>
    <w:p>
      <w:pPr>
        <w:ind w:left="480" w:right="320" w:hanging="459"/>
        <w:spacing w:after="0" w:line="281" w:lineRule="auto"/>
        <w:tabs>
          <w:tab w:leader="none" w:pos="4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4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For the transition period from _ to _</w:t>
      </w:r>
    </w:p>
    <w:p>
      <w:pPr>
        <w:spacing w:after="0" w:line="11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104140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CytomX Therapeutics, Inc.</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97155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8" w:lineRule="exact"/>
        <w:rPr>
          <w:sz w:val="24"/>
          <w:szCs w:val="24"/>
          <w:color w:val="auto"/>
        </w:rPr>
      </w:pPr>
    </w:p>
    <w:tbl>
      <w:tblPr>
        <w:tblLayout w:type="fixed"/>
        <w:tblInd w:w="1560" w:type="dxa"/>
        <w:tblCellMar>
          <w:top w:w="0" w:type="dxa"/>
          <w:left w:w="0" w:type="dxa"/>
          <w:bottom w:w="0" w:type="dxa"/>
          <w:right w:w="0" w:type="dxa"/>
        </w:tblCellMar>
      </w:tblPr>
      <w:tr>
        <w:trPr>
          <w:trHeight w:val="237"/>
        </w:trPr>
        <w:tc>
          <w:tcPr>
            <w:tcW w:w="3000" w:type="dxa"/>
            <w:vAlign w:val="bottom"/>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27-3521219</w:t>
            </w:r>
          </w:p>
        </w:tc>
      </w:tr>
      <w:tr>
        <w:trPr>
          <w:trHeight w:val="149"/>
        </w:trPr>
        <w:tc>
          <w:tcPr>
            <w:tcW w:w="3000" w:type="dxa"/>
            <w:vAlign w:val="bottom"/>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500" w:type="dxa"/>
            <w:vAlign w:val="bottom"/>
          </w:tcPr>
          <w:p>
            <w:pPr>
              <w:jc w:val="center"/>
              <w:ind w:left="32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7"/>
        </w:trPr>
        <w:tc>
          <w:tcPr>
            <w:tcW w:w="3000" w:type="dxa"/>
            <w:vAlign w:val="bottom"/>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500" w:type="dxa"/>
            <w:vAlign w:val="bottom"/>
          </w:tcPr>
          <w:p>
            <w:pPr>
              <w:jc w:val="center"/>
              <w:ind w:left="33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4"/>
        </w:trPr>
        <w:tc>
          <w:tcPr>
            <w:tcW w:w="3000" w:type="dxa"/>
            <w:vAlign w:val="bottom"/>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151 Oyster Point Blvd., Suite 400</w:t>
            </w:r>
          </w:p>
        </w:tc>
        <w:tc>
          <w:tcPr>
            <w:tcW w:w="4500" w:type="dxa"/>
            <w:vAlign w:val="bottom"/>
          </w:tcPr>
          <w:p>
            <w:pPr>
              <w:spacing w:after="0"/>
              <w:rPr>
                <w:sz w:val="18"/>
                <w:szCs w:val="18"/>
                <w:color w:val="auto"/>
              </w:rPr>
            </w:pPr>
          </w:p>
        </w:tc>
      </w:tr>
      <w:tr>
        <w:trPr>
          <w:trHeight w:val="212"/>
        </w:trPr>
        <w:tc>
          <w:tcPr>
            <w:tcW w:w="3000" w:type="dxa"/>
            <w:vAlign w:val="bottom"/>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450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63"/>
        </w:trPr>
        <w:tc>
          <w:tcPr>
            <w:tcW w:w="3000" w:type="dxa"/>
            <w:vAlign w:val="bottom"/>
          </w:tcPr>
          <w:p>
            <w:pPr>
              <w:jc w:val="center"/>
              <w:ind w:right="4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500" w:type="dxa"/>
            <w:vAlign w:val="bottom"/>
          </w:tcPr>
          <w:p>
            <w:pPr>
              <w:jc w:val="center"/>
              <w:ind w:left="32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30"/>
        </w:trPr>
        <w:tc>
          <w:tcPr>
            <w:tcW w:w="3000" w:type="dxa"/>
            <w:vAlign w:val="bottom"/>
          </w:tcPr>
          <w:p>
            <w:pPr>
              <w:spacing w:after="0"/>
              <w:rPr>
                <w:sz w:val="20"/>
                <w:szCs w:val="20"/>
                <w:color w:val="auto"/>
              </w:rPr>
            </w:pPr>
          </w:p>
        </w:tc>
        <w:tc>
          <w:tcPr>
            <w:tcW w:w="450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(650) 515-3185</w:t>
            </w:r>
          </w:p>
        </w:tc>
      </w:tr>
    </w:tbl>
    <w:p>
      <w:pPr>
        <w:jc w:val="center"/>
        <w:spacing w:after="0" w:line="219" w:lineRule="auto"/>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N/A</w:t>
      </w:r>
    </w:p>
    <w:p>
      <w:pPr>
        <w:jc w:val="center"/>
        <w:spacing w:after="0" w:line="220" w:lineRule="auto"/>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2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20" w:type="dxa"/>
            <w:vAlign w:val="bottom"/>
          </w:tcPr>
          <w:p>
            <w:pPr>
              <w:spacing w:after="0"/>
              <w:rPr>
                <w:sz w:val="19"/>
                <w:szCs w:val="19"/>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$0.00001 par value per share</w:t>
            </w: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CTMX</w:t>
            </w:r>
          </w:p>
        </w:tc>
        <w:tc>
          <w:tcPr>
            <w:tcW w:w="120" w:type="dxa"/>
            <w:vAlign w:val="bottom"/>
          </w:tcPr>
          <w:p>
            <w:pPr>
              <w:spacing w:after="0"/>
              <w:rPr>
                <w:sz w:val="18"/>
                <w:szCs w:val="18"/>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07" w:lineRule="exact"/>
        <w:rPr>
          <w:sz w:val="24"/>
          <w:szCs w:val="24"/>
          <w:color w:val="auto"/>
        </w:rPr>
      </w:pPr>
    </w:p>
    <w:p>
      <w:pPr>
        <w:jc w:val="both"/>
        <w:ind w:right="8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20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400"/>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20" w:type="dxa"/>
        <w:tblCellMar>
          <w:top w:w="0" w:type="dxa"/>
          <w:left w:w="0" w:type="dxa"/>
          <w:bottom w:w="0" w:type="dxa"/>
          <w:right w:w="0" w:type="dxa"/>
        </w:tblCellMar>
      </w:tblPr>
      <w:tr>
        <w:trPr>
          <w:trHeight w:val="30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9"/>
        </w:trPr>
        <w:tc>
          <w:tcPr>
            <w:tcW w:w="3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40"/>
        <w:spacing w:after="0" w:line="21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280" w:val="left"/>
          <w:tab w:leader="none" w:pos="89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8"/>
          <w:szCs w:val="18"/>
          <w:color w:val="auto"/>
        </w:rPr>
        <w:t>As of October 31, 2024, the registrant had 78,258,879 shares of common stock, $0.00001 par value per share, outstanding. This number does not include 6,923,077 shares of common stock issuable upon the exercise of pre-funded warrants outstanding as of October 31, 2024 (which are immediately exercisable at an exercise price of $0.00001 per share of common stock, subject to beneficial ownership limitations) sold in the registrant’s private placement in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SEPTEMBER 30,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80" w:type="dxa"/>
            <w:vAlign w:val="bottom"/>
            <w:gridSpan w:val="7"/>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000" w:type="dxa"/>
            <w:vAlign w:val="bottom"/>
          </w:tcPr>
          <w:p>
            <w:pPr>
              <w:spacing w:after="0"/>
              <w:rPr>
                <w:sz w:val="20"/>
                <w:szCs w:val="20"/>
                <w:color w:val="auto"/>
              </w:rPr>
            </w:pPr>
          </w:p>
        </w:tc>
      </w:tr>
      <w:tr>
        <w:trPr>
          <w:trHeight w:val="348"/>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Financial Statements (Unaudited)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Balance Sheets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Statements of Stockholders’ Deficit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Statements of Cash Flows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Financial Statements (Unaudited)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880" w:type="dxa"/>
            <w:vAlign w:val="bottom"/>
            <w:tcBorders>
              <w:left w:val="single" w:sz="8" w:color="0000FF"/>
            </w:tcBorders>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0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80" w:type="dxa"/>
            <w:vAlign w:val="bottom"/>
            <w:gridSpan w:val="7"/>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7"/>
              </w:rPr>
              <w:t>PART II – OTHER INFORMATION</w:t>
            </w:r>
          </w:p>
        </w:tc>
        <w:tc>
          <w:tcPr>
            <w:tcW w:w="2000" w:type="dxa"/>
            <w:vAlign w:val="bottom"/>
          </w:tcPr>
          <w:p>
            <w:pPr>
              <w:spacing w:after="0"/>
              <w:rPr>
                <w:sz w:val="24"/>
                <w:szCs w:val="24"/>
                <w:color w:val="auto"/>
              </w:rPr>
            </w:pPr>
          </w:p>
        </w:tc>
      </w:tr>
      <w:tr>
        <w:trPr>
          <w:trHeight w:val="348"/>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1"/>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677"/>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gridSpan w:val="13"/>
          </w:tcPr>
          <w:p>
            <w:pPr>
              <w:jc w:val="center"/>
              <w:ind w:left="2631"/>
              <w:spacing w:after="0"/>
              <w:rPr>
                <w:sz w:val="20"/>
                <w:szCs w:val="20"/>
                <w:color w:val="auto"/>
              </w:rPr>
            </w:pPr>
            <w:r>
              <w:rPr>
                <w:rFonts w:ascii="Times New Roman" w:cs="Times New Roman" w:eastAsia="Times New Roman" w:hAnsi="Times New Roman"/>
                <w:sz w:val="18"/>
                <w:szCs w:val="18"/>
                <w:color w:val="auto"/>
                <w:w w:val="88"/>
              </w:rPr>
              <w:t>2</w:t>
            </w:r>
          </w:p>
        </w:tc>
        <w:tc>
          <w:tcPr>
            <w:tcW w:w="17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757"/>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6" w:lineRule="exact"/>
        <w:rPr>
          <w:sz w:val="20"/>
          <w:szCs w:val="20"/>
          <w:color w:val="auto"/>
        </w:rPr>
      </w:pPr>
    </w:p>
    <w:p>
      <w:pPr>
        <w:ind w:right="100"/>
        <w:spacing w:after="0" w:line="309" w:lineRule="auto"/>
        <w:rPr>
          <w:sz w:val="20"/>
          <w:szCs w:val="20"/>
          <w:color w:val="auto"/>
        </w:rPr>
      </w:pPr>
      <w:r>
        <w:rPr>
          <w:rFonts w:ascii="Times New Roman" w:cs="Times New Roman" w:eastAsia="Times New Roman" w:hAnsi="Times New Roman"/>
          <w:sz w:val="17"/>
          <w:szCs w:val="17"/>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167" w:lineRule="exact"/>
        <w:rPr>
          <w:sz w:val="20"/>
          <w:szCs w:val="20"/>
          <w:color w:val="auto"/>
        </w:rPr>
      </w:pPr>
    </w:p>
    <w:p>
      <w:pPr>
        <w:ind w:left="1020" w:right="400" w:hanging="504"/>
        <w:spacing w:after="0" w:line="27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 and therapeutics developed utilizing our PROBODY® conditionally activated platform technology;</w:t>
      </w:r>
    </w:p>
    <w:p>
      <w:pPr>
        <w:spacing w:after="0" w:line="68" w:lineRule="exact"/>
        <w:rPr>
          <w:rFonts w:ascii="Times New Roman" w:cs="Times New Roman" w:eastAsia="Times New Roman" w:hAnsi="Times New Roman"/>
          <w:sz w:val="18"/>
          <w:szCs w:val="18"/>
          <w:color w:val="auto"/>
        </w:rPr>
      </w:pPr>
    </w:p>
    <w:p>
      <w:pPr>
        <w:ind w:left="1020" w:right="100" w:hanging="504"/>
        <w:spacing w:after="0" w:line="26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8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completion of our ongoing clinical trials and the timing and availability of clinical data from such clinical trials;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w:t>
      </w:r>
    </w:p>
    <w:p>
      <w:pPr>
        <w:spacing w:after="0" w:line="128" w:lineRule="exact"/>
        <w:rPr>
          <w:rFonts w:ascii="Times New Roman" w:cs="Times New Roman" w:eastAsia="Times New Roman" w:hAnsi="Times New Roman"/>
          <w:sz w:val="18"/>
          <w:szCs w:val="18"/>
          <w:color w:val="auto"/>
        </w:rPr>
      </w:pPr>
    </w:p>
    <w:p>
      <w:pPr>
        <w:ind w:left="1020" w:right="840" w:hanging="504"/>
        <w:spacing w:after="0" w:line="27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collaborators for developing, obtaining regulatory approval for and commercializing product candidates in the collaboration;</w:t>
      </w:r>
    </w:p>
    <w:p>
      <w:pPr>
        <w:spacing w:after="0" w:line="6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 collaborator’s ability to obtain and maintain regulatory approval of any of our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and timing of any milestone payments or royalties under any research collaboration and license agreements or arrangements;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beliefs regarding the evolution of the market for cancer therapies and development of the immuno-oncology industry;</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approved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any approved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retain commercial rights for our product candidates in such collaborations;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technologies and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and capital requirements;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funds for our operations;</w:t>
      </w:r>
    </w:p>
    <w:p>
      <w:pPr>
        <w:spacing w:after="0" w:line="128" w:lineRule="exact"/>
        <w:rPr>
          <w:rFonts w:ascii="Times New Roman" w:cs="Times New Roman" w:eastAsia="Times New Roman" w:hAnsi="Times New Roman"/>
          <w:sz w:val="18"/>
          <w:szCs w:val="18"/>
          <w:color w:val="auto"/>
        </w:rPr>
      </w:pPr>
    </w:p>
    <w:p>
      <w:pPr>
        <w:ind w:left="1020" w:right="180" w:hanging="504"/>
        <w:spacing w:after="0" w:line="27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6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preclinical studies or any future clinical trials;</w:t>
      </w:r>
    </w:p>
    <w:p>
      <w:pPr>
        <w:spacing w:after="0" w:line="128" w:lineRule="exact"/>
        <w:rPr>
          <w:rFonts w:ascii="Times New Roman" w:cs="Times New Roman" w:eastAsia="Times New Roman" w:hAnsi="Times New Roman"/>
          <w:sz w:val="18"/>
          <w:szCs w:val="18"/>
          <w:color w:val="auto"/>
        </w:rPr>
      </w:pPr>
    </w:p>
    <w:p>
      <w:pPr>
        <w:ind w:left="1020" w:right="20" w:hanging="504"/>
        <w:spacing w:after="0" w:line="279"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6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key management and technical personnel;</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licenses of intellectual property to protect our technologies and product candidates;</w:t>
      </w:r>
    </w:p>
    <w:p>
      <w:pPr>
        <w:spacing w:after="0" w:line="12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774" w:right="439" w:bottom="1440" w:gutter="0" w:footer="0" w:header="0"/>
        </w:sectPr>
      </w:pPr>
    </w:p>
    <w:bookmarkStart w:id="4" w:name="page5"/>
    <w:bookmarkEnd w:id="4"/>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our industry, international conflict or uncertainties; and</w:t>
      </w:r>
    </w:p>
    <w:p>
      <w:pPr>
        <w:spacing w:after="0" w:line="221" w:lineRule="exact"/>
        <w:rPr>
          <w:rFonts w:ascii="Times New Roman" w:cs="Times New Roman" w:eastAsia="Times New Roman" w:hAnsi="Times New Roman"/>
          <w:sz w:val="18"/>
          <w:szCs w:val="18"/>
          <w:color w:val="auto"/>
        </w:rPr>
      </w:pPr>
    </w:p>
    <w:p>
      <w:pPr>
        <w:ind w:left="1020" w:right="620" w:hanging="504"/>
        <w:spacing w:after="0" w:line="279"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future pandemic and related governmental regulations and restrictions may impact our business, including our research, clinical trials, which include ongoing site initiation and patient enrollment, manufacturing and financial condition;</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87"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color w:val="auto"/>
        </w:rPr>
        <w:t>Except where the context otherwise requires, in this Quarterly Report on Form 10-Q, “we,” “us,” “our” and the “Company” refer to CytomX Therapeutics, Inc.</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19"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78"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 (Unaudited)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7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8"/>
        </w:trPr>
        <w:tc>
          <w:tcPr>
            <w:tcW w:w="7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4"/>
                <w:szCs w:val="14"/>
                <w:color w:val="auto"/>
              </w:rPr>
            </w:pPr>
          </w:p>
        </w:tc>
      </w:tr>
      <w:tr>
        <w:trPr>
          <w:trHeight w:val="241"/>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17,171</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77,012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157,338</w:t>
            </w:r>
          </w:p>
        </w:tc>
        <w:tc>
          <w:tcPr>
            <w:tcW w:w="100" w:type="dxa"/>
            <w:vAlign w:val="bottom"/>
          </w:tcPr>
          <w:p>
            <w:pPr>
              <w:spacing w:after="0"/>
              <w:rPr>
                <w:sz w:val="20"/>
                <w:szCs w:val="20"/>
                <w:color w:val="auto"/>
              </w:rPr>
            </w:pPr>
          </w:p>
        </w:tc>
      </w:tr>
      <w:tr>
        <w:trPr>
          <w:trHeight w:val="245"/>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Pr>
          <w:p>
            <w:pPr>
              <w:spacing w:after="0"/>
              <w:rPr>
                <w:sz w:val="20"/>
                <w:szCs w:val="20"/>
                <w:color w:val="auto"/>
              </w:rPr>
            </w:pPr>
          </w:p>
        </w:tc>
      </w:tr>
      <w:tr>
        <w:trPr>
          <w:trHeight w:val="23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124,180</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182,936</w:t>
            </w:r>
          </w:p>
        </w:tc>
        <w:tc>
          <w:tcPr>
            <w:tcW w:w="100" w:type="dxa"/>
            <w:vAlign w:val="bottom"/>
            <w:shd w:val="clear" w:color="auto" w:fill="CFF0FC"/>
          </w:tcPr>
          <w:p>
            <w:pPr>
              <w:spacing w:after="0"/>
              <w:rPr>
                <w:sz w:val="20"/>
                <w:szCs w:val="20"/>
                <w:color w:val="auto"/>
              </w:rPr>
            </w:pPr>
          </w:p>
        </w:tc>
      </w:tr>
      <w:tr>
        <w:trPr>
          <w:trHeight w:val="23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Pr>
          <w:p>
            <w:pPr>
              <w:spacing w:after="0"/>
              <w:rPr>
                <w:sz w:val="20"/>
                <w:szCs w:val="20"/>
                <w:color w:val="auto"/>
              </w:rPr>
            </w:pPr>
          </w:p>
        </w:tc>
      </w:tr>
      <w:tr>
        <w:trPr>
          <w:trHeight w:val="245"/>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0"/>
                <w:szCs w:val="20"/>
                <w:color w:val="auto"/>
              </w:rPr>
            </w:pPr>
          </w:p>
        </w:tc>
      </w:tr>
      <w:tr>
        <w:trPr>
          <w:trHeight w:val="245"/>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100" w:type="dxa"/>
            <w:vAlign w:val="bottom"/>
          </w:tcPr>
          <w:p>
            <w:pPr>
              <w:spacing w:after="0"/>
              <w:rPr>
                <w:sz w:val="20"/>
                <w:szCs w:val="20"/>
                <w:color w:val="auto"/>
              </w:rPr>
            </w:pPr>
          </w:p>
        </w:tc>
      </w:tr>
      <w:tr>
        <w:trPr>
          <w:trHeight w:val="241"/>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138,981</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tcPr>
          <w:p>
            <w:pPr>
              <w:spacing w:after="0"/>
              <w:rPr>
                <w:sz w:val="20"/>
                <w:szCs w:val="20"/>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100" w:type="dxa"/>
            <w:vAlign w:val="bottom"/>
          </w:tcPr>
          <w:p>
            <w:pPr>
              <w:spacing w:after="0"/>
              <w:rPr>
                <w:sz w:val="20"/>
                <w:szCs w:val="20"/>
                <w:color w:val="auto"/>
              </w:rPr>
            </w:pPr>
          </w:p>
        </w:tc>
      </w:tr>
      <w:tr>
        <w:trPr>
          <w:trHeight w:val="245"/>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132,267</w:t>
            </w:r>
          </w:p>
        </w:tc>
        <w:tc>
          <w:tcPr>
            <w:tcW w:w="100" w:type="dxa"/>
            <w:vAlign w:val="bottom"/>
          </w:tcPr>
          <w:p>
            <w:pPr>
              <w:spacing w:after="0"/>
              <w:rPr>
                <w:sz w:val="20"/>
                <w:szCs w:val="20"/>
                <w:color w:val="auto"/>
              </w:rPr>
            </w:pPr>
          </w:p>
        </w:tc>
      </w:tr>
      <w:tr>
        <w:trPr>
          <w:trHeight w:val="23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155,913</w:t>
            </w:r>
          </w:p>
        </w:tc>
        <w:tc>
          <w:tcPr>
            <w:tcW w:w="100" w:type="dxa"/>
            <w:vAlign w:val="bottom"/>
            <w:shd w:val="clear" w:color="auto" w:fill="CFF0FC"/>
          </w:tcPr>
          <w:p>
            <w:pPr>
              <w:spacing w:after="0"/>
              <w:rPr>
                <w:sz w:val="20"/>
                <w:szCs w:val="20"/>
                <w:color w:val="auto"/>
              </w:rPr>
            </w:pPr>
          </w:p>
        </w:tc>
      </w:tr>
      <w:tr>
        <w:trPr>
          <w:trHeight w:val="23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33,556</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80,048</w:t>
            </w:r>
          </w:p>
        </w:tc>
        <w:tc>
          <w:tcPr>
            <w:tcW w:w="100" w:type="dxa"/>
            <w:vAlign w:val="bottom"/>
          </w:tcPr>
          <w:p>
            <w:pPr>
              <w:spacing w:after="0"/>
              <w:rPr>
                <w:sz w:val="20"/>
                <w:szCs w:val="20"/>
                <w:color w:val="auto"/>
              </w:rPr>
            </w:pPr>
          </w:p>
        </w:tc>
      </w:tr>
      <w:tr>
        <w:trPr>
          <w:trHeight w:val="245"/>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long term</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00" w:type="dxa"/>
            <w:vAlign w:val="bottom"/>
          </w:tcPr>
          <w:p>
            <w:pPr>
              <w:spacing w:after="0"/>
              <w:rPr>
                <w:sz w:val="20"/>
                <w:szCs w:val="20"/>
                <w:color w:val="auto"/>
              </w:rPr>
            </w:pPr>
          </w:p>
        </w:tc>
      </w:tr>
      <w:tr>
        <w:trPr>
          <w:trHeight w:val="23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162,433</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249,239</w:t>
            </w:r>
          </w:p>
        </w:tc>
        <w:tc>
          <w:tcPr>
            <w:tcW w:w="100" w:type="dxa"/>
            <w:vAlign w:val="bottom"/>
            <w:shd w:val="clear" w:color="auto" w:fill="CFF0FC"/>
          </w:tcPr>
          <w:p>
            <w:pPr>
              <w:spacing w:after="0"/>
              <w:rPr>
                <w:sz w:val="20"/>
                <w:szCs w:val="20"/>
                <w:color w:val="auto"/>
              </w:rPr>
            </w:pPr>
          </w:p>
        </w:tc>
      </w:tr>
      <w:tr>
        <w:trPr>
          <w:trHeight w:val="23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60" w:type="dxa"/>
            <w:vAlign w:val="bottom"/>
          </w:tcPr>
          <w:p>
            <w:pPr>
              <w:spacing w:after="0"/>
              <w:rPr>
                <w:sz w:val="20"/>
                <w:szCs w:val="20"/>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686,962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675,905</w:t>
            </w:r>
          </w:p>
        </w:tc>
        <w:tc>
          <w:tcPr>
            <w:tcW w:w="100" w:type="dxa"/>
            <w:vAlign w:val="bottom"/>
          </w:tcPr>
          <w:p>
            <w:pPr>
              <w:spacing w:after="0"/>
              <w:rPr>
                <w:sz w:val="20"/>
                <w:szCs w:val="20"/>
                <w:color w:val="auto"/>
              </w:rPr>
            </w:pPr>
          </w:p>
        </w:tc>
      </w:tr>
      <w:tr>
        <w:trPr>
          <w:trHeight w:val="245"/>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(710,455 )</w:t>
            </w:r>
          </w:p>
        </w:tc>
        <w:tc>
          <w:tcPr>
            <w:tcW w:w="26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(723,448 )</w:t>
            </w:r>
          </w:p>
        </w:tc>
      </w:tr>
      <w:tr>
        <w:trPr>
          <w:trHeight w:val="20"/>
        </w:trPr>
        <w:tc>
          <w:tcPr>
            <w:tcW w:w="7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(23,452 )</w:t>
            </w:r>
          </w:p>
        </w:tc>
        <w:tc>
          <w:tcPr>
            <w:tcW w:w="2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(47,447 )</w:t>
            </w:r>
          </w:p>
        </w:tc>
      </w:tr>
      <w:tr>
        <w:trPr>
          <w:trHeight w:val="235"/>
        </w:trPr>
        <w:tc>
          <w:tcPr>
            <w:tcW w:w="7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138,981</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201,792</w:t>
            </w:r>
          </w:p>
        </w:tc>
        <w:tc>
          <w:tcPr>
            <w:tcW w:w="100" w:type="dxa"/>
            <w:vAlign w:val="bottom"/>
            <w:tcBorders>
              <w:top w:val="single" w:sz="8" w:color="CFF0FC"/>
            </w:tcBorders>
          </w:tcPr>
          <w:p>
            <w:pPr>
              <w:spacing w:after="0"/>
              <w:rPr>
                <w:sz w:val="20"/>
                <w:szCs w:val="20"/>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-3463925</wp:posOffset>
            </wp:positionV>
            <wp:extent cx="679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-3463925</wp:posOffset>
            </wp:positionV>
            <wp:extent cx="679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-339725</wp:posOffset>
            </wp:positionV>
            <wp:extent cx="67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-339725</wp:posOffset>
            </wp:positionV>
            <wp:extent cx="6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9" w:lineRule="exact"/>
        <w:rPr>
          <w:sz w:val="20"/>
          <w:szCs w:val="20"/>
          <w:color w:val="auto"/>
        </w:rPr>
      </w:pPr>
    </w:p>
    <w:p>
      <w:pPr>
        <w:ind w:left="520" w:right="160" w:hanging="513"/>
        <w:spacing w:after="0" w:line="222" w:lineRule="auto"/>
        <w:tabs>
          <w:tab w:leader="none" w:pos="5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condensed balance sheet as of December 31, 2023 was derived from the audited financial statements included in the Company's Annual Report on Form 10-K for the year ended December 31, 2023.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INCOME (LOSS)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4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5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5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5"/>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100,010</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74,607</w:t>
            </w:r>
          </w:p>
        </w:tc>
        <w:tc>
          <w:tcPr>
            <w:tcW w:w="100" w:type="dxa"/>
            <w:vAlign w:val="bottom"/>
            <w:shd w:val="clear" w:color="auto" w:fill="CFF0FC"/>
          </w:tcPr>
          <w:p>
            <w:pPr>
              <w:spacing w:after="0"/>
              <w:rPr>
                <w:sz w:val="20"/>
                <w:szCs w:val="20"/>
                <w:color w:val="auto"/>
              </w:rPr>
            </w:pPr>
          </w:p>
        </w:tc>
      </w:tr>
      <w:tr>
        <w:trPr>
          <w:trHeight w:val="23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68,592</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100" w:type="dxa"/>
            <w:vAlign w:val="bottom"/>
            <w:shd w:val="clear" w:color="auto" w:fill="CFF0FC"/>
          </w:tcPr>
          <w:p>
            <w:pPr>
              <w:spacing w:after="0"/>
              <w:rPr>
                <w:sz w:val="21"/>
                <w:szCs w:val="21"/>
                <w:color w:val="auto"/>
              </w:rPr>
            </w:pPr>
          </w:p>
        </w:tc>
      </w:tr>
      <w:tr>
        <w:trPr>
          <w:trHeight w:val="237"/>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100" w:type="dxa"/>
            <w:vAlign w:val="bottom"/>
          </w:tcPr>
          <w:p>
            <w:pPr>
              <w:spacing w:after="0"/>
              <w:rPr>
                <w:sz w:val="20"/>
                <w:szCs w:val="20"/>
                <w:color w:val="auto"/>
              </w:rPr>
            </w:pPr>
          </w:p>
        </w:tc>
      </w:tr>
      <w:tr>
        <w:trPr>
          <w:trHeight w:val="235"/>
        </w:trPr>
        <w:tc>
          <w:tcPr>
            <w:tcW w:w="5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29,321</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92,694</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(5,878 )</w:t>
            </w:r>
          </w:p>
        </w:tc>
      </w:tr>
      <w:tr>
        <w:trPr>
          <w:trHeight w:val="245"/>
        </w:trPr>
        <w:tc>
          <w:tcPr>
            <w:tcW w:w="5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shd w:val="clear" w:color="auto" w:fill="CFF0FC"/>
          </w:tcPr>
          <w:p>
            <w:pPr>
              <w:spacing w:after="0"/>
              <w:rPr>
                <w:sz w:val="21"/>
                <w:szCs w:val="21"/>
                <w:color w:val="auto"/>
              </w:rPr>
            </w:pPr>
          </w:p>
        </w:tc>
      </w:tr>
      <w:tr>
        <w:trPr>
          <w:trHeight w:val="237"/>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(19 )</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r>
      <w:tr>
        <w:trPr>
          <w:trHeight w:val="23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2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FF0FC"/>
          </w:tcPr>
          <w:p>
            <w:pPr>
              <w:spacing w:after="0"/>
              <w:rPr>
                <w:sz w:val="20"/>
                <w:szCs w:val="20"/>
                <w:color w:val="auto"/>
              </w:rPr>
            </w:pPr>
          </w:p>
        </w:tc>
      </w:tr>
      <w:tr>
        <w:trPr>
          <w:trHeight w:val="237"/>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20"/>
                <w:szCs w:val="20"/>
                <w:color w:val="auto"/>
              </w:rPr>
            </w:pPr>
          </w:p>
        </w:tc>
      </w:tr>
      <w:tr>
        <w:trPr>
          <w:trHeight w:val="23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(1,406 )</w:t>
            </w:r>
          </w:p>
        </w:tc>
      </w:tr>
      <w:tr>
        <w:trPr>
          <w:trHeight w:val="23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gain (loss) on investments, net of tax</w:t>
            </w: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(98 )</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(55 )</w:t>
            </w:r>
          </w:p>
        </w:tc>
        <w:tc>
          <w:tcPr>
            <w:tcW w:w="3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57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5"/>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24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4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22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(1,479 )</w:t>
            </w: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1"/>
        </w:trPr>
        <w:tc>
          <w:tcPr>
            <w:tcW w:w="5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2"/>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r>
      <w:tr>
        <w:trPr>
          <w:trHeight w:val="20"/>
        </w:trPr>
        <w:tc>
          <w:tcPr>
            <w:tcW w:w="5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to compute net income (loss) per share</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85,093,227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80,731,951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84,005,093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71,225,433</w:t>
            </w:r>
          </w:p>
        </w:tc>
        <w:tc>
          <w:tcPr>
            <w:tcW w:w="10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2"/>
        </w:trPr>
        <w:tc>
          <w:tcPr>
            <w:tcW w:w="5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85,204,709</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80,991,722</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84,428,843</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71,225,433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-2612390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-2612390</wp:posOffset>
            </wp:positionV>
            <wp:extent cx="67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-2612390</wp:posOffset>
            </wp:positionV>
            <wp:extent cx="679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-2612390</wp:posOffset>
            </wp:positionV>
            <wp:extent cx="679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-1361440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-1361440</wp:posOffset>
            </wp:positionV>
            <wp:extent cx="679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-1361440</wp:posOffset>
            </wp:positionV>
            <wp:extent cx="67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-1361440</wp:posOffset>
            </wp:positionV>
            <wp:extent cx="6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-714375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-697230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-714375</wp:posOffset>
            </wp:positionV>
            <wp:extent cx="67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-697230</wp:posOffset>
            </wp:positionV>
            <wp:extent cx="67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-714375</wp:posOffset>
            </wp:positionV>
            <wp:extent cx="679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-697230</wp:posOffset>
            </wp:positionV>
            <wp:extent cx="679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-714375</wp:posOffset>
            </wp:positionV>
            <wp:extent cx="679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-697230</wp:posOffset>
            </wp:positionV>
            <wp:extent cx="679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-24765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-24765</wp:posOffset>
            </wp:positionV>
            <wp:extent cx="679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5248275</wp:posOffset>
            </wp:positionH>
            <wp:positionV relativeFrom="paragraph">
              <wp:posOffset>-7620</wp:posOffset>
            </wp:positionV>
            <wp:extent cx="679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7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-24765</wp:posOffset>
            </wp:positionV>
            <wp:extent cx="6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6985000</wp:posOffset>
            </wp:positionH>
            <wp:positionV relativeFrom="paragraph">
              <wp:posOffset>-7620</wp:posOffset>
            </wp:positionV>
            <wp:extent cx="67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480695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400" w:top="774"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21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8"/>
                <w:szCs w:val="18"/>
                <w:color w:val="auto"/>
              </w:rPr>
            </w:pPr>
          </w:p>
        </w:tc>
        <w:tc>
          <w:tcPr>
            <w:tcW w:w="1040" w:type="dxa"/>
            <w:vAlign w:val="bottom"/>
            <w:gridSpan w:val="2"/>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8"/>
        </w:trPr>
        <w:tc>
          <w:tcPr>
            <w:tcW w:w="3740" w:type="dxa"/>
            <w:vAlign w:val="bottom"/>
          </w:tcPr>
          <w:p>
            <w:pPr>
              <w:spacing w:after="0"/>
              <w:rPr>
                <w:sz w:val="18"/>
                <w:szCs w:val="18"/>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67,310,838</w:t>
            </w:r>
          </w:p>
        </w:tc>
        <w:tc>
          <w:tcPr>
            <w:tcW w:w="106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675,905</w:t>
            </w:r>
          </w:p>
        </w:tc>
        <w:tc>
          <w:tcPr>
            <w:tcW w:w="32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(723,448 )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(47,447 )</w:t>
            </w: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release of RSUs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826,797</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68,137,635</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(709,657 )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(31,680 )</w:t>
            </w:r>
          </w:p>
        </w:tc>
        <w:tc>
          <w:tcPr>
            <w:tcW w:w="0" w:type="dxa"/>
            <w:vAlign w:val="bottom"/>
          </w:tcPr>
          <w:p>
            <w:pPr>
              <w:spacing w:after="0"/>
              <w:rPr>
                <w:sz w:val="1"/>
                <w:szCs w:val="1"/>
                <w:color w:val="auto"/>
              </w:rPr>
            </w:pPr>
          </w:p>
        </w:tc>
      </w:tr>
      <w:tr>
        <w:trPr>
          <w:trHeight w:val="24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 and release of RSUs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12,477</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196,930</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 Open Market Sale</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2,270,608</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1120" w:type="dxa"/>
            <w:vAlign w:val="bottom"/>
            <w:gridSpan w:val="3"/>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Agreement, net of issuance cost</w:t>
            </w:r>
          </w:p>
        </w:tc>
        <w:tc>
          <w:tcPr>
            <w:tcW w:w="11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7,499,951</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(6,534 )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(6,534 )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78,117,601</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(716,191 )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(31,227 )</w:t>
            </w:r>
          </w:p>
        </w:tc>
        <w:tc>
          <w:tcPr>
            <w:tcW w:w="0" w:type="dxa"/>
            <w:vAlign w:val="bottom"/>
          </w:tcPr>
          <w:p>
            <w:pPr>
              <w:spacing w:after="0"/>
              <w:rPr>
                <w:sz w:val="1"/>
                <w:szCs w:val="1"/>
                <w:color w:val="auto"/>
              </w:rPr>
            </w:pPr>
          </w:p>
        </w:tc>
      </w:tr>
      <w:tr>
        <w:trPr>
          <w:trHeight w:val="24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Release of RSUs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78,232,601</w:t>
            </w:r>
          </w:p>
        </w:tc>
        <w:tc>
          <w:tcPr>
            <w:tcW w:w="24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686,962</w:t>
            </w:r>
          </w:p>
        </w:tc>
        <w:tc>
          <w:tcPr>
            <w:tcW w:w="120" w:type="dxa"/>
            <w:vAlign w:val="bottom"/>
            <w:shd w:val="clear" w:color="auto" w:fill="CFF0FC"/>
          </w:tcPr>
          <w:p>
            <w:pPr>
              <w:spacing w:after="0"/>
              <w:rPr>
                <w:sz w:val="24"/>
                <w:szCs w:val="24"/>
                <w:color w:val="auto"/>
              </w:rPr>
            </w:pP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(710,455 )</w:t>
            </w: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(23,452 )</w:t>
            </w:r>
          </w:p>
        </w:tc>
        <w:tc>
          <w:tcPr>
            <w:tcW w:w="0" w:type="dxa"/>
            <w:vAlign w:val="bottom"/>
          </w:tcPr>
          <w:p>
            <w:pPr>
              <w:spacing w:after="0"/>
              <w:rPr>
                <w:sz w:val="1"/>
                <w:szCs w:val="1"/>
                <w:color w:val="auto"/>
              </w:rPr>
            </w:pPr>
          </w:p>
        </w:tc>
      </w:tr>
      <w:tr>
        <w:trPr>
          <w:trHeight w:val="719"/>
        </w:trPr>
        <w:tc>
          <w:tcPr>
            <w:tcW w:w="3740" w:type="dxa"/>
            <w:vAlign w:val="bottom"/>
            <w:tcBorders>
              <w:top w:val="single" w:sz="8" w:color="CFF0F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21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8"/>
                <w:szCs w:val="18"/>
                <w:color w:val="auto"/>
              </w:rPr>
            </w:pPr>
          </w:p>
        </w:tc>
        <w:tc>
          <w:tcPr>
            <w:tcW w:w="1040" w:type="dxa"/>
            <w:vAlign w:val="bottom"/>
            <w:gridSpan w:val="2"/>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8"/>
        </w:trPr>
        <w:tc>
          <w:tcPr>
            <w:tcW w:w="3740" w:type="dxa"/>
            <w:vAlign w:val="bottom"/>
          </w:tcPr>
          <w:p>
            <w:pPr>
              <w:spacing w:after="0"/>
              <w:rPr>
                <w:sz w:val="18"/>
                <w:szCs w:val="18"/>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8"/>
                <w:szCs w:val="18"/>
                <w:color w:val="auto"/>
              </w:rPr>
            </w:pPr>
          </w:p>
        </w:tc>
        <w:tc>
          <w:tcPr>
            <w:tcW w:w="1040" w:type="dxa"/>
            <w:vAlign w:val="bottom"/>
            <w:gridSpan w:val="2"/>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1"/>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66,228,046</w:t>
            </w:r>
          </w:p>
        </w:tc>
        <w:tc>
          <w:tcPr>
            <w:tcW w:w="240" w:type="dxa"/>
            <w:vAlign w:val="bottom"/>
          </w:tcPr>
          <w:p>
            <w:pPr>
              <w:spacing w:after="0"/>
              <w:rPr>
                <w:sz w:val="20"/>
                <w:szCs w:val="20"/>
                <w:color w:val="auto"/>
              </w:rPr>
            </w:pPr>
          </w:p>
        </w:tc>
        <w:tc>
          <w:tcPr>
            <w:tcW w:w="820" w:type="dxa"/>
            <w:vAlign w:val="bottom"/>
            <w:tcBorders>
              <w:top w:val="single" w:sz="8" w:color="auto"/>
            </w:tcBorders>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637,117</w:t>
            </w:r>
          </w:p>
        </w:tc>
        <w:tc>
          <w:tcPr>
            <w:tcW w:w="220" w:type="dxa"/>
            <w:vAlign w:val="bottom"/>
            <w:gridSpan w:val="2"/>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Release of RSUs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110,892</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(3,311 )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66,338,938</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639,526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(726,190 )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(86,637 )</w:t>
            </w: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Release of RSUs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212,312</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199,994</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66,767,779</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(727,277 )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(85,027 )</w:t>
            </w:r>
          </w:p>
        </w:tc>
        <w:tc>
          <w:tcPr>
            <w:tcW w:w="0" w:type="dxa"/>
            <w:vAlign w:val="bottom"/>
          </w:tcPr>
          <w:p>
            <w:pPr>
              <w:spacing w:after="0"/>
              <w:rPr>
                <w:sz w:val="1"/>
                <w:szCs w:val="1"/>
                <w:color w:val="auto"/>
              </w:rPr>
            </w:pPr>
          </w:p>
        </w:tc>
      </w:tr>
      <w:tr>
        <w:trPr>
          <w:trHeight w:val="24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Release of RSUs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pre-funded warrants and warrants, net of</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cost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45"/>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66,872,779</w:t>
            </w: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673,109</w:t>
            </w:r>
          </w:p>
        </w:tc>
        <w:tc>
          <w:tcPr>
            <w:tcW w:w="3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(724,285 )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(51,238 )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-6315710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-6315710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-6315710</wp:posOffset>
            </wp:positionV>
            <wp:extent cx="679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-6315710</wp:posOffset>
            </wp:positionV>
            <wp:extent cx="679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6269355</wp:posOffset>
            </wp:positionH>
            <wp:positionV relativeFrom="paragraph">
              <wp:posOffset>-6315710</wp:posOffset>
            </wp:positionV>
            <wp:extent cx="679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-6315710</wp:posOffset>
            </wp:positionV>
            <wp:extent cx="679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-4961890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-4961890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-4961890</wp:posOffset>
            </wp:positionV>
            <wp:extent cx="679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-4961890</wp:posOffset>
            </wp:positionV>
            <wp:extent cx="679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6269355</wp:posOffset>
            </wp:positionH>
            <wp:positionV relativeFrom="paragraph">
              <wp:posOffset>-4961890</wp:posOffset>
            </wp:positionV>
            <wp:extent cx="679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-4961890</wp:posOffset>
            </wp:positionV>
            <wp:extent cx="679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-4025900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-4008755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-4025900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-4008755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-4025900</wp:posOffset>
            </wp:positionV>
            <wp:extent cx="679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-4008755</wp:posOffset>
            </wp:positionV>
            <wp:extent cx="679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-4025900</wp:posOffset>
            </wp:positionV>
            <wp:extent cx="679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-4008755</wp:posOffset>
            </wp:positionV>
            <wp:extent cx="67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6269355</wp:posOffset>
            </wp:positionH>
            <wp:positionV relativeFrom="paragraph">
              <wp:posOffset>-4025900</wp:posOffset>
            </wp:positionV>
            <wp:extent cx="679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6269355</wp:posOffset>
            </wp:positionH>
            <wp:positionV relativeFrom="paragraph">
              <wp:posOffset>-4008755</wp:posOffset>
            </wp:positionV>
            <wp:extent cx="67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-4025900</wp:posOffset>
            </wp:positionV>
            <wp:extent cx="679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-4008755</wp:posOffset>
            </wp:positionV>
            <wp:extent cx="679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-1250950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-1250950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-1250950</wp:posOffset>
            </wp:positionV>
            <wp:extent cx="679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-1250950</wp:posOffset>
            </wp:positionV>
            <wp:extent cx="679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6269355</wp:posOffset>
            </wp:positionH>
            <wp:positionV relativeFrom="paragraph">
              <wp:posOffset>-1250950</wp:posOffset>
            </wp:positionV>
            <wp:extent cx="679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-1250950</wp:posOffset>
            </wp:positionV>
            <wp:extent cx="679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3077845</wp:posOffset>
            </wp:positionH>
            <wp:positionV relativeFrom="paragraph">
              <wp:posOffset>-186690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-186690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-186690</wp:posOffset>
            </wp:positionV>
            <wp:extent cx="679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5486400</wp:posOffset>
            </wp:positionH>
            <wp:positionV relativeFrom="paragraph">
              <wp:posOffset>-186690</wp:posOffset>
            </wp:positionV>
            <wp:extent cx="679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6269355</wp:posOffset>
            </wp:positionH>
            <wp:positionV relativeFrom="paragraph">
              <wp:posOffset>-186690</wp:posOffset>
            </wp:positionV>
            <wp:extent cx="679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-186690</wp:posOffset>
            </wp:positionV>
            <wp:extent cx="679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ectPr>
          <w:pgSz w:w="11900" w:h="16838" w:orient="portrait"/>
          <w:cols w:equalWidth="0" w:num="1">
            <w:col w:w="11240"/>
          </w:cols>
          <w:pgMar w:left="320" w:top="774" w:right="3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79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7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9"/>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12,993</w:t>
            </w:r>
          </w:p>
        </w:tc>
        <w:tc>
          <w:tcPr>
            <w:tcW w:w="240" w:type="dxa"/>
            <w:vAlign w:val="bottom"/>
          </w:tcPr>
          <w:p>
            <w:pPr>
              <w:spacing w:after="0"/>
              <w:rPr>
                <w:sz w:val="19"/>
                <w:szCs w:val="19"/>
                <w:color w:val="auto"/>
              </w:rPr>
            </w:pPr>
          </w:p>
        </w:tc>
        <w:tc>
          <w:tcPr>
            <w:tcW w:w="5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(1,406 )</w:t>
            </w:r>
          </w:p>
        </w:tc>
      </w:tr>
      <w:tr>
        <w:trPr>
          <w:trHeight w:val="23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9"/>
        </w:trPr>
        <w:tc>
          <w:tcPr>
            <w:tcW w:w="7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9"/>
                <w:szCs w:val="19"/>
                <w:color w:val="auto"/>
              </w:rPr>
            </w:pPr>
          </w:p>
        </w:tc>
      </w:tr>
      <w:tr>
        <w:trPr>
          <w:trHeight w:val="237"/>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shd w:val="clear" w:color="auto" w:fill="CFF0FC"/>
          </w:tcPr>
          <w:p>
            <w:pPr>
              <w:spacing w:after="0"/>
              <w:rPr>
                <w:sz w:val="20"/>
                <w:szCs w:val="20"/>
                <w:color w:val="auto"/>
              </w:rPr>
            </w:pPr>
          </w:p>
        </w:tc>
      </w:tr>
      <w:tr>
        <w:trPr>
          <w:trHeight w:val="219"/>
        </w:trPr>
        <w:tc>
          <w:tcPr>
            <w:tcW w:w="7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Accretion of discounts on short-term investments</w:t>
            </w:r>
          </w:p>
        </w:tc>
        <w:tc>
          <w:tcPr>
            <w:tcW w:w="8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(4,524 )</w:t>
            </w:r>
          </w:p>
        </w:tc>
        <w:tc>
          <w:tcPr>
            <w:tcW w:w="5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(5,193 )</w:t>
            </w:r>
          </w:p>
        </w:tc>
      </w:tr>
      <w:tr>
        <w:trPr>
          <w:trHeight w:val="237"/>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100" w:type="dxa"/>
            <w:vAlign w:val="bottom"/>
            <w:shd w:val="clear" w:color="auto" w:fill="CFF0FC"/>
          </w:tcPr>
          <w:p>
            <w:pPr>
              <w:spacing w:after="0"/>
              <w:rPr>
                <w:sz w:val="20"/>
                <w:szCs w:val="20"/>
                <w:color w:val="auto"/>
              </w:rPr>
            </w:pPr>
          </w:p>
        </w:tc>
      </w:tr>
      <w:tr>
        <w:trPr>
          <w:trHeight w:val="219"/>
        </w:trPr>
        <w:tc>
          <w:tcPr>
            <w:tcW w:w="79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Non-cash lease expense</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100" w:type="dxa"/>
            <w:vAlign w:val="bottom"/>
          </w:tcPr>
          <w:p>
            <w:pPr>
              <w:spacing w:after="0"/>
              <w:rPr>
                <w:sz w:val="19"/>
                <w:szCs w:val="19"/>
                <w:color w:val="auto"/>
              </w:rPr>
            </w:pPr>
          </w:p>
        </w:tc>
      </w:tr>
      <w:tr>
        <w:trPr>
          <w:trHeight w:val="237"/>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9"/>
        </w:trPr>
        <w:tc>
          <w:tcPr>
            <w:tcW w:w="79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33,567</w:t>
            </w:r>
          </w:p>
        </w:tc>
        <w:tc>
          <w:tcPr>
            <w:tcW w:w="100" w:type="dxa"/>
            <w:vAlign w:val="bottom"/>
          </w:tcPr>
          <w:p>
            <w:pPr>
              <w:spacing w:after="0"/>
              <w:rPr>
                <w:sz w:val="19"/>
                <w:szCs w:val="19"/>
                <w:color w:val="auto"/>
              </w:rPr>
            </w:pPr>
          </w:p>
        </w:tc>
      </w:tr>
      <w:tr>
        <w:trPr>
          <w:trHeight w:val="237"/>
        </w:trPr>
        <w:tc>
          <w:tcPr>
            <w:tcW w:w="79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00" w:type="dxa"/>
            <w:vAlign w:val="bottom"/>
            <w:shd w:val="clear" w:color="auto" w:fill="CFF0FC"/>
          </w:tcPr>
          <w:p>
            <w:pPr>
              <w:spacing w:after="0"/>
              <w:rPr>
                <w:sz w:val="20"/>
                <w:szCs w:val="20"/>
                <w:color w:val="auto"/>
              </w:rPr>
            </w:pPr>
          </w:p>
        </w:tc>
      </w:tr>
      <w:tr>
        <w:trPr>
          <w:trHeight w:val="219"/>
        </w:trPr>
        <w:tc>
          <w:tcPr>
            <w:tcW w:w="79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8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(36 )</w:t>
            </w:r>
          </w:p>
        </w:tc>
        <w:tc>
          <w:tcPr>
            <w:tcW w:w="5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(1,098 )</w:t>
            </w:r>
          </w:p>
        </w:tc>
      </w:tr>
      <w:tr>
        <w:trPr>
          <w:trHeight w:val="237"/>
        </w:trPr>
        <w:tc>
          <w:tcPr>
            <w:tcW w:w="79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8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(4,074 )</w:t>
            </w:r>
          </w:p>
        </w:tc>
        <w:tc>
          <w:tcPr>
            <w:tcW w:w="5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(8,465 )</w:t>
            </w:r>
          </w:p>
        </w:tc>
      </w:tr>
      <w:tr>
        <w:trPr>
          <w:trHeight w:val="219"/>
        </w:trPr>
        <w:tc>
          <w:tcPr>
            <w:tcW w:w="79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Deferred revenue</w:t>
            </w:r>
          </w:p>
        </w:tc>
        <w:tc>
          <w:tcPr>
            <w:tcW w:w="8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(82,696 )</w:t>
            </w:r>
          </w:p>
        </w:tc>
        <w:tc>
          <w:tcPr>
            <w:tcW w:w="5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(64,669 )</w:t>
            </w:r>
          </w:p>
        </w:tc>
      </w:tr>
      <w:tr>
        <w:trPr>
          <w:trHeight w:val="23"/>
        </w:trPr>
        <w:tc>
          <w:tcPr>
            <w:tcW w:w="7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1"/>
        </w:trPr>
        <w:tc>
          <w:tcPr>
            <w:tcW w:w="79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(66,323 )</w:t>
            </w: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(34,072 )</w:t>
            </w:r>
          </w:p>
        </w:tc>
      </w:tr>
      <w:tr>
        <w:trPr>
          <w:trHeight w:val="220"/>
        </w:trPr>
        <w:tc>
          <w:tcPr>
            <w:tcW w:w="7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6"/>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(230 )</w:t>
            </w:r>
          </w:p>
        </w:tc>
        <w:tc>
          <w:tcPr>
            <w:tcW w:w="5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(574 )</w:t>
            </w:r>
          </w:p>
        </w:tc>
      </w:tr>
      <w:tr>
        <w:trPr>
          <w:trHeight w:val="219"/>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8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5"/>
              </w:rPr>
              <w:t>(105,706 )</w:t>
            </w:r>
          </w:p>
        </w:tc>
        <w:tc>
          <w:tcPr>
            <w:tcW w:w="5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(312,966 )</w:t>
            </w:r>
          </w:p>
        </w:tc>
      </w:tr>
      <w:tr>
        <w:trPr>
          <w:trHeight w:val="231"/>
        </w:trPr>
        <w:tc>
          <w:tcPr>
            <w:tcW w:w="7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8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190,501</w:t>
            </w:r>
          </w:p>
        </w:tc>
        <w:tc>
          <w:tcPr>
            <w:tcW w:w="2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1"/>
        </w:trPr>
        <w:tc>
          <w:tcPr>
            <w:tcW w:w="79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84,565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(163,540 )</w:t>
            </w:r>
          </w:p>
        </w:tc>
      </w:tr>
      <w:tr>
        <w:trPr>
          <w:trHeight w:val="228"/>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9"/>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pre-funded warrants and tranche warrants, net of issuance costs</w:t>
            </w:r>
          </w:p>
        </w:tc>
        <w:tc>
          <w:tcPr>
            <w:tcW w:w="8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29,669</w:t>
            </w:r>
          </w:p>
        </w:tc>
        <w:tc>
          <w:tcPr>
            <w:tcW w:w="100" w:type="dxa"/>
            <w:vAlign w:val="bottom"/>
          </w:tcPr>
          <w:p>
            <w:pPr>
              <w:spacing w:after="0"/>
              <w:rPr>
                <w:sz w:val="19"/>
                <w:szCs w:val="19"/>
                <w:color w:val="auto"/>
              </w:rPr>
            </w:pPr>
          </w:p>
        </w:tc>
      </w:tr>
      <w:tr>
        <w:trPr>
          <w:trHeight w:val="237"/>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costs</w:t>
            </w: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4,843</w:t>
            </w: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79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employee purchase plan and exercise of stock options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9"/>
                <w:szCs w:val="19"/>
                <w:color w:val="auto"/>
              </w:rPr>
            </w:pPr>
          </w:p>
        </w:tc>
      </w:tr>
      <w:tr>
        <w:trPr>
          <w:trHeight w:val="221"/>
        </w:trPr>
        <w:tc>
          <w:tcPr>
            <w:tcW w:w="79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5,273</w:t>
            </w:r>
          </w:p>
        </w:tc>
        <w:tc>
          <w:tcPr>
            <w:tcW w:w="2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8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(167,626 )</w:t>
            </w:r>
          </w:p>
        </w:tc>
      </w:tr>
      <w:tr>
        <w:trPr>
          <w:trHeight w:val="231"/>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8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2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194,567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41,603</w:t>
            </w: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26,941</w:t>
            </w:r>
          </w:p>
        </w:tc>
        <w:tc>
          <w:tcPr>
            <w:tcW w:w="1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79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-2101850</wp:posOffset>
            </wp:positionV>
            <wp:extent cx="679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-2101850</wp:posOffset>
            </wp:positionV>
            <wp:extent cx="679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-1514475</wp:posOffset>
            </wp:positionV>
            <wp:extent cx="679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-1514475</wp:posOffset>
            </wp:positionV>
            <wp:extent cx="679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-621030</wp:posOffset>
            </wp:positionV>
            <wp:extent cx="679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-621030</wp:posOffset>
            </wp:positionV>
            <wp:extent cx="679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-322580</wp:posOffset>
            </wp:positionV>
            <wp:extent cx="679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-322580</wp:posOffset>
            </wp:positionV>
            <wp:extent cx="679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CytomX Therapeutics, Inc. (the “Company”) is a clinical-stage, oncology-focused biopharmaceutical company developing potent biologics designed to remain masked and inactive in healthy tissue and to be unmasked and preferentially activated in the tumor microenvironment. The Company aims to build a commercial enterprise to maximize its impact on the treatment of cancer. The Company is advancing potential first-in-class and best-in-class therapeutics created using its PROBODY® therapeutic technology platform that could meaningfully improve outcomes for cancer patients. Its proprietary and unique PROBODY technology platform is designed to enable “conditional activation” of masked antibody-based drugs in the tumor microenvironment across multiple therapeutic modalities. The Company is located in South San Francisco, California and was incorporated in the state of Delaware in September 2010.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19" w:lineRule="exact"/>
        <w:rPr>
          <w:sz w:val="20"/>
          <w:szCs w:val="20"/>
          <w:color w:val="auto"/>
        </w:rPr>
      </w:pPr>
    </w:p>
    <w:p>
      <w:pPr>
        <w:jc w:val="both"/>
        <w:ind w:right="480"/>
        <w:spacing w:after="0" w:line="263" w:lineRule="auto"/>
        <w:rPr>
          <w:sz w:val="20"/>
          <w:szCs w:val="20"/>
          <w:color w:val="auto"/>
        </w:rPr>
      </w:pPr>
      <w:r>
        <w:rPr>
          <w:rFonts w:ascii="Times New Roman" w:cs="Times New Roman" w:eastAsia="Times New Roman" w:hAnsi="Times New Roman"/>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condensed results of operations for the three and nine months ended September 30, 2024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2023 filed with the SEC.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19" w:lineRule="exact"/>
        <w:rPr>
          <w:sz w:val="20"/>
          <w:szCs w:val="20"/>
          <w:color w:val="auto"/>
        </w:rPr>
      </w:pPr>
    </w:p>
    <w:p>
      <w:pPr>
        <w:ind w:right="780"/>
        <w:spacing w:after="0" w:line="279"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at the date of purchase to be cash equivalents. Restricted cash represents a standby letter of credit issued pursuant to an office lease and value added tax return.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214"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20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w:t>
      </w:r>
    </w:p>
    <w:p>
      <w:pPr>
        <w:sectPr>
          <w:pgSz w:w="11900" w:h="16838" w:orient="portrait"/>
          <w:cols w:equalWidth="0" w:num="1">
            <w:col w:w="11180"/>
          </w:cols>
          <w:pgMar w:left="320" w:top="761" w:right="399" w:bottom="1440" w:gutter="0" w:footer="0" w:header="0"/>
        </w:sectPr>
      </w:pP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495300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1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spacing w:after="0" w:line="19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Due to the early stage of the Company’s licensed technology, the license of such technology is typically combined with research and development services and steering committee participation as one performance obligation. Under the collaboration and license agreements, each collaboration target or program is generally considered to be a separate combined performance obligation. 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Variable consideration is allocated to certain performance obligations if it is triggered by the Company’s efforts to satisfy or a specific outcome from satisfying these performance obligations.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 The Company recognizes revenue from upfront payments over the estimated period of performance under the agreement using an input method for the performance obligation. In applying the input method of revenue recognition, the Company uses actual full-time equivalent (FTE) hours incurred relative to estimated total FTE hours expected to be incurred for each combined performance obligation over the estimated research service period of each collaboration target.</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1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color w:val="auto"/>
        </w:rPr>
        <w:t>Any consideration payable to the Company’s customers is treated as a reduction to the transaction price and revenue, unless the payment to the customer is in exchange for distinct good and services.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19"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w:t>
      </w:r>
    </w:p>
    <w:p>
      <w:pPr>
        <w:spacing w:after="0" w:line="11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The Company derives revenues through its collaboration and license agreements and determined that it operates as a single reportable segment which primarily focus on clinical and pre-clinical research programs. The Chief Operating Decision Maker ("CODM") primarily reviews the Company’s financial information on an aggregate basis. All long-lived assets are maintained in the United States of America.</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 Improvements to Reportable Segment Disclosures ("ASU 2023-07"), which enhances transparency in income tax disclosures. ASU 2023-07 requires entities to provide incremental disclosures, if applicable, related to a public entity's reportable segments but does not change the definition of a segment, the method for determining segments, or the criteria for aggregating operating segments into reportable segment. ASU 2023-07 improves reportable segment disclosure requirements, primarily through enhanced disclosures about significant segment expenses, which enable users of financial statements to better understand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310"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8"/>
          <w:szCs w:val="18"/>
          <w:color w:val="auto"/>
        </w:rPr>
        <w:t>the entity's measurement and assessment of segment performance and resource allocation. The new guidance is effective for public entities for fiscal years beginning after December 15, 2023, and interim periods in fiscal years beginning after December 15, 2024. The Company will adopt the ASU for its 2024 Form 10-K. The ASU is required to be applied on a retrospective basis. The Company is evaluating the impact on its financial statements.</w:t>
      </w:r>
    </w:p>
    <w:p>
      <w:pPr>
        <w:spacing w:after="0" w:line="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enhances transparency in income tax disclosures. ASU 2023-09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Company will adopt the ASU for its 2025 Form 10-K on a prospective basis. The Company is evaluating the impact on its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(Loss) Per Share</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weighted-average number of shares of common stock outstanding for the period. Diluted net income (loss) per share is calculated using the weighted-average number of common shares outstanding, plus potential dilutive common stock during the period. Diluted net loss per share is the same as basic net loss per share in the period when the effect of the potentially dilutive securities is anti-dilutive. The pre-funded warrants are included in both the basic and diluted EPS calculation.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8"/>
        </w:trPr>
        <w:tc>
          <w:tcPr>
            <w:tcW w:w="61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gridSpan w:val="10"/>
          </w:tcPr>
          <w:p>
            <w:pPr>
              <w:ind w:left="8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6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(1,406 )</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78,170,101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66,779,192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77,081,967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66,523,404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pre-funded warrants</w:t>
            </w: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6,923,126</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13,952,759</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6,923,126</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4,702,029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basic net income</w:t>
            </w: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85,093,227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80,731,951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84,005,093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71,225,433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basic net income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85,093,227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80,731,951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84,005,093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71,225,433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options, ESPP &amp; RSUs</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423,750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Weighted-average common shares outstanding used to calculate diluted net income</w:t>
            </w:r>
          </w:p>
        </w:tc>
        <w:tc>
          <w:tcPr>
            <w:tcW w:w="1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85,204,709</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80,991,722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84,428,843</w:t>
            </w:r>
          </w:p>
        </w:tc>
        <w:tc>
          <w:tcPr>
            <w:tcW w:w="2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71,225,433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per share</w:t>
            </w: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48"/>
        </w:trPr>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644"/>
        </w:trPr>
        <w:tc>
          <w:tcPr>
            <w:tcW w:w="61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7"/>
        </w:trPr>
        <w:tc>
          <w:tcPr>
            <w:tcW w:w="6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4601210</wp:posOffset>
            </wp:positionH>
            <wp:positionV relativeFrom="paragraph">
              <wp:posOffset>-2876550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-2876550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6261100</wp:posOffset>
            </wp:positionH>
            <wp:positionV relativeFrom="paragraph">
              <wp:posOffset>-2876550</wp:posOffset>
            </wp:positionV>
            <wp:extent cx="679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-2876550</wp:posOffset>
            </wp:positionV>
            <wp:extent cx="679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4601210</wp:posOffset>
            </wp:positionH>
            <wp:positionV relativeFrom="paragraph">
              <wp:posOffset>-1557020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4601210</wp:posOffset>
            </wp:positionH>
            <wp:positionV relativeFrom="paragraph">
              <wp:posOffset>-1539875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-1557020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5443855</wp:posOffset>
            </wp:positionH>
            <wp:positionV relativeFrom="paragraph">
              <wp:posOffset>-1539875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6261100</wp:posOffset>
            </wp:positionH>
            <wp:positionV relativeFrom="paragraph">
              <wp:posOffset>-1557020</wp:posOffset>
            </wp:positionV>
            <wp:extent cx="679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6261100</wp:posOffset>
            </wp:positionH>
            <wp:positionV relativeFrom="paragraph">
              <wp:posOffset>-1539875</wp:posOffset>
            </wp:positionV>
            <wp:extent cx="679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-1557020</wp:posOffset>
            </wp:positionV>
            <wp:extent cx="679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-1539875</wp:posOffset>
            </wp:positionV>
            <wp:extent cx="679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218"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are excluded from the computation of diluted net income (loss) per share for the periods presented, because including them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140" w:type="dxa"/>
            <w:vAlign w:val="bottom"/>
          </w:tcPr>
          <w:p>
            <w:pPr>
              <w:spacing w:after="0"/>
              <w:rPr>
                <w:sz w:val="14"/>
                <w:szCs w:val="14"/>
                <w:color w:val="auto"/>
              </w:rPr>
            </w:pPr>
          </w:p>
        </w:tc>
        <w:tc>
          <w:tcPr>
            <w:tcW w:w="2400" w:type="dxa"/>
            <w:vAlign w:val="bottom"/>
            <w:gridSpan w:val="3"/>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6140" w:type="dxa"/>
            <w:vAlign w:val="bottom"/>
          </w:tcPr>
          <w:p>
            <w:pPr>
              <w:spacing w:after="0"/>
              <w:rPr>
                <w:sz w:val="16"/>
                <w:szCs w:val="16"/>
                <w:color w:val="auto"/>
              </w:rPr>
            </w:pPr>
          </w:p>
        </w:tc>
        <w:tc>
          <w:tcPr>
            <w:tcW w:w="2400" w:type="dxa"/>
            <w:vAlign w:val="bottom"/>
            <w:gridSpan w:val="3"/>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8"/>
        </w:trPr>
        <w:tc>
          <w:tcPr>
            <w:tcW w:w="61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49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and ESPP to purchase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14,583,619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13,863,671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14,262,791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14,046,593</w:t>
            </w:r>
          </w:p>
        </w:tc>
        <w:tc>
          <w:tcPr>
            <w:tcW w:w="100" w:type="dxa"/>
            <w:vAlign w:val="bottom"/>
          </w:tcPr>
          <w:p>
            <w:pPr>
              <w:spacing w:after="0"/>
              <w:rPr>
                <w:sz w:val="24"/>
                <w:szCs w:val="24"/>
                <w:color w:val="auto"/>
              </w:rPr>
            </w:pPr>
          </w:p>
        </w:tc>
      </w:tr>
      <w:tr>
        <w:trPr>
          <w:trHeight w:val="248"/>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11,538,462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11,162,208</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11,538,462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3,720,736</w:t>
            </w:r>
          </w:p>
        </w:tc>
        <w:tc>
          <w:tcPr>
            <w:tcW w:w="100" w:type="dxa"/>
            <w:vAlign w:val="bottom"/>
            <w:shd w:val="clear" w:color="auto" w:fill="CFF0FC"/>
          </w:tcPr>
          <w:p>
            <w:pPr>
              <w:spacing w:after="0"/>
              <w:rPr>
                <w:sz w:val="21"/>
                <w:szCs w:val="21"/>
                <w:color w:val="auto"/>
              </w:rPr>
            </w:pPr>
          </w:p>
        </w:tc>
      </w:tr>
      <w:tr>
        <w:trPr>
          <w:trHeight w:val="241"/>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1,738,213</w:t>
            </w:r>
          </w:p>
        </w:tc>
        <w:tc>
          <w:tcPr>
            <w:tcW w:w="2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884,232</w:t>
            </w:r>
          </w:p>
        </w:tc>
        <w:tc>
          <w:tcPr>
            <w:tcW w:w="220" w:type="dxa"/>
            <w:vAlign w:val="bottom"/>
            <w:gridSpan w:val="2"/>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217,727</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1,659,636</w:t>
            </w:r>
          </w:p>
        </w:tc>
        <w:tc>
          <w:tcPr>
            <w:tcW w:w="100" w:type="dxa"/>
            <w:vAlign w:val="bottom"/>
          </w:tcPr>
          <w:p>
            <w:pPr>
              <w:spacing w:after="0"/>
              <w:rPr>
                <w:sz w:val="20"/>
                <w:szCs w:val="20"/>
                <w:color w:val="auto"/>
              </w:rPr>
            </w:pPr>
          </w:p>
        </w:tc>
      </w:tr>
      <w:tr>
        <w:trPr>
          <w:trHeight w:val="271"/>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27,860,294</w:t>
            </w: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25,910,111</w:t>
            </w:r>
          </w:p>
        </w:tc>
        <w:tc>
          <w:tcPr>
            <w:tcW w:w="220" w:type="dxa"/>
            <w:vAlign w:val="bottom"/>
            <w:tcBorders>
              <w:bottom w:val="single" w:sz="8" w:color="CFF0FC"/>
            </w:tcBorders>
            <w:gridSpan w:val="2"/>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26,018,980</w:t>
            </w:r>
          </w:p>
        </w:tc>
        <w:tc>
          <w:tcPr>
            <w:tcW w:w="22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19,426,965</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4584065</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4584065</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5426710</wp:posOffset>
            </wp:positionH>
            <wp:positionV relativeFrom="paragraph">
              <wp:posOffset>-24765</wp:posOffset>
            </wp:positionV>
            <wp:extent cx="679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5426710</wp:posOffset>
            </wp:positionH>
            <wp:positionV relativeFrom="paragraph">
              <wp:posOffset>-7620</wp:posOffset>
            </wp:positionV>
            <wp:extent cx="679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-24765</wp:posOffset>
            </wp:positionV>
            <wp:extent cx="679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6235700</wp:posOffset>
            </wp:positionH>
            <wp:positionV relativeFrom="paragraph">
              <wp:posOffset>-7620</wp:posOffset>
            </wp:positionV>
            <wp:extent cx="679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and Investments</w:t>
      </w:r>
    </w:p>
    <w:p>
      <w:pPr>
        <w:spacing w:after="0" w:line="11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0"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4" w:lineRule="exact"/>
        <w:rPr>
          <w:rFonts w:ascii="Times New Roman" w:cs="Times New Roman" w:eastAsia="Times New Roman" w:hAnsi="Times New Roman"/>
          <w:sz w:val="18"/>
          <w:szCs w:val="18"/>
          <w:color w:val="auto"/>
        </w:rPr>
      </w:pPr>
    </w:p>
    <w:p>
      <w:pPr>
        <w:jc w:val="both"/>
        <w:ind w:left="1020" w:right="40" w:hanging="504"/>
        <w:spacing w:after="0" w:line="26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0" w:lineRule="exact"/>
        <w:rPr>
          <w:rFonts w:ascii="Times New Roman" w:cs="Times New Roman" w:eastAsia="Times New Roman" w:hAnsi="Times New Roman"/>
          <w:sz w:val="18"/>
          <w:szCs w:val="18"/>
          <w:color w:val="auto"/>
        </w:rPr>
      </w:pPr>
    </w:p>
    <w:p>
      <w:pPr>
        <w:ind w:left="1020" w:right="600" w:hanging="504"/>
        <w:spacing w:after="0" w:line="27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202"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and Level II assets which consist primarily of highly liquid money market funds, some of which are included in restricted cash and U.S. Treasury securities that are included in cash equivalents or short-term investments.</w:t>
      </w:r>
    </w:p>
    <w:p>
      <w:pPr>
        <w:spacing w:after="0" w:line="209"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investments subject to fair value measurements on a recurring basis and the level of inputs used in such measurements: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3"/>
          </w:tcPr>
          <w:p>
            <w:pPr>
              <w:jc w:val="center"/>
              <w:ind w:right="460"/>
              <w:spacing w:after="0" w:line="130"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0"/>
                <w:szCs w:val="20"/>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Level I</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4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center"/>
              <w:ind w:right="300"/>
              <w:spacing w:after="0"/>
              <w:rPr>
                <w:sz w:val="20"/>
                <w:szCs w:val="20"/>
                <w:color w:val="auto"/>
              </w:rPr>
            </w:pPr>
            <w:r>
              <w:rPr>
                <w:rFonts w:ascii="Times New Roman" w:cs="Times New Roman" w:eastAsia="Times New Roman" w:hAnsi="Times New Roman"/>
                <w:sz w:val="18"/>
                <w:szCs w:val="18"/>
                <w:color w:val="auto"/>
              </w:rPr>
              <w:t>Level I</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gridSpan w:val="3"/>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20"/>
                <w:szCs w:val="20"/>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Level II</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89,349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40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118,588</w:t>
            </w:r>
          </w:p>
        </w:tc>
        <w:tc>
          <w:tcPr>
            <w:tcW w:w="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ind w:right="2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40</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118,628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3"/>
          </w:tcPr>
          <w:p>
            <w:pPr>
              <w:jc w:val="center"/>
              <w:ind w:right="380"/>
              <w:spacing w:after="0" w:line="130"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7"/>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20"/>
                <w:szCs w:val="20"/>
                <w:color w:val="auto"/>
              </w:rPr>
            </w:pP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Level I</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17,109</w:t>
            </w:r>
          </w:p>
        </w:tc>
        <w:tc>
          <w:tcPr>
            <w:tcW w:w="2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4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Level I</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917</w:t>
            </w: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gridSpan w:val="3"/>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20"/>
                <w:szCs w:val="20"/>
                <w:color w:val="auto"/>
              </w:rPr>
            </w:pP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7"/>
              </w:rPr>
              <w:t>Level II</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157,243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color w:val="auto"/>
                <w:w w:val="88"/>
              </w:rPr>
              <w:t>95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175,269</w:t>
            </w:r>
          </w:p>
        </w:tc>
        <w:tc>
          <w:tcPr>
            <w:tcW w:w="2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88"/>
              </w:rPr>
              <w:t>95</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175,364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4984115</wp:posOffset>
            </wp:positionH>
            <wp:positionV relativeFrom="paragraph">
              <wp:posOffset>-1548765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4984115</wp:posOffset>
            </wp:positionH>
            <wp:positionV relativeFrom="paragraph">
              <wp:posOffset>-1531620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-1548765</wp:posOffset>
            </wp:positionV>
            <wp:extent cx="679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-1531620</wp:posOffset>
            </wp:positionV>
            <wp:extent cx="679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-1548765</wp:posOffset>
            </wp:positionV>
            <wp:extent cx="679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-1531620</wp:posOffset>
            </wp:positionV>
            <wp:extent cx="679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-24765</wp:posOffset>
            </wp:positionV>
            <wp:extent cx="679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5026660</wp:posOffset>
            </wp:positionH>
            <wp:positionV relativeFrom="paragraph">
              <wp:posOffset>-7620</wp:posOffset>
            </wp:positionV>
            <wp:extent cx="679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79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79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remaining contractual terms of those investments are less than a year.</w:t>
      </w:r>
    </w:p>
    <w:p>
      <w:pPr>
        <w:sectPr>
          <w:pgSz w:w="11900" w:h="16838" w:orient="portrait"/>
          <w:cols w:equalWidth="0" w:num="1">
            <w:col w:w="11240"/>
          </w:cols>
          <w:pgMar w:left="320" w:top="761"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8"/>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60" w:type="dxa"/>
            <w:vAlign w:val="bottom"/>
            <w:tcBorders>
              <w:top w:val="single" w:sz="8" w:color="auto"/>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clinical expenses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00" w:type="dxa"/>
            <w:vAlign w:val="bottom"/>
            <w:shd w:val="clear" w:color="auto" w:fill="CFF0FC"/>
          </w:tcPr>
          <w:p>
            <w:pPr>
              <w:spacing w:after="0"/>
              <w:rPr>
                <w:sz w:val="20"/>
                <w:szCs w:val="20"/>
                <w:color w:val="auto"/>
              </w:rPr>
            </w:pP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20"/>
                <w:szCs w:val="20"/>
                <w:color w:val="auto"/>
              </w:rPr>
            </w:pPr>
          </w:p>
        </w:tc>
      </w:tr>
      <w:tr>
        <w:trPr>
          <w:trHeight w:val="245"/>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0"/>
                <w:szCs w:val="20"/>
                <w:color w:val="auto"/>
              </w:rPr>
            </w:pPr>
          </w:p>
        </w:tc>
      </w:tr>
      <w:tr>
        <w:trPr>
          <w:trHeight w:val="275"/>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8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100" w:type="dxa"/>
            <w:vAlign w:val="bottom"/>
            <w:shd w:val="clear" w:color="auto" w:fill="CFF0FC"/>
          </w:tcPr>
          <w:p>
            <w:pPr>
              <w:spacing w:after="0"/>
              <w:rPr>
                <w:sz w:val="23"/>
                <w:szCs w:val="23"/>
                <w:color w:val="auto"/>
              </w:rPr>
            </w:pPr>
          </w:p>
        </w:tc>
      </w:tr>
      <w:tr>
        <w:trPr>
          <w:trHeight w:val="735"/>
        </w:trPr>
        <w:tc>
          <w:tcPr>
            <w:tcW w:w="5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6. Collaboration and License Agreements</w:t>
            </w:r>
          </w:p>
        </w:tc>
        <w:tc>
          <w:tcPr>
            <w:tcW w:w="26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2"/>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revenue by collaboration partner:</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5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5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AbbVie</w:t>
            </w: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0"/>
                <w:szCs w:val="20"/>
                <w:color w:val="auto"/>
              </w:rPr>
            </w:pPr>
          </w:p>
        </w:tc>
        <w:tc>
          <w:tcPr>
            <w:tcW w:w="600" w:type="dxa"/>
            <w:vAlign w:val="bottom"/>
            <w:gridSpan w:val="3"/>
            <w:shd w:val="clear" w:color="auto" w:fill="CFF0FC"/>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center"/>
              <w:ind w:right="3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FF0FC"/>
          </w:tcPr>
          <w:p>
            <w:pPr>
              <w:spacing w:after="0"/>
              <w:rPr>
                <w:sz w:val="20"/>
                <w:szCs w:val="20"/>
                <w:color w:val="auto"/>
              </w:rPr>
            </w:pPr>
          </w:p>
        </w:tc>
      </w:tr>
      <w:tr>
        <w:trPr>
          <w:trHeight w:val="237"/>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Amgen</w:t>
            </w:r>
          </w:p>
        </w:tc>
        <w:tc>
          <w:tcPr>
            <w:tcW w:w="260" w:type="dxa"/>
            <w:vAlign w:val="bottom"/>
          </w:tcPr>
          <w:p>
            <w:pPr>
              <w:spacing w:after="0"/>
              <w:rPr>
                <w:sz w:val="20"/>
                <w:szCs w:val="20"/>
                <w:color w:val="auto"/>
              </w:rPr>
            </w:pPr>
          </w:p>
        </w:tc>
        <w:tc>
          <w:tcPr>
            <w:tcW w:w="1160" w:type="dxa"/>
            <w:vAlign w:val="bottom"/>
            <w:gridSpan w:val="2"/>
          </w:tcPr>
          <w:p>
            <w:pPr>
              <w:jc w:val="right"/>
              <w:ind w:right="109"/>
              <w:spacing w:after="0"/>
              <w:rPr>
                <w:sz w:val="20"/>
                <w:szCs w:val="20"/>
                <w:color w:val="auto"/>
              </w:rPr>
            </w:pPr>
            <w:r>
              <w:rPr>
                <w:rFonts w:ascii="Times New Roman" w:cs="Times New Roman" w:eastAsia="Times New Roman" w:hAnsi="Times New Roman"/>
                <w:sz w:val="18"/>
                <w:szCs w:val="18"/>
                <w:color w:val="auto"/>
              </w:rPr>
              <w:t>(783 )</w:t>
            </w:r>
          </w:p>
        </w:tc>
        <w:tc>
          <w:tcPr>
            <w:tcW w:w="3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1,491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Pr>
          <w:p>
            <w:pPr>
              <w:spacing w:after="0"/>
              <w:rPr>
                <w:sz w:val="20"/>
                <w:szCs w:val="20"/>
                <w:color w:val="auto"/>
              </w:rPr>
            </w:pPr>
          </w:p>
        </w:tc>
      </w:tr>
      <w:tr>
        <w:trPr>
          <w:trHeight w:val="245"/>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Astellas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23,497</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Bristol Myers Squibb</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56,042</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35,630</w:t>
            </w:r>
          </w:p>
        </w:tc>
        <w:tc>
          <w:tcPr>
            <w:tcW w:w="100" w:type="dxa"/>
            <w:vAlign w:val="bottom"/>
          </w:tcPr>
          <w:p>
            <w:pPr>
              <w:spacing w:after="0"/>
              <w:rPr>
                <w:sz w:val="20"/>
                <w:szCs w:val="20"/>
                <w:color w:val="auto"/>
              </w:rPr>
            </w:pPr>
          </w:p>
        </w:tc>
      </w:tr>
      <w:tr>
        <w:trPr>
          <w:trHeight w:val="245"/>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Regeneron</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7,925</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shd w:val="clear" w:color="auto" w:fill="CFF0FC"/>
          </w:tcPr>
          <w:p>
            <w:pPr>
              <w:spacing w:after="0"/>
              <w:rPr>
                <w:sz w:val="21"/>
                <w:szCs w:val="21"/>
                <w:color w:val="auto"/>
              </w:rPr>
            </w:pPr>
          </w:p>
        </w:tc>
      </w:tr>
      <w:tr>
        <w:trPr>
          <w:trHeight w:val="237"/>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Moderna</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11,055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00" w:type="dxa"/>
            <w:vAlign w:val="bottom"/>
          </w:tcPr>
          <w:p>
            <w:pPr>
              <w:spacing w:after="0"/>
              <w:rPr>
                <w:sz w:val="20"/>
                <w:szCs w:val="20"/>
                <w:color w:val="auto"/>
              </w:rPr>
            </w:pPr>
          </w:p>
        </w:tc>
      </w:tr>
      <w:tr>
        <w:trPr>
          <w:trHeight w:val="275"/>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33,432</w:t>
            </w:r>
          </w:p>
        </w:tc>
        <w:tc>
          <w:tcPr>
            <w:tcW w:w="24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10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100,010</w:t>
            </w:r>
          </w:p>
        </w:tc>
        <w:tc>
          <w:tcPr>
            <w:tcW w:w="160" w:type="dxa"/>
            <w:vAlign w:val="bottom"/>
            <w:tcBorders>
              <w:bottom w:val="single" w:sz="8" w:color="CFF0FC"/>
            </w:tcBorders>
            <w:shd w:val="clear" w:color="auto" w:fill="CFF0FC"/>
          </w:tcPr>
          <w:p>
            <w:pPr>
              <w:spacing w:after="0"/>
              <w:rPr>
                <w:sz w:val="23"/>
                <w:szCs w:val="23"/>
                <w:color w:val="auto"/>
              </w:rPr>
            </w:pPr>
          </w:p>
        </w:tc>
        <w:tc>
          <w:tcPr>
            <w:tcW w:w="6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center"/>
              <w:ind w:right="3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-2408555</wp:posOffset>
            </wp:positionV>
            <wp:extent cx="679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5920740</wp:posOffset>
            </wp:positionH>
            <wp:positionV relativeFrom="paragraph">
              <wp:posOffset>-2391410</wp:posOffset>
            </wp:positionV>
            <wp:extent cx="679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-2408555</wp:posOffset>
            </wp:positionV>
            <wp:extent cx="679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-2391410</wp:posOffset>
            </wp:positionV>
            <wp:extent cx="679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-24765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-24765</wp:posOffset>
            </wp:positionV>
            <wp:extent cx="679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5316220</wp:posOffset>
            </wp:positionH>
            <wp:positionV relativeFrom="paragraph">
              <wp:posOffset>-7620</wp:posOffset>
            </wp:positionV>
            <wp:extent cx="679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6193155</wp:posOffset>
            </wp:positionH>
            <wp:positionV relativeFrom="paragraph">
              <wp:posOffset>-24765</wp:posOffset>
            </wp:positionV>
            <wp:extent cx="679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6193155</wp:posOffset>
            </wp:positionH>
            <wp:positionV relativeFrom="paragraph">
              <wp:posOffset>-7620</wp:posOffset>
            </wp:positionV>
            <wp:extent cx="679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AbbVie Ireland Unlimited Company</w:t>
      </w:r>
    </w:p>
    <w:p>
      <w:pPr>
        <w:spacing w:after="0" w:line="15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were co-developing a conditionally activated antibody-drug conjugate (“ADC”), CX-2029, against CD71, with the Company being responsible for preclinical and early clinical development. AbbVie was to be responsible for later development and commercialization, with global late-stage development costs shared between the two companies. Under the CD71 Agreement, the Company has received in aggregate $100.0 million in upfront and milestone payments. AbbVie had entered into a license agreement with Seattle Genetics, Inc. (“SGEN”) to license certain intellectual property rights pursuant to which the Company was required to pay SGEN sublicense fees for certain milestone achievements and an annual maintenance fee. These sublicense fees were treated as reductions to the transaction price and combined with the performance obligation to which they relate.</w:t>
      </w:r>
    </w:p>
    <w:p>
      <w:pPr>
        <w:spacing w:after="0" w:line="8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March 2023, the Company announced that it would evaluate the potential next steps for CX-2029 following the decision from AbbVie, to not advance CX-2029 into additional clinical studies. As a result of AbbVie’s decision, the 2016 CD71 License and Collaboration Agreement was terminated in May 2023 and the Company re-acquired full rights to CX-2029. The Company has completed the performance obligation under the CD71 Agreement as of March 31, 2023, and recognized the related remaining deferred revenue of $4.0 million in the first quarter of 2023.</w:t>
      </w:r>
    </w:p>
    <w:p>
      <w:pPr>
        <w:spacing w:after="0" w:line="18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color w:val="auto"/>
        </w:rPr>
        <w:t>In December 2022, the research on the two discovery targets under the Discovery Agreement concluded with no plans to advance the discovery targets into clinical studies or to pursue new programs. The Discovery Agreement was also terminated and all target rights have reverted back to CytomX.</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August 2023, the Company entered into a Transition Agreement (the “Transition Agreement”) with AbbVie Global Enterprises Ltd. ("AbbVie Global", an affiliate entity of AbbVie), pursuant to which the Company regained exclusive worldwide rights to develop CX-2029, a CD71-targeting conditionally activated antibody drug conjugate. The Transition Agreement supersedes the CD71 Agreement that was terminated in May 2023, and grants certain intellectual property rights from AbbVie Global to enable the continued development of CX-2029 by the Company for all human and nonhuman diagnostic, prophylactic, and therapeutic uses. Pursuant to the Transition Agreement, AbbVie</w:t>
      </w:r>
    </w:p>
    <w:p>
      <w:pPr>
        <w:sectPr>
          <w:pgSz w:w="11900" w:h="16838" w:orient="portrait"/>
          <w:cols w:equalWidth="0" w:num="1">
            <w:col w:w="11240"/>
          </w:cols>
          <w:pgMar w:left="320" w:top="76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8"/>
          <w:szCs w:val="18"/>
          <w:color w:val="auto"/>
        </w:rPr>
        <w:t>Global is eligible to receive tiered sales royalties for CX-2029 ranging from the low-to-mid single digit percentages. In the fourth quarter of 2023, the Company decided to not to make any further substantial investments in the CX-2029 program in the near-term but continues to view CD71 as a target of strategic interest, including novel next-generation strategies.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Amgen, Inc.</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spacing w:after="0" w:line="18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 In each of May 2023 and March 2024, CytomX and Amgen executed an amendment to the Amgen Agreement to extend the target selection period for Amgen to select its additional targets for research and development as further discussed below.</w:t>
      </w:r>
    </w:p>
    <w:p>
      <w:pPr>
        <w:spacing w:after="0" w:line="20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Under the terms of the Amgen Agreement, as amended, the Company and Amgen will co-develop a conditionally activated T-cell engager (“TCE”) targeting epidermal growth factor receptor (the “EGFR Products”). The Company is responsible for early-stage development of EGFR Products and Amgen will be responsible for late-stage development and commercialization of EGFR Products. Following early-stage development, the Company will have the right to elect to participate financially in the global co-development of EGFR Products with Amgen, during which the Company would bear a certain percentage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also eligible to receive up to $460.0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 In January 2022, the IND for the EGFR product (CX-904) was allowed to proceed by the U.S. Food and Drug Administration (“FDA”) and the program continues in an ongoing Phase 1 study.</w:t>
      </w:r>
    </w:p>
    <w:p>
      <w:pPr>
        <w:spacing w:after="0" w:line="21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Amgen also has the right to select a total of up to three targets, including the two additional targets discussed below. The Company and Amgen collaborate in the research and development of conditionally activated T-cell engaging bispecifics therapies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and subsequent amendments, Amgen’s option to select the two additional targets is not a material right and does not represent a performance obligation of the agreement.</w:t>
      </w:r>
    </w:p>
    <w:p>
      <w:pPr>
        <w:spacing w:after="0" w:line="21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At the initiation of the collaboration, CytomX had the option to select from programs specified in the Amgen Agreement, an existing preclinical stage TCE product from the Amgen preclinical pipeline. In March 2018, CytomX selected the program and this program is currently in preclinical development. CytomX is responsible, at its expense, for converting this program to a conditionally activated TCE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19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 of September 30, 2024 and December 31, 2023, deferred revenue related to the EGFR Products performance obligation was $11.3 million and $12.8 million, respectively. Revenue is recognized over the estimated research period using an input measure based on our actual full-time employee ("FTE") hours incurred as a percentage of projected FTE hours for completing the performance obligation. We evaluate the measure of progress each reporting period and, if necessary, we adjust the measure of performance and related revenue recognition. In the three months ended September 30, 2024, we revised the estimated FTE hours-to-completion for the EGFR Products performance obligation which resulted in a cumulative adjustment to revenue which was a $0.8 million reduction of revenue in the period. Such adjustments have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ind w:right="940"/>
        <w:spacing w:after="0" w:line="279" w:lineRule="auto"/>
        <w:rPr>
          <w:sz w:val="20"/>
          <w:szCs w:val="20"/>
          <w:color w:val="auto"/>
        </w:rPr>
      </w:pPr>
      <w:r>
        <w:rPr>
          <w:rFonts w:ascii="Times New Roman" w:cs="Times New Roman" w:eastAsia="Times New Roman" w:hAnsi="Times New Roman"/>
          <w:sz w:val="18"/>
          <w:szCs w:val="18"/>
          <w:color w:val="auto"/>
        </w:rPr>
        <w:t>impacted and will continue to impact the amounts and timing of our revenue recognized. Deferred revenue related to the Amgen Other Products performance obligation was immaterial as of September 30, 2024 and December 31, 2023.</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 Pharma Inc.</w:t>
      </w:r>
    </w:p>
    <w:p>
      <w:pPr>
        <w:spacing w:after="0" w:line="119"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17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had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participation is at the Company’s discretion.</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Astellas Agreement, the consideration from Astellas is comprised of an upfront fee of $80.0 million and contingent payments for development, regulatory and sales milestones of up to an aggregate of approximately $1.6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full-time employee ("FTE") rate.</w:t>
      </w:r>
    </w:p>
    <w:p>
      <w:pPr>
        <w:spacing w:after="0" w:line="2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January 2023, the Company announced that it achieved a clinical candidate milestone under the Astellas Agreement which triggered a $5.0 million milestone payment to the Company. The $5.0 million milestone payment was fully recognized in the first quarter of 2023 as the Company had completed its related performance obligation of the collaboration target which resulted in the clinical candidate nomination for further development. In March 2024, the Company announced that it achieved the good laboratory practices ("GLPs") toxicology milestone for this candidate which triggered a $5.0 million milestone payment to the Company. The $5.0 million milestone payment was fully recognized in the first quarter of 2024 as the Company had completed its related performance obligation of the collaboration target. Also, in March 2024, the Company announced that it achieved a clinical candidate milestone for a second collaboration target under the Astellas Agreement which triggered an additional $5.0 million milestone payment to the Company. The $5.0 million milestone payment was fully recognized in the first quarter of 2024 as the Company had completed its related performance obligation of the collaboration target which resulted in the clinical candidate nomination for further development.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deferred revenue relating to the Astellas Agreement was $22.2 million and $31.0 million, respectively.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due from Astellas under the Astellas Agreement was $1.1 million as of September 30, 2024 and $2.2 million as of December 31,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 Myers Squibb Company</w:t>
      </w:r>
    </w:p>
    <w:p>
      <w:pPr>
        <w:spacing w:after="0" w:line="119"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including the target CTLA-4. The effective date of the BMS Agreement was July 7, 2014.</w:t>
      </w:r>
    </w:p>
    <w:p>
      <w:pPr>
        <w:spacing w:after="0" w:line="2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210" w:lineRule="exact"/>
        <w:rPr>
          <w:sz w:val="20"/>
          <w:szCs w:val="20"/>
          <w:color w:val="auto"/>
        </w:rPr>
      </w:pPr>
    </w:p>
    <w:p>
      <w:pPr>
        <w:ind w:right="680"/>
        <w:spacing w:after="0" w:line="279" w:lineRule="auto"/>
        <w:rPr>
          <w:sz w:val="20"/>
          <w:szCs w:val="20"/>
          <w:color w:val="auto"/>
        </w:rPr>
      </w:pPr>
      <w:r>
        <w:rPr>
          <w:rFonts w:ascii="Times New Roman" w:cs="Times New Roman" w:eastAsia="Times New Roman" w:hAnsi="Times New Roman"/>
          <w:sz w:val="18"/>
          <w:szCs w:val="18"/>
          <w:color w:val="auto"/>
        </w:rPr>
        <w:t>Pursuant to the BMS Agreement, the financial consideration from Bristol Myers Squibb was comprised of an upfront payment of $50.0 million and estimated research and development service fees, and the Company was initially entitled to receive contingent payments of up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8"/>
          <w:szCs w:val="18"/>
          <w:color w:val="auto"/>
        </w:rPr>
        <w:t>$25.0 million for additional targets and contingent payments for development, regulatory and sales milestones. In addition, the Company was entitled to royalty payments in the mid-single digits to low double-digit percentages from potential future sales.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17, 2017, the Company and Bristol Myers Squibb amended the BMS agreement and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2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Amendment 1, the financial consideration from Bristol Myers Squibb was comprised of an upfront payment of $200.0 million, estimated research and development service fees, and contingent payments for development, regulatory and sales milestones for the eight 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21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initial transaction price for the BMS Agreement and Amendment 1, collectively, was $304.7 million consisting of the upfront fees of $250.0 million, target selection fees for the third and fourth targets of $25.0 million, estimated research and development service fees of $17.7 million and milestone payments received up to January 1, 2018,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initial transaction price for the combined obligation for each collaboration target is recognized using an input measure.</w:t>
      </w:r>
    </w:p>
    <w:p>
      <w:pPr>
        <w:spacing w:after="0" w:line="21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February 2021, the Company and Bristol Myers Squibb amended the BMS agreement and entered into Amendment Number 2 to amend the Collaboration and License Agreement (“Amendment 2”), as previously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in 2022, all remaining targets were selected. The Company will continue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 The Company accounted for Amendment 2 as a modification and reallocated the remaining unrecognized transaction price to the remaining performance obligations.</w:t>
      </w:r>
    </w:p>
    <w:p>
      <w:pPr>
        <w:spacing w:after="0" w:line="216"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18"/>
          <w:szCs w:val="18"/>
          <w:color w:val="auto"/>
        </w:rPr>
        <w:t>In October 2022, the Company and Bristol Myers Squibb amended the BMS Agreement and entered into Amendment Number 3 (“Amendment 3”), as previously amended by Amendment 1 and Amendment 2, to clarify the rights and restrictions of certain new proprietary antibodies that the parties exchanged. There were no substantive changes to each party's performance obligations.</w:t>
      </w:r>
    </w:p>
    <w:p>
      <w:pPr>
        <w:spacing w:after="0" w:line="2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March 2024, following a Bristol Myers Squibb corporate portfolio prioritization process, Bristol Myers Squibb notified CytomX that it does not intend to continue the development of BMS-986288 beyond the current Phase 2 study and terminated its collaboration license on the CTLA-4 target under the collaboration. BMS-986288 was Bristol Myers Squibb’s leading next generation PROBODY CTLA-4 program that it had previously prioritized over BMS-986249, which was a PROBODY version of ipilumamab.</w:t>
      </w:r>
    </w:p>
    <w:p>
      <w:pPr>
        <w:spacing w:after="0" w:line="18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June 2024, Bristol Myers Squibb prioritized its pre-clinical research activities under the collaboration and revised the research scope by one collaboration target. The Company determined that it has no further obligations related to the target that was deprioritized and accounted for the reduction of the target as a modification and the related remaining unrecognized transaction price was reallocated to the remaining performance obligations. The Company continues to be obligated to perform research work under Amendment 2 executed in February 2021 for multiple ongoing research programs.</w:t>
      </w:r>
    </w:p>
    <w:p>
      <w:pPr>
        <w:spacing w:after="0" w:line="182"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8"/>
          <w:szCs w:val="18"/>
          <w:color w:val="auto"/>
        </w:rPr>
        <w:t>As of September 30, 2024, the Company is eligible to receive approximately $1.3 billion in contingent payments for development, regulatory and sales milestones for the ongoing collaboration programs.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 w:name="page18"/>
    <w:bookmarkEnd w:id="1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jc w:val="both"/>
        <w:ind w:right="40"/>
        <w:spacing w:after="0" w:line="263" w:lineRule="auto"/>
        <w:rPr>
          <w:sz w:val="20"/>
          <w:szCs w:val="20"/>
          <w:color w:val="auto"/>
        </w:rPr>
      </w:pPr>
      <w:r>
        <w:rPr>
          <w:rFonts w:ascii="Times New Roman" w:cs="Times New Roman" w:eastAsia="Times New Roman" w:hAnsi="Times New Roman"/>
          <w:sz w:val="18"/>
          <w:szCs w:val="18"/>
          <w:color w:val="auto"/>
        </w:rPr>
        <w:t>The Company reevaluated the remaining potential milestone payments and determined that significant revenue reversal was probable as the achievement of such milestones was highly dependent on factors outside the Company’s control. As a result, these payments continued to be fully constrained and were not included in the transaction price as of September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deferred revenue relating to the BMS Agreement was $63.9 million and $119.9 million, respectively.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ModernaTX, Inc.</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manufacturing, and commercialization of any products under the Moderna Agreement.</w:t>
      </w:r>
    </w:p>
    <w:p>
      <w:pPr>
        <w:spacing w:after="0" w:line="20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terms of the Moderna Agreement, the Company granted Moderna an exclusive, worldwide right to develop and commercialize PROBODY therapeutics for the collaboration programs. In exchange, the Company received an upfront payment of $35.0 million in January 2023, including $5.0 million of prepaid research and development service fees. The Company will continue to receive research and development service fees according to the preclinical research work plans based on a prescribed FTE rate and is eligible to receive up to approximately $1.2 billion in future development, regulatory, and commercial milestone payments. The Company is also eligible to receive tiered royalties from high-single digit to low-teen percentage rates of annual global net sales of any products that are commercialized under the Moderna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2024 and December 31, 2023, deferred revenue relating to the Moderna Agreement was $14.2 million and $24.2 million,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due from Moderna under the Moderna Agreement was $1.1 million as of September 30, 2024 and $0 as of December 31, 2023.</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Regeneron Pharmaceuticals, Inc.</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 therapeutic platform and Regeneron’s Veloci-Bi®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p>
    <w:p>
      <w:pPr>
        <w:spacing w:after="0" w:line="21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color w:val="auto"/>
        </w:rPr>
        <w:t>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manufacturing and commercialization of all Licensed Products worldwide.</w:t>
      </w:r>
    </w:p>
    <w:p>
      <w:pPr>
        <w:spacing w:after="0" w:line="19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Regeneron Agreement, the consideration from Regeneron is comprised of an upfront fee of $30.0 million, contingent payments for development and regulatory milestones and commercial milestone payments of up to an aggregate of approximately $0.8 billion. If Regeneron exercises its Additional Collaboration Program Option, the Company would be eligible to receive additional upfront and milestone payments aggregating up to approximately $1.2 billion. The Company is also entitled to tiered royalties from high-single digit to low-teen percentage royalties from potential future sales. In addition, the Company will receive research and development service fees based on a prescribed FTE rate.</w:t>
      </w:r>
    </w:p>
    <w:p>
      <w:pPr>
        <w:spacing w:after="0" w:line="21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As of September 30, 2024 and December 31, 2023, deferred revenue relating to the Regeneron Agreement was $18.0 million and $24.4 million, respectively. The amount due from Regeneron under the Regeneron Agreement was $1.0 million and $1.1 million as of September 30, 2024 and December 31, 2023, respectively.</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total contract liabilities during the nine months ended September 30, 2024 and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Deferred Revenue</w:t>
            </w:r>
          </w:p>
        </w:tc>
      </w:tr>
      <w:tr>
        <w:trPr>
          <w:trHeight w:val="207"/>
        </w:trPr>
        <w:tc>
          <w:tcPr>
            <w:tcW w:w="9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5"/>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212,315</w:t>
            </w:r>
          </w:p>
        </w:tc>
        <w:tc>
          <w:tcPr>
            <w:tcW w:w="100" w:type="dxa"/>
            <w:vAlign w:val="bottom"/>
            <w:shd w:val="clear" w:color="auto" w:fill="CFF0FC"/>
          </w:tcPr>
          <w:p>
            <w:pPr>
              <w:spacing w:after="0"/>
              <w:rPr>
                <w:sz w:val="20"/>
                <w:szCs w:val="20"/>
                <w:color w:val="auto"/>
              </w:rPr>
            </w:pPr>
          </w:p>
        </w:tc>
      </w:tr>
      <w:tr>
        <w:trPr>
          <w:trHeight w:val="237"/>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100" w:type="dxa"/>
            <w:vAlign w:val="bottom"/>
          </w:tcPr>
          <w:p>
            <w:pPr>
              <w:spacing w:after="0"/>
              <w:rPr>
                <w:sz w:val="20"/>
                <w:szCs w:val="20"/>
                <w:color w:val="auto"/>
              </w:rPr>
            </w:pPr>
          </w:p>
        </w:tc>
      </w:tr>
      <w:tr>
        <w:trPr>
          <w:trHeight w:val="241"/>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recognized</w:t>
            </w:r>
          </w:p>
        </w:tc>
        <w:tc>
          <w:tcPr>
            <w:tcW w:w="22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(89,348 )</w:t>
            </w:r>
          </w:p>
        </w:tc>
      </w:tr>
      <w:tr>
        <w:trPr>
          <w:trHeight w:val="239"/>
        </w:trPr>
        <w:tc>
          <w:tcPr>
            <w:tcW w:w="9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129,619</w:t>
            </w:r>
          </w:p>
        </w:tc>
        <w:tc>
          <w:tcPr>
            <w:tcW w:w="100" w:type="dxa"/>
            <w:vAlign w:val="bottom"/>
            <w:tcBorders>
              <w:top w:val="single" w:sz="8" w:color="CFF0FC"/>
            </w:tcBorders>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301,326</w:t>
            </w:r>
          </w:p>
        </w:tc>
        <w:tc>
          <w:tcPr>
            <w:tcW w:w="100" w:type="dxa"/>
            <w:vAlign w:val="bottom"/>
          </w:tcPr>
          <w:p>
            <w:pPr>
              <w:spacing w:after="0"/>
              <w:rPr>
                <w:sz w:val="20"/>
                <w:szCs w:val="20"/>
                <w:color w:val="auto"/>
              </w:rPr>
            </w:pPr>
          </w:p>
        </w:tc>
      </w:tr>
      <w:tr>
        <w:trPr>
          <w:trHeight w:val="245"/>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100" w:type="dxa"/>
            <w:vAlign w:val="bottom"/>
            <w:shd w:val="clear" w:color="auto" w:fill="CFF0FC"/>
          </w:tcPr>
          <w:p>
            <w:pPr>
              <w:spacing w:after="0"/>
              <w:rPr>
                <w:sz w:val="21"/>
                <w:szCs w:val="21"/>
                <w:color w:val="auto"/>
              </w:rPr>
            </w:pPr>
          </w:p>
        </w:tc>
      </w:tr>
      <w:tr>
        <w:trPr>
          <w:trHeight w:val="237"/>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recognized</w:t>
            </w:r>
          </w:p>
        </w:tc>
        <w:tc>
          <w:tcPr>
            <w:tcW w:w="22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(68,590 )</w:t>
            </w:r>
          </w:p>
        </w:tc>
      </w:tr>
      <w:tr>
        <w:trPr>
          <w:trHeight w:val="27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7070090</wp:posOffset>
            </wp:positionH>
            <wp:positionV relativeFrom="paragraph">
              <wp:posOffset>-986790</wp:posOffset>
            </wp:positionV>
            <wp:extent cx="679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expects that the $129.6 million of deferred revenue related to the following contracts as of September 30, 2024 will be recognized as revenue based on actual FTE effort and estimated program progress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75" w:lineRule="exact"/>
        <w:rPr>
          <w:sz w:val="20"/>
          <w:szCs w:val="20"/>
          <w:color w:val="auto"/>
        </w:rPr>
      </w:pPr>
    </w:p>
    <w:p>
      <w:pPr>
        <w:ind w:left="1020" w:hanging="504"/>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$11.3 million of deferred revenue related to the Amgen EGFR Products is expected to be recognized until 2027.</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$22.2 million of deferred revenue related to the Astellas Agreement is expected to be recognized until 2026.</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$63.9 million of deferred revenue related to the BMS Agreement is expected to be recognized through the second quarter of 2025.</w:t>
      </w:r>
    </w:p>
    <w:p>
      <w:pPr>
        <w:spacing w:after="0" w:line="114" w:lineRule="exact"/>
        <w:rPr>
          <w:rFonts w:ascii="Times New Roman" w:cs="Times New Roman" w:eastAsia="Times New Roman" w:hAnsi="Times New Roman"/>
          <w:sz w:val="18"/>
          <w:szCs w:val="18"/>
          <w:color w:val="auto"/>
        </w:rPr>
      </w:pPr>
    </w:p>
    <w:p>
      <w:pPr>
        <w:ind w:left="1020" w:right="80" w:hanging="504"/>
        <w:spacing w:after="0" w:line="279"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$14.2 million of deferred revenue related to the Moderna Agreement, together with research and development service fees, is expected to be recognized until 2027.</w:t>
      </w:r>
    </w:p>
    <w:p>
      <w:pPr>
        <w:spacing w:after="0" w:line="54"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$18.0 million of deferred revenue related to the Regeneron Agreement, together with research and development service fees, is expected to be recognized until 2026.</w:t>
      </w:r>
    </w:p>
    <w:p>
      <w:pPr>
        <w:spacing w:after="0" w:line="265"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2020, the Company entered into the Open Market Sale Agreement (as amended on each of March 4, 2022 and August 9, 2024, the “Sales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Jefferies LLC (“Jefferies”), to sell its common stock, at par value $0.00001 per share, with aggregate gross sales proceeds of up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 from time to time upon the Company’s request, through an at the market offering under which Jefferies will act as sales agent. Pursuant to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Agreement, Jefferies as the sales agent will receive a commission of 3.0% of the gross sales price for shares of common stock sold under the Sales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April 2024, under the Sales Agreement, the Company sold 2,270,608 shares at an average price of $2.20 per share and received net proceeds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approximately $4.8 million after deducting the 3.0% sales commission and related issuance cost.</w:t>
      </w:r>
    </w:p>
    <w:p>
      <w:pPr>
        <w:spacing w:after="0" w:line="20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In June 2023, the Company entered into an agreement with BVF Partners L.P. (“BVF”) for a private placement and received an aggregate net proceeds of approximately $29.7 million in July 2023, after deducting issuance costs of approximately $0.3 million. In the private placement, CytomX issued pre-funded warrants to BVF to purchase up to 14,423,077 shares of common stock, accompanying Tranche 1 warrants to purchase up to 5,769,231 shares of common stock and accompanying Tranche 2 warrants to purchase up to 5,769,231 shares of common stock, at a combined price of $2.08 per share. On May 1, 2024, BVF exercised its right to purchase 7.5 million shares of common stock through its pre-funded warrants at an exercise price of $0.00001 per share.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warrants as of September 30, 2024:</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2580" w:type="dxa"/>
            <w:vAlign w:val="bottom"/>
            <w:gridSpan w:val="4"/>
          </w:tcPr>
          <w:p>
            <w:pPr>
              <w:jc w:val="right"/>
              <w:ind w:right="565"/>
              <w:spacing w:after="0"/>
              <w:rPr>
                <w:sz w:val="20"/>
                <w:szCs w:val="20"/>
                <w:color w:val="auto"/>
              </w:rPr>
            </w:pPr>
            <w:r>
              <w:rPr>
                <w:rFonts w:ascii="Times New Roman" w:cs="Times New Roman" w:eastAsia="Times New Roman" w:hAnsi="Times New Roman"/>
                <w:sz w:val="14"/>
                <w:szCs w:val="14"/>
                <w:b w:val="1"/>
                <w:bCs w:val="1"/>
                <w:color w:val="auto"/>
              </w:rPr>
              <w:t>Pre-funded Warrants</w:t>
            </w:r>
          </w:p>
        </w:tc>
        <w:tc>
          <w:tcPr>
            <w:tcW w:w="260" w:type="dxa"/>
            <w:vAlign w:val="bottom"/>
          </w:tcPr>
          <w:p>
            <w:pPr>
              <w:spacing w:after="0"/>
              <w:rPr>
                <w:sz w:val="16"/>
                <w:szCs w:val="16"/>
                <w:color w:val="auto"/>
              </w:rPr>
            </w:pPr>
          </w:p>
        </w:tc>
        <w:tc>
          <w:tcPr>
            <w:tcW w:w="2700" w:type="dxa"/>
            <w:vAlign w:val="bottom"/>
            <w:gridSpan w:val="4"/>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Tranche 1 Warrants</w:t>
            </w:r>
          </w:p>
        </w:tc>
        <w:tc>
          <w:tcPr>
            <w:tcW w:w="260" w:type="dxa"/>
            <w:vAlign w:val="bottom"/>
          </w:tcPr>
          <w:p>
            <w:pPr>
              <w:spacing w:after="0"/>
              <w:rPr>
                <w:sz w:val="16"/>
                <w:szCs w:val="16"/>
                <w:color w:val="auto"/>
              </w:rPr>
            </w:pPr>
          </w:p>
        </w:tc>
        <w:tc>
          <w:tcPr>
            <w:tcW w:w="27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Tranche 2 Warrants</w:t>
            </w:r>
          </w:p>
        </w:tc>
        <w:tc>
          <w:tcPr>
            <w:tcW w:w="0" w:type="dxa"/>
            <w:vAlign w:val="bottom"/>
          </w:tcPr>
          <w:p>
            <w:pPr>
              <w:spacing w:after="0"/>
              <w:rPr>
                <w:sz w:val="1"/>
                <w:szCs w:val="1"/>
                <w:color w:val="auto"/>
              </w:rPr>
            </w:pPr>
          </w:p>
        </w:tc>
      </w:tr>
      <w:tr>
        <w:trPr>
          <w:trHeight w:val="130"/>
        </w:trPr>
        <w:tc>
          <w:tcPr>
            <w:tcW w:w="27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45"/>
              <w:spacing w:after="0" w:line="130"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6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84"/>
              <w:spacing w:after="0" w:line="130"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6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84"/>
              <w:spacing w:after="0" w:line="130"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70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5"/>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4"/>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27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5"/>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62"/>
        </w:trPr>
        <w:tc>
          <w:tcPr>
            <w:tcW w:w="2700" w:type="dxa"/>
            <w:vAlign w:val="bottom"/>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Warrants Outstanding</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6,923,077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0.00001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5,769,231</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5,769,231</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color w:val="auto"/>
        </w:rPr>
        <w:t>In the May 2024 annual meeting of stockholders, the Company's authorized shares of common stock were approved to increase from 150,000,000 shares to 300,000,000 shares.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for the Company’s stock option plans for the nine months ended September 30, 2024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352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130"/>
        </w:trPr>
        <w:tc>
          <w:tcPr>
            <w:tcW w:w="772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39"/>
              <w:spacing w:after="0" w:line="130"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7720" w:type="dxa"/>
            <w:vAlign w:val="bottom"/>
          </w:tcPr>
          <w:p>
            <w:pPr>
              <w:spacing w:after="0"/>
              <w:rPr>
                <w:sz w:val="12"/>
                <w:szCs w:val="12"/>
                <w:color w:val="auto"/>
              </w:rPr>
            </w:pPr>
          </w:p>
        </w:tc>
        <w:tc>
          <w:tcPr>
            <w:tcW w:w="18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4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7"/>
        </w:trPr>
        <w:tc>
          <w:tcPr>
            <w:tcW w:w="77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6"/>
        </w:trPr>
        <w:tc>
          <w:tcPr>
            <w:tcW w:w="7720" w:type="dxa"/>
            <w:vAlign w:val="bottom"/>
          </w:tcPr>
          <w:p>
            <w:pPr>
              <w:spacing w:after="0"/>
              <w:rPr>
                <w:sz w:val="16"/>
                <w:szCs w:val="16"/>
                <w:color w:val="auto"/>
              </w:rPr>
            </w:pPr>
          </w:p>
        </w:tc>
        <w:tc>
          <w:tcPr>
            <w:tcW w:w="18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12,949,612</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2,371,000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 exercised</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(132,351 )</w:t>
            </w:r>
          </w:p>
        </w:tc>
        <w:tc>
          <w:tcPr>
            <w:tcW w:w="2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 forfeited/expired</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(618,940 )</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14,569,321</w:t>
            </w:r>
          </w:p>
        </w:tc>
        <w:tc>
          <w:tcPr>
            <w:tcW w:w="3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-24765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-7620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740"/>
        <w:spacing w:after="0" w:line="279" w:lineRule="auto"/>
        <w:rPr>
          <w:sz w:val="20"/>
          <w:szCs w:val="20"/>
          <w:color w:val="auto"/>
        </w:rPr>
      </w:pPr>
      <w:r>
        <w:rPr>
          <w:rFonts w:ascii="Times New Roman" w:cs="Times New Roman" w:eastAsia="Times New Roman" w:hAnsi="Times New Roman"/>
          <w:sz w:val="18"/>
          <w:szCs w:val="18"/>
          <w:color w:val="auto"/>
        </w:rPr>
        <w:t>The Company recorded $1.5 million and $0.5 million of stock-based compensation expense related to the stock options for the three months ended September 30, 2024 and 2023, respectively.</w:t>
      </w:r>
    </w:p>
    <w:p>
      <w:pPr>
        <w:spacing w:after="0" w:line="162"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8"/>
          <w:szCs w:val="18"/>
          <w:color w:val="auto"/>
        </w:rPr>
        <w:t>The Company recorded $4.4 million and $4.1 million of stock-based compensation expense related to the stock option plans for the nine months ended September 30, 2024 and 2023, respectively.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Time-based RSUs ("TRSU")</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for the Company’s TRSUs for the nine months ended September 30,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20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86"/>
        </w:trPr>
        <w:tc>
          <w:tcPr>
            <w:tcW w:w="7360" w:type="dxa"/>
            <w:vAlign w:val="bottom"/>
          </w:tcPr>
          <w:p>
            <w:pPr>
              <w:spacing w:after="0"/>
              <w:rPr>
                <w:sz w:val="16"/>
                <w:szCs w:val="16"/>
                <w:color w:val="auto"/>
              </w:rPr>
            </w:pPr>
          </w:p>
        </w:tc>
        <w:tc>
          <w:tcPr>
            <w:tcW w:w="208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168"/>
        </w:trPr>
        <w:tc>
          <w:tcPr>
            <w:tcW w:w="736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1,400,529</w:t>
            </w: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20"/>
                <w:szCs w:val="20"/>
                <w:color w:val="auto"/>
              </w:rPr>
            </w:pPr>
          </w:p>
        </w:tc>
      </w:tr>
      <w:tr>
        <w:trPr>
          <w:trHeight w:val="237"/>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RSU's awarded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1,195,833</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r>
      <w:tr>
        <w:trPr>
          <w:trHeight w:val="245"/>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RSU's vested</w:t>
            </w:r>
          </w:p>
        </w:tc>
        <w:tc>
          <w:tcPr>
            <w:tcW w:w="2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(706,923 )</w:t>
            </w:r>
          </w:p>
        </w:tc>
        <w:tc>
          <w:tcPr>
            <w:tcW w:w="7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21"/>
                <w:szCs w:val="21"/>
                <w:color w:val="auto"/>
              </w:rPr>
            </w:pPr>
          </w:p>
        </w:tc>
      </w:tr>
      <w:tr>
        <w:trPr>
          <w:trHeight w:val="241"/>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RSU's cancelled</w:t>
            </w:r>
          </w:p>
        </w:tc>
        <w:tc>
          <w:tcPr>
            <w:tcW w:w="2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(73,929 )</w:t>
            </w:r>
          </w:p>
        </w:tc>
        <w:tc>
          <w:tcPr>
            <w:tcW w:w="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r>
      <w:tr>
        <w:trPr>
          <w:trHeight w:val="275"/>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1,815,510</w:t>
            </w:r>
          </w:p>
        </w:tc>
        <w:tc>
          <w:tcPr>
            <w:tcW w:w="320" w:type="dxa"/>
            <w:vAlign w:val="bottom"/>
            <w:tcBorders>
              <w:bottom w:val="single" w:sz="8" w:color="CFF0FC"/>
            </w:tcBorders>
            <w:shd w:val="clear" w:color="auto" w:fill="CFF0FC"/>
          </w:tcPr>
          <w:p>
            <w:pPr>
              <w:spacing w:after="0"/>
              <w:rPr>
                <w:sz w:val="23"/>
                <w:szCs w:val="23"/>
                <w:color w:val="auto"/>
              </w:rPr>
            </w:pPr>
          </w:p>
        </w:tc>
        <w:tc>
          <w:tcPr>
            <w:tcW w:w="740" w:type="dxa"/>
            <w:vAlign w:val="bottom"/>
            <w:tcBorders>
              <w:bottom w:val="single" w:sz="8" w:color="CFF0FC"/>
            </w:tcBorders>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-24765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color w:val="auto"/>
        </w:rPr>
        <w:t>The Company recorded $0.4 million and $0.5 million of stock-based compensation expense related to the TRSUs for the three months ended September 30, 2024 and 2023, respectively.</w:t>
      </w:r>
    </w:p>
    <w:p>
      <w:pPr>
        <w:spacing w:after="0" w:line="162"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color w:val="auto"/>
        </w:rPr>
        <w:t>The Company recorded $1.1 million and $1.5 million of stock-based compensation expense related to the TRSUs for the nine months ended September 30, 2024 and 2023, respectively.</w:t>
      </w:r>
    </w:p>
    <w:p>
      <w:pPr>
        <w:sectPr>
          <w:pgSz w:w="11900" w:h="16838" w:orient="portrait"/>
          <w:cols w:equalWidth="0" w:num="1">
            <w:col w:w="11240"/>
          </w:cols>
          <w:pgMar w:left="320" w:top="761"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 ("PSUs")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PSU</w:t>
      </w:r>
    </w:p>
    <w:p>
      <w:pPr>
        <w:spacing w:after="0" w:line="1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August 2022, the Company granted 250,000 PSUs to executive employees with an aggregated grant date fair value of approximately $0.4 million. Vesting for 50% of the PSUs granted was set to occur upon attaining certain specific milestones by December 2023 (“2022-Tranche 1”), and the remaining 50% are set to vest upon attaining certain specific milestones by December 2024 (“2022-Tranche 2”). In December 2023, the Company determined that the performance conditions for 2022-Tranche 1 was satisfied and the award was vested in December 2023. As a result, the Company recorded $55,000 and the remaining $128,000 compensation cost for the 2022-Tranche 1 award for the year ended December 31, 2022 and 2023, respectively. In August 2024, the Company determined that the performance conditions for the 2022-Tranche 2 had been satisfied and the award was vested in August 2024. As a result the Company recorded $38,000 and $77,000 compensation cost for the three and nine months ended September 30, 2024 and $106,000 for the fiscal year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PSU</w:t>
      </w:r>
    </w:p>
    <w:p>
      <w:pPr>
        <w:spacing w:after="0" w:line="11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February 2023, the Company granted 760,000 PSUs to executive employees with an aggregated grant date fair value of approximately $1.9 million. Vesting for 50% of the PSUs granted will occur upon attaining certain specific milestones by December 2024 (“2023-Tranche 1”), and the remaining 50% will vest upon attaining certain specific milestones by December 2025 (“2023-Tranche 2”). The Company determined that it is not probable that the performance conditions will be satisfied for each of these tranches and hence no compensation cost was recorded for these awards through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PSU</w:t>
      </w:r>
    </w:p>
    <w:p>
      <w:pPr>
        <w:spacing w:after="0" w:line="11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January 2024, the Company granted 810,000 PSUs to executive employees with an aggregated grant date fair value of approximately $1.3 million. Vesting for 50% of the PSUs granted will occur upon attaining certain specific milestones by December 2025 (“2024-Tranche 1”), and the remaining 50% will vest upon attaining certain specific milestones by December 2026 (“2024-Tranche 2”). The Company determined that it is not probable that the performance conditions will be satisfied for each of these tranches and hence no compensation cost was recorded for these awards through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for the Company’s PSUs for the nine months ended September 30,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0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86"/>
        </w:trPr>
        <w:tc>
          <w:tcPr>
            <w:tcW w:w="7400" w:type="dxa"/>
            <w:vAlign w:val="bottom"/>
          </w:tcPr>
          <w:p>
            <w:pPr>
              <w:spacing w:after="0"/>
              <w:rPr>
                <w:sz w:val="16"/>
                <w:szCs w:val="16"/>
                <w:color w:val="auto"/>
              </w:rPr>
            </w:pPr>
          </w:p>
        </w:tc>
        <w:tc>
          <w:tcPr>
            <w:tcW w:w="20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168"/>
        </w:trPr>
        <w:tc>
          <w:tcPr>
            <w:tcW w:w="740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28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0"/>
                <w:szCs w:val="20"/>
                <w:color w:val="auto"/>
              </w:rPr>
            </w:pPr>
          </w:p>
        </w:tc>
      </w:tr>
      <w:tr>
        <w:trPr>
          <w:trHeight w:val="237"/>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PSU's awarded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810,000</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r>
      <w:tr>
        <w:trPr>
          <w:trHeight w:val="245"/>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PSU's released</w:t>
            </w:r>
          </w:p>
        </w:tc>
        <w:tc>
          <w:tcPr>
            <w:tcW w:w="2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(115,000 )</w:t>
            </w:r>
          </w:p>
        </w:tc>
        <w:tc>
          <w:tcPr>
            <w:tcW w:w="7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21"/>
                <w:szCs w:val="21"/>
                <w:color w:val="auto"/>
              </w:rPr>
            </w:pPr>
          </w:p>
        </w:tc>
      </w:tr>
      <w:tr>
        <w:trPr>
          <w:trHeight w:val="235"/>
        </w:trPr>
        <w:tc>
          <w:tcPr>
            <w:tcW w:w="7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1,570,000</w:t>
            </w:r>
          </w:p>
        </w:tc>
        <w:tc>
          <w:tcPr>
            <w:tcW w:w="280" w:type="dxa"/>
            <w:vAlign w:val="bottom"/>
            <w:tcBorders>
              <w:top w:val="single" w:sz="8" w:color="CFF0FC"/>
            </w:tcBorders>
          </w:tcPr>
          <w:p>
            <w:pPr>
              <w:spacing w:after="0"/>
              <w:rPr>
                <w:sz w:val="20"/>
                <w:szCs w:val="20"/>
                <w:color w:val="auto"/>
              </w:rPr>
            </w:pPr>
          </w:p>
        </w:tc>
        <w:tc>
          <w:tcPr>
            <w:tcW w:w="740" w:type="dxa"/>
            <w:vAlign w:val="bottom"/>
            <w:tcBorders>
              <w:top w:val="single" w:sz="8" w:color="CFF0FC"/>
            </w:tcBorders>
          </w:tcPr>
          <w:p>
            <w:pPr>
              <w:jc w:val="right"/>
              <w:ind w:right="56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top w:val="single" w:sz="8" w:color="CFF0FC"/>
            </w:tcBorders>
          </w:tcPr>
          <w:p>
            <w:pPr>
              <w:spacing w:after="0"/>
              <w:rPr>
                <w:sz w:val="20"/>
                <w:szCs w:val="20"/>
                <w:color w:val="auto"/>
              </w:rPr>
            </w:pPr>
          </w:p>
        </w:tc>
      </w:tr>
      <w:tr>
        <w:trPr>
          <w:trHeight w:val="20"/>
        </w:trPr>
        <w:tc>
          <w:tcPr>
            <w:tcW w:w="7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5818505</wp:posOffset>
            </wp:positionH>
            <wp:positionV relativeFrom="paragraph">
              <wp:posOffset>-186690</wp:posOffset>
            </wp:positionV>
            <wp:extent cx="679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recorded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4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4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20" w:type="dxa"/>
            <w:vAlign w:val="bottom"/>
            <w:gridSpan w:val="2"/>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5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center"/>
              <w:ind w:left="601"/>
              <w:spacing w:after="0"/>
              <w:rPr>
                <w:sz w:val="20"/>
                <w:szCs w:val="20"/>
                <w:color w:val="auto"/>
              </w:rPr>
            </w:pPr>
            <w:r>
              <w:rPr>
                <w:rFonts w:ascii="Times New Roman" w:cs="Times New Roman" w:eastAsia="Times New Roman" w:hAnsi="Times New Roman"/>
                <w:sz w:val="18"/>
                <w:szCs w:val="18"/>
                <w:color w:val="auto"/>
                <w:w w:val="98"/>
              </w:rPr>
              <w:t>2,054</w:t>
            </w:r>
          </w:p>
        </w:tc>
        <w:tc>
          <w:tcPr>
            <w:tcW w:w="780" w:type="dxa"/>
            <w:vAlign w:val="bottom"/>
            <w:gridSpan w:val="2"/>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shd w:val="clear" w:color="auto" w:fill="CFF0FC"/>
          </w:tcPr>
          <w:p>
            <w:pPr>
              <w:spacing w:after="0"/>
              <w:rPr>
                <w:sz w:val="20"/>
                <w:szCs w:val="20"/>
                <w:color w:val="auto"/>
              </w:rPr>
            </w:pPr>
          </w:p>
        </w:tc>
      </w:tr>
      <w:tr>
        <w:trPr>
          <w:trHeight w:val="237"/>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601"/>
              <w:spacing w:after="0"/>
              <w:rPr>
                <w:sz w:val="20"/>
                <w:szCs w:val="20"/>
                <w:color w:val="auto"/>
              </w:rPr>
            </w:pPr>
            <w:r>
              <w:rPr>
                <w:rFonts w:ascii="Times New Roman" w:cs="Times New Roman" w:eastAsia="Times New Roman" w:hAnsi="Times New Roman"/>
                <w:sz w:val="18"/>
                <w:szCs w:val="18"/>
                <w:color w:val="auto"/>
                <w:w w:val="98"/>
              </w:rPr>
              <w:t>3,730</w:t>
            </w:r>
          </w:p>
        </w:tc>
        <w:tc>
          <w:tcPr>
            <w:tcW w:w="2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Pr>
          <w:p>
            <w:pPr>
              <w:spacing w:after="0"/>
              <w:rPr>
                <w:sz w:val="20"/>
                <w:szCs w:val="20"/>
                <w:color w:val="auto"/>
              </w:rPr>
            </w:pPr>
          </w:p>
        </w:tc>
      </w:tr>
      <w:tr>
        <w:trPr>
          <w:trHeight w:val="275"/>
        </w:trPr>
        <w:tc>
          <w:tcPr>
            <w:tcW w:w="4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8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center"/>
              <w:ind w:left="601"/>
              <w:spacing w:after="0"/>
              <w:rPr>
                <w:sz w:val="20"/>
                <w:szCs w:val="20"/>
                <w:color w:val="auto"/>
              </w:rPr>
            </w:pPr>
            <w:r>
              <w:rPr>
                <w:rFonts w:ascii="Times New Roman" w:cs="Times New Roman" w:eastAsia="Times New Roman" w:hAnsi="Times New Roman"/>
                <w:sz w:val="18"/>
                <w:szCs w:val="18"/>
                <w:color w:val="auto"/>
                <w:w w:val="98"/>
              </w:rPr>
              <w:t>5,784</w:t>
            </w:r>
          </w:p>
        </w:tc>
        <w:tc>
          <w:tcPr>
            <w:tcW w:w="2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-24765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-7620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79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79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30"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8"/>
          <w:szCs w:val="18"/>
          <w:color w:val="auto"/>
        </w:rPr>
        <w:t>On March 4, 2020, Vytacera Bio, LLC (“Vytacera”) filed a patent infringement lawsuit against the Company in the U.S. District Court for the District of Delaware. The lawsuit alleged that the Company's use, offers to sell, and/or sales of the PROBODY® technology platform for</w:t>
      </w:r>
    </w:p>
    <w:p>
      <w:pPr>
        <w:sectPr>
          <w:pgSz w:w="11900" w:h="16838" w:orient="portrait"/>
          <w:cols w:equalWidth="0" w:num="1">
            <w:col w:w="11240"/>
          </w:cols>
          <w:pgMar w:left="320" w:top="76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(Unaudited)</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basic research applications constituted infringement. The complaint sought unspecified monetary damages. In September 2022, the Company filed a motion to dismiss the case. On October 17, 2024, the Court dismissed the case. Vytacera may appeal. The Company believes that the lawsuit is without merit and intends to vigorously defend itself through any appeal. The Company does not believe a loss is probable and has not recorded any amount as a contingent liability for claims associated with this lawsuit as of September 30,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Agreement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UCSB Agreement</w:t>
      </w:r>
    </w:p>
    <w:p>
      <w:pPr>
        <w:spacing w:after="0" w:line="224"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color w:val="auto"/>
        </w:rPr>
        <w:t>In August 2010, the Company entered into an exclusive, worldwide license agreement with University of California, Santa Barbara (“UCSB”), relating to the use of certain patents and technology relating to its core technology, including its therapeutic antibodies, and to certain patent rights the Company co-owns with UCSB covering PROBODY antibodies and other pro-proteins (the “UCSB Agreement”). 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As part of the UCSB Agreement, the Company has annual minimum royalty obligations of $0.2 million under the terms of certain exclusive licensed patent rights. In April 2019, the Company entered into Amendment No.3 to the UCSB Agreement to adjust and clarify certain sublicense terms (“Amendment No.3”).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$0.8 million through 2031.</w:t>
      </w:r>
    </w:p>
    <w:p>
      <w:pPr>
        <w:spacing w:after="0" w:line="193"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In March 2024, the Company incurred $0.6 million of sublicense fees triggered by achieving the GLP toxicology studies milestone for the first clinical candidate which was nominated by Astellas in 2023, as well as by achieving the clinical candidate nomination milestone for a second collaboration target under the Astellas Agreement.</w:t>
      </w:r>
    </w:p>
    <w:p>
      <w:pPr>
        <w:spacing w:after="0" w:line="177"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incurred sublicense expenses of $0 and $1.6 million, respectively, under the provisions of the UCSB Agreement. For the three and nine months ended September 30, 2023, the Company incurred sublicense expenses of $0 and $1.1 million under the provisions of the UCSB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ImmunoGen (acquired by AbbVie in 2024)</w:t>
      </w:r>
    </w:p>
    <w:p>
      <w:pPr>
        <w:spacing w:after="0" w:line="2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PROBODY technology that targets EpCAM in any human therapeutic field on a worldwide basis.</w:t>
      </w:r>
    </w:p>
    <w:p>
      <w:pPr>
        <w:spacing w:after="0" w:line="18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color w:val="auto"/>
        </w:rPr>
        <w:t>In April 2024, the Company incurred a $5.0 million milestone payment to AbbVie (formerly ImmunoGen) with respect to achieving the milestone of dosing the first patient for CX-2051 under the ImmunoGen 2019 License Agreement.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a full valuation allowance against its net deferred tax assets due to the Company’s history of losses through December 31, 2023</w:t>
      </w:r>
      <w:r>
        <w:rPr>
          <w:rFonts w:ascii="Times New Roman" w:cs="Times New Roman" w:eastAsia="Times New Roman" w:hAnsi="Times New Roman"/>
          <w:sz w:val="18"/>
          <w:szCs w:val="18"/>
          <w:i w:val="1"/>
          <w:iCs w:val="1"/>
          <w:color w:val="auto"/>
        </w:rPr>
        <w:t>.</w:t>
      </w:r>
    </w:p>
    <w:p>
      <w:pPr>
        <w:spacing w:after="0" w:line="2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files income taxes in the U.S. federal jurisdiction, the state of California and various other U.S. states. The state of California contested the Company’s tax position on revenue apportionment for upfront and milestone payments resulting from the Company’s collaboration and licensing agreements for the years 2017 and 2018. In September 2023, the Company received Notice of Proposed Assessment (“NOPA”) from the Franchise Tax Board. The Company recorded an uncertain tax position of $4.1 million in long term liabilities for the proposed tax assessment, penalties and interest through September 30, 2024. Of the unrecognized tax benefits as of September 30, 2024, approximately $4.1 million would affect the Company’s effective tax rate if recognized. In addition, utilization of carryforward attributes and indirect federal tax effects of the assessment would result in a reduction in deferred tax assets of $5.1 million. The Company filed a protest to contest the proposed assessment in November 2023. Due to the ongoing nature of the examination and discussions with the state of California, the Company is unable to estimate a date by which this matter will be resolved.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2023, included in our Annual Report on Form 10-K as filed with the U.S. Securities and Exchange Commission (“SEC”) on March 11, 2024.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We are a clinical-stage, oncology-focused biopharmaceutical company focused on developing novel, conditionally activated, masked biologics designed to be preferentially unmasked and activated in the tumor microenvironment. We aim to build a commercial enterprise to maximize our impact on the treatment of cancer. By pioneering a novel class of localized biologic drug candidates, powered by our PROBODY® therapeutic technology platform, we lead the field of masked, conditionally activated oncology therapeutics and have established biologics localization as a strategic area of research and development in the biopharmaceutical industry. Our vision is to transform lives with safer, more effective therapies with the goal to address major unmet needs in oncology.</w:t>
      </w:r>
    </w:p>
    <w:p>
      <w:pPr>
        <w:spacing w:after="0" w:line="21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proprietary, versatile, multi-modality PROBODY technology platform is designed to enable conditional activation of potent masked biologic therapeutic candidates within the tumor microenvironment, while minimizing drug activity in healthy tissues and circulation. Our platform is built on a strong foundation of tumor biology expertise, including deep knowledge of tumor-associated enzymes known as proteases. Proteases are tightly controlled in normal tissues but often dysregulated and active in tumor microenvironments where they play important roles in cancer cell migration, invasion and metastasis. Leveraging our deep scientific knowledge, we conceived of and constructed our PROBODY therapeutic platform which allows us to genetically engineer biologic therapeutic candidates to contain protease-cleavable masks. Our masking strategy is designed to reduce binding of biologic therapeutics to their targets until the mask is removed by proteases in the tumor microenvironment, providing more selective targeting of the tumor.</w:t>
      </w:r>
    </w:p>
    <w:p>
      <w:pPr>
        <w:spacing w:after="0" w:line="21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employing our leading, masking platform technology to address some of the biggest challenges in oncology biologics research and development. These include the validation of potential new targets for antibody-drug conjugates (“ADCs”), opening therapeutic window for novel T-cell engagers (“TCEs”) targeting solid tumors, and increasing the therapeutic index for immune modulators such as cytokines. We are also exploring the potential for our PROBODY platform in preclinical research in areas outside of oncology, including in our collaboration with Moderna.</w:t>
      </w:r>
    </w:p>
    <w:p>
      <w:pPr>
        <w:spacing w:after="0" w:line="22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utilized our PROBODY therapeutic platform and masking technology to build a promising, broad pipeline of potential first-in-class and best-in-class clinical-stage molecules. These are CX-904, a conditionally activated, PROBODY® TCE, targeting the epidermal growth factor receptor (“EGFR”) on tumor cells and the CD3 receptor on T cells; CX-2051, an investigational, conditionally activated ADC targeting epithelial cell adhesion molecule (“EpCAM”); and CX-801, an investigational, masked version of interferon alpha-2b (“IFNα2b”). Our current clinical-stage molecules address targets or mechanisms that have been previously validated as having anti-cancer activity but have been limited in their utilization due to systemic toxicities. We have incorporated our significant, multi-modality masking expertise and clinical learnings to optimize predicted therapeutic index and the clinical potential of these promising agents through tumor localized, conditional activation.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Reinforcing our leadership in the field of conditional activation, in 2022 we advanced our first TCE into the clinic. CX-904, partnered with Amgen, is a conditionally activated TCE against EGFR and CD3. In preclinical studies, CytomX’s PROBODY EGFRxCD3 TCE demonstrated anti-tumor activity and better tolerability when compared to TCEs without PROBODY masking. In May 2022, the first patient was dosed in a Phase 1 study evaluating CX-904 as a treatment for patients with advanced solid tumors. Patient enrollment in the Phase 1 dose escalation portion of the study continues to progress.</w:t>
      </w:r>
    </w:p>
    <w:p>
      <w:pPr>
        <w:spacing w:after="0" w:line="2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May 8, 2024, we reported initial Phase 1a data based on an April 16, 2024 data cutoff. As of the data cutoff, the CX-904-101 study had enrolled 35 patients with advanced metastatic solid tumor types that are generally known to express EGFR, including pancreatic, colorectal (CRC), non-small cell lung cancer (NSCLC), head and neck squamous cell carcinoma (HNSCC), gastric, and esophageal cancers. Patients enrolled in the study were heavily pre-treated and had a median of 4 prior lines of therapy. 19 patients were enrolled into initial non-step dosing cohorts with target doses ranging from 0.007 mg to 6 mg, and 16 patients were subsequently enrolled into step-dosing cohorts with target doses ranging from 5 mg to 10 mg and with tocilizumab prophylaxis. As of the April 16, 2024 data cutoff enrollment into a cohort with a target dose of 15 mg was ongoing.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3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the cutoff date, CX-904 demonstrated a favorable safety profile. There were no observed cases of cytokine release syndrome (CRS) of any grade in step-dosing cohorts as of the cutoff date. In non-step dosing cohorts, only Grade 1 CRS was observed in patients treated at the highest dose of 6 mg. Overall, the most common treatment-related adverse events (TRAEs) were rash, arthralgia, arthritis, pruritis, and vomiting, the majority of which were low grade, being observed in 14 (40%), 13 (37%), 5 (14%), 5 (14%) and 5 (14%) of patients, respectively. Grade 3 adverse events were tenosynovitis (n=1), arthralgia (n=2), arthritis (n=1), rash (n=1).</w:t>
      </w:r>
    </w:p>
    <w:p>
      <w:pPr>
        <w:spacing w:after="0" w:line="2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the April 16, 2024 data cutoff, 8 patients had measurable tumor reduction per RECIST 1.1, including 2 of 6 efficacy-evaluable patients (33%) with pancreatic cancer with confirmed partial responses. All 6 efficacy-evaluable patients with pancreatic cancer achieved disease control (objective response or stable disease). For the two patients with a confirmed partial response, one patient (6 mg target dose) achieved an 83% tumor reduction. A second patient (5 mg target dose) with a confirmed response achieved a 51% tumor reduction and remained on study treatment as of the data cutoff. In addition, a third pancreatic cancer patient maintained stable disease with no evidence of tumor growth through 3.5 months of study treatment, and remained on treatment as of the data cutoff.</w:t>
      </w:r>
    </w:p>
    <w:p>
      <w:pPr>
        <w:spacing w:after="0" w:line="254"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color w:val="auto"/>
        </w:rPr>
        <w:t>Preliminary pharmacokinetic and pharmacodynamic data were consistent with the PROBODY TCE mechanism of action, including maintained masking in circulation, and CD8+ T-cell margination and tumor infiltration.</w:t>
      </w:r>
    </w:p>
    <w:p>
      <w:pPr>
        <w:spacing w:after="0" w:line="202"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18"/>
          <w:szCs w:val="18"/>
          <w:color w:val="auto"/>
        </w:rPr>
        <w:t>In the ongoing CX-904 Phase 1a dose escalation study, the 15 mg target step-dose has been cleared and a maximum tolerated dose for step-dosing has not been reached. Dose escalation and optimization continue focused primarily in pancreatic ductal adenocarcinoma, head and neck squamous cell carcinoma, and non-small cell lung cancer</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Potential Phase 1b initiation in one or more tumor types is anticipated in 2025 pending the selection of an optimized dose and schedule and alignment with global co-development partner, Amgen.</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pipeline also includes CX-2051, a wholly-owned conditionally activated, PROBODY ADC directed toward the epithelial cell adhesion molecule (EpCAM). The CX-2051 payload, a next generation topoisomerase-1 inhibitor payload licensed from AbbVie (formerly ImmunoGen), is tailored to specific EpCAM-expressing indications, including colorectal cancer, and includes a payload-antibody linker designed to drive bystander effect, contributing to anti-tumor activity. The design of CX-2051 has been tailored to optimize the therapeutic index for the systemic treatment of EpCAM-expressing epithelial cancers where previous industry efforts targeting EpCAM have not been successful due to dose-limiting toxicities. CX-2051 has demonstrated a wide predicted therapeutic index and strong preclinical activity and tolerability in multiple preclinical models, including colorectal cancer.</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IND for CX-2051 was cleared by the FDA in January 2024 and Phase 1 clinical initiation in EpCAM expressing solid tumors, including a primary initial focus in CRC commenced in April 2024. As of November 2024, the Phase 1 study is enrolling the fifth dose escalation cohort with favorable safety and tolerability having been observed to date. High expression of EpCAM has been documented in many tumor types, including colorectal cancer. In the Phase 1 study, EpCAM expression levels are being assessed retrospectively and are anticipated to be high in the majority of CRC patients. The Phase 1 dose escalation is intended to demonstrate clinical proof of concept to potentially move into dose expansion studies in 2025. Dose escalation enrollment continues with initial Phase 1 data for CX-2051 expected in the first half of 2025.</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Another wholly-owned product candidate is CX-801, an interferon ("IFN") alpha-2b PROBODY. IFNα2b provides a potentially superior approach to activating anti-tumor immune responses than other cytokines. CX-801 is a dually masked, conditionally activated version of IFNα2b that has the potential to become a cornerstone of combination therapy for a wide range of tumor types. The IND for CX-801 was cleared by the FDA in January 2024, and in the third quarter of 2024 the first patient was dosed in the CX-801 Phase 1 dose escalation study in solid tumors. The Phase 1 dose escalation study will enroll patients primarily with melanoma as well as renal cell carcinoma and head and neck squamous cell carcinoma. In Phase 1 dose escalation, the study will evaluate safety and signs of clinical activity for CX-801 monotherapy and in combination with KEYTRUDA®. In second quarter of 2024, CytomX announced a clinical collaboration with Merck to supply KEYTRUDA for evaluation of CX-801 in combination with KEYTRUDA® in the Phase 1 study.</w:t>
      </w:r>
    </w:p>
    <w:p>
      <w:pPr>
        <w:spacing w:after="0" w:line="21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CX-2029 was previously developed in a global co-development collaboration with AbbVie. This program is intended to open a therapeutic window for CD71, also known as the transferrin receptor 1 (“TfR1”). CD71 is a cell surface protein essential for iron uptake in dividing cells and is highly expressed in a number of solid and hematologic cancers. However, given its central role in iron metabolism, CD71 is present on most healthy cells and is thought to be an undruggable target with conventional ADCs. CX-2029 is conjugated with the tubulin inhibitor, monomethyl auristatin E (“MMAE”), as the payload. In March 2023, following the completion of the Phase 2 Study in squamous non-small cell lung cancer (“sqNSCLC”), head and neck squamous cell carcinoma (“HNSCC”), esophageal and gastro-esophageal junction (“E/GEJ”) cancers, AbbVie notified CytomX that it would not advance CX-2029 into additional clinical studies and terminated the 2016 CD71 License and Collaboration Agreement. CytomX re-acquired full rights to CX-2029 but does not currently have plans to make further significant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66" w:lineRule="exact"/>
        <w:rPr>
          <w:sz w:val="20"/>
          <w:szCs w:val="20"/>
          <w:color w:val="auto"/>
        </w:rPr>
      </w:pPr>
    </w:p>
    <w:p>
      <w:pPr>
        <w:ind w:right="640"/>
        <w:spacing w:after="0" w:line="279" w:lineRule="auto"/>
        <w:rPr>
          <w:sz w:val="20"/>
          <w:szCs w:val="20"/>
          <w:color w:val="auto"/>
        </w:rPr>
      </w:pPr>
      <w:r>
        <w:rPr>
          <w:rFonts w:ascii="Times New Roman" w:cs="Times New Roman" w:eastAsia="Times New Roman" w:hAnsi="Times New Roman"/>
          <w:sz w:val="18"/>
          <w:szCs w:val="18"/>
          <w:color w:val="auto"/>
        </w:rPr>
        <w:t>investments in the solid tumor program in the near-term but continues to view CD71 as a target of strategic interest, including novel next-generation strategies.</w:t>
      </w:r>
    </w:p>
    <w:p>
      <w:pPr>
        <w:spacing w:after="0" w:line="22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We are also continuously engaged in drug discovery efforts towards the generation of new clinical candidates across multiple modalities for the treatment of cancer, including additional ADCs, Cytokines, TCEs, and mRNAs reflecting the versatility of our PROBODY platform. We currently have more than 15 active drug discovery and/or development programs.</w:t>
      </w:r>
    </w:p>
    <w:p>
      <w:pPr>
        <w:spacing w:after="0" w:line="244"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17"/>
          <w:szCs w:val="17"/>
          <w:color w:val="auto"/>
        </w:rPr>
        <w:t>We do not have any products approved for sale, and we continue to incur significant research and development and general administrative expenses related to our operations. As of September 30, 2024 and December 31, 2023, we had an accumulated deficit of $710.5 million and $723.4 million, respectively.</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22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There are no material changes to our critical accounting policies and estimates as presented in Part II, Item 7 of our Annual Report on Form 10-K for the year ended December 31, 2023.</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applying the input method of revenue recognition, we use actual full-time equivalent (FTE) hours incurred relative to estimated total FTE hours expected to be incurred for each combined performance obligation over the estimated research service period of each collaboration target.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are also recognized over the performance period based on a similar method.</w:t>
      </w:r>
    </w:p>
    <w:p>
      <w:pPr>
        <w:spacing w:after="0" w:line="225"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Amgen, Astellas, Bristol Myers Squibb, Regeneron, Moderna and any other collaboration partners, and as a result of the fluctuations in the research and development expenses we incur in the performance of assigned activities under these agreements.</w:t>
      </w:r>
    </w:p>
    <w:p>
      <w:pPr>
        <w:spacing w:after="0" w:line="22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AbbVie, one of our previous collaboration partners, entered into a license agreement with Seagen Inc. (“SGEN”) to license certain intellectual property rights. As part of the collaboration agreement with AbbVie, we received a sublicense to these intellectual property rights and therefore paid SGEN sublicense fees. These sublicense fees were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9" w:lineRule="exact"/>
        <w:rPr>
          <w:sz w:val="20"/>
          <w:szCs w:val="20"/>
          <w:color w:val="auto"/>
        </w:rPr>
      </w:pPr>
    </w:p>
    <w:p>
      <w:pPr>
        <w:ind w:right="380"/>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19"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171"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8"/>
          <w:szCs w:val="18"/>
          <w:color w:val="auto"/>
        </w:rPr>
        <w:t>We also account for uncertain tax positions in accordance with the provisions of ASC 740. When uncertain tax positions exist, we recognize the tax benefit of tax positions to the extent that the benefit will be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Interest income primarily consists of interest income from our cash equivalents and investments, and accretion of discounts or amortization of premiums on our investments.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consists primarily of gains and losses resulting from changes to currency exchange rates.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collaboration partner during the respective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8"/>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AbbVie</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8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(3,988 )</w:t>
            </w: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Amgen</w:t>
            </w:r>
          </w:p>
        </w:tc>
        <w:tc>
          <w:tcPr>
            <w:tcW w:w="200" w:type="dxa"/>
            <w:vAlign w:val="bottom"/>
          </w:tcPr>
          <w:p>
            <w:pPr>
              <w:spacing w:after="0"/>
              <w:rPr>
                <w:sz w:val="20"/>
                <w:szCs w:val="20"/>
                <w:color w:val="auto"/>
              </w:rPr>
            </w:pPr>
          </w:p>
        </w:tc>
        <w:tc>
          <w:tcPr>
            <w:tcW w:w="940" w:type="dxa"/>
            <w:vAlign w:val="bottom"/>
            <w:gridSpan w:val="2"/>
          </w:tcPr>
          <w:p>
            <w:pPr>
              <w:jc w:val="right"/>
              <w:ind w:right="89"/>
              <w:spacing w:after="0"/>
              <w:rPr>
                <w:sz w:val="20"/>
                <w:szCs w:val="20"/>
                <w:color w:val="auto"/>
              </w:rPr>
            </w:pPr>
            <w:r>
              <w:rPr>
                <w:rFonts w:ascii="Times New Roman" w:cs="Times New Roman" w:eastAsia="Times New Roman" w:hAnsi="Times New Roman"/>
                <w:sz w:val="18"/>
                <w:szCs w:val="18"/>
                <w:color w:val="auto"/>
              </w:rPr>
              <w:t>(783 )</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(2,410 )</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(3,633 )</w:t>
            </w:r>
          </w:p>
        </w:tc>
      </w:tr>
      <w:tr>
        <w:trPr>
          <w:trHeight w:val="245"/>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Astellas</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(2,077 )</w:t>
            </w: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00" w:type="dxa"/>
            <w:vAlign w:val="bottom"/>
            <w:shd w:val="clear" w:color="auto" w:fill="CFF0FC"/>
          </w:tcPr>
          <w:p>
            <w:pPr>
              <w:spacing w:after="0"/>
              <w:rPr>
                <w:sz w:val="21"/>
                <w:szCs w:val="21"/>
                <w:color w:val="auto"/>
              </w:rPr>
            </w:pP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Bristol Myers Squibb</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100" w:type="dxa"/>
            <w:vAlign w:val="bottom"/>
          </w:tcPr>
          <w:p>
            <w:pPr>
              <w:spacing w:after="0"/>
              <w:rPr>
                <w:sz w:val="20"/>
                <w:szCs w:val="20"/>
                <w:color w:val="auto"/>
              </w:rPr>
            </w:pPr>
          </w:p>
        </w:tc>
      </w:tr>
      <w:tr>
        <w:trPr>
          <w:trHeight w:val="245"/>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Regeneron</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shd w:val="clear" w:color="auto" w:fill="CFF0FC"/>
          </w:tcPr>
          <w:p>
            <w:pPr>
              <w:spacing w:after="0"/>
              <w:rPr>
                <w:sz w:val="21"/>
                <w:szCs w:val="21"/>
                <w:color w:val="auto"/>
              </w:rPr>
            </w:pP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Moderna</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Pr>
          <w:p>
            <w:pPr>
              <w:spacing w:after="0"/>
              <w:rPr>
                <w:sz w:val="20"/>
                <w:szCs w:val="20"/>
                <w:color w:val="auto"/>
              </w:rPr>
            </w:pPr>
          </w:p>
        </w:tc>
      </w:tr>
      <w:tr>
        <w:trPr>
          <w:trHeight w:val="275"/>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33,432</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100,010</w:t>
            </w:r>
          </w:p>
        </w:tc>
        <w:tc>
          <w:tcPr>
            <w:tcW w:w="2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74,607</w:t>
            </w:r>
          </w:p>
        </w:tc>
        <w:tc>
          <w:tcPr>
            <w:tcW w:w="2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-24765</wp:posOffset>
            </wp:positionV>
            <wp:extent cx="679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-7620</wp:posOffset>
            </wp:positionV>
            <wp:extent cx="679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-24765</wp:posOffset>
            </wp:positionV>
            <wp:extent cx="679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679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-24765</wp:posOffset>
            </wp:positionV>
            <wp:extent cx="679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-7620</wp:posOffset>
            </wp:positionV>
            <wp:extent cx="679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revenue of $7.0 million for the three months ended September 30, 2024 compared to the corresponding period of 2023 was primarily due to an increase in revenue under the BMS Agreement driven by higher percentage of completion of existing research collaboration programs, partially offset by a decrease in revenue under the Astellas Agreement due to the completion of two programs that were nominated as clinical candidates, the first occurring in the first quarter of 2023 and the second occurring in the first quarter of 2024 as discussed further below; and lower revenue under the Amgen Agreement due to increase in projected hours to completion which resulted in a cumulative negative adjustment to the current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in revenue of $25.4 million for the nine months ended September 30, 2024 compared to the corresponding period of 2023 was primarily due to:</w:t>
      </w:r>
    </w:p>
    <w:p>
      <w:pPr>
        <w:spacing w:after="0" w:line="38"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BMS Agreement driven by higher percentage of completion of the existing targets;</w:t>
      </w:r>
    </w:p>
    <w:p>
      <w:pPr>
        <w:spacing w:after="0" w:line="96" w:lineRule="exact"/>
        <w:rPr>
          <w:rFonts w:ascii="Times New Roman" w:cs="Times New Roman" w:eastAsia="Times New Roman" w:hAnsi="Times New Roman"/>
          <w:sz w:val="18"/>
          <w:szCs w:val="18"/>
          <w:color w:val="auto"/>
        </w:rPr>
      </w:pPr>
    </w:p>
    <w:p>
      <w:pPr>
        <w:ind w:left="1020" w:right="100" w:hanging="504"/>
        <w:spacing w:after="0" w:line="258"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Astellas Agreement primarily driven by two milestone payments of $5.0 million each, triggered in March 2024. One was related to the nomination of a second clinical candidate while the other was related to the milestone achievement of GLP toxicology study initiation for the first clinical candidate. Astellas revenue in the first quarter of 2023 included the $5.0 million milestone for the first clinical candidate nomination achieved in the collaboration;</w:t>
      </w:r>
    </w:p>
    <w:p>
      <w:pPr>
        <w:spacing w:after="0" w:line="75" w:lineRule="exact"/>
        <w:rPr>
          <w:rFonts w:ascii="Times New Roman" w:cs="Times New Roman" w:eastAsia="Times New Roman" w:hAnsi="Times New Roman"/>
          <w:sz w:val="18"/>
          <w:szCs w:val="18"/>
          <w:color w:val="auto"/>
        </w:rPr>
      </w:pPr>
    </w:p>
    <w:p>
      <w:pPr>
        <w:ind w:left="1020" w:right="460" w:hanging="504"/>
        <w:spacing w:after="0" w:line="279"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revenue under the Regeneron Agreement and Moderna Agreement driven by higher percentage of completion of research collaboration programs that commenced in 2023.</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 under the AbbVie Agreement due to termination of the agreement in March 2023.</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 under the Amgen Agreement due to an increase in projected hours to completion.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incurred during the respective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3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99"/>
        </w:trPr>
        <w:tc>
          <w:tcPr>
            <w:tcW w:w="364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External costs incurred by product candidate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CX-904 (EGFRxCD3)</w:t>
            </w: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440" w:type="dxa"/>
            <w:vAlign w:val="bottom"/>
            <w:gridSpan w:val="2"/>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shd w:val="clear" w:color="auto" w:fill="CFF0FC"/>
          </w:tcPr>
          <w:p>
            <w:pPr>
              <w:spacing w:after="0"/>
              <w:rPr>
                <w:sz w:val="20"/>
                <w:szCs w:val="20"/>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CX-2051 (EpCAM)</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tcPr>
          <w:p>
            <w:pPr>
              <w:spacing w:after="0"/>
              <w:rPr>
                <w:sz w:val="20"/>
                <w:szCs w:val="20"/>
                <w:color w:val="auto"/>
              </w:rPr>
            </w:pPr>
          </w:p>
        </w:tc>
      </w:tr>
      <w:tr>
        <w:trPr>
          <w:trHeight w:val="272"/>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CX-801 (IFNα2b)</w:t>
            </w:r>
          </w:p>
        </w:tc>
        <w:tc>
          <w:tcPr>
            <w:tcW w:w="24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(1,808 )</w:t>
            </w:r>
          </w:p>
        </w:tc>
        <w:tc>
          <w:tcPr>
            <w:tcW w:w="24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10,323</w:t>
            </w:r>
          </w:p>
        </w:tc>
        <w:tc>
          <w:tcPr>
            <w:tcW w:w="2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(8,263 )</w:t>
            </w:r>
          </w:p>
        </w:tc>
      </w:tr>
      <w:tr>
        <w:trPr>
          <w:trHeight w:val="26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CX-2029 (CD71)</w:t>
            </w:r>
          </w:p>
        </w:tc>
        <w:tc>
          <w:tcPr>
            <w:tcW w:w="24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(788 )</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(1,462 )</w:t>
            </w:r>
          </w:p>
        </w:tc>
      </w:tr>
      <w:tr>
        <w:trPr>
          <w:trHeight w:val="2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programs</w:t>
            </w:r>
          </w:p>
        </w:tc>
        <w:tc>
          <w:tcPr>
            <w:tcW w:w="24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(49 )</w:t>
            </w:r>
          </w:p>
        </w:tc>
        <w:tc>
          <w:tcPr>
            <w:tcW w:w="20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2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FF0FC"/>
          </w:tcPr>
          <w:p>
            <w:pPr>
              <w:spacing w:after="0"/>
              <w:rPr>
                <w:sz w:val="23"/>
                <w:szCs w:val="23"/>
                <w:color w:val="auto"/>
              </w:rPr>
            </w:pPr>
          </w:p>
        </w:tc>
      </w:tr>
      <w:tr>
        <w:trPr>
          <w:trHeight w:val="24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research and development expenses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13,888</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00" w:type="dxa"/>
            <w:vAlign w:val="bottom"/>
          </w:tcPr>
          <w:p>
            <w:pPr>
              <w:spacing w:after="0"/>
              <w:rPr>
                <w:sz w:val="21"/>
                <w:szCs w:val="21"/>
                <w:color w:val="auto"/>
              </w:rPr>
            </w:pPr>
          </w:p>
        </w:tc>
      </w:tr>
      <w:tr>
        <w:trPr>
          <w:trHeight w:val="268"/>
        </w:trPr>
        <w:tc>
          <w:tcPr>
            <w:tcW w:w="3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external costs</w:t>
            </w:r>
          </w:p>
        </w:tc>
        <w:tc>
          <w:tcPr>
            <w:tcW w:w="240" w:type="dxa"/>
            <w:vAlign w:val="bottom"/>
            <w:shd w:val="clear" w:color="auto" w:fill="CFF0FC"/>
          </w:tcPr>
          <w:p>
            <w:pPr>
              <w:spacing w:after="0"/>
              <w:rPr>
                <w:sz w:val="23"/>
                <w:szCs w:val="2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12,780</w:t>
            </w: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2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2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41,496</w:t>
            </w:r>
          </w:p>
        </w:tc>
        <w:tc>
          <w:tcPr>
            <w:tcW w:w="2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32,725</w:t>
            </w:r>
          </w:p>
        </w:tc>
        <w:tc>
          <w:tcPr>
            <w:tcW w:w="2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100" w:type="dxa"/>
            <w:vAlign w:val="bottom"/>
            <w:shd w:val="clear" w:color="auto" w:fill="CFF0FC"/>
          </w:tcPr>
          <w:p>
            <w:pPr>
              <w:spacing w:after="0"/>
              <w:rPr>
                <w:sz w:val="23"/>
                <w:szCs w:val="23"/>
                <w:color w:val="auto"/>
              </w:rPr>
            </w:pPr>
          </w:p>
        </w:tc>
      </w:tr>
      <w:tr>
        <w:trPr>
          <w:trHeight w:val="255"/>
        </w:trPr>
        <w:tc>
          <w:tcPr>
            <w:tcW w:w="3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Internal costs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27,096</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25,569</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22"/>
                <w:szCs w:val="22"/>
                <w:color w:val="auto"/>
              </w:rPr>
            </w:pPr>
          </w:p>
        </w:tc>
      </w:tr>
      <w:tr>
        <w:trPr>
          <w:trHeight w:val="275"/>
        </w:trPr>
        <w:tc>
          <w:tcPr>
            <w:tcW w:w="3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68,592</w:t>
            </w:r>
          </w:p>
        </w:tc>
        <w:tc>
          <w:tcPr>
            <w:tcW w:w="2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58,294</w:t>
            </w:r>
          </w:p>
        </w:tc>
        <w:tc>
          <w:tcPr>
            <w:tcW w:w="2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-24765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-24765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-24765</wp:posOffset>
            </wp:positionV>
            <wp:extent cx="679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-7620</wp:posOffset>
            </wp:positionV>
            <wp:extent cx="679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-24765</wp:posOffset>
            </wp:positionV>
            <wp:extent cx="679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-7620</wp:posOffset>
            </wp:positionV>
            <wp:extent cx="679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6269355</wp:posOffset>
            </wp:positionH>
            <wp:positionV relativeFrom="paragraph">
              <wp:posOffset>-24765</wp:posOffset>
            </wp:positionV>
            <wp:extent cx="679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6269355</wp:posOffset>
            </wp:positionH>
            <wp:positionV relativeFrom="paragraph">
              <wp:posOffset>-7620</wp:posOffset>
            </wp:positionV>
            <wp:extent cx="679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176"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8"/>
          <w:szCs w:val="18"/>
          <w:color w:val="auto"/>
        </w:rPr>
        <w:t>Research and development expenses increased by $4.9 million for the three months ended September 30, 2024 compared to the corresponding period of 2023. This was primarily due to:</w:t>
      </w:r>
    </w:p>
    <w:p>
      <w:pPr>
        <w:spacing w:after="0" w:line="55" w:lineRule="exact"/>
        <w:rPr>
          <w:sz w:val="20"/>
          <w:szCs w:val="20"/>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manufacturing and clinical related activities for the CX-2051 program and clinical trial activities for the CX-904 program;</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personnel related expenses, offset by</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manufacturing activities for the CX-801 program and winding down of clinical study activities related to the CX-2029 program.</w:t>
      </w:r>
    </w:p>
    <w:p>
      <w:pPr>
        <w:spacing w:after="0" w:line="222"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8"/>
          <w:szCs w:val="18"/>
          <w:color w:val="auto"/>
        </w:rPr>
        <w:t>Research and development expenses increased by $10.3 million for the nine months ended September 30, 2024 compared to the corresponding period of 2023. This was primarily due to:</w:t>
      </w:r>
    </w:p>
    <w:p>
      <w:pPr>
        <w:spacing w:after="0" w:line="55" w:lineRule="exact"/>
        <w:rPr>
          <w:sz w:val="20"/>
          <w:szCs w:val="20"/>
          <w:color w:val="auto"/>
        </w:rPr>
      </w:pPr>
    </w:p>
    <w:p>
      <w:pPr>
        <w:ind w:left="1020" w:right="160" w:hanging="504"/>
        <w:spacing w:after="0" w:line="279"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million milestone payment to AbbVie (formerly ImmunoGen) in the current period, included in the general research and development expenses, for dosing the first patient for CX-2051 in Phase 1 under the ImmunoGen 2019 License Agreement;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manufacturing and clinical related activities for the CX-2051 program and clinical trial activities for the CX-904 program;</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consulting and personnel related expenses, offset by</w:t>
      </w:r>
    </w:p>
    <w:p>
      <w:pPr>
        <w:spacing w:after="0" w:line="114" w:lineRule="exact"/>
        <w:rPr>
          <w:rFonts w:ascii="Times New Roman" w:cs="Times New Roman" w:eastAsia="Times New Roman" w:hAnsi="Times New Roman"/>
          <w:sz w:val="18"/>
          <w:szCs w:val="18"/>
          <w:color w:val="auto"/>
        </w:rPr>
      </w:pPr>
    </w:p>
    <w:p>
      <w:pPr>
        <w:ind w:left="1020" w:right="280" w:hanging="504"/>
        <w:spacing w:after="0" w:line="279"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manufacturing activities and laboratory contract services for the CX-801 program and winding down of clinical study activities related to the CX-2029 and CX-2009 programs.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2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2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8"/>
        </w:trPr>
        <w:tc>
          <w:tcPr>
            <w:tcW w:w="2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68"/>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26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24,102</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22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shd w:val="clear" w:color="auto" w:fill="CFF0FC"/>
          </w:tcPr>
          <w:p>
            <w:pPr>
              <w:spacing w:after="0"/>
              <w:rPr>
                <w:sz w:val="23"/>
                <w:szCs w:val="23"/>
                <w:color w:val="auto"/>
              </w:rPr>
            </w:pPr>
          </w:p>
        </w:tc>
      </w:tr>
    </w:tbl>
    <w:p>
      <w:pPr>
        <w:spacing w:after="0" w:line="169"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color w:val="auto"/>
        </w:rPr>
        <w:t>General and administrative expenses increased by $1.1 million for the three months ended September 30, 2024, compared to the corresponding period of 2023, primarily due to higher professional service expenses supporting intellectual property related activities and internal controls.</w:t>
      </w:r>
    </w:p>
    <w:p>
      <w:pPr>
        <w:spacing w:after="0" w:line="162"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8"/>
          <w:szCs w:val="18"/>
          <w:color w:val="auto"/>
        </w:rPr>
        <w:t>General and administrative expenses increased by $1.9 million for the nine months ended September 30, 2024, compared to the corresponding period of 2023, primarily due to higher professional services spend supporting intellectual property related activities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color w:val="auto"/>
        </w:rPr>
        <w:t>internal controls, and consulting and personnel related expenses, partially offset by lower rent as a result of partial sublease of the Company’s headquarters which started in March 2023.</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Income (Expense), Net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8"/>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(1,006 )</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(1,476 )</w:t>
            </w: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0"/>
                <w:szCs w:val="20"/>
                <w:color w:val="auto"/>
              </w:rPr>
            </w:pPr>
          </w:p>
        </w:tc>
        <w:tc>
          <w:tcPr>
            <w:tcW w:w="940" w:type="dxa"/>
            <w:vAlign w:val="bottom"/>
            <w:gridSpan w:val="2"/>
          </w:tcPr>
          <w:p>
            <w:pPr>
              <w:jc w:val="right"/>
              <w:ind w:right="89"/>
              <w:spacing w:after="0"/>
              <w:rPr>
                <w:sz w:val="20"/>
                <w:szCs w:val="20"/>
                <w:color w:val="auto"/>
              </w:rPr>
            </w:pPr>
            <w:r>
              <w:rPr>
                <w:rFonts w:ascii="Times New Roman" w:cs="Times New Roman" w:eastAsia="Times New Roman" w:hAnsi="Times New Roman"/>
                <w:sz w:val="18"/>
                <w:szCs w:val="18"/>
                <w:color w:val="auto"/>
              </w:rPr>
              <w:t>(7 )</w:t>
            </w: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(19 )</w:t>
            </w: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income and other expense</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(1,006 )</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(1,456 )</w:t>
            </w: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-24765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-7620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-24765</wp:posOffset>
            </wp:positionV>
            <wp:extent cx="679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-7620</wp:posOffset>
            </wp:positionV>
            <wp:extent cx="679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-24765</wp:posOffset>
            </wp:positionV>
            <wp:extent cx="679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-7620</wp:posOffset>
            </wp:positionV>
            <wp:extent cx="679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-24765</wp:posOffset>
            </wp:positionV>
            <wp:extent cx="679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6371590</wp:posOffset>
            </wp:positionH>
            <wp:positionV relativeFrom="paragraph">
              <wp:posOffset>-7620</wp:posOffset>
            </wp:positionV>
            <wp:extent cx="679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-24765</wp:posOffset>
            </wp:positionV>
            <wp:extent cx="679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7070090</wp:posOffset>
            </wp:positionH>
            <wp:positionV relativeFrom="paragraph">
              <wp:posOffset>-7620</wp:posOffset>
            </wp:positionV>
            <wp:extent cx="679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83" w:lineRule="exact"/>
        <w:rPr>
          <w:sz w:val="20"/>
          <w:szCs w:val="20"/>
          <w:color w:val="auto"/>
        </w:rPr>
      </w:pPr>
    </w:p>
    <w:p>
      <w:pPr>
        <w:ind w:right="740"/>
        <w:spacing w:after="0" w:line="263" w:lineRule="auto"/>
        <w:rPr>
          <w:sz w:val="20"/>
          <w:szCs w:val="20"/>
          <w:color w:val="auto"/>
        </w:rPr>
      </w:pPr>
      <w:r>
        <w:rPr>
          <w:rFonts w:ascii="Times New Roman" w:cs="Times New Roman" w:eastAsia="Times New Roman" w:hAnsi="Times New Roman"/>
          <w:sz w:val="18"/>
          <w:szCs w:val="18"/>
          <w:color w:val="auto"/>
        </w:rPr>
        <w:t>Interest income decreased by $1.0 million and $1.5 million for the three and nine months ended September 30, 2024, respectively, compared to the corresponding periods of 2023. The decrease was primarily driven by lower interest rates and the lower cash and cash equivalents and short-term investments position as compared to the corresponding periods of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4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8"/>
        </w:trPr>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168"/>
        </w:trPr>
        <w:tc>
          <w:tcPr>
            <w:tcW w:w="4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(2,762 )</w:t>
            </w:r>
          </w:p>
        </w:tc>
        <w:tc>
          <w:tcPr>
            <w:tcW w:w="580" w:type="dxa"/>
            <w:vAlign w:val="bottom"/>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162</w:t>
            </w:r>
          </w:p>
        </w:tc>
        <w:tc>
          <w:tcPr>
            <w:tcW w:w="420" w:type="dxa"/>
            <w:vAlign w:val="bottom"/>
            <w:gridSpan w:val="2"/>
            <w:shd w:val="clear" w:color="auto" w:fill="CFF0FC"/>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(2,661 )</w:t>
            </w:r>
          </w:p>
        </w:tc>
      </w:tr>
    </w:tbl>
    <w:p>
      <w:pPr>
        <w:spacing w:after="0" w:line="303" w:lineRule="exact"/>
        <w:rPr>
          <w:sz w:val="20"/>
          <w:szCs w:val="20"/>
          <w:color w:val="auto"/>
        </w:rPr>
      </w:pPr>
    </w:p>
    <w:p>
      <w:pPr>
        <w:ind w:right="460"/>
        <w:spacing w:after="0" w:line="279" w:lineRule="auto"/>
        <w:rPr>
          <w:sz w:val="20"/>
          <w:szCs w:val="20"/>
          <w:color w:val="auto"/>
        </w:rPr>
      </w:pPr>
      <w:r>
        <w:rPr>
          <w:rFonts w:ascii="Times New Roman" w:cs="Times New Roman" w:eastAsia="Times New Roman" w:hAnsi="Times New Roman"/>
          <w:sz w:val="18"/>
          <w:szCs w:val="18"/>
          <w:color w:val="auto"/>
        </w:rPr>
        <w:t>The $0.1 million and $0.1 million tax provision represented the interest accrued for the three and nine months ended September 30, 2024, respectively, related to the proposed assessment received from the state of California for the years 2017 and 2018.</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As of September 30, 2024, we had cash, cash equivalents and short-term investments of $117.6 million and an accumulated deficit of $710.5 million, compared to cash, cash equivalents and short-term investments of $174.5 million and an accumulated deficit of $723.4 million as of December 31, 2023. To date, we have financed our operations primarily through sales of our common stock in conjunction with the IPO, subsequent stock offerings and through our at-the-market offering, sales of our convertible preferred securities prior to our IPO, payments received under our collaboration agreements and proceeds from private placements of our common stock, warrants and pre-funded warrants. In July 2023, we completed a private placement and issued pre-funded warrants to purchase an aggregate of 14,423,077 shares of common stock, accompanying Tranche 1 warrants to purchase up to 5,769,231 shares of common stock and accompanying Tranche 2 warrants to purchase up to 5,769,231 shares of common stock, at a combined price of $2.08 per share. We received gross proceeds of approximately $30.0 million. In March 2024, we achieved a clinical candidate milestone for a second collaboration target as well as the GLP toxicology studies milestone for the first collaboration target nominated in January 2023 under the Astellas Agreement. We collected the two milestones payment totaled $10.0 million in April 2024. During the three months ended September 30, 2024, we did not sell any shares of common stock under our at-the-market offering program. As of September 30, 2024, $58.3 million remained available for sale under the Sales Agreement.</w:t>
      </w:r>
    </w:p>
    <w:p>
      <w:pPr>
        <w:spacing w:after="0" w:line="22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Based upon our current operating plan, we expect our existing capital resources will be sufficient to fund operations to the end of 2025.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if they are successful, that the terms and conditions of such financing will be favorable to us.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9" w:name="page30"/>
    <w:bookmarkEnd w:id="2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74"/>
        </w:trPr>
        <w:tc>
          <w:tcPr>
            <w:tcW w:w="5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8"/>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1"/>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69"/>
              <w:spacing w:after="0"/>
              <w:rPr>
                <w:sz w:val="20"/>
                <w:szCs w:val="20"/>
                <w:color w:val="auto"/>
              </w:rPr>
            </w:pPr>
            <w:r>
              <w:rPr>
                <w:rFonts w:ascii="Times New Roman" w:cs="Times New Roman" w:eastAsia="Times New Roman" w:hAnsi="Times New Roman"/>
                <w:sz w:val="18"/>
                <w:szCs w:val="18"/>
                <w:color w:val="auto"/>
              </w:rPr>
              <w:t>(66,323 )</w:t>
            </w:r>
          </w:p>
        </w:tc>
        <w:tc>
          <w:tcPr>
            <w:tcW w:w="340" w:type="dxa"/>
            <w:vAlign w:val="bottom"/>
            <w:shd w:val="clear" w:color="auto" w:fill="CFF0FC"/>
          </w:tcPr>
          <w:p>
            <w:pPr>
              <w:jc w:val="center"/>
              <w:ind w:right="1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(34,072 )</w:t>
            </w:r>
          </w:p>
        </w:tc>
        <w:tc>
          <w:tcPr>
            <w:tcW w:w="20" w:type="dxa"/>
            <w:vAlign w:val="bottom"/>
          </w:tcPr>
          <w:p>
            <w:pPr>
              <w:spacing w:after="0"/>
              <w:rPr>
                <w:sz w:val="20"/>
                <w:szCs w:val="20"/>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(163,540 )</w:t>
            </w:r>
          </w:p>
        </w:tc>
        <w:tc>
          <w:tcPr>
            <w:tcW w:w="20" w:type="dxa"/>
            <w:vAlign w:val="bottom"/>
          </w:tcPr>
          <w:p>
            <w:pPr>
              <w:spacing w:after="0"/>
              <w:rPr>
                <w:sz w:val="20"/>
                <w:szCs w:val="20"/>
                <w:color w:val="auto"/>
              </w:rPr>
            </w:pPr>
          </w:p>
        </w:tc>
      </w:tr>
      <w:tr>
        <w:trPr>
          <w:trHeight w:val="241"/>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29,986</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5"/>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220" w:type="dxa"/>
            <w:vAlign w:val="bottom"/>
          </w:tcPr>
          <w:p>
            <w:pPr>
              <w:spacing w:after="0"/>
              <w:rPr>
                <w:sz w:val="20"/>
                <w:szCs w:val="20"/>
                <w:color w:val="auto"/>
              </w:rPr>
            </w:pPr>
          </w:p>
        </w:tc>
        <w:tc>
          <w:tcPr>
            <w:tcW w:w="34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(167,626 )</w:t>
            </w:r>
          </w:p>
        </w:tc>
        <w:tc>
          <w:tcPr>
            <w:tcW w:w="20" w:type="dxa"/>
            <w:vAlign w:val="bottom"/>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-186690</wp:posOffset>
            </wp:positionV>
            <wp:extent cx="508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-186690</wp:posOffset>
            </wp:positionV>
            <wp:extent cx="425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cash used in operating activities was $66.3 million, which consisted of a net income of $13.0 million and non-cash charges of $5.6 million, adjusted by a net decrease of $84.9 million relating to the change of our net operating assets and liabilities. The non-cash charges primarily consisted of $5.8 million in stock-based compensation, $3.0 million in non-cash lease expense, $1.3 million in depreciation and amortization, partially offset by $4.5 million in accretion of discounts on investments.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our net operating assets and liabilities was primarily due to:</w:t>
      </w:r>
    </w:p>
    <w:p>
      <w:pPr>
        <w:spacing w:after="0" w:line="115"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$82.7 million in deferred revenue resulting from the continued recognition of deferred revenue from existing customers;</w:t>
      </w:r>
    </w:p>
    <w:p>
      <w:pPr>
        <w:spacing w:after="0" w:line="1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$4.1 million in accounts payable, accrued and other long-term liabilities primarily due to timing of payments; offset by</w:t>
      </w:r>
    </w:p>
    <w:p>
      <w:pPr>
        <w:spacing w:after="0" w:line="114" w:lineRule="exact"/>
        <w:rPr>
          <w:rFonts w:ascii="Times New Roman" w:cs="Times New Roman" w:eastAsia="Times New Roman" w:hAnsi="Times New Roman"/>
          <w:sz w:val="18"/>
          <w:szCs w:val="18"/>
          <w:color w:val="auto"/>
        </w:rPr>
      </w:pPr>
    </w:p>
    <w:p>
      <w:pPr>
        <w:ind w:left="1020" w:right="320" w:hanging="503"/>
        <w:spacing w:after="0" w:line="279"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$1.9 million in cashflows from accounts receivable, prepaid and other current assets primarily due to decrease in advance payments.</w:t>
      </w:r>
    </w:p>
    <w:p>
      <w:pPr>
        <w:spacing w:after="0" w:line="2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2023, cash used in operating activities was $34.1 million, which consisted of a net loss of $1.4 million and a net decrease of $38.0 million relating to the change of our net operating assets and liabilities, offset by non-cash charges of $5.3 million. The non-cash charges primarily consisted of $6.0 million in stock-based compensation, $2.8 million in non-cash lease expense, $1.7 million in depreciation and amortization, partially offset by $5.2 million in accretion of discounts on investments.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our net operating assets and liabilities was primarily due to:</w:t>
      </w:r>
    </w:p>
    <w:p>
      <w:pPr>
        <w:spacing w:after="0" w:line="115" w:lineRule="exact"/>
        <w:rPr>
          <w:sz w:val="20"/>
          <w:szCs w:val="20"/>
          <w:color w:val="auto"/>
        </w:rPr>
      </w:pPr>
    </w:p>
    <w:p>
      <w:pPr>
        <w:ind w:left="1020" w:right="38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of $64.7 million in deferred revenue resulting from the continued recognition of deferred revenue from existing and new customers;</w:t>
      </w:r>
    </w:p>
    <w:p>
      <w:pPr>
        <w:spacing w:after="0" w:line="54"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$9.6 million in accounts payable, accrued and other long-term liabilities primarily due to decrease of payroll-related expenses, restructuring related expenses, and laboratory contract services; offset by</w:t>
      </w:r>
    </w:p>
    <w:p>
      <w:pPr>
        <w:spacing w:after="0" w:line="54" w:lineRule="exact"/>
        <w:rPr>
          <w:rFonts w:ascii="Times New Roman" w:cs="Times New Roman" w:eastAsia="Times New Roman" w:hAnsi="Times New Roman"/>
          <w:sz w:val="18"/>
          <w:szCs w:val="18"/>
          <w:color w:val="auto"/>
        </w:rPr>
      </w:pPr>
    </w:p>
    <w:p>
      <w:pPr>
        <w:ind w:left="102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$33.6 million in cash flows from accounts receivable primarily related to the receipt of the $35.0 million upfront payment and prepaid research under the Moderna agreement entered into in December 2022.</w:t>
      </w:r>
    </w:p>
    <w:p>
      <w:pPr>
        <w:spacing w:after="0" w:line="54" w:lineRule="exact"/>
        <w:rPr>
          <w:rFonts w:ascii="Times New Roman" w:cs="Times New Roman" w:eastAsia="Times New Roman" w:hAnsi="Times New Roman"/>
          <w:sz w:val="18"/>
          <w:szCs w:val="18"/>
          <w:color w:val="auto"/>
        </w:rPr>
      </w:pPr>
    </w:p>
    <w:p>
      <w:pPr>
        <w:ind w:left="1020" w:right="120" w:hanging="504"/>
        <w:spacing w:after="0" w:line="27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$2.7 million in cashflows from prepaid and other current assets primarily due to a decrease in advance payments to our third party manufacturing vendors and timing of payments.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7"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During the nine months ended September 30, 2024, cash provided by investing activities was $84.6 million, which consisted of 190.5 million of proceeds from the maturities of short-term investments partially offset by $105.7 million used in the purchase of short-term investments and $0.2 million of capital expenditures used to purchase property and equipment.</w:t>
      </w:r>
    </w:p>
    <w:p>
      <w:pPr>
        <w:spacing w:after="0" w:line="70"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During the nine months ended September 30, 2023, cash used in investing activities was $163.5 million, which consisted of $313.0 million used in the purchase of short-term investments and $0.5 million of capital expenditures used to purchase property and equipment, partially offset by $150.0 million in proceeds received upon the maturity of marketable securities.</w:t>
      </w:r>
    </w:p>
    <w:p>
      <w:pPr>
        <w:spacing w:after="0" w:line="1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761" w:right="519" w:bottom="1440" w:gutter="0" w:footer="0" w:header="0"/>
        </w:sectPr>
      </w:pPr>
    </w:p>
    <w:bookmarkStart w:id="30" w:name="page31"/>
    <w:bookmarkEnd w:id="3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During the nine months ended September 30, 2024, cash provided by financing activities was $5.3 million, which consisted of $4.8 million of net proceeds from issuance of common stock, net of issuance costs, and $0.4 million of proceeds from the exercise of stock options and employee stock purchases under the employee stock purchase plan.</w:t>
      </w:r>
    </w:p>
    <w:p>
      <w:pPr>
        <w:spacing w:after="0" w:line="7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8"/>
          <w:szCs w:val="18"/>
          <w:color w:val="auto"/>
        </w:rPr>
        <w:t>During the nine months ended September 30, 2023, cash provided by financing activities consisted of $29.7 million of net proceeds from issuance of pre-funded warrants and warrants and $0.4 million of proceeds from the exercise of stock options and employee stock purchases under the employee stock purchase plan.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3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color w:val="auto"/>
        </w:rPr>
        <w:t>During the nine months ended September 30, 2024, there were no material changes in contractual obligations from the amounts disclosed in our Annual Report on Form 10-K for the year ended December 31, 2023.</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761" w:right="45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 smaller reporting company as defined by Rule 12b-2 of the Exchange Act and are not required to provide the information required under this item.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Principal Financial Officers, has evaluated the effectiveness of our disclosure controls and procedures as of September 30, 2024, the end of the period covered by this Quarterly Report on Form 10-Q. Based on their evaluation and subject to the foregoing, the Principal Executive and Principal Financial Officers concluded that our disclosure controls and procedures were effective at the reasonable assurance level as of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19"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our fiscal quarter ended September 30, 2024 that has materially affected, or is reasonably likely to materially affect, our internal control over financial reporting.</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5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March 4, 2020, Vytacera Bio, LLC (“Vytacera”) filed a patent infringement lawsuit against us in the U.S. District Court for the District of Delaware. The lawsuit alleged that our use, offers to sell, and/or sales of the PROBODY® technology platform for basic research applications constituted infringement. The complaint sought unspecified monetary damages. In September 2022, we filed a motion to dismiss the case. On October 17, 2024, the Court dismissed the case. Vytacera may appeal. We believe that the lawsuit is without merit and intend to vigorously defend ourselves through any appeal. Accordingly, we cannot reasonably estimate any range of potential future charges, and we have not recorded any accrual for a contingent liability associated with these legal proceedings.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providing the following summary of risk factors contained in this Quarterly Report on Form 10-Q to enhance the readability and accessibility of our risk factor disclosures in accordance with SEC rules. Please carefully review the full risk factors pertaining to this summary and to additional general risk factors contained in this Quarterly Report on Form 10-Q in their entirety for additional information regarding the material factors that make an investment in our securities speculative or risky. These risks and uncertainties include, but are not limited to, the following:</w:t>
      </w:r>
    </w:p>
    <w:p>
      <w:pPr>
        <w:spacing w:after="0" w:line="75" w:lineRule="exact"/>
        <w:rPr>
          <w:sz w:val="20"/>
          <w:szCs w:val="20"/>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have not generated any revenue from product sales.</w:t>
      </w:r>
    </w:p>
    <w:p>
      <w:pPr>
        <w:spacing w:after="0" w:line="114"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54" w:lineRule="exact"/>
        <w:rPr>
          <w:rFonts w:ascii="Times New Roman" w:cs="Times New Roman" w:eastAsia="Times New Roman" w:hAnsi="Times New Roman"/>
          <w:sz w:val="18"/>
          <w:szCs w:val="18"/>
          <w:color w:val="auto"/>
        </w:rPr>
      </w:pPr>
    </w:p>
    <w:p>
      <w:pPr>
        <w:ind w:left="1020" w:right="8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an uncertain outcome, and results of earlier studies and trials may not be predictive of future trial results.</w:t>
      </w:r>
    </w:p>
    <w:p>
      <w:pPr>
        <w:spacing w:after="0" w:line="54" w:lineRule="exact"/>
        <w:rPr>
          <w:rFonts w:ascii="Times New Roman" w:cs="Times New Roman" w:eastAsia="Times New Roman" w:hAnsi="Times New Roman"/>
          <w:sz w:val="18"/>
          <w:szCs w:val="18"/>
          <w:color w:val="auto"/>
        </w:rPr>
      </w:pPr>
    </w:p>
    <w:p>
      <w:pPr>
        <w:ind w:left="1020" w:right="12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early stages of development and may fail or suffer delays that materially and adversely affect their commercial viability.</w:t>
      </w:r>
    </w:p>
    <w:p>
      <w:pPr>
        <w:spacing w:after="0" w:line="54" w:lineRule="exact"/>
        <w:rPr>
          <w:rFonts w:ascii="Times New Roman" w:cs="Times New Roman" w:eastAsia="Times New Roman" w:hAnsi="Times New Roman"/>
          <w:sz w:val="18"/>
          <w:szCs w:val="18"/>
          <w:color w:val="auto"/>
        </w:rPr>
      </w:pPr>
    </w:p>
    <w:p>
      <w:pPr>
        <w:ind w:left="1020" w:right="80" w:hanging="504"/>
        <w:spacing w:after="0" w:line="26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including the ongoing Phase 1 clinical trial of CX-904, that we announce or publish from time to time may change as more patient data become available and are subject to audit and verification procedures that could result in material changes in the final data.</w:t>
      </w:r>
    </w:p>
    <w:p>
      <w:pPr>
        <w:spacing w:after="0" w:line="70" w:lineRule="exact"/>
        <w:rPr>
          <w:rFonts w:ascii="Times New Roman" w:cs="Times New Roman" w:eastAsia="Times New Roman" w:hAnsi="Times New Roman"/>
          <w:sz w:val="18"/>
          <w:szCs w:val="18"/>
          <w:color w:val="auto"/>
        </w:rPr>
      </w:pPr>
    </w:p>
    <w:p>
      <w:pPr>
        <w:ind w:left="1020" w:right="20" w:hanging="504"/>
        <w:spacing w:after="0" w:line="26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0" w:lineRule="exact"/>
        <w:rPr>
          <w:rFonts w:ascii="Times New Roman" w:cs="Times New Roman" w:eastAsia="Times New Roman" w:hAnsi="Times New Roman"/>
          <w:sz w:val="18"/>
          <w:szCs w:val="18"/>
          <w:color w:val="auto"/>
        </w:rPr>
      </w:pPr>
    </w:p>
    <w:p>
      <w:pPr>
        <w:ind w:left="1020" w:right="32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4" w:lineRule="exact"/>
        <w:rPr>
          <w:rFonts w:ascii="Times New Roman" w:cs="Times New Roman" w:eastAsia="Times New Roman" w:hAnsi="Times New Roman"/>
          <w:sz w:val="18"/>
          <w:szCs w:val="18"/>
          <w:color w:val="auto"/>
        </w:rPr>
      </w:pPr>
    </w:p>
    <w:p>
      <w:pPr>
        <w:ind w:left="1020" w:right="40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conduct clinical trials and contract with third-party manufacturers in foreign countries, including China, which could expose us to risks that could have a material adverse effect on the success of our business.</w:t>
      </w:r>
    </w:p>
    <w:p>
      <w:pPr>
        <w:spacing w:after="0" w:line="54" w:lineRule="exact"/>
        <w:rPr>
          <w:rFonts w:ascii="Times New Roman" w:cs="Times New Roman" w:eastAsia="Times New Roman" w:hAnsi="Times New Roman"/>
          <w:sz w:val="18"/>
          <w:szCs w:val="18"/>
          <w:color w:val="auto"/>
        </w:rPr>
      </w:pPr>
    </w:p>
    <w:p>
      <w:pPr>
        <w:ind w:left="1020" w:right="140" w:hanging="504"/>
        <w:spacing w:after="0" w:line="26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0" w:lineRule="exact"/>
        <w:rPr>
          <w:rFonts w:ascii="Times New Roman" w:cs="Times New Roman" w:eastAsia="Times New Roman" w:hAnsi="Times New Roman"/>
          <w:sz w:val="18"/>
          <w:szCs w:val="18"/>
          <w:color w:val="auto"/>
        </w:rPr>
      </w:pPr>
    </w:p>
    <w:p>
      <w:pPr>
        <w:ind w:left="1020" w:right="28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54" w:lineRule="exact"/>
        <w:rPr>
          <w:rFonts w:ascii="Times New Roman" w:cs="Times New Roman" w:eastAsia="Times New Roman" w:hAnsi="Times New Roman"/>
          <w:sz w:val="18"/>
          <w:szCs w:val="18"/>
          <w:color w:val="auto"/>
        </w:rPr>
      </w:pPr>
    </w:p>
    <w:p>
      <w:pPr>
        <w:ind w:left="1020" w:right="280" w:hanging="504"/>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5" w:lineRule="exact"/>
        <w:rPr>
          <w:rFonts w:ascii="Times New Roman" w:cs="Times New Roman" w:eastAsia="Times New Roman" w:hAnsi="Times New Roman"/>
          <w:sz w:val="18"/>
          <w:szCs w:val="18"/>
          <w:color w:val="auto"/>
        </w:rPr>
      </w:pPr>
    </w:p>
    <w:p>
      <w:pPr>
        <w:ind w:left="1020" w:right="200" w:hanging="504"/>
        <w:spacing w:after="0" w:line="27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our therapeutic treatments is based on novel technologies that are unproven and may not result in marketable products.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right="560" w:hanging="504"/>
        <w:spacing w:after="0" w:line="279"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be receptive to our product candidates based on a novel therapeutic modality, and we may not generate any future revenue from the sale or licensing of product candidates.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63"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70" w:lineRule="exact"/>
        <w:rPr>
          <w:rFonts w:ascii="Times New Roman" w:cs="Times New Roman" w:eastAsia="Times New Roman" w:hAnsi="Times New Roman"/>
          <w:sz w:val="18"/>
          <w:szCs w:val="18"/>
          <w:color w:val="auto"/>
        </w:rPr>
      </w:pPr>
    </w:p>
    <w:p>
      <w:pPr>
        <w:ind w:left="1020" w:right="620" w:hanging="504"/>
        <w:spacing w:after="0" w:line="263"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70" w:lineRule="exact"/>
        <w:rPr>
          <w:rFonts w:ascii="Times New Roman" w:cs="Times New Roman" w:eastAsia="Times New Roman" w:hAnsi="Times New Roman"/>
          <w:sz w:val="18"/>
          <w:szCs w:val="18"/>
          <w:color w:val="auto"/>
        </w:rPr>
      </w:pPr>
    </w:p>
    <w:p>
      <w:pPr>
        <w:ind w:left="1020" w:right="1300" w:hanging="504"/>
        <w:spacing w:after="0" w:line="309"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32" w:lineRule="exact"/>
        <w:rPr>
          <w:rFonts w:ascii="Times New Roman" w:cs="Times New Roman" w:eastAsia="Times New Roman" w:hAnsi="Times New Roman"/>
          <w:sz w:val="17"/>
          <w:szCs w:val="17"/>
          <w:color w:val="auto"/>
        </w:rPr>
      </w:pPr>
    </w:p>
    <w:p>
      <w:pPr>
        <w:ind w:left="1020" w:hanging="504"/>
        <w:spacing w:after="0" w:line="263"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70"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4" w:lineRule="exact"/>
        <w:rPr>
          <w:rFonts w:ascii="Times New Roman" w:cs="Times New Roman" w:eastAsia="Times New Roman" w:hAnsi="Times New Roman"/>
          <w:sz w:val="18"/>
          <w:szCs w:val="18"/>
          <w:color w:val="auto"/>
        </w:rPr>
      </w:pPr>
    </w:p>
    <w:p>
      <w:pPr>
        <w:ind w:left="1020" w:right="120" w:hanging="504"/>
        <w:spacing w:after="0" w:line="263"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70" w:lineRule="exact"/>
        <w:rPr>
          <w:rFonts w:ascii="Times New Roman" w:cs="Times New Roman" w:eastAsia="Times New Roman" w:hAnsi="Times New Roman"/>
          <w:sz w:val="18"/>
          <w:szCs w:val="18"/>
          <w:color w:val="auto"/>
        </w:rPr>
      </w:pPr>
    </w:p>
    <w:p>
      <w:pPr>
        <w:ind w:left="1020" w:right="300" w:hanging="504"/>
        <w:spacing w:after="0" w:line="309"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32"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and purchasers of our common stock could incur substantial losses.</w:t>
      </w:r>
    </w:p>
    <w:p>
      <w:pPr>
        <w:spacing w:after="0" w:line="114" w:lineRule="exact"/>
        <w:rPr>
          <w:rFonts w:ascii="Times New Roman" w:cs="Times New Roman" w:eastAsia="Times New Roman" w:hAnsi="Times New Roman"/>
          <w:sz w:val="18"/>
          <w:szCs w:val="18"/>
          <w:color w:val="auto"/>
        </w:rPr>
      </w:pPr>
    </w:p>
    <w:p>
      <w:pPr>
        <w:ind w:left="1020" w:right="160" w:hanging="504"/>
        <w:spacing w:after="0" w:line="279"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could adversely impact our business, including our research, development, including clinical trials, manufacturing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3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developing a novel class of therapeutic antibody product candidates, based on our proprietary biologic PROBODY® conditionally activated technology platform. Since our inception, we have devoted our resources to the development of PROBODY therapeutics. We have had significant operating losses since our inception. As of September 30, 2024 and December 31, 2023, we had an accumulated deficit of $710.5 million and $723.4 million, respectively. Substantially all of our losses have resulted from expenses incurred in connection with our research and development programs and from general and administrative costs associated with our operations.</w:t>
      </w:r>
    </w:p>
    <w:p>
      <w:pPr>
        <w:spacing w:after="0" w:line="2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2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8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However, financial market conditions, including the public equity markets, and government regulation, including the Inflation Reduction Act of 2022, signed into law by President Biden in August 2022, have made it difficult for biotechnology companies to raise additional funds and may continue to do so. We cannot predict when or if market conditions will change.</w:t>
      </w:r>
    </w:p>
    <w:p>
      <w:pPr>
        <w:spacing w:after="0" w:line="21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of September 30, 2024, we had cash, cash equivalents and investments of $117.6 million. We believe that our existing capital resources will be sufficient to fund our planned operations to the end of 2025.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5"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clinical trials as well as any other preclinical and clinical development activities;</w:t>
      </w:r>
    </w:p>
    <w:p>
      <w:pPr>
        <w:spacing w:after="0" w:line="114" w:lineRule="exact"/>
        <w:rPr>
          <w:rFonts w:ascii="Times New Roman" w:cs="Times New Roman" w:eastAsia="Times New Roman" w:hAnsi="Times New Roman"/>
          <w:sz w:val="18"/>
          <w:szCs w:val="18"/>
          <w:color w:val="auto"/>
        </w:rPr>
      </w:pPr>
    </w:p>
    <w:p>
      <w:pPr>
        <w:ind w:left="1020" w:right="220" w:hanging="504"/>
        <w:spacing w:after="0" w:line="279"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type of clinical trials and preclinical studies that we may be required to complete for our product candidates, as well as the cost and time of such studies and trials;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prioritization of preclinical and clinical programs we decide to pursue;</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produce clinical supplies of our product candidates;</w:t>
      </w:r>
    </w:p>
    <w:p>
      <w:pPr>
        <w:spacing w:after="0" w:line="114" w:lineRule="exact"/>
        <w:rPr>
          <w:rFonts w:ascii="Times New Roman" w:cs="Times New Roman" w:eastAsia="Times New Roman" w:hAnsi="Times New Roman"/>
          <w:sz w:val="18"/>
          <w:szCs w:val="18"/>
          <w:color w:val="auto"/>
        </w:rPr>
      </w:pPr>
    </w:p>
    <w:p>
      <w:pPr>
        <w:ind w:left="1020" w:right="280" w:hanging="504"/>
        <w:spacing w:after="0" w:line="279"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scale our manufacturing capabilities prior to or following regulatory approval and commercial launch of any product candidates;</w:t>
      </w:r>
    </w:p>
    <w:p>
      <w:pPr>
        <w:spacing w:after="0" w:line="54" w:lineRule="exact"/>
        <w:rPr>
          <w:rFonts w:ascii="Times New Roman" w:cs="Times New Roman" w:eastAsia="Times New Roman" w:hAnsi="Times New Roman"/>
          <w:sz w:val="18"/>
          <w:szCs w:val="18"/>
          <w:color w:val="auto"/>
        </w:rPr>
      </w:pPr>
    </w:p>
    <w:p>
      <w:pPr>
        <w:ind w:left="1020" w:right="160" w:hanging="504"/>
        <w:spacing w:after="0" w:line="279"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have entered or may in the future enter into collaborations and research and development agreements;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payments we may receive or are obligated to pay under our collaboration agreements and license agreements;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research and development programs and to establish new collaboration arrangements;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right="500" w:hanging="504"/>
        <w:spacing w:after="0" w:line="279"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 including the ongoing patent infringement lawsuit brought by Vytacera against us;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existing or future litigation to which we are or may become a party;</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4" w:lineRule="exact"/>
        <w:rPr>
          <w:rFonts w:ascii="Times New Roman" w:cs="Times New Roman" w:eastAsia="Times New Roman" w:hAnsi="Times New Roman"/>
          <w:sz w:val="18"/>
          <w:szCs w:val="18"/>
          <w:color w:val="auto"/>
        </w:rPr>
      </w:pPr>
    </w:p>
    <w:p>
      <w:pPr>
        <w:ind w:left="1020" w:right="140" w:hanging="504"/>
        <w:spacing w:after="0" w:line="279"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For example, in November 2023, we announced that we would not direct significant further investment in the development of CX-2029 in the near-term.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w:t>
      </w:r>
    </w:p>
    <w:p>
      <w:pPr>
        <w:spacing w:after="0" w:line="18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sales of our common stock, sale of our convertible preferred securities prior to our IPO, payments received under our collaboration agreements, including the collaboration and license agreements that we entered into with each of Regeneron and Moderna in November and December 2022, respectively, and funding we received in a private placement of our common stock, warrants and pre-funded warrants in July 2023.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For example, when we issue shares of common stock upon exercise of the pre-funded warrants, Tranche 1 warrants and Tranche 2 warrants (collectively, the Tranche 1 warrants and Tranche 2 warrants, the “Tranche Warrants”) issued in our July 2023 private placement, our existing stockholders will suffer dilution and such dilutive impact may be difficult to compute.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our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217"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64" w:lineRule="exact"/>
        <w:rPr>
          <w:sz w:val="20"/>
          <w:szCs w:val="20"/>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validating any companion diagnostic to be used in a clinical trial;</w:t>
      </w:r>
    </w:p>
    <w:p>
      <w:pPr>
        <w:spacing w:after="0" w:line="114"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requiring us to submit additional data or imposing other requirements before permitting us to initiate a clinical trial;</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authority clearance to commence a clinical trial;</w:t>
      </w:r>
    </w:p>
    <w:p>
      <w:pPr>
        <w:spacing w:after="0" w:line="114" w:lineRule="exact"/>
        <w:rPr>
          <w:rFonts w:ascii="Times New Roman" w:cs="Times New Roman" w:eastAsia="Times New Roman" w:hAnsi="Times New Roman"/>
          <w:sz w:val="18"/>
          <w:szCs w:val="18"/>
          <w:color w:val="auto"/>
        </w:rPr>
      </w:pPr>
    </w:p>
    <w:p>
      <w:pPr>
        <w:ind w:left="1020" w:right="100" w:hanging="504"/>
        <w:spacing w:after="0" w:line="279"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approval at each clinical trial site;</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candidates in sufficient quality and quantity for use in clinical trials; or</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electing to not pursue development and commercialization of our product candidates.</w:t>
      </w:r>
    </w:p>
    <w:p>
      <w:pPr>
        <w:spacing w:after="0" w:line="2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very early in our development efforts, including with CX-904, CX-2051 and CX-801 currently continuing in early-stage clinical development.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purity and potency (or efficacy) of our product candidates in patients.</w:t>
      </w:r>
    </w:p>
    <w:p>
      <w:pPr>
        <w:spacing w:after="0" w:line="210" w:lineRule="exact"/>
        <w:rPr>
          <w:sz w:val="20"/>
          <w:szCs w:val="20"/>
          <w:color w:val="auto"/>
        </w:rPr>
      </w:pPr>
    </w:p>
    <w:p>
      <w:pPr>
        <w:ind w:right="600"/>
        <w:spacing w:after="0" w:line="309" w:lineRule="auto"/>
        <w:rPr>
          <w:sz w:val="20"/>
          <w:szCs w:val="20"/>
          <w:color w:val="auto"/>
        </w:rPr>
      </w:pPr>
      <w:r>
        <w:rPr>
          <w:rFonts w:ascii="Times New Roman" w:cs="Times New Roman" w:eastAsia="Times New Roman" w:hAnsi="Times New Roman"/>
          <w:sz w:val="17"/>
          <w:szCs w:val="17"/>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33" w:lineRule="exact"/>
        <w:rPr>
          <w:sz w:val="20"/>
          <w:szCs w:val="20"/>
          <w:color w:val="auto"/>
        </w:rPr>
      </w:pPr>
    </w:p>
    <w:p>
      <w:pPr>
        <w:ind w:left="1020" w:right="20" w:hanging="504"/>
        <w:spacing w:after="0" w:line="309"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32" w:lineRule="exact"/>
        <w:rPr>
          <w:rFonts w:ascii="Times New Roman" w:cs="Times New Roman" w:eastAsia="Times New Roman" w:hAnsi="Times New Roman"/>
          <w:sz w:val="17"/>
          <w:szCs w:val="17"/>
          <w:color w:val="auto"/>
        </w:rPr>
      </w:pPr>
    </w:p>
    <w:p>
      <w:pPr>
        <w:ind w:left="1020" w:right="400" w:hanging="504"/>
        <w:spacing w:after="0" w:line="279"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54" w:lineRule="exact"/>
        <w:rPr>
          <w:rFonts w:ascii="Times New Roman" w:cs="Times New Roman" w:eastAsia="Times New Roman" w:hAnsi="Times New Roman"/>
          <w:sz w:val="18"/>
          <w:szCs w:val="18"/>
          <w:color w:val="auto"/>
        </w:rPr>
      </w:pPr>
    </w:p>
    <w:p>
      <w:pPr>
        <w:ind w:left="1020" w:right="320" w:hanging="504"/>
        <w:spacing w:after="0" w:line="279"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or allowances from regulators to commence a clinical trial, or a suspension or termination of a clinical trial once commenced;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our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4" w:lineRule="exact"/>
        <w:rPr>
          <w:rFonts w:ascii="Times New Roman" w:cs="Times New Roman" w:eastAsia="Times New Roman" w:hAnsi="Times New Roman"/>
          <w:sz w:val="18"/>
          <w:szCs w:val="18"/>
          <w:color w:val="auto"/>
        </w:rPr>
      </w:pPr>
    </w:p>
    <w:p>
      <w:pPr>
        <w:ind w:left="1020" w:right="820" w:hanging="504"/>
        <w:spacing w:after="0" w:line="279"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or our collaborators’ clinical trials;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the development or approval of companion diagnostic tests for our product candidates;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manufacturing of our product candidates;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4" w:lineRule="exact"/>
        <w:rPr>
          <w:rFonts w:ascii="Times New Roman" w:cs="Times New Roman" w:eastAsia="Times New Roman" w:hAnsi="Times New Roman"/>
          <w:sz w:val="18"/>
          <w:szCs w:val="18"/>
          <w:color w:val="auto"/>
        </w:rPr>
      </w:pPr>
    </w:p>
    <w:p>
      <w:pPr>
        <w:ind w:left="1020" w:right="20" w:hanging="504"/>
        <w:spacing w:after="0" w:line="279"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4" w:lineRule="exact"/>
        <w:rPr>
          <w:rFonts w:ascii="Times New Roman" w:cs="Times New Roman" w:eastAsia="Times New Roman" w:hAnsi="Times New Roman"/>
          <w:sz w:val="18"/>
          <w:szCs w:val="18"/>
          <w:color w:val="auto"/>
        </w:rPr>
      </w:pPr>
    </w:p>
    <w:p>
      <w:pPr>
        <w:ind w:left="1020" w:right="440" w:hanging="504"/>
        <w:spacing w:after="0" w:line="279"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4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could find that the therapeutics we or our collaborators pursue are not safe, pure, potent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21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For example, in March 2023, AbbVie announced that it would not advance CX-2029 into additional clinical trials and terminated our 2016 CD71 License and Collaboration Agreement for CX-2029. In November 2023, we announced that we would not direct significant further investment in the development of CX-2029 in the near-term.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8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including the ongoing Phase 1 clinical trial of CX-904, that we announce or publish from time to time may change as more patient data become available and are subject to audit and verification procedures that could result in material changes in the final data.</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May 2024, we disclosed initial data from our ongoing Phase 1a dose escalation clinical trial of CX-904. The clinical trial continues to enroll patients and we cannot provide any assurance that future data in this Phase 1 clinical trial or any subsequent clinical trials of CX-904 will confirm the early results generated in this ongoing clinical trial.</w:t>
      </w:r>
    </w:p>
    <w:p>
      <w:pPr>
        <w:spacing w:after="0" w:line="21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w:t>
      </w:r>
    </w:p>
    <w:p>
      <w:pPr>
        <w:spacing w:after="0" w:line="20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CX-904, CX-2051 and CX-801. In May 2024, we disclosed initial data from our ongoing Phase 1a dose escalation clinical trial for CX-904. There can be no assurance that unexpected adverse events will not occur in our ongoing trials, including the ongoing Phase 1 clinical trial of CX-904,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21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7"/>
          <w:szCs w:val="17"/>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2022 we initiated a first-in-human Phase 1 clinical trial with CX-904 and, while we believe our preclinical studies indicate the potential to reach a favorable therapeutic index, clinical data will be necessary to specify an acceptable dose. We cannot provide assurance that we will reach an acceptable dose for CX-904, CX-2051 or CX-801. Furthermore, any ongoing or future clinical trials of our product candidates, including those for CX-904, CX-2051 and CX-801, could face risks related to undesirable side effects, including unacceptable toxicity.</w:t>
      </w:r>
    </w:p>
    <w:p>
      <w:pPr>
        <w:spacing w:after="0" w:line="19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21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0" w:lineRule="exact"/>
        <w:rPr>
          <w:sz w:val="20"/>
          <w:szCs w:val="20"/>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recall the product or change the way the product is administered to patients;</w:t>
      </w:r>
    </w:p>
    <w:p>
      <w:pPr>
        <w:spacing w:after="0" w:line="114" w:lineRule="exact"/>
        <w:rPr>
          <w:rFonts w:ascii="Times New Roman" w:cs="Times New Roman" w:eastAsia="Times New Roman" w:hAnsi="Times New Roman"/>
          <w:sz w:val="18"/>
          <w:szCs w:val="18"/>
          <w:color w:val="auto"/>
        </w:rPr>
      </w:pPr>
    </w:p>
    <w:p>
      <w:pPr>
        <w:ind w:left="1020" w:right="540" w:hanging="504"/>
        <w:spacing w:after="0" w:line="279"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4" w:lineRule="exact"/>
        <w:rPr>
          <w:rFonts w:ascii="Times New Roman" w:cs="Times New Roman" w:eastAsia="Times New Roman" w:hAnsi="Times New Roman"/>
          <w:sz w:val="18"/>
          <w:szCs w:val="18"/>
          <w:color w:val="auto"/>
        </w:rPr>
      </w:pPr>
    </w:p>
    <w:p>
      <w:pPr>
        <w:ind w:left="1020" w:right="600" w:hanging="504"/>
        <w:spacing w:after="0" w:line="279"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to conduct post-marketing studies;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4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40"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73" w:lineRule="exact"/>
        <w:rPr>
          <w:sz w:val="20"/>
          <w:szCs w:val="20"/>
          <w:color w:val="auto"/>
        </w:rPr>
      </w:pPr>
    </w:p>
    <w:p>
      <w:pPr>
        <w:jc w:val="both"/>
        <w:ind w:right="2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70" w:lineRule="exact"/>
        <w:rPr>
          <w:sz w:val="20"/>
          <w:szCs w:val="20"/>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target patient population;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therapies for the disease or condition under investigation;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a trial;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4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CX-904, CX-2051 and CX-801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trials of CX-904, CX-2051 and CX-801 are also competing with thousands of other anti-cancer clinical trials. Any clinical trials of our product candidates initiated by our collaborators will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183"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conduct clinical trials and contract with third-party manufacturers in foreign countries, including China, which could expose us to risks that could have a material adverse effect on the success of our business.</w:t>
      </w:r>
    </w:p>
    <w:p>
      <w:pPr>
        <w:spacing w:after="0" w:line="15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have enrolled or are planning to enroll patients in our clinical trials outside the United States, including in Europe and South Korea.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(“GCPs”)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trial was not subject to an</w:t>
      </w:r>
    </w:p>
    <w:p>
      <w:pPr>
        <w:sectPr>
          <w:pgSz w:w="11900" w:h="16838" w:orient="portrait"/>
          <w:cols w:equalWidth="0" w:num="1">
            <w:col w:w="11240"/>
          </w:cols>
          <w:pgMar w:left="320" w:top="76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IND, the FDA will not accept the data as support for an application for marketing approval unless the study was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we currently contract manufacturing operations to third parties, and certain of our product candidates are manufactured by and will in the future be manufactured by third parties outside the U.S., including in China. For example, we have a contract with a third-party manufacturer located in China for product candidates, including CX-2051 and CX-801, and accordingly we are exposed to the possibility of drug product supply disruption, delay and increased costs in the event of changes in the policies of the U.S. or Chinese governments, political unrest or unstable economic conditions in China.</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in January 2024, the U.S. House of Representatives introduced the BIOSECURE Act (H.R. 7085) and the Senate advance a substantially similar bill (S.3558), which legislation, if passed and enacted into law, would have the potential to restrict the ability of U.S. biopharmaceutical companies like us to purchase services or products from, or otherwise collaborate with, certain Chinese biotechnology companies “of concern”, including a third-party manufacturer we use for certain product candidates, without losing the ability to contract with, or otherwise receive funding from, the U.S. government.</w:t>
      </w:r>
    </w:p>
    <w:p>
      <w:pPr>
        <w:spacing w:after="0" w:line="1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Conducting clinical trials and contracting with third-party manufacturers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r>
        <w:rPr>
          <w:rFonts w:ascii="Times New Roman" w:cs="Times New Roman" w:eastAsia="Times New Roman" w:hAnsi="Times New Roman"/>
          <w:sz w:val="18"/>
          <w:szCs w:val="18"/>
          <w:b w:val="1"/>
          <w:bCs w:val="1"/>
          <w:i w:val="1"/>
          <w:iCs w:val="1"/>
          <w:color w:val="auto"/>
        </w:rPr>
        <w:t>.</w:t>
      </w:r>
    </w:p>
    <w:p>
      <w:pPr>
        <w:spacing w:after="0" w:line="18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17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We rely on third-party contract manufacturers to manufacture our clinical trial and preclinical study product supplies, some of which are located in foreign countries. Most of our clinical trial manufacturing contractors and suppliers are our sole source for their respective manufacturing and supplies. Failure of any of these contractors could put our ability to have clinical trial material available when needed at risk. Any such failure to have clinical trial material available when needed could result in a substantial delay of our clinical trials. For each of CX-904, CX-2051 and CX-801 our manufacturing supply chain includes several contract manufacturers, and failure by any of these manufacturers could result in interruptions of our clinical studies. For example, beginning in October 2023, one of our contract manufacturers of CX-2051 experienced production failures. Although we are taking steps to manage our long-term supply of CX-2051, there can be no assurance that we will not have future production failures, which could affect our ability to conduct our trials for CX-2051 or any other clinical trial drug candidates, including CX-801 and CX-904,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w:t>
      </w:r>
      <w:r>
        <w:rPr>
          <w:rFonts w:ascii="Times New Roman" w:cs="Times New Roman" w:eastAsia="Times New Roman" w:hAnsi="Times New Roman"/>
          <w:sz w:val="18"/>
          <w:szCs w:val="18"/>
          <w:b w:val="1"/>
          <w:bCs w:val="1"/>
          <w:i w:val="1"/>
          <w:iCs w:val="1"/>
          <w:color w:val="auto"/>
        </w:rPr>
        <w:t>.</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CX-2051 manufacturing production failures our contract manufacturer experienced in 2023, or if our supply of components or other materials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r>
        <w:rPr>
          <w:rFonts w:ascii="Times New Roman" w:cs="Times New Roman" w:eastAsia="Times New Roman" w:hAnsi="Times New Roman"/>
          <w:sz w:val="17"/>
          <w:szCs w:val="17"/>
          <w:b w:val="1"/>
          <w:bCs w:val="1"/>
          <w:i w:val="1"/>
          <w:iCs w:val="1"/>
          <w:color w:val="auto"/>
        </w:rPr>
        <w:t>.</w:t>
      </w:r>
    </w:p>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1" w:lineRule="exact"/>
        <w:rPr>
          <w:sz w:val="20"/>
          <w:szCs w:val="20"/>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22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7"/>
          <w:szCs w:val="17"/>
          <w:color w:val="auto"/>
        </w:rPr>
        <w:t>The supply chain for the manufacturing of our product candidates is complicated and can involve many parties. This is especially the case for our clinical-stage conditionally activated ADCs.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155"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5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It may prove more challenging than we anticipate to manufacture products that incorporate our PROBODY therapeutic technology. In order to conduct clinical trials of our product candidates, including our clinical trials for CX-904, CX-2051 and CX-801 we will need to manufacture them in large quantities. There can be no assurance that we will not have future production failures, which could affect our ability to conduct our trials for CX-904, CX-2051 or CX-801 or any other clinical trial drug candidates on our planned timeline or at all. Furthermore, in order to conduct later 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increase the life of drug stability of product candidates, or successfully complete the FDA’s bridging requirements,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94"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5"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8"/>
          <w:szCs w:val="18"/>
          <w:color w:val="auto"/>
        </w:rPr>
        <w:t>We plan to continue to develop a pipeline of product candidates using our proprietary PROBODY platform. We believe that product candidates (including cancer immunotherapies, conditionally activated ADCs and bispecific antibodies) identified with our product discovery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CX-904, CX-2051and CX-801.</w:t>
      </w:r>
    </w:p>
    <w:p>
      <w:pPr>
        <w:spacing w:after="0" w:line="18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For example, we reported in February 2019 that in our pacmilimab trial at the 10 mg/kg dose, the ADA rate was approximately 62%. We do not believe the ADA rate impacted our ability to reach targeted drug exposures. However, we cannot provide assurance that it will not later limit drug exposure or cause severe adverse events for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214"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In addition, the scientific evidence to support the feasibility of developing product candidates against novel, difficult to drug targets, is both preliminary and limited. For example, our understanding of the expression of our drug targets in both healthy and diseased tissues is still developing. As a result, we cannot provide any assurance that we will be able to successfully identify and advance any product candidates to target novel, difficult-to-drug targets.</w:t>
      </w:r>
    </w:p>
    <w:p>
      <w:pPr>
        <w:spacing w:after="0" w:line="204"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8"/>
          <w:szCs w:val="18"/>
          <w:color w:val="auto"/>
        </w:rPr>
        <w:t>Additionally, we recently entered into a collaboration with Moderna for the development of mRNA based product candidates. We do not know whether our PROBODY platform will be able to successfully develop product candidates utilizing this mRNA technology.</w:t>
      </w:r>
    </w:p>
    <w:p>
      <w:pPr>
        <w:spacing w:after="0" w:line="18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believe that the FDA and foreign regulatory authorities have limited experience with conditionally activated therapeutics in oncology, such experience primarily coming from us with praluzatamab ravtansine, CX-2029, BMS-986249, BMS-986288, and pacmilimab, and more recently, with other competitors with early stage conditionally activated therapeutics.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approval of conditionally activated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3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for which there are existing approved therapies. Market acceptance of our product candidates will depend on, among other factors:</w:t>
      </w:r>
    </w:p>
    <w:p>
      <w:pPr>
        <w:spacing w:after="0" w:line="81"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purity, potency (or efficacy) of our product candidates, including those being developed by our collaborators;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or other regulatory authority;</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effective companion diagnostics;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government and third-party payors;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4"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 indications our product candidates are intended to treat and the relative risks, benefits and costs of those treatments.</w:t>
      </w:r>
    </w:p>
    <w:p>
      <w:pPr>
        <w:spacing w:after="0" w:line="189" w:lineRule="exact"/>
        <w:rPr>
          <w:sz w:val="20"/>
          <w:szCs w:val="20"/>
          <w:color w:val="auto"/>
        </w:rPr>
      </w:pPr>
    </w:p>
    <w:p>
      <w:pPr>
        <w:ind w:right="640"/>
        <w:spacing w:after="0" w:line="279"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5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8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2023, AbbVie terminated the collaboration agreement for CX-2029 and the ongoing discovery agreement we had entered into with them in 2016.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For example, in January 2023, Bristol Myers Squibb announced that it would deprioritize the Phase 2 clinical program for BMS-986249 and advance the BMS-986288 into a Phase 2 program, and on March 6, 2024, Bristol Myers Squibb notified us that it would not continue the BMS-986288 program.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agreement. Overall, collaborations involving our product candidates currently pose, and will continue to pose, the following risks to us:</w:t>
      </w:r>
    </w:p>
    <w:p>
      <w:pPr>
        <w:spacing w:after="0" w:line="115" w:lineRule="exact"/>
        <w:rPr>
          <w:sz w:val="20"/>
          <w:szCs w:val="20"/>
          <w:color w:val="auto"/>
        </w:rPr>
      </w:pPr>
    </w:p>
    <w:p>
      <w:pPr>
        <w:ind w:left="1020" w:right="860" w:hanging="504"/>
        <w:spacing w:after="0" w:line="279"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 including, with respect to Amgen, CX-904;</w:t>
      </w:r>
    </w:p>
    <w:p>
      <w:pPr>
        <w:spacing w:after="0" w:line="54" w:lineRule="exact"/>
        <w:rPr>
          <w:rFonts w:ascii="Times New Roman" w:cs="Times New Roman" w:eastAsia="Times New Roman" w:hAnsi="Times New Roman"/>
          <w:sz w:val="18"/>
          <w:szCs w:val="18"/>
          <w:color w:val="auto"/>
        </w:rPr>
      </w:pPr>
    </w:p>
    <w:p>
      <w:pPr>
        <w:ind w:left="1020" w:right="500" w:hanging="504"/>
        <w:spacing w:after="0" w:line="263"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70"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designing any clinical trials they operate pursuant to our collaboration agreements and may release data from such clinical trials, including with respect to our PROBODY therapeutics, without consulting us;</w:t>
      </w:r>
    </w:p>
    <w:p>
      <w:pPr>
        <w:spacing w:after="0" w:line="54" w:lineRule="exact"/>
        <w:rPr>
          <w:rFonts w:ascii="Times New Roman" w:cs="Times New Roman" w:eastAsia="Times New Roman" w:hAnsi="Times New Roman"/>
          <w:sz w:val="18"/>
          <w:szCs w:val="18"/>
          <w:color w:val="auto"/>
        </w:rPr>
      </w:pPr>
    </w:p>
    <w:p>
      <w:pPr>
        <w:ind w:left="1020" w:right="120" w:hanging="504"/>
        <w:spacing w:after="0" w:line="263"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0" w:lineRule="exact"/>
        <w:rPr>
          <w:rFonts w:ascii="Times New Roman" w:cs="Times New Roman" w:eastAsia="Times New Roman" w:hAnsi="Times New Roman"/>
          <w:sz w:val="18"/>
          <w:szCs w:val="18"/>
          <w:color w:val="auto"/>
        </w:rPr>
      </w:pPr>
    </w:p>
    <w:p>
      <w:pPr>
        <w:ind w:left="1020" w:hanging="504"/>
        <w:spacing w:after="0" w:line="263"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0" w:lineRule="exact"/>
        <w:rPr>
          <w:rFonts w:ascii="Times New Roman" w:cs="Times New Roman" w:eastAsia="Times New Roman" w:hAnsi="Times New Roman"/>
          <w:sz w:val="18"/>
          <w:szCs w:val="18"/>
          <w:color w:val="auto"/>
        </w:rPr>
      </w:pPr>
    </w:p>
    <w:p>
      <w:pPr>
        <w:ind w:left="1020" w:right="600" w:hanging="504"/>
        <w:spacing w:after="0" w:line="279"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4" w:lineRule="exact"/>
        <w:rPr>
          <w:rFonts w:ascii="Times New Roman" w:cs="Times New Roman" w:eastAsia="Times New Roman" w:hAnsi="Times New Roman"/>
          <w:sz w:val="18"/>
          <w:szCs w:val="18"/>
          <w:color w:val="auto"/>
        </w:rPr>
      </w:pPr>
    </w:p>
    <w:p>
      <w:pPr>
        <w:ind w:left="1020" w:right="160" w:hanging="504"/>
        <w:spacing w:after="0" w:line="263"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0" w:lineRule="exact"/>
        <w:rPr>
          <w:rFonts w:ascii="Times New Roman" w:cs="Times New Roman" w:eastAsia="Times New Roman" w:hAnsi="Times New Roman"/>
          <w:sz w:val="18"/>
          <w:szCs w:val="18"/>
          <w:color w:val="auto"/>
        </w:rPr>
      </w:pPr>
    </w:p>
    <w:p>
      <w:pPr>
        <w:ind w:left="1020" w:right="580" w:hanging="504"/>
        <w:spacing w:after="0" w:line="279"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w:t>
      </w:r>
    </w:p>
    <w:p>
      <w:pPr>
        <w:spacing w:after="0" w:line="54" w:lineRule="exact"/>
        <w:rPr>
          <w:rFonts w:ascii="Times New Roman" w:cs="Times New Roman" w:eastAsia="Times New Roman" w:hAnsi="Times New Roman"/>
          <w:sz w:val="18"/>
          <w:szCs w:val="18"/>
          <w:color w:val="auto"/>
        </w:rPr>
      </w:pPr>
    </w:p>
    <w:p>
      <w:pPr>
        <w:ind w:left="1020" w:right="140" w:hanging="504"/>
        <w:spacing w:after="0" w:line="309" w:lineRule="auto"/>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32" w:lineRule="exact"/>
        <w:rPr>
          <w:rFonts w:ascii="Times New Roman" w:cs="Times New Roman" w:eastAsia="Times New Roman" w:hAnsi="Times New Roman"/>
          <w:sz w:val="17"/>
          <w:szCs w:val="17"/>
          <w:color w:val="auto"/>
        </w:rPr>
      </w:pPr>
    </w:p>
    <w:p>
      <w:pPr>
        <w:ind w:left="1020" w:right="1060" w:hanging="504"/>
        <w:spacing w:after="0" w:line="279"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example, in January 2023, we announced topline results of the Phase 2 expansion cohorts of CX-2029 and in March 2023, AbbVie decided not to continue the future development of CX-2029. CytomX re-acquired full rights to CX-2029, however, in the fourth quarter of 2023, the Company decided to not to make any further significant investments in the solid tumor CX-2029 program in the near-term, but continues to have a strategic interest in the CD71 target, including next-generation approaches.</w:t>
      </w:r>
    </w:p>
    <w:p>
      <w:pPr>
        <w:spacing w:after="0" w:line="18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78"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Substantially all of our revenue to date has been derived from our existing collaboration agreements, including, most recently, the agreements that we entered into with Regeneron and Moderna in 2022,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2023, AbbVie terminated our 2016 CD71 License and Collaboration Agreement, and from time to time some of our research programs have been terminated by our partners.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is terminated, we would not be eligible to receive the milestone, royalty or other payments that would have been payable under the collaboration agreement. For example, in March 2024, Bristol Myers Squibb notified us that it would not continue the BMS-986288 program and we will not receive any milestone or other payments from them on this program.</w:t>
      </w:r>
    </w:p>
    <w:p>
      <w:pPr>
        <w:spacing w:after="0" w:line="18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65"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80"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4"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regulatory authorities and the timing thereof;</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in the manufacture of our product candidates;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supply clinical trial materials to our clinical sites on a timely basis;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49"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commercialization of any of our product candidates may be delayed or never attained, and our business and results of operations may be harmed.</w:t>
      </w:r>
    </w:p>
    <w:p>
      <w:pPr>
        <w:spacing w:after="0" w:line="158" w:lineRule="exact"/>
        <w:rPr>
          <w:sz w:val="20"/>
          <w:szCs w:val="20"/>
          <w:color w:val="auto"/>
        </w:rPr>
      </w:pPr>
    </w:p>
    <w:p>
      <w:pPr>
        <w:ind w:right="120"/>
        <w:spacing w:after="0" w:line="314" w:lineRule="auto"/>
        <w:rPr>
          <w:sz w:val="20"/>
          <w:szCs w:val="20"/>
          <w:color w:val="auto"/>
        </w:rPr>
      </w:pPr>
      <w:r>
        <w:rPr>
          <w:rFonts w:ascii="Times New Roman" w:cs="Times New Roman" w:eastAsia="Times New Roman" w:hAnsi="Times New Roman"/>
          <w:sz w:val="17"/>
          <w:szCs w:val="17"/>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4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however, we have not obtained a collaborator for that program. The competition for collaborators is intense and there can be no assurances that we will be able to secure any collaboration for praluzatamab ravtansine or any other program.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172"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developed in conjunction with clinical programs for the associated product candidate and are subject to regulation by the FDA and similar regulatory authorities outside the United States as medical devices and require separate regulatory approval prior to commercialization. Specifically,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Given our limited experience in developing companion diagnostic tests, we could seek to rely on third parties to design, manufacture, and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21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as well as applicable laws and regulations. The FDA requires preclinical studies to be conducted in accordance with good laboratory practices (“GLPs”) and clinical trials to be conducted in accordance with GCPs and other applicable regulations, including for designing, conducting, recording and reporting the results of preclinical studies and clinical trials to assure that data and reported results are credible and accurate and that the rights, integrity and confidentiality of clinical trial participants are protected. Regulatory authorities enforce GCPs through periodic inspections of trial sponsors, principal investigators and trial sites. Our reliance on third parties that we do not control will not relieve us of these responsibilities and requirements. If we or any of our CROs or trial sites fail to comply with applicable GLP, GCP or other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color w:val="auto"/>
        </w:rPr>
        <w:t>requirements, the data generated in our clinical trials may be deemed unreliable, and the FDA or comparable foreign regulatory authorities may require us to perform additional clinical trials before approving our marketing applications, if ever.</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be asked to serve as scientific advisors or consultants to us from time to time and may receive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by the FDA of any BLA we submit. Any such delay or rejection could prevent us from commercializing our product candidates.</w:t>
      </w:r>
    </w:p>
    <w:p>
      <w:pPr>
        <w:spacing w:after="0" w:line="183"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color w:val="auto"/>
        </w:rPr>
        <w:t>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73"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 candidates and indications. For example, in July 2022, we announced that we would not continue the development of pralauzatamab ravtansine without a partner. Additionally, in November 2023 we decided to not to make any further significant investments in the CX-2029 solid tumor program in the near-term.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when needed.</w:t>
      </w:r>
    </w:p>
    <w:p>
      <w:pPr>
        <w:spacing w:after="0" w:line="1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Over the last few years, we have expanded our workforce and activities to manage our expanding pipeline, including Phase 2 clinical trials. However, in July 2022, we announced we will not advance praluzatamab ravtansine into further clinical trials and will seek a partner for the program. As a result, we announced that we would reduce our workforce, primarily development and general and administrative staff, by approximately 40%. In the future we may need to grow our organization substantially to continue development and pursue the potential commercialization of our product candidates, including CX-801 and CX-2051,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including Regeneron and Moderna,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8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8"/>
          <w:szCs w:val="18"/>
          <w:color w:val="auto"/>
        </w:rPr>
        <w:t>therapeutics fields, and our competitors include larger and better funded biopharmaceutical, biotechnological and therapeutics companies. In addition, these companies compete with us in recruiting scientific and managerial talent.</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are approved, 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21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Janux Therapeutics, Roche, Takeda, Werewolf Therapeutics, and Xilio are exploring antibody masking and/or conditional activation strategies, which could compete with our PROBODY platform. We are also aware of several companies that are developing ADCs, such as AbbVie, ADC Therapeutics, Daiichi Sankyo, Gilead, Merck &amp; Co., Mersana Therapeutics, Pfizer, Roche Holding Ltd., and Takeda.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2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attract and retain qualified key management and technical personnel would impair our ability to implement our business plan.</w:t>
      </w:r>
    </w:p>
    <w:p>
      <w:pPr>
        <w:spacing w:after="0" w:line="13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increase in the San Francisco Bay Area and across the country.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3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imposed in foreign markets may adversely affect our future profitability.</w:t>
      </w:r>
    </w:p>
    <w:p>
      <w:pPr>
        <w:spacing w:after="0" w:line="13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187"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are exposed to significant product liability risks inherent in the development, testing, manufacturing and marketing of therapeutic treatments, including as a result of the clinical testing of our prior clinical candidates, our current clinical candidates, including CX-904, CX-2051 and CX-801, and any other product candidates we may have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8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18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gradually increased our laboratory research activities to normal levels, and adopted a hybrid work from home model, there can be no assurance that a future pandemic or other event will not impact our ability to conduct business.</w:t>
      </w:r>
    </w:p>
    <w:p>
      <w:pPr>
        <w:spacing w:after="0" w:line="21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U.S.</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3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carryforwards could be limited by an “ownership change” as described above, which could result in additional increased tax liability to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2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6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certain PROBODY and other pro-protein technology in the fields of therapeutics,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that we incorporate into some of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2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21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1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7"/>
          <w:szCs w:val="17"/>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52" w:name="page53"/>
    <w:bookmarkEnd w:id="5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right="260" w:hanging="504"/>
        <w:spacing w:after="0" w:line="279"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54" w:lineRule="exact"/>
        <w:rPr>
          <w:rFonts w:ascii="Times New Roman" w:cs="Times New Roman" w:eastAsia="Times New Roman" w:hAnsi="Times New Roman"/>
          <w:sz w:val="18"/>
          <w:szCs w:val="18"/>
          <w:color w:val="auto"/>
        </w:rPr>
      </w:pPr>
    </w:p>
    <w:p>
      <w:pPr>
        <w:ind w:left="1020" w:right="620" w:hanging="504"/>
        <w:spacing w:after="0" w:line="279"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make the inventions covered by each of our issued patents and pending patent applications that we own or license.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file patent applications covering certain aspects of our inventions.</w:t>
      </w:r>
    </w:p>
    <w:p>
      <w:pPr>
        <w:spacing w:after="0" w:line="114" w:lineRule="exact"/>
        <w:rPr>
          <w:rFonts w:ascii="Times New Roman" w:cs="Times New Roman" w:eastAsia="Times New Roman" w:hAnsi="Times New Roman"/>
          <w:sz w:val="18"/>
          <w:szCs w:val="18"/>
          <w:color w:val="auto"/>
        </w:rPr>
      </w:pPr>
    </w:p>
    <w:p>
      <w:pPr>
        <w:ind w:left="1020" w:right="920" w:hanging="504"/>
        <w:spacing w:after="0" w:line="279"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a court would hold that our patents are valid, enforceable and infringed.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advantages, or will not be challenged by third parties.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additional proprietary technologies that are patentable.</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14"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5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214"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7"/>
          <w:szCs w:val="17"/>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8"/>
          <w:szCs w:val="18"/>
          <w:color w:val="auto"/>
        </w:rPr>
        <w:t>generally in certain jurisdictions. Proceedings to enforce our patent rights in foreign jurisdictions could result in substantial cost and divert our efforts and attention from other aspects of our business.</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spacing w:after="0" w:line="20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2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8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filed a patent infringement lawsuit against the Company in the U.S. District Court for the District of Delaware. The lawsuit alleged that the Company’s use, offers to sell, and/or sales of the PROBODY technology platform for basic research applications constituted infringement. The complaint sought unspecified monetary damages. On October 17, 2024 the Court dismissed plaintiff’s case, however, the plaintiff may appeal. The Company believes that the lawsuit is without merit and intends to vigorously defend itself through any appeal. However, there can be no assurance that a court might not rule against us in these proceedings. If the plaintiff appeals and is successful in continuing the litigation, this litigation could divert management’s attention, as well as our resources, from our business and any claims paid out of our cash reserves would harm our financial condition and operating results.</w:t>
      </w:r>
    </w:p>
    <w:p>
      <w:pPr>
        <w:spacing w:after="0" w:line="21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6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18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8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21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3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Litigation, including the ongoing patent infringement lawsuit brought by Vytacera against us,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8"/>
          <w:szCs w:val="18"/>
          <w:color w:val="auto"/>
        </w:rPr>
        <w:t>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21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73"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4"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28"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recently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It is possible that none of the product candidates we may develop will obtain the regulatory approvals necessary for us or our existing or future collaborators to begin selling them.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15"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execution of our clinical trials;</w:t>
      </w:r>
    </w:p>
    <w:p>
      <w:pPr>
        <w:spacing w:after="0" w:line="114" w:lineRule="exact"/>
        <w:rPr>
          <w:rFonts w:ascii="Times New Roman" w:cs="Times New Roman" w:eastAsia="Times New Roman" w:hAnsi="Times New Roman"/>
          <w:sz w:val="18"/>
          <w:szCs w:val="18"/>
          <w:color w:val="auto"/>
        </w:rPr>
      </w:pPr>
    </w:p>
    <w:p>
      <w:pPr>
        <w:ind w:left="1020" w:right="100" w:hanging="504"/>
        <w:spacing w:after="0" w:line="279"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significance or persuasiveness required by the FDA or comparable foreign regulatory agencies for approval;</w:t>
      </w:r>
    </w:p>
    <w:p>
      <w:pPr>
        <w:spacing w:after="0" w:line="54" w:lineRule="exact"/>
        <w:rPr>
          <w:rFonts w:ascii="Times New Roman" w:cs="Times New Roman" w:eastAsia="Times New Roman" w:hAnsi="Times New Roman"/>
          <w:sz w:val="18"/>
          <w:szCs w:val="18"/>
          <w:color w:val="auto"/>
        </w:rPr>
      </w:pPr>
    </w:p>
    <w:p>
      <w:pPr>
        <w:ind w:left="1020" w:right="80" w:hanging="504"/>
        <w:spacing w:after="0" w:line="279"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54" w:lineRule="exact"/>
        <w:rPr>
          <w:rFonts w:ascii="Times New Roman" w:cs="Times New Roman" w:eastAsia="Times New Roman" w:hAnsi="Times New Roman"/>
          <w:sz w:val="18"/>
          <w:szCs w:val="18"/>
          <w:color w:val="auto"/>
        </w:rPr>
      </w:pPr>
    </w:p>
    <w:p>
      <w:pPr>
        <w:ind w:left="1020" w:right="200" w:hanging="504"/>
        <w:spacing w:after="0" w:line="279"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1020" w:right="300" w:hanging="504"/>
        <w:spacing w:after="0" w:line="279"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that are conducted at clinical facilities or in countries where the standard of care is potentially different from that of their own country;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ectPr>
          <w:pgSz w:w="11900" w:h="16838" w:orient="portrait"/>
          <w:cols w:equalWidth="0" w:num="1">
            <w:col w:w="11220"/>
          </w:cols>
          <w:pgMar w:left="320" w:top="761" w:right="359" w:bottom="1440"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type w:val="continuous"/>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right="180" w:hanging="504"/>
        <w:spacing w:after="0" w:line="263"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preclinical studies or clinical trials;</w:t>
      </w:r>
    </w:p>
    <w:p>
      <w:pPr>
        <w:spacing w:after="0" w:line="7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us regarding the formulation, labeling and/or the product specifications of our product candidates;</w:t>
      </w:r>
    </w:p>
    <w:p>
      <w:pPr>
        <w:spacing w:after="0" w:line="114" w:lineRule="exact"/>
        <w:rPr>
          <w:rFonts w:ascii="Times New Roman" w:cs="Times New Roman" w:eastAsia="Times New Roman" w:hAnsi="Times New Roman"/>
          <w:sz w:val="18"/>
          <w:szCs w:val="18"/>
          <w:color w:val="auto"/>
        </w:rPr>
      </w:pPr>
    </w:p>
    <w:p>
      <w:pPr>
        <w:ind w:left="1020" w:right="520" w:hanging="504"/>
        <w:spacing w:after="0" w:line="279"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those sought by us, and/or may include significant restrictions on distribution and use;</w:t>
      </w:r>
    </w:p>
    <w:p>
      <w:pPr>
        <w:spacing w:after="0" w:line="54" w:lineRule="exact"/>
        <w:rPr>
          <w:rFonts w:ascii="Times New Roman" w:cs="Times New Roman" w:eastAsia="Times New Roman" w:hAnsi="Times New Roman"/>
          <w:sz w:val="18"/>
          <w:szCs w:val="18"/>
          <w:color w:val="auto"/>
        </w:rPr>
      </w:pPr>
    </w:p>
    <w:p>
      <w:pPr>
        <w:ind w:left="1020" w:right="60" w:hanging="504"/>
        <w:spacing w:after="0" w:line="279"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the third-party manufacturers with which we contract for clinical and commercial supplies; or</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2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that occurred in late 2018 or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2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7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cGMPs and other applicable regulations and standards. 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8"/>
          <w:szCs w:val="18"/>
          <w:color w:val="auto"/>
        </w:rPr>
        <w:t>include requirements for a medication guide, physician training and communication plans or additional elements to ensure safe use, such as restricted distribution methods, patient registries and other risk minimization tools.</w:t>
      </w:r>
    </w:p>
    <w:p>
      <w:pPr>
        <w:spacing w:after="0" w:line="162"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5" w:lineRule="exact"/>
        <w:rPr>
          <w:sz w:val="20"/>
          <w:szCs w:val="20"/>
          <w:color w:val="auto"/>
        </w:rPr>
      </w:pPr>
    </w:p>
    <w:p>
      <w:pPr>
        <w:ind w:left="1020" w:right="160" w:hanging="504"/>
        <w:spacing w:after="0" w:line="279"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warning letters or holds on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our strategic partners;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2"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7"/>
          <w:szCs w:val="17"/>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 products may face competition sooner than anticipated.</w:t>
      </w:r>
    </w:p>
    <w:p>
      <w:pPr>
        <w:spacing w:after="0" w:line="1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21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Moreover, the extent to which a biosimilar, once approved, will be substituted for any one of our reference products in a way that is similar to traditional generic substitution for non-biological products is not yet clear, and will depend on a number of marketplace factors that are still developing.</w:t>
      </w:r>
    </w:p>
    <w:p>
      <w:pPr>
        <w:spacing w:after="0" w:line="1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over the last several years, the U.S. government has shut down several times and certain regulatory agencies, such as the FDA, have had to furlough FDA employees and stop critical activities.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any emergence of other pandemics may lead to inspectional or administrative delays.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and adverse effect on our business and results of operations.</w:t>
      </w:r>
    </w:p>
    <w:p>
      <w:pPr>
        <w:spacing w:after="0" w:line="13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if any, will impact our business.</w:t>
      </w:r>
    </w:p>
    <w:p>
      <w:pPr>
        <w:spacing w:after="0" w:line="2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2, 2020 through March 31, 2022,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2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Moreover, payment methodologies, including payment for companion diagnostics, may be subject to changes in healthcare legislation and regulatory initiatives. For example, in March 2018, the Centers for Medicare &amp; Medicaid Services (“CMS”) finalized a national coverage determination extending coverage under the Medicare program for certain diagnostic laboratory tests using next generation sequencing (“NGS”) that are approved by the FDA as a companion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21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reimbursement methodologies for drug products. In March 2021, the American Rescue Plan Act of 2021 was signed into law, which eliminates the statutory Medicaid drug rebate cap, currently set at 100% of a drug’s average manufacturer price, beginning January 1, 2024. In August 2022, the Inflation Reduction Act of 2022, or IRA, was signed into law by President Biden.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These laws and future laws may negatively impact the ability of biotechnology companies, including us, to raise funds from investors for or to obtain collaboration partners who assist us in the funding of research and development of future medicines.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78"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6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81" w:lineRule="exact"/>
        <w:rPr>
          <w:sz w:val="20"/>
          <w:szCs w:val="20"/>
          <w:color w:val="auto"/>
        </w:rPr>
      </w:pPr>
    </w:p>
    <w:p>
      <w:pPr>
        <w:ind w:left="1020" w:hanging="504"/>
        <w:spacing w:after="0" w:line="25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20" w:hanging="504"/>
        <w:spacing w:after="0" w:line="254"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79" w:lineRule="exact"/>
        <w:rPr>
          <w:rFonts w:ascii="Times New Roman" w:cs="Times New Roman" w:eastAsia="Times New Roman" w:hAnsi="Times New Roman"/>
          <w:sz w:val="18"/>
          <w:szCs w:val="18"/>
          <w:color w:val="auto"/>
        </w:rPr>
      </w:pPr>
    </w:p>
    <w:p>
      <w:pPr>
        <w:ind w:left="1020" w:right="60" w:hanging="504"/>
        <w:spacing w:after="0" w:line="25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360" w:hanging="504"/>
        <w:spacing w:after="0" w:line="253"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spacing w:after="0" w:line="81" w:lineRule="exact"/>
        <w:rPr>
          <w:rFonts w:ascii="Times New Roman" w:cs="Times New Roman" w:eastAsia="Times New Roman" w:hAnsi="Times New Roman"/>
          <w:sz w:val="18"/>
          <w:szCs w:val="18"/>
          <w:color w:val="auto"/>
        </w:rPr>
      </w:pPr>
    </w:p>
    <w:p>
      <w:pPr>
        <w:ind w:left="1020" w:right="80" w:hanging="504"/>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right="200"/>
        <w:spacing w:after="0" w:line="279" w:lineRule="auto"/>
        <w:rPr>
          <w:sz w:val="20"/>
          <w:szCs w:val="20"/>
          <w:color w:val="auto"/>
        </w:rPr>
      </w:pPr>
      <w:r>
        <w:rPr>
          <w:rFonts w:ascii="Times New Roman" w:cs="Times New Roman" w:eastAsia="Times New Roman" w:hAnsi="Times New Roman"/>
          <w:sz w:val="18"/>
          <w:szCs w:val="18"/>
          <w:color w:val="auto"/>
        </w:rPr>
        <w:t>and therapeutic biologics manufacturers to report information related to payments to physicians and other healthcare providers or marketing expenditures and pricing information.</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21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0"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our products;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our products;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our products;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product approvals;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seizures or administrative detention of products;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and fines.</w:t>
      </w:r>
    </w:p>
    <w:p>
      <w:pPr>
        <w:spacing w:after="0" w:line="218"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21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w:t>
      </w:r>
    </w:p>
    <w:p>
      <w:pPr>
        <w:sectPr>
          <w:pgSz w:w="11900" w:h="16838" w:orient="portrait"/>
          <w:cols w:equalWidth="0" w:num="1">
            <w:col w:w="11240"/>
          </w:cols>
          <w:pgMar w:left="320" w:top="76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including the expanded right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and significantly amends the CCPA.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1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Our operations abroad may also be subject to increased scrutiny or attention from data protection authorities. For example, the General Data Protection Regulation ("GDPR") went into effect in May 2018, and imposes stringent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4% total worldwide annual turnover or €20 million, whichever is higher.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w:t>
      </w:r>
    </w:p>
    <w:p>
      <w:pPr>
        <w:spacing w:after="0" w:line="3" w:lineRule="exact"/>
        <w:rPr>
          <w:sz w:val="20"/>
          <w:szCs w:val="20"/>
          <w:color w:val="auto"/>
        </w:rPr>
      </w:pPr>
    </w:p>
    <w:p>
      <w:pPr>
        <w:ind w:right="140" w:firstLine="7"/>
        <w:spacing w:after="0" w:line="249" w:lineRule="auto"/>
        <w:tabs>
          <w:tab w:leader="none" w:pos="1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22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 from January 1, 2021, we have had to comply with the GDPR and also the UK GDPR, which, together with the amended UK Data Protection Act 2018, retains the GDPR in UK national law. The UK GDPR mirrors the fines under the GDPR, i.e., fines up to the greater of €20 million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 reputation, and we may be forced to change the way we operate. This could result in additional cost and liability to us, which could negatively affect our business, results of operation, and financial condition.</w:t>
      </w:r>
    </w:p>
    <w:p>
      <w:pPr>
        <w:spacing w:after="0" w:line="183"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jc w:val="both"/>
        <w:ind w:right="280"/>
        <w:spacing w:after="0" w:line="309" w:lineRule="auto"/>
        <w:rPr>
          <w:sz w:val="20"/>
          <w:szCs w:val="20"/>
          <w:color w:val="auto"/>
        </w:rPr>
      </w:pPr>
      <w:r>
        <w:rPr>
          <w:rFonts w:ascii="Times New Roman" w:cs="Times New Roman" w:eastAsia="Times New Roman" w:hAnsi="Times New Roman"/>
          <w:sz w:val="17"/>
          <w:szCs w:val="17"/>
          <w:color w:val="auto"/>
        </w:rPr>
        <w:t>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6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w:t>
      </w:r>
    </w:p>
    <w:p>
      <w:pPr>
        <w:spacing w:after="0" w:line="8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21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may in the future seek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8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The accelerated approval pathway may be used in cases in which the advantage of a product candidate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predicted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FDA new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spacing w:after="0" w:line="17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81"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disease or condition or seven years, except in limited circumstances, such as a showing of clinical superiority to the product with orphan drug exclusivity or where the manufacturer is unable to assure sufficient product quantity.</w:t>
      </w:r>
    </w:p>
    <w:p>
      <w:pPr>
        <w:spacing w:after="0" w:line="21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an disease or condition broader than the orphan-designated disease or condition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biologics can be approved for the same disease or condition. Even after an orphan product is approved, the FDA can subsequently approve the same drug or therapeutic biologic for the same disease or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67" w:lineRule="exact"/>
        <w:rPr>
          <w:sz w:val="20"/>
          <w:szCs w:val="20"/>
          <w:color w:val="auto"/>
        </w:rPr>
      </w:pPr>
    </w:p>
    <w:p>
      <w:pPr>
        <w:ind w:right="200"/>
        <w:spacing w:after="0" w:line="309" w:lineRule="auto"/>
        <w:rPr>
          <w:sz w:val="20"/>
          <w:szCs w:val="20"/>
          <w:color w:val="auto"/>
        </w:rPr>
      </w:pPr>
      <w:r>
        <w:rPr>
          <w:rFonts w:ascii="Times New Roman" w:cs="Times New Roman" w:eastAsia="Times New Roman" w:hAnsi="Times New Roman"/>
          <w:sz w:val="17"/>
          <w:szCs w:val="17"/>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28"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5" w:lineRule="exact"/>
        <w:rPr>
          <w:sz w:val="20"/>
          <w:szCs w:val="20"/>
          <w:color w:val="auto"/>
        </w:rPr>
      </w:pPr>
    </w:p>
    <w:p>
      <w:pPr>
        <w:ind w:right="660"/>
        <w:spacing w:after="0" w:line="279"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5" w:lineRule="exact"/>
        <w:rPr>
          <w:sz w:val="20"/>
          <w:szCs w:val="20"/>
          <w:color w:val="auto"/>
        </w:rPr>
      </w:pPr>
    </w:p>
    <w:p>
      <w:pPr>
        <w:ind w:left="1020" w:right="86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PROBODY platform, our product candidates or future development programs;</w:t>
      </w:r>
    </w:p>
    <w:p>
      <w:pPr>
        <w:spacing w:after="0" w:line="54"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clinical trials or funding support by us, or existing or future collaborators or licensing partners;</w:t>
      </w:r>
    </w:p>
    <w:p>
      <w:pPr>
        <w:spacing w:after="0" w:line="54" w:lineRule="exact"/>
        <w:rPr>
          <w:rFonts w:ascii="Times New Roman" w:cs="Times New Roman" w:eastAsia="Times New Roman" w:hAnsi="Times New Roman"/>
          <w:sz w:val="18"/>
          <w:szCs w:val="18"/>
          <w:color w:val="auto"/>
        </w:rPr>
      </w:pPr>
    </w:p>
    <w:p>
      <w:pPr>
        <w:ind w:left="1020" w:right="24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4" w:lineRule="exact"/>
        <w:rPr>
          <w:rFonts w:ascii="Times New Roman" w:cs="Times New Roman" w:eastAsia="Times New Roman" w:hAnsi="Times New Roman"/>
          <w:sz w:val="18"/>
          <w:szCs w:val="18"/>
          <w:color w:val="auto"/>
        </w:rPr>
      </w:pPr>
    </w:p>
    <w:p>
      <w:pPr>
        <w:ind w:left="1020" w:right="26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4" w:lineRule="exact"/>
        <w:rPr>
          <w:rFonts w:ascii="Times New Roman" w:cs="Times New Roman" w:eastAsia="Times New Roman" w:hAnsi="Times New Roman"/>
          <w:sz w:val="18"/>
          <w:szCs w:val="18"/>
          <w:color w:val="auto"/>
        </w:rPr>
      </w:pPr>
    </w:p>
    <w:p>
      <w:pPr>
        <w:ind w:left="1020" w:right="48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4" w:lineRule="exact"/>
        <w:rPr>
          <w:rFonts w:ascii="Times New Roman" w:cs="Times New Roman" w:eastAsia="Times New Roman" w:hAnsi="Times New Roman"/>
          <w:sz w:val="18"/>
          <w:szCs w:val="18"/>
          <w:color w:val="auto"/>
        </w:rPr>
      </w:pPr>
    </w:p>
    <w:p>
      <w:pPr>
        <w:ind w:left="1020" w:right="30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4" w:lineRule="exact"/>
        <w:rPr>
          <w:rFonts w:ascii="Times New Roman" w:cs="Times New Roman" w:eastAsia="Times New Roman" w:hAnsi="Times New Roman"/>
          <w:sz w:val="18"/>
          <w:szCs w:val="18"/>
          <w:color w:val="auto"/>
        </w:rPr>
      </w:pPr>
    </w:p>
    <w:p>
      <w:pPr>
        <w:ind w:left="1020" w:right="80" w:hanging="504"/>
        <w:spacing w:after="0" w:line="279"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4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3"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6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404 of the Sarbanes-Oxley Act of 2002 requires that we evaluate and determine the effectiveness of our internal controls over financial reporting and provide a management report on the internal control over financial reporting.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are required, pursuant to Section 404, to furnish a report by our management on, among other things, the effectiveness of our internal control over financial reporting in our Annual Report on Form 10-K. Internal control over financial reporting is a process designed to provide reasonable assurance regarding the reliability of financial reporting and the preparation of financial statements in accordance with generally acceptable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A failure in any of these obligations or requirements could subject us to a loss of stockholder confidence and sanctions or investigations by regulatory authorities or litigation.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6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In connection with the implementation of the necessary practices and procedures related to internal control over financial reporting, we may identify deficiencies that we may not be able to remediate before our management is required to furnish the annual report on the effectiveness of our internal control over financial reporting. Our testing, or the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spacing w:after="0" w:line="2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preparing our financial statements for the year ending December 31, 2022, we determined that a material weakness existed in our internal control over financial reporting due to ineffective controls for evaluation and review of the accounting for revenue recognition. We initiated plans to remediate the material weakness and determined that as of June 30, 2023, the material weakness had been remediated. There can be no assurance that we will not identify additional material weaknesses in the future.</w:t>
      </w:r>
    </w:p>
    <w:p>
      <w:pPr>
        <w:spacing w:after="0" w:line="2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future periods, if our management is unable to conclude that we have effective internal control over financial reporting, or to certify the effectiveness of such controls, or if additional material weaknesses in our internal control over financial reporting are identified,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purchasers of our common stock could incur substantial losses.</w:t>
      </w:r>
    </w:p>
    <w:p>
      <w:pPr>
        <w:spacing w:after="0" w:line="13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Our stock price is volatile. Since our initial public offering (“IPO”), our stock had low and high sales prices in the range of $1.04 and $35.00 per share. The market price for our common stock may be influenced by many factors, including the other risks described in this section titled “Risk Factors” and the following:</w:t>
      </w:r>
    </w:p>
    <w:p>
      <w:pPr>
        <w:spacing w:after="0" w:line="70" w:lineRule="exact"/>
        <w:rPr>
          <w:sz w:val="20"/>
          <w:szCs w:val="20"/>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collaborators;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or regulations applicable to our products;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4" w:lineRule="exact"/>
        <w:rPr>
          <w:rFonts w:ascii="Times New Roman" w:cs="Times New Roman" w:eastAsia="Times New Roman" w:hAnsi="Times New Roman"/>
          <w:sz w:val="18"/>
          <w:szCs w:val="18"/>
          <w:color w:val="auto"/>
        </w:rPr>
      </w:pPr>
    </w:p>
    <w:p>
      <w:pPr>
        <w:ind w:left="1020" w:right="260" w:hanging="504"/>
        <w:spacing w:after="0" w:line="279"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14" w:lineRule="exact"/>
        <w:rPr>
          <w:rFonts w:ascii="Times New Roman" w:cs="Times New Roman" w:eastAsia="Times New Roman" w:hAnsi="Times New Roman"/>
          <w:sz w:val="18"/>
          <w:szCs w:val="18"/>
          <w:color w:val="auto"/>
        </w:rPr>
      </w:pPr>
    </w:p>
    <w:p>
      <w:pPr>
        <w:ind w:left="1020" w:right="420" w:hanging="504"/>
        <w:spacing w:after="0" w:line="279"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pandemic and related governmental regulations and restrictions may impact our business, including our research, clinical trials, manufacturing and financial condition, as well as the impact of other natural disasters and other calamities;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4" w:lineRule="exact"/>
        <w:rPr>
          <w:rFonts w:ascii="Times New Roman" w:cs="Times New Roman" w:eastAsia="Times New Roman" w:hAnsi="Times New Roman"/>
          <w:sz w:val="18"/>
          <w:szCs w:val="18"/>
          <w:color w:val="auto"/>
        </w:rPr>
      </w:pPr>
    </w:p>
    <w:p>
      <w:pPr>
        <w:ind w:left="1020" w:right="260" w:hanging="504"/>
        <w:spacing w:after="0" w:line="279"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existing or future collaborations, including but not limited to those with our sources of manufacturing supply and our commercialization partners;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right="220" w:hanging="504"/>
        <w:spacing w:after="0" w:line="279"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4" w:lineRule="exact"/>
        <w:rPr>
          <w:rFonts w:ascii="Times New Roman" w:cs="Times New Roman" w:eastAsia="Times New Roman" w:hAnsi="Times New Roman"/>
          <w:sz w:val="18"/>
          <w:szCs w:val="18"/>
          <w:color w:val="auto"/>
        </w:rPr>
      </w:pPr>
    </w:p>
    <w:p>
      <w:pPr>
        <w:ind w:left="1020" w:right="180" w:hanging="504"/>
        <w:spacing w:after="0" w:line="279"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49"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13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(as amended on each of March 4, 2022 and August 9, 2024, the “Sales Agreement”) with Jefferies LLC (“Jefferies”), to sell shares of our common stock, par value $0.00001 per share, with aggregate gross sales proceeds of up to $75,000,000, from time to time, through an at the market offering under which Jefferies will act as sales agent. We have issued securities under the Sales Agreement and may do so in the future. In addition, in January and February 2021, we sold 16,428,571 shares of our common stock at $7.00 per share in an underwritten public offering. In July 2023, we sold pre-funded warrants to purchase up to 14,423,077 shares of common stock and accompanying Tranche Warrants to purchase up to 11,538,462 shares of our common stock.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 securities. Additionally, future sales of our common stock at prices below the exercise price of the Tranche Warrants may lower the exercise price of the Tranche Warrants. No prediction can be made as to the effect, if any, that future sales of common stock or the availability of common stock for future sales will have on the trading price of our common stock.</w:t>
      </w:r>
    </w:p>
    <w:p>
      <w:pPr>
        <w:spacing w:after="0" w:line="187" w:lineRule="exact"/>
        <w:rPr>
          <w:sz w:val="20"/>
          <w:szCs w:val="20"/>
          <w:color w:val="auto"/>
        </w:rPr>
      </w:pPr>
    </w:p>
    <w:p>
      <w:pPr>
        <w:ind w:right="7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jc w:val="both"/>
        <w:ind w:right="180"/>
        <w:spacing w:after="0" w:line="263" w:lineRule="auto"/>
        <w:rPr>
          <w:sz w:val="20"/>
          <w:szCs w:val="20"/>
          <w:color w:val="auto"/>
        </w:rPr>
      </w:pPr>
      <w:r>
        <w:rPr>
          <w:rFonts w:ascii="Times New Roman" w:cs="Times New Roman" w:eastAsia="Times New Roman" w:hAnsi="Times New Roman"/>
          <w:sz w:val="18"/>
          <w:szCs w:val="18"/>
          <w:color w:val="auto"/>
        </w:rPr>
        <w:t>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common stock may not be maintained.</w:t>
      </w:r>
    </w:p>
    <w:p>
      <w:pPr>
        <w:spacing w:after="0" w:line="13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79"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September 30, 2024, our executive officers, directors, holders of 5% or more of our capital stock based on publicly available filings made with the SEC and their respective affiliates beneficially owned approximately 37% of our outstanding common stock. In addition, in our July 2023 private placement, a certain holder of 5% or more of our capital stock acquired pre-funded warrants and accompanying Tranche Warrants to purchase shares of our common stock. Until fully exercised or expired, the shares issuable upon the exercise of the pre-funded warrants and the Tranche Warrants are not included in the number of our outstanding shares of common stock. If such holder exercises their warrants, then the shares of our capital stock beneficially owned by our executive officers, directors, holders of 5% or more of our capital stock and their respective affiliates would increase significantly.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82" w:lineRule="exact"/>
        <w:rPr>
          <w:sz w:val="20"/>
          <w:szCs w:val="20"/>
          <w:color w:val="auto"/>
        </w:rPr>
      </w:pPr>
    </w:p>
    <w:p>
      <w:pPr>
        <w:ind w:right="9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6" w:lineRule="exact"/>
        <w:rPr>
          <w:sz w:val="20"/>
          <w:szCs w:val="20"/>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4" w:lineRule="exact"/>
        <w:rPr>
          <w:rFonts w:ascii="Times New Roman" w:cs="Times New Roman" w:eastAsia="Times New Roman" w:hAnsi="Times New Roman"/>
          <w:sz w:val="18"/>
          <w:szCs w:val="18"/>
          <w:color w:val="auto"/>
        </w:rPr>
      </w:pPr>
    </w:p>
    <w:p>
      <w:pPr>
        <w:ind w:left="1020" w:right="140" w:hanging="504"/>
        <w:spacing w:after="0" w:line="25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7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4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179"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5" w:lineRule="exact"/>
        <w:rPr>
          <w:sz w:val="20"/>
          <w:szCs w:val="20"/>
          <w:color w:val="auto"/>
        </w:rPr>
      </w:pPr>
    </w:p>
    <w:p>
      <w:pPr>
        <w:ind w:right="740"/>
        <w:spacing w:after="0" w:line="279"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w:t>
      </w:r>
    </w:p>
    <w:p>
      <w:pPr>
        <w:sectPr>
          <w:pgSz w:w="11900" w:h="16838" w:orient="portrait"/>
          <w:cols w:equalWidth="0" w:num="1">
            <w:col w:w="11240"/>
          </w:cols>
          <w:pgMar w:left="320" w:top="76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type w:val="continuous"/>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1"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from class action litigation due to our expected stock volatility.</w:t>
      </w:r>
    </w:p>
    <w:p>
      <w:pPr>
        <w:spacing w:after="0" w:line="132"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20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8"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Any future pandemic could adversely impact our business, including our research, development, including clinical trials, manufacturing and financial condition.</w:t>
      </w:r>
    </w:p>
    <w:p>
      <w:pPr>
        <w:spacing w:after="0" w:line="6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impact of future pandemics could severely impact the business, research, development and manufacturing for us and our partners including ongoing or planned clinical trials for CX-904, CX-2051 and CX-801, and clinical trials of our partners. For example, in December 2019, a novel strain of coronavirus, COVID-19, was reported to have surfaced in Wuhan, China, and spread to multiple countries, including the United States and European and Asia-Pacific countries. As a result, our operations and the operations of our partners were impacted for a substantial period of time. Future pandemics may incur similar or more severe disruptions and impacts. These disruptions and impacts may include: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33" w:lineRule="exact"/>
        <w:rPr>
          <w:sz w:val="20"/>
          <w:szCs w:val="20"/>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research activities or obtaining necessary supplies to enable research;</w:t>
      </w:r>
    </w:p>
    <w:p>
      <w:pPr>
        <w:spacing w:after="0" w:line="114" w:lineRule="exact"/>
        <w:rPr>
          <w:rFonts w:ascii="Times New Roman" w:cs="Times New Roman" w:eastAsia="Times New Roman" w:hAnsi="Times New Roman"/>
          <w:sz w:val="18"/>
          <w:szCs w:val="18"/>
          <w:color w:val="auto"/>
        </w:rPr>
      </w:pPr>
    </w:p>
    <w:p>
      <w:pPr>
        <w:ind w:left="1020" w:right="100" w:hanging="504"/>
        <w:spacing w:after="0" w:line="279"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for any clinical trials we or our partners decide to initiate, including CX-904, CX-2051 and CX-801, including difficulties in recruiting clinical site investigators and clinical site staff and clinical trial enrollment;</w:t>
      </w:r>
    </w:p>
    <w:p>
      <w:pPr>
        <w:spacing w:after="0" w:line="54" w:lineRule="exact"/>
        <w:rPr>
          <w:rFonts w:ascii="Times New Roman" w:cs="Times New Roman" w:eastAsia="Times New Roman" w:hAnsi="Times New Roman"/>
          <w:sz w:val="18"/>
          <w:szCs w:val="18"/>
          <w:color w:val="auto"/>
        </w:rPr>
      </w:pPr>
    </w:p>
    <w:p>
      <w:pPr>
        <w:ind w:left="1020" w:right="200" w:hanging="504"/>
        <w:spacing w:after="0" w:line="279"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54" w:lineRule="exact"/>
        <w:rPr>
          <w:rFonts w:ascii="Times New Roman" w:cs="Times New Roman" w:eastAsia="Times New Roman" w:hAnsi="Times New Roman"/>
          <w:sz w:val="18"/>
          <w:szCs w:val="18"/>
          <w:color w:val="auto"/>
        </w:rPr>
      </w:pPr>
    </w:p>
    <w:p>
      <w:pPr>
        <w:ind w:left="1020" w:right="500" w:hanging="504"/>
        <w:spacing w:after="0" w:line="279"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interpreting clinical data due to patients being infected by pandemic disease;</w:t>
      </w:r>
    </w:p>
    <w:p>
      <w:pPr>
        <w:spacing w:after="0" w:line="114" w:lineRule="exact"/>
        <w:rPr>
          <w:rFonts w:ascii="Times New Roman" w:cs="Times New Roman" w:eastAsia="Times New Roman" w:hAnsi="Times New Roman"/>
          <w:sz w:val="18"/>
          <w:szCs w:val="18"/>
          <w:color w:val="auto"/>
        </w:rPr>
      </w:pPr>
    </w:p>
    <w:p>
      <w:pPr>
        <w:ind w:left="1020" w:right="340" w:hanging="504"/>
        <w:spacing w:after="0" w:line="309" w:lineRule="auto"/>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32"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or our partners’ planned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or our partners’ clinical trials;</w:t>
      </w:r>
    </w:p>
    <w:p>
      <w:pPr>
        <w:spacing w:after="0" w:line="114" w:lineRule="exact"/>
        <w:rPr>
          <w:rFonts w:ascii="Times New Roman" w:cs="Times New Roman" w:eastAsia="Times New Roman" w:hAnsi="Times New Roman"/>
          <w:sz w:val="18"/>
          <w:szCs w:val="18"/>
          <w:color w:val="auto"/>
        </w:rPr>
      </w:pPr>
    </w:p>
    <w:p>
      <w:pPr>
        <w:ind w:left="1020" w:hanging="504"/>
        <w:spacing w:after="0" w:line="279"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54" w:lineRule="exact"/>
        <w:rPr>
          <w:rFonts w:ascii="Times New Roman" w:cs="Times New Roman" w:eastAsia="Times New Roman" w:hAnsi="Times New Roman"/>
          <w:sz w:val="18"/>
          <w:szCs w:val="18"/>
          <w:color w:val="auto"/>
        </w:rPr>
      </w:pPr>
    </w:p>
    <w:p>
      <w:pPr>
        <w:ind w:left="1020" w:right="240" w:hanging="504"/>
        <w:spacing w:after="0" w:line="309" w:lineRule="auto"/>
        <w:tabs>
          <w:tab w:leader="none" w:pos="10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local regulations as part of a response to a pandemic outbreak which may require us or our partners to change the ways in which clinical trials are conducted, which may result in unexpected costs, or cause us or our partners to discontinue the clinical trials altogether;</w:t>
      </w:r>
    </w:p>
    <w:p>
      <w:pPr>
        <w:spacing w:after="0" w:line="32" w:lineRule="exact"/>
        <w:rPr>
          <w:rFonts w:ascii="Times New Roman" w:cs="Times New Roman" w:eastAsia="Times New Roman" w:hAnsi="Times New Roman"/>
          <w:sz w:val="17"/>
          <w:szCs w:val="17"/>
          <w:color w:val="auto"/>
        </w:rPr>
      </w:pPr>
    </w:p>
    <w:p>
      <w:pPr>
        <w:ind w:left="1020" w:right="340" w:hanging="504"/>
        <w:spacing w:after="0" w:line="279"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outside the United States.</w:t>
      </w:r>
    </w:p>
    <w:p>
      <w:pPr>
        <w:spacing w:after="0" w:line="249"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8"/>
          <w:szCs w:val="18"/>
          <w:color w:val="auto"/>
        </w:rPr>
        <w:t>We cannot be certain of the impact of any future pandemic on our business or make any assurance that research, development or manufacturing of our product candidates will not be delayed, discontinued or otherwise impacted.</w:t>
      </w:r>
    </w:p>
    <w:p>
      <w:pPr>
        <w:spacing w:after="0" w:line="189"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Any of the potential business, research and clinical impacts arising as a result of any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204" w:lineRule="exact"/>
        <w:rPr>
          <w:sz w:val="20"/>
          <w:szCs w:val="20"/>
          <w:color w:val="auto"/>
        </w:rPr>
      </w:pPr>
    </w:p>
    <w:p>
      <w:pPr>
        <w:ind w:right="620"/>
        <w:spacing w:after="0" w:line="279" w:lineRule="auto"/>
        <w:rPr>
          <w:sz w:val="20"/>
          <w:szCs w:val="20"/>
          <w:color w:val="auto"/>
        </w:rPr>
      </w:pPr>
      <w:r>
        <w:rPr>
          <w:rFonts w:ascii="Times New Roman" w:cs="Times New Roman" w:eastAsia="Times New Roman" w:hAnsi="Times New Roman"/>
          <w:sz w:val="18"/>
          <w:szCs w:val="18"/>
          <w:color w:val="auto"/>
        </w:rPr>
        <w:t>In addition, a pandemic may negatively impact the trading price of shares of our common stock and could further severely impact our ability to raise additional capital on a timely basis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U.S. and multi-national financial market conditions may adversely affect our business and financial position.</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maintains the majority of its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assets or form strategic alliances in the future, and we may not realize the benefits of such acquisitions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color w:val="auto"/>
        </w:rPr>
        <w:t>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8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8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55" w:lineRule="exact"/>
        <w:rPr>
          <w:sz w:val="20"/>
          <w:szCs w:val="20"/>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acquisition costs;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incur substantial debt or engage in dilutive issuances of equity securities to pay for acquisitions;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historical business and our activities under our collaboration agreements;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strain on, and need to expand, our existing operational, technical, financial and administrative infrastructure;</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experience in late-stage product development and commercialization;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assimilating employees and corporate cultures;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hiring qualified personnel and establishing necessary development and/or commercialization capabilities;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management and other personnel;</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 controlling additional costs and expenses in connection with and as a result of the acquisition;</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write down assets or recognize impairment charges;</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to integration of operations and corporate and administrative infrastructures; and</w:t>
      </w:r>
    </w:p>
    <w:p>
      <w:pPr>
        <w:spacing w:after="0" w:line="11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liabilities for activities of or related to the acquired business or its operations, products or product candidates.</w:t>
      </w:r>
    </w:p>
    <w:p>
      <w:pPr>
        <w:spacing w:after="0" w:line="24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17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36"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clinical trial data, and the personal information of our employees (collectively, “Confidential Information”). It is important to our operations and business strategy that this Confidential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w:t>
      </w:r>
    </w:p>
    <w:p>
      <w:pPr>
        <w:spacing w:after="0" w:line="2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Attacks upon information technology systems are also increasing in their frequency, levels of persistence, sophistication and intensity, and are being conducted by sophisticated and organized groups and individuals with a wide range of motives and expertise. As a result of our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To the extent that any disruption or security breach were to result in a loss of, or damage to, our data, or inappropriate disclosure of Confidential Information, we could incur liability, recovery of our data could take a prolonged period of time, and the development of our research or product candidates could be delayed.</w:t>
      </w:r>
    </w:p>
    <w:p>
      <w:pPr>
        <w:spacing w:after="0" w:line="2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There can be no assurance that our and our third-party service providers’ risk management program and processes, including policies, controls or procedures, will be fully implemented, complied with or effective in protecting our systems, networks and Confidential Information.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w:t>
      </w:r>
    </w:p>
    <w:p>
      <w:pPr>
        <w:spacing w:after="0" w:line="2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36"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ongoing armed conflict between Russia and Ukraine or other international conflicts could adversely affect our business, financial condition, and results of operations.</w:t>
      </w:r>
    </w:p>
    <w:p>
      <w:pPr>
        <w:spacing w:after="0" w:line="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2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75" w:lineRule="exact"/>
        <w:rPr>
          <w:sz w:val="20"/>
          <w:szCs w:val="20"/>
          <w:color w:val="auto"/>
        </w:rPr>
      </w:pPr>
    </w:p>
    <w:p>
      <w:pPr>
        <w:ind w:left="1020" w:right="180" w:hanging="504"/>
        <w:spacing w:after="0" w:line="263"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European Union;</w:t>
      </w:r>
    </w:p>
    <w:p>
      <w:pPr>
        <w:spacing w:after="0" w:line="70" w:lineRule="exact"/>
        <w:rPr>
          <w:rFonts w:ascii="Times New Roman" w:cs="Times New Roman" w:eastAsia="Times New Roman" w:hAnsi="Times New Roman"/>
          <w:sz w:val="18"/>
          <w:szCs w:val="18"/>
          <w:color w:val="auto"/>
        </w:rPr>
      </w:pPr>
    </w:p>
    <w:p>
      <w:pPr>
        <w:ind w:left="1020" w:right="120" w:hanging="504"/>
        <w:spacing w:after="0" w:line="279"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54" w:lineRule="exact"/>
        <w:rPr>
          <w:rFonts w:ascii="Times New Roman" w:cs="Times New Roman" w:eastAsia="Times New Roman" w:hAnsi="Times New Roman"/>
          <w:sz w:val="18"/>
          <w:szCs w:val="18"/>
          <w:color w:val="auto"/>
        </w:rPr>
      </w:pPr>
    </w:p>
    <w:p>
      <w:pPr>
        <w:ind w:left="1020" w:right="440" w:hanging="504"/>
        <w:spacing w:after="0" w:line="279"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actively monitoring the situation in Ukraine and Russia and assessing its impact on our business, including our business partners and customers. To date we have not experienced any material interruptions in our infrastructure, supplies, technology systems, or networks needed to support our operations. We have no way to predict the progress or outcome of the military conflict in Ukraine or its impacts in Ukraine, Russia, Belarus, Europe, or the U.S. The extent and duration of the military action, sanctions, and resulting market disruptions could be significant and could potentially have substantial impact on the global economy and our business for an unknown period of time.</w:t>
      </w:r>
    </w:p>
    <w:p>
      <w:pPr>
        <w:spacing w:after="0" w:line="18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Additionally, other armed conflicts that arise from time to time, including the current conflict between Israel and Hamas, have the potential to cause global impacts that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3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74" w:name="page75"/>
    <w:bookmarkEnd w:id="7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36"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spacing w:after="0" w:line="184"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Shares or of Company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10b5-1 plan:</w:t>
      </w:r>
    </w:p>
    <w:p>
      <w:pPr>
        <w:spacing w:after="0" w:line="3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On August 27, 2024, Sean McCarthy, CEO, adopted a Rule 10b5-1 trading arrangement that is intended to satisfy the affirmative defense of Rule 10b5-1(c) for the sale of up to 200,000 shares of the Company’s common stock until December 31, 2025.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sectPr>
      </w:pPr>
    </w:p>
    <w:bookmarkStart w:id="75" w:name="page76"/>
    <w:bookmarkEnd w:id="75"/>
    <w:p>
      <w:pPr>
        <w:ind w:left="458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20" w:type="dxa"/>
            <w:vAlign w:val="bottom"/>
            <w:gridSpan w:val="7"/>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5900" w:type="dxa"/>
            <w:vAlign w:val="bottom"/>
            <w:gridSpan w:val="10"/>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5900" w:type="dxa"/>
            <w:vAlign w:val="bottom"/>
            <w:gridSpan w:val="10"/>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Amended and Restated Bylaws of CytomX Therapeutics, Inc., effective March</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spacing w:after="0" w:line="195" w:lineRule="exact"/>
              <w:rPr>
                <w:rFonts w:ascii="Times New Roman" w:cs="Times New Roman" w:eastAsia="Times New Roman" w:hAnsi="Times New Roman"/>
                <w:sz w:val="18"/>
                <w:szCs w:val="18"/>
                <w:color w:val="0000FF"/>
                <w:w w:val="94"/>
              </w:rPr>
            </w:pPr>
            <w:hyperlink r:id="rId262">
              <w:r>
                <w:rPr>
                  <w:rFonts w:ascii="Times New Roman" w:cs="Times New Roman" w:eastAsia="Times New Roman" w:hAnsi="Times New Roman"/>
                  <w:sz w:val="18"/>
                  <w:szCs w:val="18"/>
                  <w:color w:val="0000FF"/>
                  <w:w w:val="94"/>
                </w:rPr>
                <w:t>20, 2024.</w:t>
              </w:r>
            </w:hyperlink>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Reference is made to Exhibits 3.1 through 3.2.</w:t>
            </w:r>
          </w:p>
        </w:tc>
        <w:tc>
          <w:tcPr>
            <w:tcW w:w="0" w:type="dxa"/>
            <w:vAlign w:val="bottom"/>
          </w:tcPr>
          <w:p>
            <w:pPr>
              <w:spacing w:after="0"/>
              <w:rPr>
                <w:sz w:val="1"/>
                <w:szCs w:val="1"/>
                <w:color w:val="auto"/>
              </w:rPr>
            </w:pPr>
          </w:p>
        </w:tc>
      </w:tr>
      <w:tr>
        <w:trPr>
          <w:trHeight w:val="442"/>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5900" w:type="dxa"/>
            <w:vAlign w:val="bottom"/>
            <w:gridSpan w:val="10"/>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Specimen Common Stock Certificate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4"/>
                <w:szCs w:val="24"/>
                <w:color w:val="auto"/>
              </w:rPr>
            </w:pPr>
          </w:p>
        </w:tc>
        <w:tc>
          <w:tcPr>
            <w:tcW w:w="5900" w:type="dxa"/>
            <w:vAlign w:val="bottom"/>
            <w:gridSpan w:val="10"/>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Amendment No. 2 to Open Market Sales Agreement, dated as of August 9,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342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0"/>
          </w:tcPr>
          <w:p>
            <w:pPr>
              <w:spacing w:after="0" w:line="195"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by and between CytomX Therapeutics, Inc. and Jefferies LLC.</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3420" w:type="dxa"/>
            <w:vAlign w:val="bottom"/>
            <w:tcBorders>
              <w:right w:val="single" w:sz="8" w:color="0000EE"/>
            </w:tcBorders>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60" w:type="dxa"/>
            <w:vAlign w:val="bottom"/>
          </w:tcPr>
          <w:p>
            <w:pPr>
              <w:spacing w:after="0"/>
              <w:rPr>
                <w:sz w:val="24"/>
                <w:szCs w:val="24"/>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required by Rule 13a-14(a) or Rule 15d-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14(a).</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60" w:type="dxa"/>
            <w:vAlign w:val="bottom"/>
          </w:tcPr>
          <w:p>
            <w:pPr>
              <w:spacing w:after="0"/>
              <w:rPr>
                <w:sz w:val="24"/>
                <w:szCs w:val="24"/>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required by Rule 13a-14(a) or Rule 15d-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14(a).</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required by Rule 13a-14(b) or Rule 15d-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14(b) and Section 1350 of Chapter 63 of Title 18 of the United States Code (18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46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U.S.C. §1350).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EE"/>
            </w:tcBorders>
            <w:gridSpan w:val="3"/>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required by Rule 13a-14(b) or Rule 15d-</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740" w:type="dxa"/>
            <w:vAlign w:val="bottom"/>
            <w:gridSpan w:val="8"/>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14(b) and Section 1350 of Chapter 63 of Title 18 of the United States Code (18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80" w:type="dxa"/>
            <w:vAlign w:val="bottom"/>
            <w:gridSpan w:val="7"/>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90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U.S.C. §1350).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EE"/>
            </w:tcBorders>
            <w:gridSpan w:val="3"/>
            <w:shd w:val="clear" w:color="auto" w:fill="0000FF"/>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60" w:type="dxa"/>
            <w:vAlign w:val="bottom"/>
          </w:tcPr>
          <w:p>
            <w:pPr>
              <w:spacing w:after="0"/>
              <w:rPr>
                <w:sz w:val="24"/>
                <w:szCs w:val="24"/>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0" w:type="dxa"/>
            <w:vAlign w:val="bottom"/>
          </w:tcPr>
          <w:p>
            <w:pPr>
              <w:spacing w:after="0"/>
              <w:rPr>
                <w:sz w:val="1"/>
                <w:szCs w:val="1"/>
                <w:color w:val="auto"/>
              </w:rPr>
            </w:pPr>
          </w:p>
        </w:tc>
      </w:tr>
      <w:tr>
        <w:trPr>
          <w:trHeight w:val="38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60" w:type="dxa"/>
            <w:vAlign w:val="bottom"/>
          </w:tcPr>
          <w:p>
            <w:pPr>
              <w:spacing w:after="0"/>
              <w:rPr>
                <w:sz w:val="24"/>
                <w:szCs w:val="24"/>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8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160" w:type="dxa"/>
            <w:vAlign w:val="bottom"/>
          </w:tcPr>
          <w:p>
            <w:pPr>
              <w:spacing w:after="0"/>
              <w:rPr>
                <w:sz w:val="24"/>
                <w:szCs w:val="24"/>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8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8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160" w:type="dxa"/>
            <w:vAlign w:val="bottom"/>
          </w:tcPr>
          <w:p>
            <w:pPr>
              <w:spacing w:after="0"/>
              <w:rPr>
                <w:sz w:val="24"/>
                <w:szCs w:val="24"/>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89"/>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60" w:type="dxa"/>
            <w:vAlign w:val="bottom"/>
          </w:tcPr>
          <w:p>
            <w:pPr>
              <w:spacing w:after="0"/>
              <w:rPr>
                <w:sz w:val="24"/>
                <w:szCs w:val="24"/>
                <w:color w:val="auto"/>
              </w:rPr>
            </w:pPr>
          </w:p>
        </w:tc>
        <w:tc>
          <w:tcPr>
            <w:tcW w:w="59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360" w:right="380" w:hanging="843"/>
        <w:spacing w:after="0" w:line="279" w:lineRule="auto"/>
        <w:tabs>
          <w:tab w:leader="none" w:pos="1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00" w:type="dxa"/>
            <w:vAlign w:val="bottom"/>
            <w:vMerge w:val="restart"/>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Form</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6"/>
        </w:trPr>
        <w:tc>
          <w:tcPr>
            <w:tcW w:w="6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3"/>
        </w:trPr>
        <w:tc>
          <w:tcPr>
            <w:tcW w:w="600" w:type="dxa"/>
            <w:vAlign w:val="bottom"/>
          </w:tcPr>
          <w:p>
            <w:pPr>
              <w:jc w:val="center"/>
              <w:ind w:left="177"/>
              <w:spacing w:after="0"/>
              <w:rPr>
                <w:sz w:val="20"/>
                <w:szCs w:val="20"/>
                <w:color w:val="auto"/>
              </w:rPr>
            </w:pPr>
            <w:r>
              <w:rPr>
                <w:rFonts w:ascii="Times New Roman" w:cs="Times New Roman" w:eastAsia="Times New Roman" w:hAnsi="Times New Roman"/>
                <w:sz w:val="18"/>
                <w:szCs w:val="18"/>
                <w:color w:val="auto"/>
                <w:w w:val="92"/>
              </w:rPr>
              <w:t>8-K</w:t>
            </w:r>
          </w:p>
        </w:tc>
        <w:tc>
          <w:tcPr>
            <w:tcW w:w="1500" w:type="dxa"/>
            <w:vAlign w:val="bottom"/>
            <w:gridSpan w:val="3"/>
          </w:tcPr>
          <w:p>
            <w:pPr>
              <w:jc w:val="center"/>
              <w:ind w:left="337"/>
              <w:spacing w:after="0"/>
              <w:rPr>
                <w:sz w:val="20"/>
                <w:szCs w:val="20"/>
                <w:color w:val="auto"/>
              </w:rPr>
            </w:pPr>
            <w:r>
              <w:rPr>
                <w:rFonts w:ascii="Times New Roman" w:cs="Times New Roman" w:eastAsia="Times New Roman" w:hAnsi="Times New Roman"/>
                <w:sz w:val="18"/>
                <w:szCs w:val="18"/>
                <w:color w:val="auto"/>
                <w:w w:val="98"/>
              </w:rPr>
              <w:t>5/17/2024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600" w:type="dxa"/>
            <w:vAlign w:val="bottom"/>
          </w:tcPr>
          <w:p>
            <w:pPr>
              <w:jc w:val="center"/>
              <w:ind w:left="177"/>
              <w:spacing w:after="0"/>
              <w:rPr>
                <w:sz w:val="20"/>
                <w:szCs w:val="20"/>
                <w:color w:val="auto"/>
              </w:rPr>
            </w:pPr>
            <w:r>
              <w:rPr>
                <w:rFonts w:ascii="Times New Roman" w:cs="Times New Roman" w:eastAsia="Times New Roman" w:hAnsi="Times New Roman"/>
                <w:sz w:val="18"/>
                <w:szCs w:val="18"/>
                <w:color w:val="auto"/>
                <w:w w:val="92"/>
              </w:rPr>
              <w:t>8-K</w:t>
            </w:r>
          </w:p>
        </w:tc>
        <w:tc>
          <w:tcPr>
            <w:tcW w:w="1500" w:type="dxa"/>
            <w:vAlign w:val="bottom"/>
            <w:gridSpan w:val="3"/>
          </w:tcPr>
          <w:p>
            <w:pPr>
              <w:jc w:val="center"/>
              <w:ind w:left="337"/>
              <w:spacing w:after="0"/>
              <w:rPr>
                <w:sz w:val="20"/>
                <w:szCs w:val="20"/>
                <w:color w:val="auto"/>
              </w:rPr>
            </w:pPr>
            <w:r>
              <w:rPr>
                <w:rFonts w:ascii="Times New Roman" w:cs="Times New Roman" w:eastAsia="Times New Roman" w:hAnsi="Times New Roman"/>
                <w:sz w:val="18"/>
                <w:szCs w:val="18"/>
                <w:color w:val="auto"/>
                <w:w w:val="98"/>
              </w:rPr>
              <w:t>3/22/2024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tabs>
          <w:tab w:leader="none" w:pos="1180" w:val="left"/>
          <w:tab w:leader="none" w:pos="2420" w:val="left"/>
        </w:tabs>
        <w:rPr>
          <w:sz w:val="20"/>
          <w:szCs w:val="20"/>
          <w:color w:val="auto"/>
        </w:rPr>
      </w:pPr>
      <w:r>
        <w:rPr>
          <w:rFonts w:ascii="Times New Roman" w:cs="Times New Roman" w:eastAsia="Times New Roman" w:hAnsi="Times New Roman"/>
          <w:sz w:val="18"/>
          <w:szCs w:val="18"/>
          <w:color w:val="auto"/>
        </w:rPr>
        <w:t>S-1/A</w:t>
      </w:r>
      <w:r>
        <w:rPr>
          <w:sz w:val="20"/>
          <w:szCs w:val="20"/>
          <w:color w:val="auto"/>
        </w:rPr>
        <w:tab/>
      </w:r>
      <w:r>
        <w:rPr>
          <w:rFonts w:ascii="Times New Roman" w:cs="Times New Roman" w:eastAsia="Times New Roman" w:hAnsi="Times New Roman"/>
          <w:sz w:val="18"/>
          <w:szCs w:val="18"/>
          <w:color w:val="auto"/>
        </w:rPr>
        <w:t>9/28/2015</w:t>
      </w:r>
      <w:r>
        <w:rPr>
          <w:sz w:val="20"/>
          <w:szCs w:val="20"/>
          <w:color w:val="auto"/>
        </w:rPr>
        <w:tab/>
      </w:r>
      <w:r>
        <w:rPr>
          <w:rFonts w:ascii="Times New Roman" w:cs="Times New Roman" w:eastAsia="Times New Roman" w:hAnsi="Times New Roman"/>
          <w:sz w:val="17"/>
          <w:szCs w:val="17"/>
          <w:color w:val="auto"/>
        </w:rPr>
        <w:t>4.1</w:t>
      </w:r>
    </w:p>
    <w:p>
      <w:pPr>
        <w:spacing w:after="0" w:line="289" w:lineRule="exact"/>
        <w:rPr>
          <w:sz w:val="20"/>
          <w:szCs w:val="20"/>
          <w:color w:val="auto"/>
        </w:rPr>
      </w:pPr>
    </w:p>
    <w:p>
      <w:pPr>
        <w:ind w:left="300"/>
        <w:spacing w:after="0"/>
        <w:tabs>
          <w:tab w:leader="none" w:pos="1220" w:val="left"/>
          <w:tab w:leader="none" w:pos="2420" w:val="left"/>
        </w:tabs>
        <w:rPr>
          <w:sz w:val="20"/>
          <w:szCs w:val="20"/>
          <w:color w:val="auto"/>
        </w:rPr>
      </w:pPr>
      <w:r>
        <w:rPr>
          <w:rFonts w:ascii="Times New Roman" w:cs="Times New Roman" w:eastAsia="Times New Roman" w:hAnsi="Times New Roman"/>
          <w:sz w:val="18"/>
          <w:szCs w:val="18"/>
          <w:color w:val="auto"/>
        </w:rPr>
        <w:t>S-3</w:t>
      </w:r>
      <w:r>
        <w:rPr>
          <w:sz w:val="20"/>
          <w:szCs w:val="20"/>
          <w:color w:val="auto"/>
        </w:rPr>
        <w:tab/>
      </w:r>
      <w:r>
        <w:rPr>
          <w:rFonts w:ascii="Times New Roman" w:cs="Times New Roman" w:eastAsia="Times New Roman" w:hAnsi="Times New Roman"/>
          <w:sz w:val="18"/>
          <w:szCs w:val="18"/>
          <w:color w:val="auto"/>
        </w:rPr>
        <w:t>8/9/2024</w:t>
      </w:r>
      <w:r>
        <w:rPr>
          <w:sz w:val="20"/>
          <w:szCs w:val="20"/>
          <w:color w:val="auto"/>
        </w:rPr>
        <w:tab/>
      </w:r>
      <w:r>
        <w:rPr>
          <w:rFonts w:ascii="Times New Roman" w:cs="Times New Roman" w:eastAsia="Times New Roman" w:hAnsi="Times New Roman"/>
          <w:sz w:val="17"/>
          <w:szCs w:val="17"/>
          <w:color w:val="auto"/>
        </w:rPr>
        <w:t>1.4</w:t>
      </w:r>
    </w:p>
    <w:p>
      <w:pPr>
        <w:spacing w:after="0" w:line="200" w:lineRule="exact"/>
        <w:rPr>
          <w:sz w:val="20"/>
          <w:szCs w:val="20"/>
          <w:color w:val="auto"/>
        </w:rPr>
      </w:pPr>
    </w:p>
    <w:p>
      <w:pPr>
        <w:spacing w:after="0" w:line="290"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396"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03"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396"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18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18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18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182"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28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X</w:t>
      </w:r>
    </w:p>
    <w:p>
      <w:pPr>
        <w:spacing w:after="0" w:line="343" w:lineRule="exact"/>
        <w:rPr>
          <w:sz w:val="20"/>
          <w:szCs w:val="20"/>
          <w:color w:val="auto"/>
        </w:rPr>
      </w:pPr>
    </w:p>
    <w:p>
      <w:pPr>
        <w:sectPr>
          <w:pgSz w:w="11900" w:h="16838" w:orient="portrait"/>
          <w:cols w:equalWidth="0" w:num="2">
            <w:col w:w="7280" w:space="140"/>
            <w:col w:w="3760"/>
          </w:cols>
          <w:pgMar w:left="320" w:top="761" w:right="399" w:bottom="1440" w:gutter="0" w:footer="0" w:header="0"/>
        </w:sectPr>
      </w:pPr>
    </w:p>
    <w:p>
      <w:pPr>
        <w:ind w:right="40" w:firstLine="7"/>
        <w:spacing w:after="0" w:line="286" w:lineRule="auto"/>
        <w:tabs>
          <w:tab w:leader="none" w:pos="13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761" w:right="399" w:bottom="1440" w:gutter="0" w:footer="0" w:header="0"/>
          <w:type w:val="continuous"/>
        </w:sectPr>
      </w:pPr>
    </w:p>
    <w:bookmarkStart w:id="76" w:name="page77"/>
    <w:bookmarkEnd w:id="7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06" w:lineRule="exact"/>
        <w:rPr>
          <w:sz w:val="20"/>
          <w:szCs w:val="20"/>
          <w:color w:val="auto"/>
        </w:rPr>
      </w:pPr>
    </w:p>
    <w:p>
      <w:pPr>
        <w:ind w:left="20"/>
        <w:spacing w:after="0"/>
        <w:tabs>
          <w:tab w:leader="none" w:pos="6360" w:val="left"/>
          <w:tab w:leader="none" w:pos="822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24765</wp:posOffset>
            </wp:positionV>
            <wp:extent cx="28174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2817495" cy="8255"/>
                    </a:xfrm>
                    <a:prstGeom prst="rect">
                      <a:avLst/>
                    </a:prstGeom>
                    <a:noFill/>
                  </pic:spPr>
                </pic:pic>
              </a:graphicData>
            </a:graphic>
          </wp:anchor>
        </w:drawing>
      </w:r>
    </w:p>
    <w:p>
      <w:pPr>
        <w:spacing w:after="0" w:line="2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Sean A. McCarthy, D. Phil.</w:t>
      </w:r>
    </w:p>
    <w:p>
      <w:pPr>
        <w:spacing w:after="0" w:line="3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3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84" w:lineRule="exact"/>
        <w:rPr>
          <w:sz w:val="20"/>
          <w:szCs w:val="20"/>
          <w:color w:val="auto"/>
        </w:rPr>
      </w:pPr>
    </w:p>
    <w:p>
      <w:pPr>
        <w:ind w:left="20"/>
        <w:spacing w:after="0"/>
        <w:tabs>
          <w:tab w:leader="none" w:pos="6360" w:val="left"/>
          <w:tab w:leader="none" w:pos="810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24765</wp:posOffset>
            </wp:positionV>
            <wp:extent cx="28174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2817495" cy="8255"/>
                    </a:xfrm>
                    <a:prstGeom prst="rect">
                      <a:avLst/>
                    </a:prstGeom>
                    <a:noFill/>
                  </pic:spPr>
                </pic:pic>
              </a:graphicData>
            </a:graphic>
          </wp:anchor>
        </w:drawing>
      </w:r>
    </w:p>
    <w:p>
      <w:pPr>
        <w:spacing w:after="0" w:line="24"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Christopher W. Ogden</w:t>
      </w:r>
    </w:p>
    <w:p>
      <w:pPr>
        <w:spacing w:after="0" w:line="34"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7"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480695</wp:posOffset>
            </wp:positionV>
            <wp:extent cx="71589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761" w:right="45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McCarthy, Chief Executive Officer of CytomX Therapeutics, Inc., certify that:</w:t>
      </w:r>
    </w:p>
    <w:p>
      <w:pPr>
        <w:spacing w:after="0" w:line="115" w:lineRule="exact"/>
        <w:rPr>
          <w:sz w:val="20"/>
          <w:szCs w:val="20"/>
          <w:color w:val="auto"/>
        </w:rPr>
      </w:pPr>
    </w:p>
    <w:p>
      <w:pPr>
        <w:ind w:left="1020" w:hanging="504"/>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CytomX Therapeutics, Inc.;</w:t>
      </w:r>
    </w:p>
    <w:p>
      <w:pPr>
        <w:spacing w:after="0" w:line="221" w:lineRule="exact"/>
        <w:rPr>
          <w:rFonts w:ascii="Times New Roman" w:cs="Times New Roman" w:eastAsia="Times New Roman" w:hAnsi="Times New Roman"/>
          <w:sz w:val="18"/>
          <w:szCs w:val="18"/>
          <w:color w:val="auto"/>
        </w:rPr>
      </w:pPr>
    </w:p>
    <w:p>
      <w:pPr>
        <w:jc w:val="both"/>
        <w:ind w:left="1020" w:right="80" w:hanging="504"/>
        <w:spacing w:after="0" w:line="263"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1020" w:right="20" w:hanging="504"/>
        <w:spacing w:after="0" w:line="224" w:lineRule="exact"/>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15d-15(e)) and internal control over financial reporting (as defined in Exchange Act Rules 13a-15(f) and</w:t>
      </w: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4" w:lineRule="exact"/>
        <w:rPr>
          <w:rFonts w:ascii="Times New Roman" w:cs="Times New Roman" w:eastAsia="Times New Roman" w:hAnsi="Times New Roman"/>
          <w:sz w:val="17"/>
          <w:szCs w:val="17"/>
          <w:color w:val="auto"/>
        </w:rPr>
      </w:pPr>
    </w:p>
    <w:p>
      <w:pPr>
        <w:ind w:left="1540" w:right="660" w:hanging="515"/>
        <w:spacing w:after="0" w:line="263"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540" w:right="240" w:hanging="515"/>
        <w:spacing w:after="0" w:line="263"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1540" w:right="40" w:hanging="515"/>
        <w:spacing w:after="0" w:line="309" w:lineRule="auto"/>
        <w:tabs>
          <w:tab w:leader="none" w:pos="154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540" w:right="40" w:hanging="515"/>
        <w:spacing w:after="0" w:line="263"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1020" w:right="160" w:hanging="504"/>
        <w:spacing w:after="0" w:line="309" w:lineRule="auto"/>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Times New Roman" w:cs="Times New Roman" w:eastAsia="Times New Roman" w:hAnsi="Times New Roman"/>
          <w:sz w:val="17"/>
          <w:szCs w:val="17"/>
          <w:color w:val="auto"/>
        </w:rPr>
      </w:pPr>
    </w:p>
    <w:p>
      <w:pPr>
        <w:ind w:left="1540" w:right="280" w:hanging="515"/>
        <w:spacing w:after="0" w:line="279"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40" w:right="580" w:hanging="515"/>
        <w:spacing w:after="0" w:line="279"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2024</w:t>
            </w:r>
          </w:p>
        </w:tc>
        <w:tc>
          <w:tcPr>
            <w:tcW w:w="26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Sean A. McCarthy</w:t>
            </w:r>
          </w:p>
        </w:tc>
        <w:tc>
          <w:tcPr>
            <w:tcW w:w="580" w:type="dxa"/>
            <w:vAlign w:val="bottom"/>
          </w:tcPr>
          <w:p>
            <w:pPr>
              <w:spacing w:after="0"/>
              <w:rPr>
                <w:sz w:val="21"/>
                <w:szCs w:val="21"/>
                <w:color w:val="auto"/>
              </w:rPr>
            </w:pPr>
          </w:p>
        </w:tc>
      </w:tr>
      <w:tr>
        <w:trPr>
          <w:trHeight w:val="226"/>
        </w:trPr>
        <w:tc>
          <w:tcPr>
            <w:tcW w:w="3520" w:type="dxa"/>
            <w:vAlign w:val="bottom"/>
          </w:tcPr>
          <w:p>
            <w:pPr>
              <w:spacing w:after="0"/>
              <w:rPr>
                <w:sz w:val="19"/>
                <w:szCs w:val="19"/>
                <w:color w:val="auto"/>
              </w:rPr>
            </w:pPr>
          </w:p>
        </w:tc>
        <w:tc>
          <w:tcPr>
            <w:tcW w:w="26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Sean A. McCarthy, D. Phil.</w:t>
            </w:r>
          </w:p>
        </w:tc>
        <w:tc>
          <w:tcPr>
            <w:tcW w:w="580" w:type="dxa"/>
            <w:vAlign w:val="bottom"/>
          </w:tcPr>
          <w:p>
            <w:pPr>
              <w:spacing w:after="0"/>
              <w:rPr>
                <w:sz w:val="19"/>
                <w:szCs w:val="19"/>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580" w:type="dxa"/>
            <w:vAlign w:val="bottom"/>
          </w:tcPr>
          <w:p>
            <w:pPr>
              <w:spacing w:after="0"/>
              <w:rPr>
                <w:sz w:val="20"/>
                <w:szCs w:val="20"/>
                <w:color w:val="auto"/>
              </w:rPr>
            </w:pPr>
          </w:p>
        </w:tc>
      </w:tr>
      <w:tr>
        <w:trPr>
          <w:trHeight w:val="1441"/>
        </w:trPr>
        <w:tc>
          <w:tcPr>
            <w:tcW w:w="35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W. Ogden, Chief Financial Officer of CytomX Therapeutics, Inc., certify that:</w:t>
      </w:r>
    </w:p>
    <w:p>
      <w:pPr>
        <w:spacing w:after="0" w:line="115" w:lineRule="exact"/>
        <w:rPr>
          <w:sz w:val="20"/>
          <w:szCs w:val="20"/>
          <w:color w:val="auto"/>
        </w:rPr>
      </w:pPr>
    </w:p>
    <w:p>
      <w:pPr>
        <w:ind w:left="1020" w:hanging="504"/>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CytomX Therapeutics, Inc.;</w:t>
      </w:r>
    </w:p>
    <w:p>
      <w:pPr>
        <w:spacing w:after="0" w:line="221" w:lineRule="exact"/>
        <w:rPr>
          <w:rFonts w:ascii="Times New Roman" w:cs="Times New Roman" w:eastAsia="Times New Roman" w:hAnsi="Times New Roman"/>
          <w:sz w:val="18"/>
          <w:szCs w:val="18"/>
          <w:color w:val="auto"/>
        </w:rPr>
      </w:pPr>
    </w:p>
    <w:p>
      <w:pPr>
        <w:jc w:val="both"/>
        <w:ind w:left="1020" w:right="80" w:hanging="504"/>
        <w:spacing w:after="0" w:line="263"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1020" w:right="40" w:hanging="504"/>
        <w:spacing w:after="0" w:line="279"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1020" w:right="20" w:hanging="504"/>
        <w:spacing w:after="0" w:line="224" w:lineRule="exact"/>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15(e) and 15d-15(e)) and internal control over financial reporting (as defined in Exchange Act Rules 13a-15(f) and</w:t>
      </w: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4" w:lineRule="exact"/>
        <w:rPr>
          <w:rFonts w:ascii="Times New Roman" w:cs="Times New Roman" w:eastAsia="Times New Roman" w:hAnsi="Times New Roman"/>
          <w:sz w:val="17"/>
          <w:szCs w:val="17"/>
          <w:color w:val="auto"/>
        </w:rPr>
      </w:pPr>
    </w:p>
    <w:p>
      <w:pPr>
        <w:ind w:left="1540" w:right="660" w:hanging="515"/>
        <w:spacing w:after="0" w:line="263"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540" w:right="240" w:hanging="515"/>
        <w:spacing w:after="0" w:line="263"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1540" w:right="40" w:hanging="515"/>
        <w:spacing w:after="0" w:line="309" w:lineRule="auto"/>
        <w:tabs>
          <w:tab w:leader="none" w:pos="15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540" w:right="40" w:hanging="515"/>
        <w:spacing w:after="0" w:line="263"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1020" w:right="160" w:hanging="504"/>
        <w:spacing w:after="0" w:line="309" w:lineRule="auto"/>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Times New Roman" w:cs="Times New Roman" w:eastAsia="Times New Roman" w:hAnsi="Times New Roman"/>
          <w:sz w:val="17"/>
          <w:szCs w:val="17"/>
          <w:color w:val="auto"/>
        </w:rPr>
      </w:pPr>
    </w:p>
    <w:p>
      <w:pPr>
        <w:ind w:left="1540" w:right="280" w:hanging="515"/>
        <w:spacing w:after="0" w:line="279"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40" w:right="580" w:hanging="515"/>
        <w:spacing w:after="0" w:line="279"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2024</w:t>
            </w:r>
          </w:p>
        </w:tc>
        <w:tc>
          <w:tcPr>
            <w:tcW w:w="24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Christopher W. Ogden</w:t>
            </w:r>
          </w:p>
        </w:tc>
        <w:tc>
          <w:tcPr>
            <w:tcW w:w="580" w:type="dxa"/>
            <w:vAlign w:val="bottom"/>
          </w:tcPr>
          <w:p>
            <w:pPr>
              <w:spacing w:after="0"/>
              <w:rPr>
                <w:sz w:val="21"/>
                <w:szCs w:val="21"/>
                <w:color w:val="auto"/>
              </w:rPr>
            </w:pPr>
          </w:p>
        </w:tc>
      </w:tr>
      <w:tr>
        <w:trPr>
          <w:trHeight w:val="226"/>
        </w:trPr>
        <w:tc>
          <w:tcPr>
            <w:tcW w:w="3540" w:type="dxa"/>
            <w:vAlign w:val="bottom"/>
          </w:tcPr>
          <w:p>
            <w:pPr>
              <w:spacing w:after="0"/>
              <w:rPr>
                <w:sz w:val="19"/>
                <w:szCs w:val="19"/>
                <w:color w:val="auto"/>
              </w:rPr>
            </w:pPr>
          </w:p>
        </w:tc>
        <w:tc>
          <w:tcPr>
            <w:tcW w:w="24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Christopher W. Ogden</w:t>
            </w:r>
          </w:p>
        </w:tc>
        <w:tc>
          <w:tcPr>
            <w:tcW w:w="580" w:type="dxa"/>
            <w:vAlign w:val="bottom"/>
          </w:tcPr>
          <w:p>
            <w:pPr>
              <w:spacing w:after="0"/>
              <w:rPr>
                <w:sz w:val="19"/>
                <w:szCs w:val="19"/>
                <w:color w:val="auto"/>
              </w:rPr>
            </w:pPr>
          </w:p>
        </w:tc>
      </w:tr>
      <w:tr>
        <w:trPr>
          <w:trHeight w:val="237"/>
        </w:trPr>
        <w:tc>
          <w:tcPr>
            <w:tcW w:w="3540" w:type="dxa"/>
            <w:vAlign w:val="bottom"/>
          </w:tcPr>
          <w:p>
            <w:pPr>
              <w:spacing w:after="0"/>
              <w:rPr>
                <w:sz w:val="20"/>
                <w:szCs w:val="20"/>
                <w:color w:val="auto"/>
              </w:rPr>
            </w:pPr>
          </w:p>
        </w:tc>
        <w:tc>
          <w:tcPr>
            <w:tcW w:w="24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Chief Financial Officer</w:t>
            </w:r>
          </w:p>
        </w:tc>
        <w:tc>
          <w:tcPr>
            <w:tcW w:w="580" w:type="dxa"/>
            <w:vAlign w:val="bottom"/>
          </w:tcPr>
          <w:p>
            <w:pPr>
              <w:spacing w:after="0"/>
              <w:rPr>
                <w:sz w:val="20"/>
                <w:szCs w:val="20"/>
                <w:color w:val="auto"/>
              </w:rPr>
            </w:pPr>
          </w:p>
        </w:tc>
      </w:tr>
      <w:tr>
        <w:trPr>
          <w:trHeight w:val="1441"/>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color w:val="auto"/>
        </w:rPr>
        <w:t>In connection with the Quarterly Report of CytomX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September 30, 2024,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Sean A. McCarthy, Chief Executive Officer of the Company, certify, pursuant to 18 U.S.C. Section 1350, as adopted pursuant to Section 906 of the Sarbanes-Oxley Act of 2002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that:</w:t>
      </w:r>
    </w:p>
    <w:p>
      <w:pPr>
        <w:spacing w:after="0" w:line="70" w:lineRule="exact"/>
        <w:rPr>
          <w:sz w:val="20"/>
          <w:szCs w:val="20"/>
          <w:color w:val="auto"/>
        </w:rPr>
      </w:pPr>
    </w:p>
    <w:p>
      <w:pPr>
        <w:ind w:left="520" w:hanging="513"/>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4"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4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Sean A. McCarthy</w:t>
            </w:r>
          </w:p>
        </w:tc>
      </w:tr>
      <w:tr>
        <w:trPr>
          <w:trHeight w:val="199"/>
        </w:trPr>
        <w:tc>
          <w:tcPr>
            <w:tcW w:w="3540" w:type="dxa"/>
            <w:vAlign w:val="bottom"/>
          </w:tcPr>
          <w:p>
            <w:pPr>
              <w:spacing w:after="0"/>
              <w:rPr>
                <w:sz w:val="17"/>
                <w:szCs w:val="17"/>
                <w:color w:val="auto"/>
              </w:rPr>
            </w:pPr>
          </w:p>
        </w:tc>
        <w:tc>
          <w:tcPr>
            <w:tcW w:w="2420" w:type="dxa"/>
            <w:vAlign w:val="bottom"/>
          </w:tcPr>
          <w:p>
            <w:pPr>
              <w:ind w:left="174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Sean A. McCarthy, D. Phil.</w:t>
            </w:r>
          </w:p>
        </w:tc>
      </w:tr>
      <w:tr>
        <w:trPr>
          <w:trHeight w:val="237"/>
        </w:trPr>
        <w:tc>
          <w:tcPr>
            <w:tcW w:w="3540" w:type="dxa"/>
            <w:vAlign w:val="bottom"/>
          </w:tcPr>
          <w:p>
            <w:pPr>
              <w:spacing w:after="0"/>
              <w:rPr>
                <w:sz w:val="20"/>
                <w:szCs w:val="20"/>
                <w:color w:val="auto"/>
              </w:rPr>
            </w:pPr>
          </w:p>
        </w:tc>
        <w:tc>
          <w:tcPr>
            <w:tcW w:w="24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bl>
    <w:p>
      <w:pPr>
        <w:spacing w:after="0" w:line="200" w:lineRule="exact"/>
        <w:rPr>
          <w:sz w:val="20"/>
          <w:szCs w:val="20"/>
          <w:color w:val="auto"/>
        </w:rPr>
      </w:pPr>
    </w:p>
    <w:p>
      <w:pPr>
        <w:spacing w:after="0" w:line="23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576580</wp:posOffset>
            </wp:positionV>
            <wp:extent cx="71589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3"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8"/>
          <w:szCs w:val="18"/>
          <w:color w:val="auto"/>
        </w:rPr>
        <w:t>In connection with the Quarterly Report of CytomX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September 30, 2024,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Christopher W. Ogden, Chief Financial Officer of the Company, certify, pursuant to 18 U.S.C. Section 1350, as adopted pursuant to Section 906 of the Sarbanes-Oxley Act of 2002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that:</w:t>
      </w:r>
    </w:p>
    <w:p>
      <w:pPr>
        <w:spacing w:after="0" w:line="70" w:lineRule="exact"/>
        <w:rPr>
          <w:sz w:val="20"/>
          <w:szCs w:val="20"/>
          <w:color w:val="auto"/>
        </w:rPr>
      </w:pPr>
    </w:p>
    <w:p>
      <w:pPr>
        <w:ind w:left="520" w:hanging="513"/>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4" w:lineRule="exact"/>
        <w:rPr>
          <w:rFonts w:ascii="Times New Roman" w:cs="Times New Roman" w:eastAsia="Times New Roman" w:hAnsi="Times New Roman"/>
          <w:sz w:val="18"/>
          <w:szCs w:val="18"/>
          <w:color w:val="auto"/>
        </w:rPr>
      </w:pPr>
    </w:p>
    <w:p>
      <w:pPr>
        <w:ind w:left="520" w:hanging="513"/>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4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Christopher W. Ogden</w:t>
            </w:r>
          </w:p>
        </w:tc>
      </w:tr>
      <w:tr>
        <w:trPr>
          <w:trHeight w:val="199"/>
        </w:trPr>
        <w:tc>
          <w:tcPr>
            <w:tcW w:w="3540" w:type="dxa"/>
            <w:vAlign w:val="bottom"/>
          </w:tcPr>
          <w:p>
            <w:pPr>
              <w:spacing w:after="0"/>
              <w:rPr>
                <w:sz w:val="17"/>
                <w:szCs w:val="17"/>
                <w:color w:val="auto"/>
              </w:rPr>
            </w:pPr>
          </w:p>
        </w:tc>
        <w:tc>
          <w:tcPr>
            <w:tcW w:w="2420" w:type="dxa"/>
            <w:vAlign w:val="bottom"/>
          </w:tcPr>
          <w:p>
            <w:pPr>
              <w:ind w:left="174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w w:val="98"/>
              </w:rPr>
              <w:t>Christopher W. Ogden</w:t>
            </w:r>
          </w:p>
        </w:tc>
      </w:tr>
      <w:tr>
        <w:trPr>
          <w:trHeight w:val="237"/>
        </w:trPr>
        <w:tc>
          <w:tcPr>
            <w:tcW w:w="3540" w:type="dxa"/>
            <w:vAlign w:val="bottom"/>
          </w:tcPr>
          <w:p>
            <w:pPr>
              <w:spacing w:after="0"/>
              <w:rPr>
                <w:sz w:val="20"/>
                <w:szCs w:val="20"/>
                <w:color w:val="auto"/>
              </w:rPr>
            </w:pPr>
          </w:p>
        </w:tc>
        <w:tc>
          <w:tcPr>
            <w:tcW w:w="24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Chief Financial Officer</w:t>
            </w:r>
          </w:p>
        </w:tc>
      </w:tr>
    </w:tbl>
    <w:p>
      <w:pPr>
        <w:spacing w:after="0" w:line="200" w:lineRule="exact"/>
        <w:rPr>
          <w:sz w:val="20"/>
          <w:szCs w:val="20"/>
          <w:color w:val="auto"/>
        </w:rPr>
      </w:pPr>
    </w:p>
    <w:p>
      <w:pPr>
        <w:spacing w:after="0" w:line="23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440690</wp:posOffset>
            </wp:positionV>
            <wp:extent cx="71589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6"/>
    </w:lvl>
    <w:lvl w:ilvl="1">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04"/>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61" Type="http://schemas.openxmlformats.org/officeDocument/2006/relationships/hyperlink" Target="https://www.sec.gov/ix?doc=/Archives/edgar/data/1501989/000119312524141699/d816353d8k.htm" TargetMode="External"/><Relationship Id="rId262" Type="http://schemas.openxmlformats.org/officeDocument/2006/relationships/hyperlink" Target="https://www.sec.gov/ix?doc=/Archives/edgar/data/0001501989/000119312524075211/d803852d8k.htm" TargetMode="External"/><Relationship Id="rId263" Type="http://schemas.openxmlformats.org/officeDocument/2006/relationships/hyperlink" Target="https://www.sec.gov/Archives/edgar/data/0001501989/000119312515329662/d948537dex41.htm" TargetMode="External"/><Relationship Id="rId264" Type="http://schemas.openxmlformats.org/officeDocument/2006/relationships/hyperlink" Target="https://www.sec.gov/Archives/edgar/data/1501989/000119312524197826/d864122d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2024-11-07T15:22:24Z</dcterms:created>
  <dcterms:modified xsi:type="dcterms:W3CDTF">2024-11-07T15:22:24Z</dcterms:modified>
</cp:coreProperties>
</file>