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151765</wp:posOffset>
            </wp:positionH>
            <wp:positionV relativeFrom="page">
              <wp:posOffset>207010</wp:posOffset>
            </wp:positionV>
            <wp:extent cx="72574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page">
              <wp:posOffset>151765</wp:posOffset>
            </wp:positionH>
            <wp:positionV relativeFrom="page">
              <wp:posOffset>222885</wp:posOffset>
            </wp:positionV>
            <wp:extent cx="72574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762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58420</wp:posOffset>
            </wp:positionV>
            <wp:extent cx="14516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65405</wp:posOffset>
            </wp:positionV>
            <wp:extent cx="14516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pacing w:after="0" w:line="141" w:lineRule="exact"/>
        <w:rPr>
          <w:sz w:val="24"/>
          <w:szCs w:val="24"/>
          <w:color w:val="auto"/>
        </w:rPr>
      </w:pPr>
    </w:p>
    <w:p>
      <w:pPr>
        <w:ind w:left="1"/>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24" w:lineRule="exact"/>
        <w:rPr>
          <w:sz w:val="24"/>
          <w:szCs w:val="24"/>
          <w:color w:val="auto"/>
        </w:rPr>
      </w:pPr>
    </w:p>
    <w:p>
      <w:pPr>
        <w:ind w:left="501" w:hanging="501"/>
        <w:spacing w:after="0"/>
        <w:tabs>
          <w:tab w:leader="none" w:pos="50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2018</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67" w:lineRule="exact"/>
        <w:rPr>
          <w:sz w:val="24"/>
          <w:szCs w:val="24"/>
          <w:color w:val="auto"/>
        </w:rPr>
      </w:pPr>
    </w:p>
    <w:p>
      <w:pPr>
        <w:ind w:left="501" w:hanging="501"/>
        <w:spacing w:after="0"/>
        <w:tabs>
          <w:tab w:leader="none" w:pos="50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5" w:lineRule="exact"/>
        <w:rPr>
          <w:sz w:val="24"/>
          <w:szCs w:val="24"/>
          <w:color w:val="auto"/>
        </w:rPr>
      </w:pPr>
    </w:p>
    <w:p>
      <w:pPr>
        <w:ind w:left="4081"/>
        <w:spacing w:after="0"/>
        <w:tabs>
          <w:tab w:leader="none" w:pos="662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4" w:lineRule="exact"/>
        <w:rPr>
          <w:sz w:val="24"/>
          <w:szCs w:val="24"/>
          <w:color w:val="auto"/>
        </w:rPr>
      </w:pPr>
    </w:p>
    <w:p>
      <w:pPr>
        <w:ind w:left="4561"/>
        <w:spacing w:after="0"/>
        <w:rPr>
          <w:sz w:val="20"/>
          <w:szCs w:val="20"/>
          <w:color w:val="auto"/>
        </w:rPr>
      </w:pPr>
      <w:r>
        <w:rPr>
          <w:rFonts w:ascii="Times New Roman" w:cs="Times New Roman" w:eastAsia="Times New Roman" w:hAnsi="Times New Roman"/>
          <w:sz w:val="15"/>
          <w:szCs w:val="15"/>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59690</wp:posOffset>
            </wp:positionV>
            <wp:extent cx="14516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pacing w:after="0" w:line="91" w:lineRule="exact"/>
        <w:rPr>
          <w:sz w:val="24"/>
          <w:szCs w:val="24"/>
          <w:color w:val="auto"/>
        </w:rPr>
      </w:pPr>
    </w:p>
    <w:tbl>
      <w:tblPr>
        <w:tblLayout w:type="fixed"/>
        <w:tblInd w:w="1" w:type="dxa"/>
        <w:tblCellMar>
          <w:top w:w="0" w:type="dxa"/>
          <w:left w:w="0" w:type="dxa"/>
          <w:bottom w:w="0" w:type="dxa"/>
          <w:right w:w="0" w:type="dxa"/>
        </w:tblCellMar>
      </w:tblPr>
      <w:tr>
        <w:trPr>
          <w:trHeight w:val="364"/>
        </w:trPr>
        <w:tc>
          <w:tcPr>
            <w:tcW w:w="11420" w:type="dxa"/>
            <w:vAlign w:val="bottom"/>
            <w:gridSpan w:val="9"/>
          </w:tcPr>
          <w:p>
            <w:pPr>
              <w:jc w:val="center"/>
              <w:spacing w:after="0"/>
              <w:rPr>
                <w:sz w:val="20"/>
                <w:szCs w:val="20"/>
                <w:color w:val="auto"/>
              </w:rPr>
            </w:pPr>
            <w:r>
              <w:rPr>
                <w:rFonts w:ascii="Times New Roman" w:cs="Times New Roman" w:eastAsia="Times New Roman" w:hAnsi="Times New Roman"/>
                <w:sz w:val="30"/>
                <w:szCs w:val="30"/>
                <w:b w:val="1"/>
                <w:bCs w:val="1"/>
                <w:color w:val="auto"/>
                <w:w w:val="99"/>
              </w:rPr>
              <w:t>CytomX Therapeutics, Inc.</w:t>
            </w:r>
          </w:p>
        </w:tc>
      </w:tr>
      <w:tr>
        <w:trPr>
          <w:trHeight w:val="197"/>
        </w:trPr>
        <w:tc>
          <w:tcPr>
            <w:tcW w:w="11420" w:type="dxa"/>
            <w:vAlign w:val="bottom"/>
            <w:gridSpan w:val="9"/>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(Exact Name of Registrant as Specified in Its Charter)</w:t>
            </w:r>
          </w:p>
        </w:tc>
      </w:tr>
      <w:tr>
        <w:trPr>
          <w:trHeight w:val="93"/>
        </w:trPr>
        <w:tc>
          <w:tcPr>
            <w:tcW w:w="4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520" w:type="dxa"/>
            <w:vAlign w:val="bottom"/>
          </w:tcPr>
          <w:p>
            <w:pPr>
              <w:spacing w:after="0"/>
              <w:rPr>
                <w:sz w:val="8"/>
                <w:szCs w:val="8"/>
                <w:color w:val="auto"/>
              </w:rPr>
            </w:pPr>
          </w:p>
        </w:tc>
      </w:tr>
      <w:tr>
        <w:trPr>
          <w:trHeight w:val="219"/>
        </w:trPr>
        <w:tc>
          <w:tcPr>
            <w:tcW w:w="6340" w:type="dxa"/>
            <w:vAlign w:val="bottom"/>
            <w:gridSpan w:val="5"/>
          </w:tcPr>
          <w:p>
            <w:pPr>
              <w:jc w:val="center"/>
              <w:ind w:right="740"/>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20" w:type="dxa"/>
            <w:vAlign w:val="bottom"/>
          </w:tcPr>
          <w:p>
            <w:pPr>
              <w:jc w:val="right"/>
              <w:ind w:right="2351"/>
              <w:spacing w:after="0"/>
              <w:rPr>
                <w:sz w:val="20"/>
                <w:szCs w:val="20"/>
                <w:color w:val="auto"/>
              </w:rPr>
            </w:pPr>
            <w:r>
              <w:rPr>
                <w:rFonts w:ascii="Times New Roman" w:cs="Times New Roman" w:eastAsia="Times New Roman" w:hAnsi="Times New Roman"/>
                <w:sz w:val="15"/>
                <w:szCs w:val="15"/>
                <w:b w:val="1"/>
                <w:bCs w:val="1"/>
                <w:color w:val="auto"/>
              </w:rPr>
              <w:t>27-3521219</w:t>
            </w:r>
          </w:p>
        </w:tc>
      </w:tr>
      <w:tr>
        <w:trPr>
          <w:trHeight w:val="137"/>
        </w:trPr>
        <w:tc>
          <w:tcPr>
            <w:tcW w:w="6340" w:type="dxa"/>
            <w:vAlign w:val="bottom"/>
            <w:gridSpan w:val="5"/>
          </w:tcPr>
          <w:p>
            <w:pPr>
              <w:jc w:val="center"/>
              <w:ind w:right="740"/>
              <w:spacing w:after="0" w:line="137"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520" w:type="dxa"/>
            <w:vAlign w:val="bottom"/>
          </w:tcPr>
          <w:p>
            <w:pPr>
              <w:jc w:val="center"/>
              <w:ind w:right="971"/>
              <w:spacing w:after="0" w:line="137"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6340" w:type="dxa"/>
            <w:vAlign w:val="bottom"/>
            <w:gridSpan w:val="5"/>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20" w:type="dxa"/>
            <w:vAlign w:val="bottom"/>
          </w:tcPr>
          <w:p>
            <w:pPr>
              <w:jc w:val="center"/>
              <w:ind w:right="971"/>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30"/>
        </w:trPr>
        <w:tc>
          <w:tcPr>
            <w:tcW w:w="6340" w:type="dxa"/>
            <w:vAlign w:val="bottom"/>
            <w:gridSpan w:val="5"/>
          </w:tcPr>
          <w:p>
            <w:pPr>
              <w:jc w:val="center"/>
              <w:ind w:right="740"/>
              <w:spacing w:after="0"/>
              <w:rPr>
                <w:sz w:val="20"/>
                <w:szCs w:val="20"/>
                <w:color w:val="auto"/>
              </w:rPr>
            </w:pPr>
            <w:r>
              <w:rPr>
                <w:rFonts w:ascii="Times New Roman" w:cs="Times New Roman" w:eastAsia="Times New Roman" w:hAnsi="Times New Roman"/>
                <w:sz w:val="15"/>
                <w:szCs w:val="15"/>
                <w:b w:val="1"/>
                <w:bCs w:val="1"/>
                <w:color w:val="auto"/>
                <w:w w:val="99"/>
              </w:rPr>
              <w:t>151 Oyster Point Boulevard, Suite 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180"/>
        </w:trPr>
        <w:tc>
          <w:tcPr>
            <w:tcW w:w="6340" w:type="dxa"/>
            <w:vAlign w:val="bottom"/>
            <w:gridSpan w:val="5"/>
          </w:tcPr>
          <w:p>
            <w:pPr>
              <w:jc w:val="center"/>
              <w:ind w:right="740"/>
              <w:spacing w:after="0"/>
              <w:rPr>
                <w:sz w:val="20"/>
                <w:szCs w:val="20"/>
                <w:color w:val="auto"/>
              </w:rPr>
            </w:pPr>
            <w:r>
              <w:rPr>
                <w:rFonts w:ascii="Times New Roman" w:cs="Times New Roman" w:eastAsia="Times New Roman" w:hAnsi="Times New Roman"/>
                <w:sz w:val="15"/>
                <w:szCs w:val="15"/>
                <w:b w:val="1"/>
                <w:bCs w:val="1"/>
                <w:color w:val="auto"/>
                <w:w w:val="99"/>
              </w:rPr>
              <w:t>South San Francisco, California</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20" w:type="dxa"/>
            <w:vAlign w:val="bottom"/>
          </w:tcPr>
          <w:p>
            <w:pPr>
              <w:jc w:val="right"/>
              <w:ind w:right="2531"/>
              <w:spacing w:after="0"/>
              <w:rPr>
                <w:sz w:val="20"/>
                <w:szCs w:val="20"/>
                <w:color w:val="auto"/>
              </w:rPr>
            </w:pPr>
            <w:r>
              <w:rPr>
                <w:rFonts w:ascii="Times New Roman" w:cs="Times New Roman" w:eastAsia="Times New Roman" w:hAnsi="Times New Roman"/>
                <w:sz w:val="15"/>
                <w:szCs w:val="15"/>
                <w:b w:val="1"/>
                <w:bCs w:val="1"/>
                <w:color w:val="auto"/>
              </w:rPr>
              <w:t>94080</w:t>
            </w:r>
          </w:p>
        </w:tc>
      </w:tr>
      <w:tr>
        <w:trPr>
          <w:trHeight w:val="174"/>
        </w:trPr>
        <w:tc>
          <w:tcPr>
            <w:tcW w:w="6340" w:type="dxa"/>
            <w:vAlign w:val="bottom"/>
            <w:gridSpan w:val="5"/>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20" w:type="dxa"/>
            <w:vAlign w:val="bottom"/>
          </w:tcPr>
          <w:p>
            <w:pPr>
              <w:jc w:val="center"/>
              <w:ind w:right="991"/>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211"/>
        </w:trPr>
        <w:tc>
          <w:tcPr>
            <w:tcW w:w="6340" w:type="dxa"/>
            <w:vAlign w:val="bottom"/>
            <w:gridSpan w:val="5"/>
          </w:tcPr>
          <w:p>
            <w:pPr>
              <w:jc w:val="center"/>
              <w:ind w:left="5005"/>
              <w:spacing w:after="0"/>
              <w:rPr>
                <w:sz w:val="20"/>
                <w:szCs w:val="20"/>
                <w:color w:val="auto"/>
              </w:rPr>
            </w:pPr>
            <w:r>
              <w:rPr>
                <w:rFonts w:ascii="Times New Roman" w:cs="Times New Roman" w:eastAsia="Times New Roman" w:hAnsi="Times New Roman"/>
                <w:sz w:val="15"/>
                <w:szCs w:val="15"/>
                <w:b w:val="1"/>
                <w:bCs w:val="1"/>
                <w:color w:val="auto"/>
              </w:rPr>
              <w:t>(650) 515-3185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174"/>
        </w:trPr>
        <w:tc>
          <w:tcPr>
            <w:tcW w:w="11420" w:type="dxa"/>
            <w:vAlign w:val="bottom"/>
            <w:gridSpan w:val="9"/>
          </w:tcPr>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code)3</w:t>
            </w:r>
          </w:p>
        </w:tc>
      </w:tr>
      <w:tr>
        <w:trPr>
          <w:trHeight w:val="72"/>
        </w:trPr>
        <w:tc>
          <w:tcPr>
            <w:tcW w:w="45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560" w:type="dxa"/>
            <w:vAlign w:val="bottom"/>
            <w:gridSpan w:val="2"/>
          </w:tcPr>
          <w:p>
            <w:pPr>
              <w:spacing w:after="0"/>
              <w:rPr>
                <w:sz w:val="6"/>
                <w:szCs w:val="6"/>
                <w:color w:val="auto"/>
              </w:rPr>
            </w:pPr>
          </w:p>
        </w:tc>
      </w:tr>
      <w:tr>
        <w:trPr>
          <w:trHeight w:val="206"/>
        </w:trPr>
        <w:tc>
          <w:tcPr>
            <w:tcW w:w="11420" w:type="dxa"/>
            <w:vAlign w:val="bottom"/>
            <w:gridSpan w:val="9"/>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r>
      <w:tr>
        <w:trPr>
          <w:trHeight w:val="407"/>
        </w:trPr>
        <w:tc>
          <w:tcPr>
            <w:tcW w:w="6340" w:type="dxa"/>
            <w:vAlign w:val="bottom"/>
            <w:gridSpan w:val="5"/>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tcPr>
          <w:p>
            <w:pPr>
              <w:jc w:val="center"/>
              <w:ind w:right="991"/>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12"/>
        </w:trPr>
        <w:tc>
          <w:tcPr>
            <w:tcW w:w="5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Common Stock, </w:t>
            </w:r>
            <w:r>
              <w:rPr>
                <w:rFonts w:ascii="Times New Roman" w:cs="Times New Roman" w:eastAsia="Times New Roman" w:hAnsi="Times New Roman"/>
                <w:sz w:val="16"/>
                <w:szCs w:val="16"/>
                <w:b w:val="1"/>
                <w:bCs w:val="1"/>
                <w:color w:val="auto"/>
              </w:rPr>
              <w:t>$0.00001</w:t>
            </w:r>
            <w:r>
              <w:rPr>
                <w:rFonts w:ascii="Times New Roman" w:cs="Times New Roman" w:eastAsia="Times New Roman" w:hAnsi="Times New Roman"/>
                <w:sz w:val="15"/>
                <w:szCs w:val="15"/>
                <w:b w:val="1"/>
                <w:bCs w:val="1"/>
                <w:color w:val="auto"/>
              </w:rPr>
              <w:t xml:space="preserve"> par value</w:t>
            </w: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520" w:type="dxa"/>
            <w:vAlign w:val="bottom"/>
            <w:tcBorders>
              <w:top w:val="single" w:sz="8" w:color="auto"/>
            </w:tcBorders>
          </w:tcPr>
          <w:p>
            <w:pPr>
              <w:jc w:val="center"/>
              <w:ind w:right="971"/>
              <w:spacing w:after="0"/>
              <w:rPr>
                <w:sz w:val="20"/>
                <w:szCs w:val="20"/>
                <w:color w:val="auto"/>
              </w:rPr>
            </w:pPr>
            <w:r>
              <w:rPr>
                <w:rFonts w:ascii="Times New Roman" w:cs="Times New Roman" w:eastAsia="Times New Roman" w:hAnsi="Times New Roman"/>
                <w:sz w:val="15"/>
                <w:szCs w:val="15"/>
                <w:b w:val="1"/>
                <w:bCs w:val="1"/>
                <w:color w:val="auto"/>
                <w:w w:val="99"/>
              </w:rPr>
              <w:t>The Nasdaq Global Select Market</w:t>
            </w:r>
          </w:p>
        </w:tc>
      </w:tr>
      <w:tr>
        <w:trPr>
          <w:trHeight w:val="199"/>
        </w:trPr>
        <w:tc>
          <w:tcPr>
            <w:tcW w:w="11420" w:type="dxa"/>
            <w:vAlign w:val="bottom"/>
            <w:gridSpan w:val="9"/>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Securities registered pursuant to Section 12(g) of the Act:</w:t>
            </w:r>
          </w:p>
        </w:tc>
      </w:tr>
      <w:tr>
        <w:trPr>
          <w:trHeight w:val="197"/>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3"/>
          </w:tcPr>
          <w:p>
            <w:pPr>
              <w:jc w:val="center"/>
              <w:ind w:left="185"/>
              <w:spacing w:after="0"/>
              <w:rPr>
                <w:sz w:val="20"/>
                <w:szCs w:val="20"/>
                <w:color w:val="auto"/>
              </w:rPr>
            </w:pPr>
            <w:r>
              <w:rPr>
                <w:rFonts w:ascii="Times New Roman" w:cs="Times New Roman" w:eastAsia="Times New Roman" w:hAnsi="Times New Roman"/>
                <w:sz w:val="15"/>
                <w:szCs w:val="15"/>
                <w:b w:val="1"/>
                <w:bCs w:val="1"/>
                <w:color w:val="auto"/>
                <w:w w:val="95"/>
              </w:rPr>
              <w:t>None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20" w:type="dxa"/>
            <w:vAlign w:val="bottom"/>
          </w:tcPr>
          <w:p>
            <w:pPr>
              <w:spacing w:after="0"/>
              <w:rPr>
                <w:sz w:val="17"/>
                <w:szCs w:val="17"/>
                <w:color w:val="auto"/>
              </w:rPr>
            </w:pPr>
          </w:p>
        </w:tc>
      </w:tr>
      <w:tr>
        <w:trPr>
          <w:trHeight w:val="68"/>
        </w:trPr>
        <w:tc>
          <w:tcPr>
            <w:tcW w:w="4800" w:type="dxa"/>
            <w:vAlign w:val="bottom"/>
            <w:gridSpan w:val="2"/>
          </w:tcPr>
          <w:p>
            <w:pPr>
              <w:spacing w:after="0"/>
              <w:rPr>
                <w:sz w:val="5"/>
                <w:szCs w:val="5"/>
                <w:color w:val="auto"/>
              </w:rPr>
            </w:pPr>
          </w:p>
        </w:tc>
        <w:tc>
          <w:tcPr>
            <w:tcW w:w="1540" w:type="dxa"/>
            <w:vAlign w:val="bottom"/>
            <w:tcBorders>
              <w:bottom w:val="single" w:sz="8" w:color="auto"/>
            </w:tcBorders>
            <w:gridSpan w:val="3"/>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80" w:type="dxa"/>
            <w:vAlign w:val="bottom"/>
            <w:gridSpan w:val="2"/>
          </w:tcPr>
          <w:p>
            <w:pPr>
              <w:spacing w:after="0"/>
              <w:rPr>
                <w:sz w:val="5"/>
                <w:szCs w:val="5"/>
                <w:color w:val="auto"/>
              </w:rPr>
            </w:pPr>
          </w:p>
        </w:tc>
        <w:tc>
          <w:tcPr>
            <w:tcW w:w="4520" w:type="dxa"/>
            <w:vAlign w:val="bottom"/>
          </w:tcPr>
          <w:p>
            <w:pPr>
              <w:spacing w:after="0"/>
              <w:rPr>
                <w:sz w:val="5"/>
                <w:szCs w:val="5"/>
                <w:color w:val="auto"/>
              </w:rPr>
            </w:pPr>
          </w:p>
        </w:tc>
      </w:tr>
      <w:tr>
        <w:trPr>
          <w:trHeight w:val="245"/>
        </w:trPr>
        <w:tc>
          <w:tcPr>
            <w:tcW w:w="63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560" w:type="dxa"/>
            <w:vAlign w:val="bottom"/>
            <w:gridSpan w:val="3"/>
          </w:tcPr>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452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24"/>
        </w:trPr>
        <w:tc>
          <w:tcPr>
            <w:tcW w:w="63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560" w:type="dxa"/>
            <w:vAlign w:val="bottom"/>
            <w:gridSpan w:val="3"/>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4520" w:type="dxa"/>
            <w:vAlign w:val="bottom"/>
          </w:tcPr>
          <w:p>
            <w:pPr>
              <w:ind w:left="14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25" w:lineRule="exact"/>
        <w:rPr>
          <w:sz w:val="24"/>
          <w:szCs w:val="24"/>
          <w:color w:val="auto"/>
        </w:rPr>
      </w:pPr>
    </w:p>
    <w:p>
      <w:pPr>
        <w:jc w:val="both"/>
        <w:ind w:left="1"/>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9" w:lineRule="exact"/>
        <w:rPr>
          <w:sz w:val="24"/>
          <w:szCs w:val="24"/>
          <w:color w:val="auto"/>
        </w:rPr>
      </w:pPr>
    </w:p>
    <w:p>
      <w:pPr>
        <w:jc w:val="both"/>
        <w:ind w:left="1"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6" w:lineRule="exact"/>
        <w:rPr>
          <w:sz w:val="24"/>
          <w:szCs w:val="24"/>
          <w:color w:val="auto"/>
        </w:rPr>
      </w:pPr>
    </w:p>
    <w:p>
      <w:pPr>
        <w:ind w:left="1" w:right="2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26" w:lineRule="exact"/>
        <w:rPr>
          <w:sz w:val="24"/>
          <w:szCs w:val="24"/>
          <w:color w:val="auto"/>
        </w:rPr>
      </w:pPr>
    </w:p>
    <w:p>
      <w:pPr>
        <w:ind w:left="1" w:right="420"/>
        <w:spacing w:after="0" w:line="25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1"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2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Accelerated filer</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4"/>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2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8"/>
        </w:trPr>
        <w:tc>
          <w:tcPr>
            <w:tcW w:w="18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98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Emerging growth company</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36" w:lineRule="exact"/>
        <w:rPr>
          <w:sz w:val="24"/>
          <w:szCs w:val="24"/>
          <w:color w:val="auto"/>
        </w:rPr>
      </w:pPr>
    </w:p>
    <w:p>
      <w:pPr>
        <w:ind w:left="1" w:right="80"/>
        <w:spacing w:after="0" w:line="180"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p>
      <w:pPr>
        <w:ind w:left="1"/>
        <w:spacing w:after="0" w:line="150" w:lineRule="exact"/>
        <w:tabs>
          <w:tab w:leader="none" w:pos="6120" w:val="left"/>
          <w:tab w:leader="none" w:pos="66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95" w:lineRule="exact"/>
        <w:rPr>
          <w:sz w:val="24"/>
          <w:szCs w:val="24"/>
          <w:color w:val="auto"/>
        </w:rPr>
      </w:pPr>
    </w:p>
    <w:p>
      <w:pPr>
        <w:ind w:left="1" w:right="260"/>
        <w:spacing w:after="0" w:line="233" w:lineRule="auto"/>
        <w:rPr>
          <w:sz w:val="20"/>
          <w:szCs w:val="20"/>
          <w:color w:val="auto"/>
        </w:rPr>
      </w:pPr>
      <w:r>
        <w:rPr>
          <w:rFonts w:ascii="Times New Roman" w:cs="Times New Roman" w:eastAsia="Times New Roman" w:hAnsi="Times New Roman"/>
          <w:sz w:val="13"/>
          <w:szCs w:val="13"/>
          <w:color w:val="auto"/>
        </w:rPr>
        <w:t>As of June 30, 2018, the last business day of the registrant’s most recently completed second fiscal quarter, the aggregate market value of the registrant’s common stock held by non-affiliates of the registrant was approximately $876.4 million, based on the closing price of the registrant’s common stock on Nasdaq Global Select Market on June 30, 2018 of $22.86 per share.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w:t>
      </w:r>
    </w:p>
    <w:p>
      <w:pPr>
        <w:spacing w:after="0" w:line="28" w:lineRule="exact"/>
        <w:rPr>
          <w:sz w:val="24"/>
          <w:szCs w:val="24"/>
          <w:color w:val="auto"/>
        </w:rPr>
      </w:pPr>
    </w:p>
    <w:p>
      <w:pPr>
        <w:ind w:left="1"/>
        <w:spacing w:after="0"/>
        <w:rPr>
          <w:sz w:val="20"/>
          <w:szCs w:val="20"/>
          <w:color w:val="auto"/>
        </w:rPr>
      </w:pPr>
      <w:r>
        <w:rPr>
          <w:rFonts w:ascii="Times New Roman" w:cs="Times New Roman" w:eastAsia="Times New Roman" w:hAnsi="Times New Roman"/>
          <w:sz w:val="13"/>
          <w:szCs w:val="13"/>
          <w:color w:val="auto"/>
        </w:rPr>
        <w:t>As of January 31, 2019, 45,111,282 shares of the registrant’s common stock, $0.00001 par value per share, were outstanding.</w:t>
      </w:r>
    </w:p>
    <w:p>
      <w:pPr>
        <w:spacing w:after="0" w:line="47" w:lineRule="exact"/>
        <w:rPr>
          <w:sz w:val="24"/>
          <w:szCs w:val="24"/>
          <w:color w:val="auto"/>
        </w:rPr>
      </w:pPr>
    </w:p>
    <w:p>
      <w:pPr>
        <w:ind w:left="4201"/>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4" w:lineRule="exact"/>
        <w:rPr>
          <w:sz w:val="24"/>
          <w:szCs w:val="24"/>
          <w:color w:val="auto"/>
        </w:rPr>
      </w:pPr>
    </w:p>
    <w:p>
      <w:pPr>
        <w:ind w:left="1" w:right="100"/>
        <w:spacing w:after="0" w:line="255"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for its 2019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2574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72574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619125</wp:posOffset>
            </wp:positionV>
            <wp:extent cx="729869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38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00" w:type="dxa"/>
            <w:vAlign w:val="bottom"/>
            <w:gridSpan w:val="8"/>
          </w:tcPr>
          <w:p>
            <w:pPr>
              <w:jc w:val="center"/>
              <w:ind w:right="2700"/>
              <w:spacing w:after="0"/>
              <w:rPr>
                <w:sz w:val="20"/>
                <w:szCs w:val="20"/>
                <w:color w:val="auto"/>
              </w:rPr>
            </w:pPr>
            <w:r>
              <w:rPr>
                <w:rFonts w:ascii="Times New Roman" w:cs="Times New Roman" w:eastAsia="Times New Roman" w:hAnsi="Times New Roman"/>
                <w:sz w:val="17"/>
                <w:szCs w:val="17"/>
                <w:b w:val="1"/>
                <w:bCs w:val="1"/>
                <w:color w:val="auto"/>
                <w:w w:val="97"/>
              </w:rPr>
              <w:t>CYTOMX THERAPEUTICS, INC.</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00" w:type="dxa"/>
            <w:vAlign w:val="bottom"/>
            <w:gridSpan w:val="8"/>
          </w:tcPr>
          <w:p>
            <w:pPr>
              <w:jc w:val="center"/>
              <w:ind w:right="2720"/>
              <w:spacing w:after="0"/>
              <w:rPr>
                <w:sz w:val="20"/>
                <w:szCs w:val="20"/>
                <w:color w:val="auto"/>
              </w:rPr>
            </w:pPr>
            <w:r>
              <w:rPr>
                <w:rFonts w:ascii="Times New Roman" w:cs="Times New Roman" w:eastAsia="Times New Roman" w:hAnsi="Times New Roman"/>
                <w:sz w:val="17"/>
                <w:szCs w:val="17"/>
                <w:b w:val="1"/>
                <w:bCs w:val="1"/>
                <w:color w:val="auto"/>
                <w:w w:val="97"/>
              </w:rPr>
              <w:t>ANNUAL REPORT ON FORM 10-K</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gridSpan w:val="8"/>
          </w:tcPr>
          <w:p>
            <w:pPr>
              <w:jc w:val="center"/>
              <w:ind w:right="2720"/>
              <w:spacing w:after="0"/>
              <w:rPr>
                <w:sz w:val="20"/>
                <w:szCs w:val="20"/>
                <w:color w:val="auto"/>
              </w:rPr>
            </w:pPr>
            <w:r>
              <w:rPr>
                <w:rFonts w:ascii="Times New Roman" w:cs="Times New Roman" w:eastAsia="Times New Roman" w:hAnsi="Times New Roman"/>
                <w:sz w:val="17"/>
                <w:szCs w:val="17"/>
                <w:b w:val="1"/>
                <w:bCs w:val="1"/>
                <w:color w:val="auto"/>
                <w:w w:val="97"/>
              </w:rPr>
              <w:t>TABLE OF CONTENTS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66"/>
        </w:trPr>
        <w:tc>
          <w:tcPr>
            <w:tcW w:w="540" w:type="dxa"/>
            <w:vAlign w:val="bottom"/>
            <w:tcBorders>
              <w:bottom w:val="single" w:sz="8" w:color="0000EE"/>
            </w:tcBorders>
          </w:tcPr>
          <w:p>
            <w:pPr>
              <w:spacing w:after="0"/>
              <w:rPr>
                <w:rFonts w:ascii="Times New Roman" w:cs="Times New Roman" w:eastAsia="Times New Roman" w:hAnsi="Times New Roman"/>
                <w:sz w:val="17"/>
                <w:szCs w:val="17"/>
                <w:b w:val="1"/>
                <w:bCs w:val="1"/>
                <w:color w:val="0000EE"/>
                <w:w w:val="90"/>
              </w:rPr>
            </w:pPr>
            <w:hyperlink w:anchor="page5">
              <w:r>
                <w:rPr>
                  <w:rFonts w:ascii="Times New Roman" w:cs="Times New Roman" w:eastAsia="Times New Roman" w:hAnsi="Times New Roman"/>
                  <w:sz w:val="17"/>
                  <w:szCs w:val="17"/>
                  <w:b w:val="1"/>
                  <w:bCs w:val="1"/>
                  <w:color w:val="0000EE"/>
                  <w:w w:val="90"/>
                </w:rPr>
                <w:t>PART I</w:t>
              </w:r>
            </w:hyperlink>
          </w:p>
        </w:tc>
        <w:tc>
          <w:tcPr>
            <w:tcW w:w="720" w:type="dxa"/>
            <w:vAlign w:val="bottom"/>
            <w:gridSpan w:val="4"/>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600" w:type="dxa"/>
            <w:vAlign w:val="bottom"/>
            <w:tcBorders>
              <w:bottom w:val="single" w:sz="8" w:color="0000EE"/>
            </w:tcBorders>
          </w:tcPr>
          <w:p>
            <w:pPr>
              <w:spacing w:after="0"/>
              <w:rPr>
                <w:rFonts w:ascii="Times New Roman" w:cs="Times New Roman" w:eastAsia="Times New Roman" w:hAnsi="Times New Roman"/>
                <w:sz w:val="17"/>
                <w:szCs w:val="17"/>
                <w:color w:val="0000EE"/>
                <w:w w:val="95"/>
              </w:rPr>
            </w:pPr>
            <w:hyperlink w:anchor="page5">
              <w:r>
                <w:rPr>
                  <w:rFonts w:ascii="Times New Roman" w:cs="Times New Roman" w:eastAsia="Times New Roman" w:hAnsi="Times New Roman"/>
                  <w:sz w:val="17"/>
                  <w:szCs w:val="17"/>
                  <w:color w:val="0000EE"/>
                  <w:w w:val="95"/>
                </w:rPr>
                <w:t>Business</w:t>
              </w:r>
            </w:hyperlink>
          </w:p>
        </w:tc>
        <w:tc>
          <w:tcPr>
            <w:tcW w:w="7960" w:type="dxa"/>
            <w:vAlign w:val="bottom"/>
            <w:gridSpan w:val="21"/>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1A.</w:t>
            </w:r>
          </w:p>
        </w:tc>
        <w:tc>
          <w:tcPr>
            <w:tcW w:w="84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5"/>
              </w:rPr>
            </w:pPr>
            <w:hyperlink w:anchor="page38">
              <w:r>
                <w:rPr>
                  <w:rFonts w:ascii="Times New Roman" w:cs="Times New Roman" w:eastAsia="Times New Roman" w:hAnsi="Times New Roman"/>
                  <w:sz w:val="17"/>
                  <w:szCs w:val="17"/>
                  <w:color w:val="0000EE"/>
                  <w:w w:val="95"/>
                </w:rPr>
                <w:t>Risk Factors</w:t>
              </w:r>
            </w:hyperlink>
          </w:p>
        </w:tc>
        <w:tc>
          <w:tcPr>
            <w:tcW w:w="7720" w:type="dxa"/>
            <w:vAlign w:val="bottom"/>
            <w:gridSpan w:val="18"/>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1B.</w:t>
            </w:r>
          </w:p>
        </w:tc>
        <w:tc>
          <w:tcPr>
            <w:tcW w:w="8560" w:type="dxa"/>
            <w:vAlign w:val="bottom"/>
            <w:gridSpan w:val="22"/>
          </w:tcPr>
          <w:p>
            <w:pPr>
              <w:spacing w:after="0"/>
              <w:rPr>
                <w:rFonts w:ascii="Times New Roman" w:cs="Times New Roman" w:eastAsia="Times New Roman" w:hAnsi="Times New Roman"/>
                <w:sz w:val="17"/>
                <w:szCs w:val="17"/>
                <w:color w:val="0000EE"/>
              </w:rPr>
            </w:pPr>
            <w:hyperlink w:anchor="page74">
              <w:r>
                <w:rPr>
                  <w:rFonts w:ascii="Times New Roman" w:cs="Times New Roman" w:eastAsia="Times New Roman" w:hAnsi="Times New Roman"/>
                  <w:sz w:val="17"/>
                  <w:szCs w:val="17"/>
                  <w:color w:val="0000EE"/>
                </w:rPr>
                <w:t>Unresolved Staff Comments</w:t>
              </w:r>
            </w:hyperlink>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6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7"/>
                <w:szCs w:val="17"/>
                <w:color w:val="0000EE"/>
                <w:w w:val="95"/>
              </w:rPr>
            </w:pPr>
            <w:hyperlink w:anchor="page75">
              <w:r>
                <w:rPr>
                  <w:rFonts w:ascii="Times New Roman" w:cs="Times New Roman" w:eastAsia="Times New Roman" w:hAnsi="Times New Roman"/>
                  <w:sz w:val="17"/>
                  <w:szCs w:val="17"/>
                  <w:color w:val="0000EE"/>
                  <w:w w:val="95"/>
                </w:rPr>
                <w:t>Properties</w:t>
              </w:r>
            </w:hyperlink>
          </w:p>
        </w:tc>
        <w:tc>
          <w:tcPr>
            <w:tcW w:w="1200" w:type="dxa"/>
            <w:vAlign w:val="bottom"/>
            <w:tcBorders>
              <w:top w:val="single" w:sz="8" w:color="0000EE"/>
            </w:tcBorders>
            <w:gridSpan w:val="9"/>
          </w:tcPr>
          <w:p>
            <w:pPr>
              <w:spacing w:after="0"/>
              <w:rPr>
                <w:sz w:val="24"/>
                <w:szCs w:val="24"/>
                <w:color w:val="auto"/>
              </w:rPr>
            </w:pPr>
          </w:p>
        </w:tc>
        <w:tc>
          <w:tcPr>
            <w:tcW w:w="6680" w:type="dxa"/>
            <w:vAlign w:val="bottom"/>
            <w:gridSpan w:val="11"/>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124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w w:val="96"/>
              </w:rPr>
            </w:pPr>
            <w:hyperlink w:anchor="page75">
              <w:r>
                <w:rPr>
                  <w:rFonts w:ascii="Times New Roman" w:cs="Times New Roman" w:eastAsia="Times New Roman" w:hAnsi="Times New Roman"/>
                  <w:sz w:val="17"/>
                  <w:szCs w:val="17"/>
                  <w:color w:val="0000EE"/>
                  <w:w w:val="96"/>
                </w:rPr>
                <w:t>Legal Proceedings</w:t>
              </w:r>
            </w:hyperlink>
          </w:p>
        </w:tc>
        <w:tc>
          <w:tcPr>
            <w:tcW w:w="7320" w:type="dxa"/>
            <w:vAlign w:val="bottom"/>
            <w:gridSpan w:val="16"/>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4.</w:t>
            </w:r>
          </w:p>
        </w:tc>
        <w:tc>
          <w:tcPr>
            <w:tcW w:w="8560" w:type="dxa"/>
            <w:vAlign w:val="bottom"/>
            <w:gridSpan w:val="22"/>
          </w:tcPr>
          <w:p>
            <w:pPr>
              <w:spacing w:after="0"/>
              <w:rPr>
                <w:rFonts w:ascii="Times New Roman" w:cs="Times New Roman" w:eastAsia="Times New Roman" w:hAnsi="Times New Roman"/>
                <w:sz w:val="17"/>
                <w:szCs w:val="17"/>
                <w:color w:val="0000EE"/>
              </w:rPr>
            </w:pPr>
            <w:hyperlink w:anchor="page75">
              <w:r>
                <w:rPr>
                  <w:rFonts w:ascii="Times New Roman" w:cs="Times New Roman" w:eastAsia="Times New Roman" w:hAnsi="Times New Roman"/>
                  <w:sz w:val="17"/>
                  <w:szCs w:val="17"/>
                  <w:color w:val="0000EE"/>
                </w:rPr>
                <w:t>Mine Safety Disclosures</w:t>
              </w:r>
            </w:hyperlink>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91"/>
        </w:trPr>
        <w:tc>
          <w:tcPr>
            <w:tcW w:w="600" w:type="dxa"/>
            <w:vAlign w:val="bottom"/>
            <w:tcBorders>
              <w:bottom w:val="single" w:sz="8" w:color="0000EE"/>
            </w:tcBorders>
            <w:gridSpan w:val="2"/>
          </w:tcPr>
          <w:p>
            <w:pPr>
              <w:spacing w:after="0"/>
              <w:rPr>
                <w:rFonts w:ascii="Times New Roman" w:cs="Times New Roman" w:eastAsia="Times New Roman" w:hAnsi="Times New Roman"/>
                <w:sz w:val="17"/>
                <w:szCs w:val="17"/>
                <w:b w:val="1"/>
                <w:bCs w:val="1"/>
                <w:color w:val="0000EE"/>
                <w:w w:val="90"/>
              </w:rPr>
            </w:pPr>
            <w:hyperlink w:anchor="page76">
              <w:r>
                <w:rPr>
                  <w:rFonts w:ascii="Times New Roman" w:cs="Times New Roman" w:eastAsia="Times New Roman" w:hAnsi="Times New Roman"/>
                  <w:sz w:val="17"/>
                  <w:szCs w:val="17"/>
                  <w:b w:val="1"/>
                  <w:bCs w:val="1"/>
                  <w:color w:val="0000EE"/>
                  <w:w w:val="90"/>
                </w:rPr>
                <w:t>PART II</w:t>
              </w:r>
            </w:hyperlink>
          </w:p>
        </w:tc>
        <w:tc>
          <w:tcPr>
            <w:tcW w:w="660" w:type="dxa"/>
            <w:vAlign w:val="bottom"/>
            <w:gridSpan w:val="3"/>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5.</w:t>
            </w:r>
          </w:p>
        </w:tc>
        <w:tc>
          <w:tcPr>
            <w:tcW w:w="748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w w:val="96"/>
              </w:rPr>
            </w:pPr>
            <w:hyperlink w:anchor="page76">
              <w:r>
                <w:rPr>
                  <w:rFonts w:ascii="Times New Roman" w:cs="Times New Roman" w:eastAsia="Times New Roman" w:hAnsi="Times New Roman"/>
                  <w:sz w:val="17"/>
                  <w:szCs w:val="17"/>
                  <w:color w:val="0000EE"/>
                  <w:w w:val="96"/>
                </w:rPr>
                <w:t>Market for Registrant’s Common Equity, Related Stockholder Matters, and Issuer Purchases of Equity Securities</w:t>
              </w:r>
            </w:hyperlink>
          </w:p>
        </w:tc>
        <w:tc>
          <w:tcPr>
            <w:tcW w:w="1080" w:type="dxa"/>
            <w:vAlign w:val="bottom"/>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158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6"/>
              </w:rPr>
            </w:pPr>
            <w:hyperlink w:anchor="page77">
              <w:r>
                <w:rPr>
                  <w:rFonts w:ascii="Times New Roman" w:cs="Times New Roman" w:eastAsia="Times New Roman" w:hAnsi="Times New Roman"/>
                  <w:sz w:val="17"/>
                  <w:szCs w:val="17"/>
                  <w:color w:val="0000EE"/>
                  <w:w w:val="96"/>
                </w:rPr>
                <w:t>Selected Financial Data</w:t>
              </w:r>
            </w:hyperlink>
          </w:p>
        </w:tc>
        <w:tc>
          <w:tcPr>
            <w:tcW w:w="6980" w:type="dxa"/>
            <w:vAlign w:val="bottom"/>
            <w:gridSpan w:val="14"/>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7.</w:t>
            </w:r>
          </w:p>
        </w:tc>
        <w:tc>
          <w:tcPr>
            <w:tcW w:w="8560" w:type="dxa"/>
            <w:vAlign w:val="bottom"/>
            <w:gridSpan w:val="22"/>
          </w:tcPr>
          <w:p>
            <w:pPr>
              <w:spacing w:after="0"/>
              <w:rPr>
                <w:rFonts w:ascii="Times New Roman" w:cs="Times New Roman" w:eastAsia="Times New Roman" w:hAnsi="Times New Roman"/>
                <w:sz w:val="17"/>
                <w:szCs w:val="17"/>
                <w:color w:val="0000EE"/>
              </w:rPr>
            </w:pPr>
            <w:hyperlink w:anchor="page79">
              <w:r>
                <w:rPr>
                  <w:rFonts w:ascii="Times New Roman" w:cs="Times New Roman" w:eastAsia="Times New Roman" w:hAnsi="Times New Roman"/>
                  <w:sz w:val="17"/>
                  <w:szCs w:val="17"/>
                  <w:color w:val="0000EE"/>
                </w:rPr>
                <w:t>Management’s Discussion and Analysis of Financial Condition and Results of Operations</w:t>
              </w:r>
            </w:hyperlink>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7A.</w:t>
            </w:r>
          </w:p>
        </w:tc>
        <w:tc>
          <w:tcPr>
            <w:tcW w:w="402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7"/>
                <w:szCs w:val="17"/>
                <w:color w:val="0000EE"/>
                <w:w w:val="97"/>
              </w:rPr>
            </w:pPr>
            <w:hyperlink w:anchor="page93">
              <w:r>
                <w:rPr>
                  <w:rFonts w:ascii="Times New Roman" w:cs="Times New Roman" w:eastAsia="Times New Roman" w:hAnsi="Times New Roman"/>
                  <w:sz w:val="17"/>
                  <w:szCs w:val="17"/>
                  <w:color w:val="0000EE"/>
                  <w:w w:val="97"/>
                </w:rPr>
                <w:t>Quantitative and Qualitative Disclosures About Market Risk</w:t>
              </w:r>
            </w:hyperlink>
          </w:p>
        </w:tc>
        <w:tc>
          <w:tcPr>
            <w:tcW w:w="1920" w:type="dxa"/>
            <w:vAlign w:val="bottom"/>
            <w:tcBorders>
              <w:top w:val="single" w:sz="8" w:color="0000EE"/>
            </w:tcBorders>
            <w:gridSpan w:val="3"/>
          </w:tcPr>
          <w:p>
            <w:pPr>
              <w:spacing w:after="0"/>
              <w:rPr>
                <w:sz w:val="24"/>
                <w:szCs w:val="24"/>
                <w:color w:val="auto"/>
              </w:rPr>
            </w:pPr>
          </w:p>
        </w:tc>
        <w:tc>
          <w:tcPr>
            <w:tcW w:w="2620" w:type="dxa"/>
            <w:vAlign w:val="bottom"/>
            <w:gridSpan w:val="4"/>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8560" w:type="dxa"/>
            <w:vAlign w:val="bottom"/>
            <w:gridSpan w:val="22"/>
          </w:tcPr>
          <w:p>
            <w:pPr>
              <w:spacing w:after="0"/>
              <w:rPr>
                <w:rFonts w:ascii="Times New Roman" w:cs="Times New Roman" w:eastAsia="Times New Roman" w:hAnsi="Times New Roman"/>
                <w:sz w:val="17"/>
                <w:szCs w:val="17"/>
                <w:color w:val="0000EE"/>
              </w:rPr>
            </w:pPr>
            <w:hyperlink w:anchor="page94">
              <w:r>
                <w:rPr>
                  <w:rFonts w:ascii="Times New Roman" w:cs="Times New Roman" w:eastAsia="Times New Roman" w:hAnsi="Times New Roman"/>
                  <w:sz w:val="17"/>
                  <w:szCs w:val="17"/>
                  <w:color w:val="0000EE"/>
                </w:rPr>
                <w:t>Financial Statements and Supplementary Data</w:t>
              </w:r>
            </w:hyperlink>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0"/>
        </w:trPr>
        <w:tc>
          <w:tcPr>
            <w:tcW w:w="12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auto"/>
              </w:rPr>
              <w:t>ITEM 9.</w:t>
            </w: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60" w:type="dxa"/>
            <w:vAlign w:val="bottom"/>
            <w:gridSpan w:val="5"/>
            <w:vMerge w:val="continue"/>
          </w:tcPr>
          <w:p>
            <w:pPr>
              <w:spacing w:after="0"/>
              <w:rPr>
                <w:sz w:val="24"/>
                <w:szCs w:val="24"/>
                <w:color w:val="auto"/>
              </w:rPr>
            </w:pPr>
          </w:p>
        </w:tc>
        <w:tc>
          <w:tcPr>
            <w:tcW w:w="8560" w:type="dxa"/>
            <w:vAlign w:val="bottom"/>
            <w:gridSpan w:val="22"/>
          </w:tcPr>
          <w:p>
            <w:pPr>
              <w:spacing w:after="0"/>
              <w:rPr>
                <w:rFonts w:ascii="Times New Roman" w:cs="Times New Roman" w:eastAsia="Times New Roman" w:hAnsi="Times New Roman"/>
                <w:sz w:val="17"/>
                <w:szCs w:val="17"/>
                <w:color w:val="0000EE"/>
              </w:rPr>
            </w:pPr>
            <w:hyperlink w:anchor="page130">
              <w:r>
                <w:rPr>
                  <w:rFonts w:ascii="Times New Roman" w:cs="Times New Roman" w:eastAsia="Times New Roman" w:hAnsi="Times New Roman"/>
                  <w:sz w:val="17"/>
                  <w:szCs w:val="17"/>
                  <w:color w:val="0000EE"/>
                </w:rPr>
                <w:t>Changes in and Disagreements with Accountants on Accounting and Financial Disclosure</w:t>
              </w:r>
            </w:hyperlink>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9A.</w:t>
            </w:r>
          </w:p>
        </w:tc>
        <w:tc>
          <w:tcPr>
            <w:tcW w:w="16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7"/>
                <w:szCs w:val="17"/>
                <w:color w:val="0000EE"/>
                <w:w w:val="96"/>
              </w:rPr>
            </w:pPr>
            <w:hyperlink w:anchor="page130">
              <w:r>
                <w:rPr>
                  <w:rFonts w:ascii="Times New Roman" w:cs="Times New Roman" w:eastAsia="Times New Roman" w:hAnsi="Times New Roman"/>
                  <w:sz w:val="17"/>
                  <w:szCs w:val="17"/>
                  <w:color w:val="0000EE"/>
                  <w:w w:val="96"/>
                </w:rPr>
                <w:t>Controls and Procedures</w:t>
              </w:r>
            </w:hyperlink>
          </w:p>
        </w:tc>
        <w:tc>
          <w:tcPr>
            <w:tcW w:w="4320" w:type="dxa"/>
            <w:vAlign w:val="bottom"/>
            <w:tcBorders>
              <w:top w:val="single" w:sz="8" w:color="0000EE"/>
            </w:tcBorders>
            <w:gridSpan w:val="10"/>
          </w:tcPr>
          <w:p>
            <w:pPr>
              <w:spacing w:after="0"/>
              <w:rPr>
                <w:sz w:val="24"/>
                <w:szCs w:val="24"/>
                <w:color w:val="auto"/>
              </w:rPr>
            </w:pPr>
          </w:p>
        </w:tc>
        <w:tc>
          <w:tcPr>
            <w:tcW w:w="2600" w:type="dxa"/>
            <w:vAlign w:val="bottom"/>
            <w:gridSpan w:val="3"/>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9B.</w:t>
            </w:r>
          </w:p>
        </w:tc>
        <w:tc>
          <w:tcPr>
            <w:tcW w:w="8560" w:type="dxa"/>
            <w:vAlign w:val="bottom"/>
            <w:gridSpan w:val="22"/>
          </w:tcPr>
          <w:p>
            <w:pPr>
              <w:spacing w:after="0"/>
              <w:rPr>
                <w:rFonts w:ascii="Times New Roman" w:cs="Times New Roman" w:eastAsia="Times New Roman" w:hAnsi="Times New Roman"/>
                <w:sz w:val="17"/>
                <w:szCs w:val="17"/>
                <w:color w:val="0000EE"/>
              </w:rPr>
            </w:pPr>
            <w:hyperlink w:anchor="page131">
              <w:r>
                <w:rPr>
                  <w:rFonts w:ascii="Times New Roman" w:cs="Times New Roman" w:eastAsia="Times New Roman" w:hAnsi="Times New Roman"/>
                  <w:sz w:val="17"/>
                  <w:szCs w:val="17"/>
                  <w:color w:val="0000EE"/>
                </w:rPr>
                <w:t>Other Information</w:t>
              </w:r>
            </w:hyperlink>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91"/>
        </w:trPr>
        <w:tc>
          <w:tcPr>
            <w:tcW w:w="680" w:type="dxa"/>
            <w:vAlign w:val="bottom"/>
            <w:tcBorders>
              <w:bottom w:val="single" w:sz="8" w:color="0000EE"/>
            </w:tcBorders>
            <w:gridSpan w:val="4"/>
          </w:tcPr>
          <w:p>
            <w:pPr>
              <w:spacing w:after="0"/>
              <w:rPr>
                <w:rFonts w:ascii="Times New Roman" w:cs="Times New Roman" w:eastAsia="Times New Roman" w:hAnsi="Times New Roman"/>
                <w:sz w:val="17"/>
                <w:szCs w:val="17"/>
                <w:b w:val="1"/>
                <w:bCs w:val="1"/>
                <w:color w:val="0000EE"/>
                <w:w w:val="93"/>
              </w:rPr>
            </w:pPr>
            <w:hyperlink w:anchor="page132">
              <w:r>
                <w:rPr>
                  <w:rFonts w:ascii="Times New Roman" w:cs="Times New Roman" w:eastAsia="Times New Roman" w:hAnsi="Times New Roman"/>
                  <w:sz w:val="17"/>
                  <w:szCs w:val="17"/>
                  <w:b w:val="1"/>
                  <w:bCs w:val="1"/>
                  <w:color w:val="0000EE"/>
                  <w:w w:val="93"/>
                </w:rPr>
                <w:t>PART III</w:t>
              </w:r>
            </w:hyperlink>
          </w:p>
        </w:tc>
        <w:tc>
          <w:tcPr>
            <w:tcW w:w="5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10.</w:t>
            </w:r>
          </w:p>
        </w:tc>
        <w:tc>
          <w:tcPr>
            <w:tcW w:w="8560" w:type="dxa"/>
            <w:vAlign w:val="bottom"/>
            <w:gridSpan w:val="22"/>
          </w:tcPr>
          <w:p>
            <w:pPr>
              <w:spacing w:after="0"/>
              <w:rPr>
                <w:rFonts w:ascii="Times New Roman" w:cs="Times New Roman" w:eastAsia="Times New Roman" w:hAnsi="Times New Roman"/>
                <w:sz w:val="17"/>
                <w:szCs w:val="17"/>
                <w:color w:val="0000EE"/>
              </w:rPr>
            </w:pPr>
            <w:hyperlink w:anchor="page132">
              <w:r>
                <w:rPr>
                  <w:rFonts w:ascii="Times New Roman" w:cs="Times New Roman" w:eastAsia="Times New Roman" w:hAnsi="Times New Roman"/>
                  <w:sz w:val="17"/>
                  <w:szCs w:val="17"/>
                  <w:color w:val="0000EE"/>
                </w:rPr>
                <w:t>Directors, Executive Officers of the Registrant and Corporate Governance Matters</w:t>
              </w:r>
            </w:hyperlink>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11.</w:t>
            </w:r>
          </w:p>
        </w:tc>
        <w:tc>
          <w:tcPr>
            <w:tcW w:w="5460" w:type="dxa"/>
            <w:vAlign w:val="bottom"/>
            <w:tcBorders>
              <w:top w:val="single" w:sz="8" w:color="0000EE"/>
            </w:tcBorders>
            <w:gridSpan w:val="17"/>
          </w:tcPr>
          <w:p>
            <w:pPr>
              <w:spacing w:after="0"/>
              <w:rPr>
                <w:rFonts w:ascii="Times New Roman" w:cs="Times New Roman" w:eastAsia="Times New Roman" w:hAnsi="Times New Roman"/>
                <w:sz w:val="17"/>
                <w:szCs w:val="17"/>
                <w:color w:val="0000EE"/>
              </w:rPr>
            </w:pPr>
            <w:hyperlink w:anchor="page132">
              <w:r>
                <w:rPr>
                  <w:rFonts w:ascii="Times New Roman" w:cs="Times New Roman" w:eastAsia="Times New Roman" w:hAnsi="Times New Roman"/>
                  <w:sz w:val="17"/>
                  <w:szCs w:val="17"/>
                  <w:color w:val="0000EE"/>
                </w:rPr>
                <w:t>Executive Compensation</w:t>
              </w:r>
            </w:hyperlink>
          </w:p>
        </w:tc>
        <w:tc>
          <w:tcPr>
            <w:tcW w:w="3100" w:type="dxa"/>
            <w:vAlign w:val="bottom"/>
            <w:gridSpan w:val="5"/>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0"/>
        </w:trPr>
        <w:tc>
          <w:tcPr>
            <w:tcW w:w="12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auto"/>
              </w:rPr>
              <w:t>ITEM 12.</w:t>
            </w:r>
          </w:p>
        </w:tc>
        <w:tc>
          <w:tcPr>
            <w:tcW w:w="700" w:type="dxa"/>
            <w:vAlign w:val="bottom"/>
            <w:gridSpan w:val="3"/>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60" w:type="dxa"/>
            <w:vAlign w:val="bottom"/>
            <w:gridSpan w:val="5"/>
            <w:vMerge w:val="continue"/>
          </w:tcPr>
          <w:p>
            <w:pPr>
              <w:spacing w:after="0"/>
              <w:rPr>
                <w:sz w:val="24"/>
                <w:szCs w:val="24"/>
                <w:color w:val="auto"/>
              </w:rPr>
            </w:pPr>
          </w:p>
        </w:tc>
        <w:tc>
          <w:tcPr>
            <w:tcW w:w="6720" w:type="dxa"/>
            <w:vAlign w:val="bottom"/>
            <w:tcBorders>
              <w:bottom w:val="single" w:sz="8" w:color="0000EE"/>
            </w:tcBorders>
            <w:gridSpan w:val="20"/>
          </w:tcPr>
          <w:p>
            <w:pPr>
              <w:spacing w:after="0"/>
              <w:rPr>
                <w:rFonts w:ascii="Times New Roman" w:cs="Times New Roman" w:eastAsia="Times New Roman" w:hAnsi="Times New Roman"/>
                <w:sz w:val="17"/>
                <w:szCs w:val="17"/>
                <w:color w:val="0000EE"/>
                <w:w w:val="97"/>
              </w:rPr>
            </w:pPr>
            <w:hyperlink w:anchor="page132">
              <w:r>
                <w:rPr>
                  <w:rFonts w:ascii="Times New Roman" w:cs="Times New Roman" w:eastAsia="Times New Roman" w:hAnsi="Times New Roman"/>
                  <w:sz w:val="17"/>
                  <w:szCs w:val="17"/>
                  <w:color w:val="0000EE"/>
                  <w:w w:val="97"/>
                </w:rPr>
                <w:t>Security Ownership of Certain Beneficial Owners and Management and Related Stockholder Matters</w:t>
              </w:r>
            </w:hyperlink>
          </w:p>
        </w:tc>
        <w:tc>
          <w:tcPr>
            <w:tcW w:w="1840" w:type="dxa"/>
            <w:vAlign w:val="bottom"/>
            <w:gridSpan w:val="2"/>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13.</w:t>
            </w:r>
          </w:p>
        </w:tc>
        <w:tc>
          <w:tcPr>
            <w:tcW w:w="8560" w:type="dxa"/>
            <w:vAlign w:val="bottom"/>
            <w:gridSpan w:val="22"/>
          </w:tcPr>
          <w:p>
            <w:pPr>
              <w:spacing w:after="0"/>
              <w:rPr>
                <w:rFonts w:ascii="Times New Roman" w:cs="Times New Roman" w:eastAsia="Times New Roman" w:hAnsi="Times New Roman"/>
                <w:sz w:val="17"/>
                <w:szCs w:val="17"/>
                <w:color w:val="0000EE"/>
              </w:rPr>
            </w:pPr>
            <w:hyperlink w:anchor="page132">
              <w:r>
                <w:rPr>
                  <w:rFonts w:ascii="Times New Roman" w:cs="Times New Roman" w:eastAsia="Times New Roman" w:hAnsi="Times New Roman"/>
                  <w:sz w:val="17"/>
                  <w:szCs w:val="17"/>
                  <w:color w:val="0000EE"/>
                </w:rPr>
                <w:t>Certain Relationships and Related Transactions, and Director Independence</w:t>
              </w:r>
            </w:hyperlink>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14.</w:t>
            </w:r>
          </w:p>
        </w:tc>
        <w:tc>
          <w:tcPr>
            <w:tcW w:w="5020" w:type="dxa"/>
            <w:vAlign w:val="bottom"/>
            <w:tcBorders>
              <w:top w:val="single" w:sz="8" w:color="0000EE"/>
            </w:tcBorders>
            <w:gridSpan w:val="16"/>
          </w:tcPr>
          <w:p>
            <w:pPr>
              <w:spacing w:after="0"/>
              <w:rPr>
                <w:rFonts w:ascii="Times New Roman" w:cs="Times New Roman" w:eastAsia="Times New Roman" w:hAnsi="Times New Roman"/>
                <w:sz w:val="17"/>
                <w:szCs w:val="17"/>
                <w:color w:val="0000EE"/>
              </w:rPr>
            </w:pPr>
            <w:hyperlink w:anchor="page132">
              <w:r>
                <w:rPr>
                  <w:rFonts w:ascii="Times New Roman" w:cs="Times New Roman" w:eastAsia="Times New Roman" w:hAnsi="Times New Roman"/>
                  <w:sz w:val="17"/>
                  <w:szCs w:val="17"/>
                  <w:color w:val="0000EE"/>
                </w:rPr>
                <w:t>Principal Accounting Fees and Services</w:t>
              </w:r>
            </w:hyperlink>
          </w:p>
        </w:tc>
        <w:tc>
          <w:tcPr>
            <w:tcW w:w="3540" w:type="dxa"/>
            <w:vAlign w:val="bottom"/>
            <w:gridSpan w:val="6"/>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91"/>
        </w:trPr>
        <w:tc>
          <w:tcPr>
            <w:tcW w:w="660" w:type="dxa"/>
            <w:vAlign w:val="bottom"/>
            <w:tcBorders>
              <w:bottom w:val="single" w:sz="8" w:color="0000EE"/>
            </w:tcBorders>
            <w:gridSpan w:val="3"/>
          </w:tcPr>
          <w:p>
            <w:pPr>
              <w:spacing w:after="0"/>
              <w:rPr>
                <w:rFonts w:ascii="Times New Roman" w:cs="Times New Roman" w:eastAsia="Times New Roman" w:hAnsi="Times New Roman"/>
                <w:sz w:val="17"/>
                <w:szCs w:val="17"/>
                <w:b w:val="1"/>
                <w:bCs w:val="1"/>
                <w:color w:val="0000EE"/>
                <w:w w:val="92"/>
              </w:rPr>
            </w:pPr>
            <w:hyperlink w:anchor="page133">
              <w:r>
                <w:rPr>
                  <w:rFonts w:ascii="Times New Roman" w:cs="Times New Roman" w:eastAsia="Times New Roman" w:hAnsi="Times New Roman"/>
                  <w:sz w:val="17"/>
                  <w:szCs w:val="17"/>
                  <w:b w:val="1"/>
                  <w:bCs w:val="1"/>
                  <w:color w:val="0000EE"/>
                  <w:w w:val="92"/>
                </w:rPr>
                <w:t>PART IV</w:t>
              </w:r>
            </w:hyperlink>
          </w:p>
        </w:tc>
        <w:tc>
          <w:tcPr>
            <w:tcW w:w="600" w:type="dxa"/>
            <w:vAlign w:val="bottom"/>
            <w:gridSpan w:val="2"/>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15.</w:t>
            </w:r>
          </w:p>
        </w:tc>
        <w:tc>
          <w:tcPr>
            <w:tcW w:w="292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w w:val="97"/>
              </w:rPr>
            </w:pPr>
            <w:hyperlink w:anchor="page133">
              <w:r>
                <w:rPr>
                  <w:rFonts w:ascii="Times New Roman" w:cs="Times New Roman" w:eastAsia="Times New Roman" w:hAnsi="Times New Roman"/>
                  <w:sz w:val="17"/>
                  <w:szCs w:val="17"/>
                  <w:color w:val="0000EE"/>
                  <w:w w:val="97"/>
                </w:rPr>
                <w:t>Exhibits and Financial Statement Schedules</w:t>
              </w:r>
            </w:hyperlink>
          </w:p>
        </w:tc>
        <w:tc>
          <w:tcPr>
            <w:tcW w:w="5640" w:type="dxa"/>
            <w:vAlign w:val="bottom"/>
            <w:gridSpan w:val="9"/>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91"/>
        </w:trPr>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16.</w:t>
            </w:r>
          </w:p>
        </w:tc>
        <w:tc>
          <w:tcPr>
            <w:tcW w:w="1440" w:type="dxa"/>
            <w:vAlign w:val="bottom"/>
            <w:tcBorders>
              <w:bottom w:val="single" w:sz="8" w:color="0000EE"/>
            </w:tcBorders>
            <w:gridSpan w:val="7"/>
          </w:tcPr>
          <w:p>
            <w:pPr>
              <w:spacing w:after="0"/>
              <w:rPr>
                <w:rFonts w:ascii="Times New Roman" w:cs="Times New Roman" w:eastAsia="Times New Roman" w:hAnsi="Times New Roman"/>
                <w:sz w:val="17"/>
                <w:szCs w:val="17"/>
                <w:color w:val="0000EE"/>
                <w:w w:val="96"/>
              </w:rPr>
            </w:pPr>
            <w:hyperlink w:anchor="page136">
              <w:r>
                <w:rPr>
                  <w:rFonts w:ascii="Times New Roman" w:cs="Times New Roman" w:eastAsia="Times New Roman" w:hAnsi="Times New Roman"/>
                  <w:sz w:val="17"/>
                  <w:szCs w:val="17"/>
                  <w:color w:val="0000EE"/>
                  <w:w w:val="96"/>
                </w:rPr>
                <w:t>Form 10-K Summary</w:t>
              </w:r>
            </w:hyperlink>
          </w:p>
        </w:tc>
        <w:tc>
          <w:tcPr>
            <w:tcW w:w="7120" w:type="dxa"/>
            <w:vAlign w:val="bottom"/>
            <w:gridSpan w:val="15"/>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9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60" w:type="dxa"/>
            <w:vAlign w:val="bottom"/>
            <w:gridSpan w:val="22"/>
          </w:tcPr>
          <w:p>
            <w:pPr>
              <w:spacing w:after="0"/>
              <w:rPr>
                <w:rFonts w:ascii="Times New Roman" w:cs="Times New Roman" w:eastAsia="Times New Roman" w:hAnsi="Times New Roman"/>
                <w:sz w:val="17"/>
                <w:szCs w:val="17"/>
                <w:color w:val="0000EE"/>
              </w:rPr>
            </w:pPr>
            <w:hyperlink w:anchor="page137">
              <w:r>
                <w:rPr>
                  <w:rFonts w:ascii="Times New Roman" w:cs="Times New Roman" w:eastAsia="Times New Roman" w:hAnsi="Times New Roman"/>
                  <w:sz w:val="17"/>
                  <w:szCs w:val="17"/>
                  <w:color w:val="0000EE"/>
                </w:rPr>
                <w:t>Signatures</w:t>
              </w:r>
            </w:hyperlink>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1513"/>
        </w:trPr>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19" w:right="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0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This Annual Report on Form 10-K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73" w:lineRule="exact"/>
        <w:rPr>
          <w:sz w:val="20"/>
          <w:szCs w:val="20"/>
          <w:color w:val="auto"/>
        </w:rPr>
      </w:pPr>
    </w:p>
    <w:p>
      <w:pPr>
        <w:ind w:left="1020" w:right="520" w:hanging="511"/>
        <w:spacing w:after="0" w:line="268"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potential benefits, activity, effectiveness and safety of our product candidates and therapeutics developed utilizing our Probody platform technology;</w:t>
      </w:r>
    </w:p>
    <w:p>
      <w:pPr>
        <w:spacing w:after="0" w:line="72" w:lineRule="exact"/>
        <w:rPr>
          <w:rFonts w:ascii="Times New Roman" w:cs="Times New Roman" w:eastAsia="Times New Roman" w:hAnsi="Times New Roman"/>
          <w:sz w:val="17"/>
          <w:szCs w:val="17"/>
          <w:color w:val="auto"/>
        </w:rPr>
      </w:pPr>
    </w:p>
    <w:p>
      <w:pPr>
        <w:ind w:left="1020" w:right="240" w:hanging="511"/>
        <w:spacing w:after="0" w:line="256"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8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the completion of our ongoing clinical trials and the timing and availability of clinical data from such clinical trials;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and develop additional product candidates;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collaborators for developing, obtaining regulatory approval for and commercializing product candidates in the collaboration;</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or a collaborator’s ability to obtain and maintain regulatory approval of any of our product candidates;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receipt and timing of any milestone payments or royalties under any research collaboration and license agreements or arrangements;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and beliefs regarding the evolution of the market for cancer therapies and development of the immuno-oncology industry;</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of any approved products candidates;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commercialization of any approved product candidates;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collaborations and retain commercial rights for our product candidates in such collaborations;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our business model and strategic plans for our business, technologies and product candidates;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of our expenses, ongoing losses, future revenue and capital requirements;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additional funds for our operations;</w:t>
      </w:r>
    </w:p>
    <w:p>
      <w:pPr>
        <w:spacing w:after="0" w:line="115" w:lineRule="exact"/>
        <w:rPr>
          <w:rFonts w:ascii="Times New Roman" w:cs="Times New Roman" w:eastAsia="Times New Roman" w:hAnsi="Times New Roman"/>
          <w:sz w:val="17"/>
          <w:szCs w:val="17"/>
          <w:color w:val="auto"/>
        </w:rPr>
      </w:pPr>
    </w:p>
    <w:p>
      <w:pPr>
        <w:ind w:left="1020" w:right="20" w:hanging="511"/>
        <w:spacing w:after="0" w:line="268"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7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 parties to conduct our preclinical studies or any future clinical trials;</w:t>
      </w:r>
    </w:p>
    <w:p>
      <w:pPr>
        <w:spacing w:after="0" w:line="115" w:lineRule="exact"/>
        <w:rPr>
          <w:rFonts w:ascii="Times New Roman" w:cs="Times New Roman" w:eastAsia="Times New Roman" w:hAnsi="Times New Roman"/>
          <w:sz w:val="17"/>
          <w:szCs w:val="17"/>
          <w:color w:val="auto"/>
        </w:rPr>
      </w:pPr>
    </w:p>
    <w:p>
      <w:pPr>
        <w:ind w:left="1020" w:right="100" w:hanging="511"/>
        <w:spacing w:after="0" w:line="268"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third-party supply and manufacturing partners to supply the materials and components for, and manufacture, our research and development, preclinical and clinical trial product supplies;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318" w:right="259" w:bottom="1440" w:gutter="0" w:footer="0" w:header="0"/>
        </w:sectPr>
      </w:pPr>
    </w:p>
    <w:bookmarkStart w:id="3" w:name="page4"/>
    <w:bookmarkEnd w:id="3"/>
    <w:p>
      <w:pPr>
        <w:ind w:left="1020" w:hanging="511"/>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qualified key management and technical personnel;</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secure and maintain licenses of intellectual property to protect our technologies and product candidates;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 and</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relating to our competitors or our industry.</w:t>
      </w:r>
    </w:p>
    <w:p>
      <w:pPr>
        <w:spacing w:after="0" w:line="20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discussed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7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This Annual Report on Form 10-K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where the context otherwise requires, in this Annual Report on Form 10-K, “we,” “us,” “our” and the “Company” refer to CytomX Therapeutics, Inc.</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10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7"/>
          <w:szCs w:val="17"/>
          <w:color w:val="auto"/>
        </w:rPr>
        <w:t>This Annual Report on Form 10-K includes trademarks, service marks and trade names owned by us or other companies. All trademarks, service marks and trade names included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80"/>
          </w:cols>
          <w:pgMar w:left="240" w:top="322" w:right="2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We are a clinical-stage, oncology-focused biopharmaceutical company with a vision of transforming lives with safer, more effective therapies. We are pioneering a novel class of investigational antibody therapeutics, based on our Probody™ technology platform, for the treatment of cancer. The Probody therapeutic approach is designed to more specifically target antibody therapeutics to the tumor microenvironment and minimize drug activity in healthy tissue and in circulation. We believe this approach has the potential to make meaningful enhancements to the combined efficacy and safety profile of antibody therapeutics, known as the “therapeutic window” and also to enable new targeted therapies. We believe that Probody therapeutics have the potential to create or widen the therapeutic window for certain antibody therapeutics, allowing for the development of new approaches to the treatment of cancer. We are utilizing our Probody Platform to develop a pipeline, shown below, of potential best-in-class immunotherapies against clinically-validated targets and potential first-in-class therapeutics against novel, difficult to drug targets. Furthermore, we believe the Probody therapeutic approach has the potential to enable safer, more effective combination therapy for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250825</wp:posOffset>
            </wp:positionV>
            <wp:extent cx="3392170" cy="1412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92170" cy="141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CytomX pipeline of Probody Therapeutics</w:t>
      </w:r>
    </w:p>
    <w:p>
      <w:pPr>
        <w:spacing w:after="0" w:line="23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We believe there is a significant opportunity in localizing antibody therapeutics to the tumor microenvironment, and therefore the market opportunity for Probody therapeutics could be large. Cancer is the second leading cause of mortality in the United States and accounts for nearly one in every five deaths. Early cancer research and treatment relied on relatively non-specific and highly toxic small molecule chemotherapies. Over the last twenty years, a new paradigm of cancer treatment has emerged that is focused on more targeted therapies, including monoclonal antibody modalities, which represent some of the most effective and top-selling therapies on the market today. In 2017, half of the top 10 best-selling drugs on the market were monoclonal antibodies. More recently, immuno-oncology has emerged as a promising new field of cancer therapy that aims to enhance anti-tumor immune responses by, for example, overcoming suppressive mechanisms that cancer cells have developed to evade the immune system. In addition, new classes of monoclonal antibody-based therapeutics have also reached the market. These new classes include Antibody Drug Conjugates (“ADCs”), bispecific antibodies, and Chimeric Antigen Receptor (“CAR”) based cellular therapies. We have demonstrated that our Probody therapeutic technology can be applied to many antibody modalities, including antibodies against immuno-oncology targets, ADCs, and bispecific antibodies, and therefore we believe that significant opportunities exist for CytomX to develop and capture market share with innovative anti-cancer treatments.</w:t>
      </w:r>
    </w:p>
    <w:p>
      <w:pPr>
        <w:spacing w:after="0" w:line="183"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Our most advanced product candidate is CX-072, a wholly owned Probody therapeutic targeting programmed cell death ligand 1 (“PD-L1”), a clinically and commercially validated immuno-oncology target. In normal physiology, PD-L1 plays a role in suppressing the immune system in healthy tissue, preventing autoimmunity. Tumors can co-opt this inhibitory function by upregulating PD-L1 expression and evading anti-cancer immune surveillance. Inhibitors of the PD-L1 pathway have therefore been designed and developed that restore anti-cancer immune surveillance and such inhibitors have demonstrated anti-cancer activity in a wide variety of cancer types. Regulatory approval has been granted for PD-L1 inhibitors and/or programmed cell death 1 (“PD-1”) inhibitors in a wide range of cancers, including advanced melanoma, renal cell cancers, non-small cell lung cancer, and bladder cancers.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5" w:name="page6"/>
    <w:bookmarkEnd w:id="5"/>
    <w:p>
      <w:pPr>
        <w:ind w:right="20"/>
        <w:spacing w:after="0" w:line="266" w:lineRule="auto"/>
        <w:rPr>
          <w:sz w:val="20"/>
          <w:szCs w:val="20"/>
          <w:color w:val="auto"/>
        </w:rPr>
      </w:pPr>
      <w:r>
        <w:rPr>
          <w:rFonts w:ascii="Times New Roman" w:cs="Times New Roman" w:eastAsia="Times New Roman" w:hAnsi="Times New Roman"/>
          <w:sz w:val="16"/>
          <w:szCs w:val="16"/>
          <w:color w:val="auto"/>
        </w:rPr>
        <w:t>While PD-L1 inhibitors have been shown to enhance anti-cancer immunity, systemic administration of inhibitors of the PD-L1 pathway can result in impairment of normal immune tolerance of healthy tissues, and severe immune-related toxicities can emerge. These toxicities can be particularly serious when PD-L1 inhibitors are combined with other anti-cancer agents. Our PD-L1 Probody therapeutic, CX-072, is designed to uncouple the anti-cancer activity of PD-L1 inhibitors from the associated autoimmune toxicities by inhibiting PD-L1 in the tumor microenvironment with minimal engagement in healthy tissue. We are currently evaluating CX-072 in a Phase 1/2 study that we call PROCLAIM-CX-072. This study is designed to assess the safety, activity, and translational biology of CX-072 as a single agent and in combination with other anticancer therapies. We disclosed initial clinical proof of concept data on CX-072 at various oncology conferences in 2018. In February 2019, we disclosed additional clinical safety and efficacy data on CX-072 at a Research and Development Day hosted by CytomX management (“CytomX R&amp;D Day”).</w:t>
      </w:r>
    </w:p>
    <w:p>
      <w:pPr>
        <w:spacing w:after="0" w:line="16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Our second most advanced product candidate is CX-2009, a wholly owned Probody Drug Conjugate (“PDC”) directed against CD166, a novel drug target. Probody Drug Conjugates are CytomX-designed Probody therapeutic versions of a class of drugs called Antibody ADCs, which are antibodies that have been conjugated to a small molecule cytotoxic agent via a labile chemical linker. Several ADCs have been approved for the treatment of cancer in the United States and elsewhere, including Kadcyla™, which targets HER2 positive metastatic breast cancer, and Adcetris™, which targets CD30 in Classical Hodgkin Lymphoma. To avoid target-related toxicity, traditional ADCs have historically been limited to targeting proteins that are expressed highly in tumors, but that are also absent or poorly expressed in healthy tissues. Very few cancer-associated proteins have this desired profile. Because our Probody therapeutics are designed to minimize binding of potent anti-cancer therapy to normal tissues, we believe we can address a new class of targets with attractive molecular features that were previously unsuitable because of high expression on normal tissues. CD166 is an example of this kind of target. CD166 is highly and homogenously expressed in multiple different tumors types, which makes it an attractive target for a Probody drug conjugate therapeutic; however, the high expression of CD166 on normal tissues makes this a difficult target to drug with a traditional ADC. CX-2009 is our Probody therapeutic directed to CD166 and conjugated to a cytotoxic agent. CX-2009 is currently in the dose escalation portion of a Phase 1/2 study that we call PROCLAIM-CX-2009. In February 2019, we disclosed initial clinical data on CX-2009 at the CytomX R&amp;D Day.</w:t>
      </w:r>
    </w:p>
    <w:p>
      <w:pPr>
        <w:spacing w:after="0" w:line="18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In addition to our wholly owned programs, we have entered into several strategic collaborations with leading oncology-focused pharmaceutical companies, such as AbbVie Inc., through its subsidiary AbbVie Ireland Unlimited Company (“AbbVie”), Amgen, Inc. (“Amgen”) and Bristol-Myers Squibb Company (“BMS”). The most advanced program from our partnerships is a CTLA-4 Probody therapeutic which BMS is currently advancing through the dose escalation phase of a Phase 1/2 clinical trial. We are also treating patients in PROCLAIM-CX-2029, a Phase 1/2 clinical study for CX-2029, a PDC targeting the highly expressed target, CD71 that we have partnered with AbbVie.</w:t>
      </w:r>
    </w:p>
    <w:p>
      <w:pPr>
        <w:spacing w:after="0" w:line="17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In October 2018, we filed an investigational new drug application (“IND”) on CX-188, a wholly owned Probody therapeutic targeting PD-1, a clinically and commercially validated anti-cancer target. The CX-188 IND was cleared by the FDA in November 2018. Due to a recent program and portfolio prioritization, we have decided to indefinitely postpone clinical trials for CX-188. We may elect to initiate clinical trials for CX-188 in the future.</w:t>
      </w:r>
    </w:p>
    <w:p>
      <w:pPr>
        <w:spacing w:after="0" w:line="17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We have also extended our Probody platform to the new and promising modality of T-cell engaging bispecific antibodies (“TCBs”). TCBs are a highly potent therapeutic modality, designed to direct the activity of cytotoxic T-cells to tumors. TCBs such as Blincyto®, a CD19-directed TCB commercialized by Amgen, have shown clinical activity in hematologic malignancies, but development of TCBs for solid tumor indications is proving challenging. Due to their high potency, TCBs can target normal tissues with low antigen expression, resulting in significant on-target, off-tumor toxicity that can limit dosing to low levels. As a result, it has been difficult to reach the level of drug exposure required for efficacy without excessive toxicity. We believe that the Probody platform is potentially capable of localizing the activity of TCBs to the tumor microenvironment and avoid on-target, off-tumor toxicity. Our most advanced program in the TCB modality is an Epidermal Growth Factor Receptor-CD3 (“EGFR-CD3”) T-cell bispecific, which is currently in lead optimization stage, and partnered with Amgen.</w:t>
      </w:r>
    </w:p>
    <w:p>
      <w:pPr>
        <w:spacing w:after="0" w:line="176"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6"/>
          <w:szCs w:val="16"/>
          <w:color w:val="auto"/>
        </w:rPr>
        <w:t>Our broad Probody therapeutic technology platform and lead product candidates are supported by more than a decade of thorough scientific research and strong intellectual property. We are a leader in the emerging field of localizing antibody therapeutics to the tumor microenvironment, as evidenced by our patent estate of approximately 100 issued patents (some of which are co-owned with a third party) and 250 pending patent applications (some of which are co-owned with a third party). We also have an exclusive license from University of California, Santa Barbara (“UCSB”) to three patent families covering screening tools to identify masks and substrates.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6" w:name="page7"/>
    <w:bookmarkEnd w:id="6"/>
    <w:p>
      <w:pPr>
        <w:spacing w:after="0" w:line="250" w:lineRule="auto"/>
        <w:rPr>
          <w:sz w:val="20"/>
          <w:szCs w:val="20"/>
          <w:color w:val="auto"/>
        </w:rPr>
      </w:pPr>
      <w:r>
        <w:rPr>
          <w:rFonts w:ascii="Times New Roman" w:cs="Times New Roman" w:eastAsia="Times New Roman" w:hAnsi="Times New Roman"/>
          <w:sz w:val="17"/>
          <w:szCs w:val="17"/>
          <w:color w:val="auto"/>
        </w:rPr>
        <w:t>The successful development of our product candidates involves a lengthy and expensive process with an uncertain outcome, and results of earlier studies and trials may not be predictive of future trial results. This is due to the numerous risks and uncertainties associated with the development of product candidates. If our Probody therapeutic technology and product candidates generally prove to be ineffective, unsafe or commercially unviable, it would have a material and adverse effect on our business, financial condition, results of operations and prospects. See “Risk Factors” for a discussion of the risks and uncertainties associated with our product candidates and our research and development projects.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Corporate Strategy</w:t>
      </w:r>
    </w:p>
    <w:p>
      <w:pPr>
        <w:spacing w:after="0" w:line="10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We are utilizing our proprietary and differentiated Probody platform to develop a leading pipeline of novel, innovative anti-cancer therapies to improve the lives of people with cancer and to build a long-term, multi-product, commercial stage biotechnology company. We aim to achieve this goal by:</w:t>
      </w:r>
    </w:p>
    <w:p>
      <w:pPr>
        <w:spacing w:after="0" w:line="73" w:lineRule="exact"/>
        <w:rPr>
          <w:sz w:val="20"/>
          <w:szCs w:val="20"/>
          <w:color w:val="auto"/>
        </w:rPr>
      </w:pPr>
    </w:p>
    <w:p>
      <w:pPr>
        <w:ind w:left="1020" w:right="340" w:hanging="511"/>
        <w:spacing w:after="0" w:line="256"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Applying the Probody platform to discover and develop potentially differentiated, best-in-class monoclonal antibody-based cancer immunotherapies for which we believe we can make meaningful enhancements to the therapeutic window. Our wholly owned PD-L1 Probody therapeutic (CX-072) and partnered CTLA-4 Probody therapeutic (BMS 986249) are our most advanced programs in this class of targets.</w:t>
      </w:r>
    </w:p>
    <w:p>
      <w:pPr>
        <w:spacing w:after="0" w:line="82" w:lineRule="exact"/>
        <w:rPr>
          <w:rFonts w:ascii="Times New Roman" w:cs="Times New Roman" w:eastAsia="Times New Roman" w:hAnsi="Times New Roman"/>
          <w:sz w:val="17"/>
          <w:szCs w:val="17"/>
          <w:color w:val="auto"/>
        </w:rPr>
      </w:pPr>
    </w:p>
    <w:p>
      <w:pPr>
        <w:ind w:left="1020" w:right="20" w:hanging="511"/>
        <w:spacing w:after="0" w:line="256"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Applying the Probody platform to discover and develop potentially first-in-class therapies against targets we believe could have therapeutic benefits within oncology but have not yet been drugged because of broad expression in healthy tissue. Our wholly owned CD-166 Probody Drug Conjugate (CX-2009) and partnered CD-71 Probody Drug Conjugate (CX-2029) are our most advanced programs in this class of targets.</w:t>
      </w:r>
    </w:p>
    <w:p>
      <w:pPr>
        <w:spacing w:after="0" w:line="82" w:lineRule="exact"/>
        <w:rPr>
          <w:rFonts w:ascii="Times New Roman" w:cs="Times New Roman" w:eastAsia="Times New Roman" w:hAnsi="Times New Roman"/>
          <w:sz w:val="17"/>
          <w:szCs w:val="17"/>
          <w:color w:val="auto"/>
        </w:rPr>
      </w:pPr>
    </w:p>
    <w:p>
      <w:pPr>
        <w:ind w:left="1020" w:right="160" w:hanging="511"/>
        <w:spacing w:after="0" w:line="256"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Applying our Probody platform to develop novel and improved combination therapies with the potential to improve outcomes for cancer patients. For example, we are studying CX-072, our PD-L1 Probody therapeutic, in combination with the CTLA-4 inhibitor, Yervoy® in our ongoing Phase 1/2 clinical trial.</w:t>
      </w:r>
    </w:p>
    <w:p>
      <w:pPr>
        <w:spacing w:after="0" w:line="82" w:lineRule="exact"/>
        <w:rPr>
          <w:rFonts w:ascii="Times New Roman" w:cs="Times New Roman" w:eastAsia="Times New Roman" w:hAnsi="Times New Roman"/>
          <w:sz w:val="17"/>
          <w:szCs w:val="17"/>
          <w:color w:val="auto"/>
        </w:rPr>
      </w:pPr>
    </w:p>
    <w:p>
      <w:pPr>
        <w:ind w:left="1020" w:right="20" w:hanging="511"/>
        <w:spacing w:after="0" w:line="256"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Applying our Probody platform to enable new potent therapeutic antibody and cell therapy formats, thereby positioning ourselves at the cutting edge of anti-cancer therapeutic research and development. For example, we are collaborating on a Probody therapeutic version of an EGFR-CD3 T-cell engaging Probody bispecific with Amgen.</w:t>
      </w:r>
    </w:p>
    <w:p>
      <w:pPr>
        <w:spacing w:after="0" w:line="82" w:lineRule="exact"/>
        <w:rPr>
          <w:rFonts w:ascii="Times New Roman" w:cs="Times New Roman" w:eastAsia="Times New Roman" w:hAnsi="Times New Roman"/>
          <w:sz w:val="17"/>
          <w:szCs w:val="17"/>
          <w:color w:val="auto"/>
        </w:rPr>
      </w:pPr>
    </w:p>
    <w:p>
      <w:pPr>
        <w:ind w:left="1020" w:right="160" w:hanging="511"/>
        <w:spacing w:after="0" w:line="256"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Partnering with leading biopharmaceutical companies to access capital, additional resources and expertise, as well as increase the number of Probody therapeutic candidates being advanced into clinical trials. To date, we have formed several strategic collaborations, including with AbbVie, Amgen, BMS, ImmunoGen Inc. (“ImmunoGen”) and others.</w:t>
      </w:r>
    </w:p>
    <w:p>
      <w:pPr>
        <w:spacing w:after="0" w:line="82" w:lineRule="exact"/>
        <w:rPr>
          <w:rFonts w:ascii="Times New Roman" w:cs="Times New Roman" w:eastAsia="Times New Roman" w:hAnsi="Times New Roman"/>
          <w:sz w:val="17"/>
          <w:szCs w:val="17"/>
          <w:color w:val="auto"/>
        </w:rPr>
      </w:pPr>
    </w:p>
    <w:p>
      <w:pPr>
        <w:ind w:left="1020" w:right="300" w:hanging="511"/>
        <w:spacing w:after="0" w:line="300"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Accessing technologies or programs that can complement our Probody platform and our pipeline through licenses or acquisitions. For example, in early 2019 we acquired certain linker-toxin and bispecific technologies from an affiliate of Astellas Pharma, Inc. to complement our Probody platform.</w:t>
      </w:r>
    </w:p>
    <w:p>
      <w:pPr>
        <w:spacing w:after="0" w:line="49" w:lineRule="exact"/>
        <w:rPr>
          <w:rFonts w:ascii="Times New Roman" w:cs="Times New Roman" w:eastAsia="Times New Roman" w:hAnsi="Times New Roman"/>
          <w:sz w:val="16"/>
          <w:szCs w:val="16"/>
          <w:color w:val="auto"/>
        </w:rPr>
      </w:pPr>
    </w:p>
    <w:p>
      <w:pPr>
        <w:ind w:left="1020" w:hanging="511"/>
        <w:spacing w:after="0"/>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Fostering a unique culture of execution, alignment and accountability centered around our vision, mission and values.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Our Probody Platform</w:t>
      </w:r>
    </w:p>
    <w:p>
      <w:pPr>
        <w:spacing w:after="0" w:line="1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Localization of therapeutic antibody activity within disease tissue is of increasing interest in the biopharmaceutical industry due to the desire to maximize the activity of antibody-based drugs whilst reducing their toxicities. At CytomX, we call our approach to therapeutic antibody localization our Probody platform. A Probody therapeutic consists of three components: an active anti-cancer antibody, a mask for the antibody, and a protease-cleavable linker which connects the mask to the antibody. The mask is a peptide designed to disguise the active binding site of the antibody to prevent the therapeutic from binding to the target present on healthy tissue. Probody therapeutics are produced as a single protein by standard antibody production methodology. The following graphic depicts the three components of a Probody therapeutic: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113030</wp:posOffset>
            </wp:positionV>
            <wp:extent cx="5671820" cy="1822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1820" cy="182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Depiction of the structure of a Probody therapeutic and a protease interacting with the Probody to cleave the linker and activate the molecule</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When a Probody therapeutic enters a tumor, it encounters proteases, which are enzymes that cleave proteins and have increased activity in the tumor microenvironment. The proteases in the tumor cleave the linker, releasing the mask and allowing the antibody to bind to the target on the tumor. The following graphic depicts the activation of a Probody therapeutic by proteases: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118110</wp:posOffset>
            </wp:positionV>
            <wp:extent cx="5671820" cy="1553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1820" cy="1553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260" w:right="40"/>
        <w:spacing w:after="0" w:line="290" w:lineRule="auto"/>
        <w:rPr>
          <w:sz w:val="20"/>
          <w:szCs w:val="20"/>
          <w:color w:val="auto"/>
        </w:rPr>
      </w:pPr>
      <w:r>
        <w:rPr>
          <w:rFonts w:ascii="Times New Roman" w:cs="Times New Roman" w:eastAsia="Times New Roman" w:hAnsi="Times New Roman"/>
          <w:sz w:val="15"/>
          <w:szCs w:val="15"/>
          <w:i w:val="1"/>
          <w:iCs w:val="1"/>
          <w:color w:val="auto"/>
        </w:rPr>
        <w:t>Depiction of how a Probody therapeutic is designed to enter the tumor microenvironment (left), be activated by protease cleavage to remove the mask (middle), thereby enabling the released antibody to bind to the tumor target (right)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sectPr>
      </w:pPr>
    </w:p>
    <w:bookmarkStart w:id="8" w:name="page9"/>
    <w:bookmarkEnd w:id="8"/>
    <w:p>
      <w:pPr>
        <w:ind w:right="200"/>
        <w:spacing w:after="0" w:line="269" w:lineRule="auto"/>
        <w:rPr>
          <w:sz w:val="20"/>
          <w:szCs w:val="20"/>
          <w:color w:val="auto"/>
        </w:rPr>
      </w:pPr>
      <w:r>
        <w:rPr>
          <w:rFonts w:ascii="Times New Roman" w:cs="Times New Roman" w:eastAsia="Times New Roman" w:hAnsi="Times New Roman"/>
          <w:sz w:val="16"/>
          <w:szCs w:val="16"/>
          <w:color w:val="auto"/>
        </w:rPr>
        <w:t>Proteases play an essential role in many aspects of normal physiology, such as digestion of food in the gastrointestinal tract, wound healing and metabolic function. However, uncontrolled protease activity can lead to destruction of essential proteins and tissues. Therefore, proteases are normally very tightly regulated by multiple mechanisms, with only small amounts of extracellular protease activity being detectable in healthy tissues. In contrast, it has been well documented that proteases are not only present, but also activated, in virtually all types of tumors, playing a key role in tumor growth, invasion and metastasis. Probody therapeutics are designed to be activated in this protease-rich tumor microenvironment, but not in healthy tissue where proteases are under tight control as depicted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113030</wp:posOffset>
            </wp:positionV>
            <wp:extent cx="5387975" cy="2177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797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Probody therapeutics are designed to remain masked and inactive in healthy tissue (right) but be unmasked and activated in diseased tissue, such as in tumors (left)</w:t>
      </w:r>
    </w:p>
    <w:p>
      <w:pPr>
        <w:spacing w:after="0" w:line="210"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17"/>
          <w:szCs w:val="17"/>
          <w:color w:val="auto"/>
        </w:rPr>
        <w:t>Probody therapeutics are designed to limit toxicity that can arise from the binding of an antibody to a target in healthy tissues while preserving biological activity in the tumor where it is desired. We and our partners have demonstrated the applicability of our Probody platform across multiple monoclonal antibody modalities, including cancer immunotherapy, ADCs, and T-cell-recruiting bispecifics.</w:t>
      </w:r>
    </w:p>
    <w:p>
      <w:pPr>
        <w:spacing w:after="0" w:line="17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We have designed protease-cleavable linkers so that several activated proteases within the tumor microenvironment can cleave them. Using this approach, we believe Probody therapeutics can be cleaved and activated by at least one protease across a large number of tumor types. This concept has been validated by the translational data that we have generated from clinical studies for our CX-072 and CX-2009 programs, which suggests that Probody therapeutics are sufficiently activated in the tumor microenvironment, and once activated, behave like the underlying parenteral antibody. We have also presented initial clinical data for our CX-072 and CX-2009 programs that indicate that the Probody therapeutic remains sufficiently masked, and therefore inert, in systemic circulation. These features of the Probody platform, now validated with clinical data, suggest that we can potentially develop differentiated therapies which can widen therapeutic window for validated targets such as PD-L1 and enable a therapeutic window for broadly expressed targets such as CD166.</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Key Advantages of Our Probody Platform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that our Probody Platform provides the following key advantages:</w:t>
      </w:r>
    </w:p>
    <w:p>
      <w:pPr>
        <w:spacing w:after="0" w:line="99" w:lineRule="exact"/>
        <w:rPr>
          <w:sz w:val="20"/>
          <w:szCs w:val="20"/>
          <w:color w:val="auto"/>
        </w:rPr>
      </w:pPr>
    </w:p>
    <w:p>
      <w:pPr>
        <w:ind w:left="1020" w:hanging="511"/>
        <w:spacing w:after="0" w:line="273"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 novel therapeutic antibody class enabled by our proprietary platform. </w:t>
      </w:r>
      <w:r>
        <w:rPr>
          <w:rFonts w:ascii="Times New Roman" w:cs="Times New Roman" w:eastAsia="Times New Roman" w:hAnsi="Times New Roman"/>
          <w:sz w:val="17"/>
          <w:szCs w:val="17"/>
          <w:color w:val="auto"/>
        </w:rPr>
        <w:t>We believe we have a differentiated technology platform that gives us a substantial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competitive advantage supported by more than a decade of research and strong intellectual property.</w:t>
      </w:r>
    </w:p>
    <w:p>
      <w:pPr>
        <w:spacing w:after="0" w:line="52" w:lineRule="exact"/>
        <w:rPr>
          <w:rFonts w:ascii="Times New Roman" w:cs="Times New Roman" w:eastAsia="Times New Roman" w:hAnsi="Times New Roman"/>
          <w:sz w:val="17"/>
          <w:szCs w:val="17"/>
          <w:color w:val="auto"/>
        </w:rPr>
      </w:pPr>
    </w:p>
    <w:p>
      <w:pPr>
        <w:ind w:left="1020" w:right="740" w:hanging="511"/>
        <w:spacing w:after="0" w:line="273"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Potential to improve the therapeutic window of antibody-based therapeutics. </w:t>
      </w:r>
      <w:r>
        <w:rPr>
          <w:rFonts w:ascii="Times New Roman" w:cs="Times New Roman" w:eastAsia="Times New Roman" w:hAnsi="Times New Roman"/>
          <w:sz w:val="17"/>
          <w:szCs w:val="17"/>
          <w:color w:val="auto"/>
        </w:rPr>
        <w:t>By engineering our therapeutics to selectively activate in the tumor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microenvironment, our Probody product candidates have the potential to improve safety and tolerability.</w:t>
      </w:r>
    </w:p>
    <w:p>
      <w:pPr>
        <w:spacing w:after="0" w:line="52" w:lineRule="exact"/>
        <w:rPr>
          <w:rFonts w:ascii="Times New Roman" w:cs="Times New Roman" w:eastAsia="Times New Roman" w:hAnsi="Times New Roman"/>
          <w:sz w:val="17"/>
          <w:szCs w:val="17"/>
          <w:color w:val="auto"/>
        </w:rPr>
      </w:pPr>
    </w:p>
    <w:p>
      <w:pPr>
        <w:ind w:left="1020" w:right="400" w:hanging="511"/>
        <w:spacing w:after="0" w:line="258"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Ability to combine more effectively with other therapies. </w:t>
      </w:r>
      <w:r>
        <w:rPr>
          <w:rFonts w:ascii="Times New Roman" w:cs="Times New Roman" w:eastAsia="Times New Roman" w:hAnsi="Times New Roman"/>
          <w:sz w:val="17"/>
          <w:szCs w:val="17"/>
          <w:color w:val="auto"/>
        </w:rPr>
        <w:t>We believe the therapeutic window and tumor specificity of our candidates have potential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reduce the dose-limiting toxicities observed in combination therapies and thus enable new combinations with other cancer therapies that are difficult or impossible to use.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9" w:name="page10"/>
    <w:bookmarkEnd w:id="9"/>
    <w:p>
      <w:pPr>
        <w:ind w:left="1020" w:hanging="511"/>
        <w:spacing w:after="0" w:line="258"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Applicability across many molecular targets. </w:t>
      </w:r>
      <w:r>
        <w:rPr>
          <w:rFonts w:ascii="Times New Roman" w:cs="Times New Roman" w:eastAsia="Times New Roman" w:hAnsi="Times New Roman"/>
          <w:sz w:val="17"/>
          <w:szCs w:val="17"/>
          <w:color w:val="auto"/>
        </w:rPr>
        <w:t>We believe that our technology addresses many different molecular targets expressed by many different kinds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tumors—including targets that are difficult to address because they are also expressed on healthy tissue—because Probody therapeutics are designed to have limited interaction with non-cancerous tissues.</w:t>
      </w:r>
    </w:p>
    <w:p>
      <w:pPr>
        <w:spacing w:after="0" w:line="65" w:lineRule="exact"/>
        <w:rPr>
          <w:rFonts w:ascii="Times New Roman" w:cs="Times New Roman" w:eastAsia="Times New Roman" w:hAnsi="Times New Roman"/>
          <w:sz w:val="17"/>
          <w:szCs w:val="17"/>
          <w:color w:val="auto"/>
        </w:rPr>
      </w:pPr>
    </w:p>
    <w:p>
      <w:pPr>
        <w:ind w:left="1020" w:right="140" w:hanging="511"/>
        <w:spacing w:after="0" w:line="273"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Versatility across antibody modalities. </w:t>
      </w:r>
      <w:r>
        <w:rPr>
          <w:rFonts w:ascii="Times New Roman" w:cs="Times New Roman" w:eastAsia="Times New Roman" w:hAnsi="Times New Roman"/>
          <w:sz w:val="17"/>
          <w:szCs w:val="17"/>
          <w:color w:val="auto"/>
        </w:rPr>
        <w:t>We believe that our technology can be applied to most antibody-based therapies, including novel potent modalities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like ADCs, T-cell-recruiting bispecific antibodies.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Lead Product Candidates</w:t>
      </w:r>
    </w:p>
    <w:p>
      <w:pPr>
        <w:spacing w:after="0" w:line="107"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6"/>
          <w:szCs w:val="16"/>
          <w:color w:val="auto"/>
        </w:rPr>
        <w:t>We are leveraging our Probody platform to build a leading pipeline of innovative and differentiated anti-cancer therapies. We currently retain worldwide development and commercialization rights to our two most advanced Probody therapeutics in the clinic, CX-072 and CX-2009. In addition, we have multiple partnered development programs including BMS 986249, an anti-CTLA-4 Probody program with BMS, and CX-2029, an anti-CD71 PDC program in collaboration with AbbVie.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CX-072 (PD-L1 Probody therapeutic)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Overview and Limitations of Existing Therapies</w:t>
      </w:r>
    </w:p>
    <w:p>
      <w:pPr>
        <w:spacing w:after="0" w:line="10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6"/>
          <w:szCs w:val="16"/>
          <w:color w:val="auto"/>
        </w:rPr>
        <w:t>Our most advanced product candidate is CX-072, a wholly owned Probody therapeutic targeting PD-L1, a clinically and commercially validated cancer target. The PD pathway consists principally of two targets: PD-1, which is typically expressed on T-cells, and PD-L1, which is typically expressed on the tumor cells as well as on healthy tissue. In healthy tissue, PD-1 and PD-L1 work together to negatively regulate immune response and maintain tolerance between the immune system and healthy</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tissue. Tumors, however, upregulate PD-L1 to evade immune surveillance by the host’s immune system. Therefore, development of antibodies against PD-1 and PD-L1 have become a key focal point in cancer drug development, with three PD-1 antibodies nivolumab (Opdivo™), pembrolizumab (Keytruda™), and cemiplimab (Libtayo™) and three PD-L1 antibodies atezolizumab (Tecentriq™), durvalumab (Imfinzi™), and avelumab (Bavencio™) approved as of February 2018, with many other PD pathway inhibitors in clinical development. In addition to assessment as single agents, PD-1 and PD-L1 antibodies have been studied extensively as the centerpiece of oncology combination therapies. According to the Cancer Research Institute, as of November 2017, there were in excess of 1,000 combination studies ongoing with a PD-1 or PD-L1 therapeutic.</w:t>
      </w:r>
    </w:p>
    <w:p>
      <w:pPr>
        <w:spacing w:after="0" w:line="182"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7"/>
          <w:szCs w:val="17"/>
          <w:color w:val="auto"/>
        </w:rPr>
        <w:t>While inhibitors of the PD-L1 and/or PD-1 pathway offer the potential for clinical benefit in patients with a wide-variety of cancer types, there are a number of risks imposed by administration of these agents. According to U.S. Labels for Opdivo, Keytruda, Tecentriq, Bavencio, and Imfinzi, the most common side effects (defined as either &gt;15% or &gt;20%, depending upon the agent) that were observed with commercially available anti-PD-L1 and anti-PD-1 agents include: fatigue, decreased appetite, nausea, vomiting, diarrhea, dyspnea, constipation, cough, musculoskeletal pain, back pain, abdominal pain, arthralgia, urinary tract infection, upper respiratory tract infection, peripheral edema, infusion-related reaction, rash, asthenia, pruritus, headache, and pyrexia.</w:t>
      </w:r>
    </w:p>
    <w:p>
      <w:pPr>
        <w:spacing w:after="0" w:line="17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Based on our analysis of publicly available data, we believe that while in general, the addition of second or third combination partners to PD-L1 or PD-1 inhibitors can result in increased anti-cancer activity, there is often a corresponding increase in the toxicity of these combinations. For example, according to the New England Journal of Medicine, the most common adverse reactions (greater than or equal to 20%) in patients with melanoma receiving nivolumab with ipilimumab were fatigue, rash, diarrhea, nausea, and pruritus. In some cases, administration of an inhibitor of the PD-L1 pathway with another type of anti-cancer agent in combination have resulted in severe toxicities that have prevented further development of the combination. In these cases, the toxicity levels caused by the multiple agents in the periphery creates an unacceptable risk to patients, despite the potential for synergy of efficacy in the tumor.</w:t>
      </w:r>
    </w:p>
    <w:p>
      <w:pPr>
        <w:spacing w:after="0" w:line="179"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7"/>
          <w:szCs w:val="17"/>
          <w:color w:val="auto"/>
        </w:rPr>
        <w:t>We believe that a locally activated Probody therapeutic targeting PD-L1 has the potential to maintain the anti-tumor activity of the PD pathway blockade whilst reducing the autoimmunity that results from blocking such pathway systemically. As such, we believe that CX-072 has the potential to enable combination therapies that cannot be appropriately dosed because of synergistic toxicity, and ultimately that CX-072 may have the potential to play an important role in combination PD therapy. CX-072 may also ultimately prove to be a safer monotherapy than existing PD inhibitors which could have specific applications in certain clinical settings.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CX-072 Pre-Clinical Data</w:t>
      </w:r>
    </w:p>
    <w:p>
      <w:pPr>
        <w:spacing w:after="0" w:line="105"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7"/>
          <w:szCs w:val="17"/>
          <w:color w:val="auto"/>
        </w:rPr>
        <w:t>CX-072 is derived from a CytomX discovered, phage-derived, fully human PD-L1 antibody that has high affinity binding to PD-L1 according to a standard binding assay. Using our proprietary technology, we have developed a Probody therapeutic that is effectively masked when active proteases are absent but can be specifically activated by one of several tumor-associated proteases.</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60"/>
          </w:cols>
          <w:pgMar w:left="240" w:top="417" w:right="299" w:bottom="1440" w:gutter="0" w:footer="0" w:header="0"/>
        </w:sectPr>
      </w:pPr>
    </w:p>
    <w:bookmarkStart w:id="10" w:name="page11"/>
    <w:bookmarkEnd w:id="10"/>
    <w:p>
      <w:pPr>
        <w:ind w:right="160"/>
        <w:spacing w:after="0" w:line="268" w:lineRule="auto"/>
        <w:rPr>
          <w:sz w:val="20"/>
          <w:szCs w:val="20"/>
          <w:color w:val="auto"/>
        </w:rPr>
      </w:pPr>
      <w:r>
        <w:rPr>
          <w:rFonts w:ascii="Times New Roman" w:cs="Times New Roman" w:eastAsia="Times New Roman" w:hAnsi="Times New Roman"/>
          <w:sz w:val="17"/>
          <w:szCs w:val="17"/>
          <w:color w:val="auto"/>
        </w:rPr>
        <w:t>We completed extensive preclinical testing comparing either CX-072 or a surrogate PD-L1 Probody therapeutic to its antibody parent, the results of which are reflected in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175260</wp:posOffset>
            </wp:positionV>
            <wp:extent cx="4149725" cy="264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49725" cy="264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Comparison of PD-L1 Probody therapeutic versus antibody parent</w:t>
      </w:r>
    </w:p>
    <w:p>
      <w:pPr>
        <w:spacing w:after="0" w:line="22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In this experiment, CX-072 (shown in blue) demonstrated similar anti-tumor activity as its underlying antibody parent in traditional mouse syngeneic tumor models (as illustrated in Figure A). In addition, CX-072 concentrated in the tumor similarly to the parental antibody (as illustrated in Figure B). Figure C demonstrates the potential for CX-072 to avoid the activation of systemic autoimmunity using the non-obese diabetic (“NOD”) mouse model as an experimental system. NOD mice are bred to develop spontaneous autoimmune diabetes, which is exacerbated by systemic inhibition of the PD-1 pathway. As expected, a single dose of the PD-L1 antibody (shown in green) resulted in more than half of the treated mice developing diabetes, while mice treated with the same dose of the Probody therapeutic (shown in blue) remained diabetes free. As Figure D shows, the antibody saturated circulating, peripheral T-cells at a low concentration, while binding of the Probody therapeutic was significantly reduced. The differentiated profile that we observed in these preclinical data, along with the results of our GLP toxicity study, supported our decision to advance CX-072 into clinical trials following the clearance of an IND application by the FDA.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Our PROCLAIM Clinical Trial Design and Umbrella Protocol</w:t>
      </w:r>
    </w:p>
    <w:p>
      <w:pPr>
        <w:spacing w:after="0" w:line="11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7"/>
          <w:szCs w:val="17"/>
          <w:color w:val="auto"/>
        </w:rPr>
        <w:t>PROCLAIM (Probody Clinical Assessment In Man) is an international umbrella clinical program for Phase 1/2 evaluation of all Probody therapeutics whose development is sponsored by CytomX. PROCLAIM centers around a core protocol that includes all of the common elements of a typical Phase 1/2 design without reference to an experimental drug. Each PROCLAIM module supplements the core and focuses exclusively on Probody-specific elements (e.g. background, guidance on patient selection and care). We refer to the CX-072 module as PROCLAIM-CX-072.</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auto"/>
        </w:rPr>
        <w:t>PROCLAIM-CX-072 Clinical Program</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PROCLAIM-CX-072 is evaluating tolerability and preliminary antitumor activity of multiple doses of CX-072 as a monotherapy or as a combination therapy with ipilimumab (BMS’ Yervoy) or vemurafenib (Roche’s Zelboraf) in patients with advanced, unresectable solid tumors or lymphoma. The figure below describes the design and status, as of February 2019, for PROCLAIM-CX-072.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118110</wp:posOffset>
            </wp:positionV>
            <wp:extent cx="4109720" cy="1822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09720" cy="182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5"/>
          <w:szCs w:val="15"/>
          <w:i w:val="1"/>
          <w:iCs w:val="1"/>
          <w:color w:val="auto"/>
        </w:rPr>
        <w:t>Design of the PROCLAIM-CX-072 Phase 1/2 clinical trial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Monotherapy and Ipilumumab Combination Dose Escalation Clinical Data</w:t>
      </w:r>
    </w:p>
    <w:p>
      <w:pPr>
        <w:spacing w:after="0" w:line="10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Enrollment of Part A1, A2, and Part B of the PROCLAIM-CX-072 clinical study began in 2017. The primary goals of Part A, A2, and B were to explore and validate the clinical performance and potential of the Probody as described in the figure below, namely, to demonstrate that the Probody therapeutic:</w:t>
      </w:r>
    </w:p>
    <w:p>
      <w:pPr>
        <w:spacing w:after="0" w:line="60" w:lineRule="exact"/>
        <w:rPr>
          <w:sz w:val="20"/>
          <w:szCs w:val="20"/>
          <w:color w:val="auto"/>
        </w:rPr>
      </w:pPr>
    </w:p>
    <w:p>
      <w:pPr>
        <w:ind w:left="1020" w:hanging="511"/>
        <w:spacing w:after="0"/>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Demonstrates anti-cancer activity in a range of tumor types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in an improved safety profile, particularly in combination with other anticancer agents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activated in the tumor tissue</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masked in systemic circulation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178435</wp:posOffset>
            </wp:positionV>
            <wp:extent cx="1924685" cy="1301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24685" cy="130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Key elements of the Probody platform validated to date in PROCLAIM-CX-072</w:t>
      </w:r>
    </w:p>
    <w:p>
      <w:pPr>
        <w:spacing w:after="0" w:line="22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Initial clinical data from PROCLAIM-CX-072 were presented at the American Society of Clinical Oncology (“ASCO”), the European Society of Medical Oncology (“ESMO”) and the Society for Immunotherapy of Cancer (“SITC”) in 2018 and at the CytomX R&amp;D Day in 2019. Part A enrolled patients who were PD agent naïve and were either ineligible to receive or did not have access to PD-1 or PD-L1 agents for their disease. We did not pre-select patients based on their PD-L1 status in this arm. As such, we enrolled a broad range of tumor types in Part A, including patients with tumors that were not necessarily expected to respond to PD-L1 therapy. Part A2 of the clinical trial also enrolled patients with a broad range of cancer types, with enrollment restricted to those patients whose tumors are PD-L1 positive based on the commercially available DAKO assay. As with Part A, the tumor types enrolled into Part A2 were not necessarily expected to respond to CX-072. Part A2 also required mandatory collection of tumor biopsies from patients which were analyzed as part of our translational program. Part B was designed to evaluate CX-072 in combination with ipilumumab, a CTLA-4 antibody commercialized by BMS. Part C was designed to evaluate CX-072 in combination vemurafenib, a BRAF inhibitor commercialized by Roche. We aim to present preliminary data from Part C in 2019.</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618"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color w:val="auto"/>
        </w:rPr>
        <w:t>Anti-Cancer Activity – Results of Dose Escalation</w:t>
      </w:r>
    </w:p>
    <w:p>
      <w:pPr>
        <w:spacing w:after="0" w:line="1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Preliminary monotherapy dose escalation data, shown in the figure below, describes the activity of CX-072 as a single agent. This waterfall plot, presented at ESMO and developed with an August 3, 2018 data cut, shows that among 38 evaluable patients who received CX-072, objective responses by Response Evaluation Criteria in Solid Tumors (“RECIST”) version 1.1 were observed in 3 (8%) patients, all treated at doses greater than or equal to 3 mg/kg: PD-L1 negative triple negative breast cancer (confirmed partial response (cPR); 10 mg/kg), thymic cancer (unconfirmed partial response (“uPR”); 3 mg/kg), and cervical cancer (uPR; 10 mg/kg). Stable disease was observed in 15 (39%) patients for an overall disease control rate of 47%. For the 18 patients who received CX-072 doses greater than or equal to 3 mg/kg, objective responses were observed in 3 of 18 patients (17%) and the disease control rate was 61%. Decreased target lesions were observed in 14 of 37 patients (38%) of all evaluable patients with measurable disease at baseline and in 10 of 17 patients (59%) of the subset of patients who received doses greater than or equal to 3 mg/kg of CX-072.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113665</wp:posOffset>
            </wp:positionV>
            <wp:extent cx="2910840" cy="1356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10840" cy="135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Waterfall Plot from PROCLAIM-CX-072 (Data Cut-off August 3</w:t>
      </w:r>
      <w:r>
        <w:rPr>
          <w:rFonts w:ascii="Times New Roman" w:cs="Times New Roman" w:eastAsia="Times New Roman" w:hAnsi="Times New Roman"/>
          <w:sz w:val="14"/>
          <w:szCs w:val="14"/>
          <w:i w:val="1"/>
          <w:iCs w:val="1"/>
          <w:color w:val="auto"/>
        </w:rPr>
        <w:t>rd</w:t>
      </w:r>
      <w:r>
        <w:rPr>
          <w:rFonts w:ascii="Times New Roman" w:cs="Times New Roman" w:eastAsia="Times New Roman" w:hAnsi="Times New Roman"/>
          <w:sz w:val="17"/>
          <w:szCs w:val="17"/>
          <w:i w:val="1"/>
          <w:iCs w:val="1"/>
          <w:color w:val="auto"/>
        </w:rPr>
        <w:t xml:space="preserve"> 2018)</w:t>
      </w:r>
    </w:p>
    <w:p>
      <w:pPr>
        <w:spacing w:after="0" w:line="24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7"/>
          <w:szCs w:val="17"/>
          <w:color w:val="auto"/>
        </w:rPr>
        <w:t>At the CytomX R&amp;D Day in February 2019, we presented follow-up data from the dose escalation, focusing on doses greater than or equal to 3 mg/kg in the dose escalation study as of a February 6, 2019 data cut, as shown below. Of 24 efficacy evaluable patients treated with doses greater than or equal to 3mg/kg of CX-072, 4/24 (17%) objective responses were observed, including 1 confirmed partial response, 2 unconfirmed partial responses in patients who are no longer on study and 1 unconfirmed partial response in a patient whose confirmation scan is pending. Additionally, 12 (50%) patients demonstrated tumor shrinkage or no change. From these results, we can conclude that CX-072 has anti-cancer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1443355</wp:posOffset>
            </wp:positionH>
            <wp:positionV relativeFrom="paragraph">
              <wp:posOffset>137160</wp:posOffset>
            </wp:positionV>
            <wp:extent cx="4378325" cy="1924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78325" cy="192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Waterfall Plot from PROCLAIM-CX-072 at doses ≥ 3 mg/kg (Data Cut-off February 6, 2019)</w:t>
      </w:r>
    </w:p>
    <w:p>
      <w:pPr>
        <w:spacing w:after="0" w:line="22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Following thorough analysis of data from Parts A and A2, we selected 10 mg/kg as the dose for initial Part D cohort expansion studies, which we initiated in 2018. This dose was chosen because:</w:t>
      </w:r>
    </w:p>
    <w:p>
      <w:pPr>
        <w:spacing w:after="0" w:line="60" w:lineRule="exact"/>
        <w:rPr>
          <w:sz w:val="20"/>
          <w:szCs w:val="20"/>
          <w:color w:val="auto"/>
        </w:rPr>
      </w:pPr>
    </w:p>
    <w:p>
      <w:pPr>
        <w:ind w:left="1020" w:hanging="511"/>
        <w:spacing w:after="0"/>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observed anti-cancer activity at and below 10 mg/kg in our dose escalation studies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10 mg/kg dose of CX-072 has a favorable safety profile (described below)</w:t>
      </w: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60"/>
          </w:cols>
          <w:pgMar w:left="240" w:top="618" w:right="299" w:bottom="1440" w:gutter="0" w:footer="0" w:header="0"/>
        </w:sectPr>
      </w:pPr>
    </w:p>
    <w:bookmarkStart w:id="13" w:name="page14"/>
    <w:bookmarkEnd w:id="13"/>
    <w:p>
      <w:pPr>
        <w:ind w:left="1020" w:hanging="511"/>
        <w:spacing w:after="0"/>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Translational data suggests that, at this dose, more than 98% of PD-L1 receptor in the tumor is occupied by CX-072</w:t>
      </w:r>
    </w:p>
    <w:p>
      <w:pPr>
        <w:spacing w:after="0" w:line="102" w:lineRule="exact"/>
        <w:rPr>
          <w:rFonts w:ascii="Times New Roman" w:cs="Times New Roman" w:eastAsia="Times New Roman" w:hAnsi="Times New Roman"/>
          <w:sz w:val="17"/>
          <w:szCs w:val="17"/>
          <w:color w:val="auto"/>
        </w:rPr>
      </w:pPr>
    </w:p>
    <w:p>
      <w:pPr>
        <w:ind w:left="1020" w:hanging="511"/>
        <w:spacing w:after="0" w:line="268" w:lineRule="auto"/>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patients treated at the 10 mg/kg dose achieved and maintained targeted drug exposure. Moreover, satisfactory drug exposure was achieved regardless of whether patients showed evidence of anti-drug antibodies (observed in 8 of 13 patients as of December 2018)</w:t>
      </w:r>
    </w:p>
    <w:p>
      <w:pPr>
        <w:spacing w:after="0" w:line="197"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7"/>
          <w:szCs w:val="17"/>
          <w:color w:val="auto"/>
        </w:rPr>
        <w:t>Part B of PROCLAIM-CX-072 was designed to assess the combination of CX-072 with ipilimumab dosed at its full labeled dose (3 mg/kg every 3 weeks for four cycles). We have also explored higher doses of ipilimumab in Part B.</w:t>
      </w:r>
    </w:p>
    <w:p>
      <w:pPr>
        <w:spacing w:after="0" w:line="1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Preliminary clinical data from Part B of PROCLAIM-CX-072 is shown in the figure below. As of the February 6, 2019 data cutoff for CytomX R&amp;D Day, of 19 patients evaluable for efficacy, four (21%) patients experienced confirmed objective responses. Three of the four confirmed responses remained on drug as of the data cutoff, including 1 confirmed complete response (82 weeks) and 2 confirmed partial responses (59 and 64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118110</wp:posOffset>
            </wp:positionV>
            <wp:extent cx="3557905" cy="1908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7905" cy="190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i w:val="1"/>
          <w:iCs w:val="1"/>
          <w:color w:val="auto"/>
        </w:rPr>
        <w:t>Duration of Response in Patients Treated with CX-072 + ipilimumab</w:t>
      </w: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20"/>
          </w:cols>
          <w:pgMar w:left="240" w:top="4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color w:val="auto"/>
        </w:rPr>
        <w:t>Anticancer Activity – Preliminary Results of Monotherapy Cohort Expansions</w:t>
      </w:r>
    </w:p>
    <w:p>
      <w:pPr>
        <w:spacing w:after="0" w:line="11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In 2018, we initiated monotherapy cohort expansions studies (Part D of PROCLAIM-CX-072) in eight distinct cancer types: undifferentiated pleiomorphic sarcoma, thymic epithelial cancer, triple negative breast cancer (TNBC), anal squamous cell cancer (SCC), cutaneous squamous cell cancer (cSCC), Merkel cell tumor, small bowel carcinoma and cancers with high tumor mutational burden. At the CytomX R&amp;D Day in February 2019, we presented initial clinical data in the four of those eight indications: cSCC, TNBC, SCC and UPS. As the waterfall below shows, preliminary data from 34 efficacy evaluable patients showed a preliminary pattern of anti-cancer activity generally consistent with historical data for other PD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121285</wp:posOffset>
            </wp:positionV>
            <wp:extent cx="3944620" cy="2224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44620" cy="222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5"/>
          <w:szCs w:val="15"/>
          <w:i w:val="1"/>
          <w:iCs w:val="1"/>
          <w:color w:val="auto"/>
        </w:rPr>
        <w:t>Percent Change from Baseline in Sum of Target Lesion Measurements, by Cancer Classification in Part D. + denotes PD-L1 positive, defined as tumor proportion score ≥1% of membranous staining based on DAKO PD-L1 IHC 22C3 pharmDx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Improved Safety Profile</w:t>
      </w:r>
    </w:p>
    <w:p>
      <w:pPr>
        <w:spacing w:after="0" w:line="10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Of 50 patients evaluable for safety in the four cancers (TNBC, UPS, Anal SCC, cSCC) tested as of the data cutoff date for Part D, CX-072 as monotherapy was generally well tolerated, with 21 (42.0%) patients experiencing a Grade 3/4 treatment-emergent adverse event (TEAE), 2 (4%) patients experiencing a Grade 3/4 treatment-related adverse events (TRAE), 2 (4%) patients experiencing a Grade 3/4 immune-related adverse events (irAE) and no discontinuation for treatment-related toxicity. These data compare favorably to historical controls where the rate of Grade 3/4 TRAEs in patients receiving PD-pathway inhibitors and TRAEs leading to discontinuation are 15% and 8%, respectively.</w:t>
      </w:r>
    </w:p>
    <w:p>
      <w:pPr>
        <w:spacing w:after="0" w:line="212"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7"/>
          <w:szCs w:val="17"/>
          <w:color w:val="auto"/>
        </w:rPr>
        <w:t>Combining a PD pathway inhibitor with another anti-cancer agent often results in significantly greater toxicity than monotherapy alone. One example of such synergistic toxicity is the combination of nivolumab (a PD-1 inhibitor marketed by Bristol Myers Squibb as Opdivo) and ipilimumab. According to data reported in the New England Journal of Medicine (Larkin et al., NEJM, July 2015), combination of nivolumab at 1 mg/kg and ipilimumab at 3mg/kg resulted in Grade 3/4 TRAEs in 55% of the patients treated and drug discontinuations in 36% of the patients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2555240</wp:posOffset>
            </wp:positionH>
            <wp:positionV relativeFrom="paragraph">
              <wp:posOffset>120015</wp:posOffset>
            </wp:positionV>
            <wp:extent cx="2153285" cy="883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328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7"/>
          <w:szCs w:val="17"/>
          <w:color w:val="auto"/>
        </w:rPr>
        <w:t>In Part B of PROCLAIM-CX-072, we tested doses of CX-072 from 0.3 mg/kg to 10 mg/kg with a combination of ipilimumab at 3 mg/kg. The maximum tolerated dose (MTD) was defined as the combination of 3 mg/kg of ipilimumab and 10 mg/kg of CX-072. Of the 27 patients treated with CX-072 in combination with ipilimumab, all with the full ipilimumab dose of 3 mg/kg or above, the combination was generally well tolerated. As of the February 6, 2019 data cutoff, 14 (51.9%) patients reported a Grade 3/4 TEAE and 7 (26%) patients reported a Grade 3/4 TRAE. No patients experienced a Grade 3/4 irAE in the 3 mg/kg ipilimumab plus 10 mg/kg of CX-072 arm. These data generally compare favorably with historical controls described above.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color w:val="auto"/>
        </w:rPr>
        <w:t>Activation of CX-072 in Tumor Tissue</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The efficacy of CX-072 described above suggests that the molecule is active in the tumor microenvironment. To further explore the activation of CX-072 in patient tumors, we developed several proprietary assays to measure Probody mask removal in the tumor. Biopsies were obtained from a subset of PROCLAIM-CX-072 patients during screening at either 3-5 days after the first dose or after 4-6 weeks of CX-072 therapy. The presence of protease activity, CX-072 cleavage and activation, and measures of biological activity were assessed within tumors.</w:t>
      </w:r>
    </w:p>
    <w:p>
      <w:pPr>
        <w:spacing w:after="0" w:line="198"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7"/>
          <w:szCs w:val="17"/>
          <w:color w:val="auto"/>
        </w:rPr>
        <w:t>Results showed that protease activity was detected in the majority of patient biopsy samples (15 of 18 (83%)). Further, CX-072 was cleaved and activated within tumors, with the total amount of activated CX-072 increasing with dose. Doses of ≥ 3 mg/kg of CX-072 were estimated to achieve ≥ 98% PD-L1 target occupancy in patient tumors and attained concentrations that are associated with efficacy in a preclinical model. 7 of 12 evaluable patient biopsies showed an increase in tumor infiltration of CD8+ T cells, consistent with the inhibition of the PD-1/PD-L1 signaling pathway.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Stability of CX-072 in Systemic Circulation</w:t>
      </w:r>
    </w:p>
    <w:p>
      <w:pPr>
        <w:spacing w:after="0" w:line="10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7"/>
          <w:szCs w:val="17"/>
          <w:color w:val="auto"/>
        </w:rPr>
        <w:t>Probody therapeutics are designed to be masked and therefore inert outside of the tumor microenvironment. Through proprietary assays that CytomX have developed, we are able to measure the proportion of Probody that is intact and therefore masked in systemic circulation. Results from a preliminary single-dose pharmacokinetic analysis of single-agent CX-072 suggest that, as designed, CX-072 circulates predominantly as the intact masked prodrug across all dose levels (for example, 96% intact at 30 mg/kg). Further, CX-072 is only minimally influenced by target mediated drug disposition at low doses, suggesting that masking is effective in blocking interaction with PD-L1 in the periphery.</w:t>
      </w:r>
    </w:p>
    <w:p>
      <w:pPr>
        <w:spacing w:after="0" w:line="17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7"/>
          <w:szCs w:val="17"/>
          <w:color w:val="auto"/>
        </w:rPr>
        <w:t>Taken together, the clinical data for CX-072 available as of February 6, 2019 support the Probody therapeutic hypothesis and underscore that Probody therapeutics may have a unique molecular and clinical pharmacology that has the potential to translate into significant benefits for cancer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48895</wp:posOffset>
            </wp:positionV>
            <wp:extent cx="1696085" cy="1151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96085" cy="1151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CX-2009 (CD166 Probody Drug Conjugate) Program</w:t>
      </w:r>
    </w:p>
    <w:p>
      <w:pPr>
        <w:spacing w:after="0" w:line="10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Our second most advanced product candidate is CX-2009, a wholly owned Probody Drug Conjugate directed against CD166, a novel and difficult to drug target. Probody Drug Conjugates are unique, CytomX-designed Probody therapeutic versions of a class of drugs called Antibody Drug Conjugates (ADCs), which are antibodies that have been conjugated to a small molecule cytotoxic agent via a labile chemical linker. Several ADCs have been approved for the treatment of cancer in the United States and elsewhere, including Kadcyla™, which targets HER2 positive metastatic breast cancer, and Adcetris™, which targets CD30 in Classical Hodgkin Lymphoma. To avoid target-related toxicity, traditional ADCs have historically been limited to targeting proteins that are expressed highly in tumors, but that are also absent or poorly expressed in healthy tissues. Very few cancer-associated proteins have this desired profile. Because our Probody therapeutics are designed to minimize binding of potent anti-cancer therapy to normal tissues, we believe we can address a new class of targets with attractive features that were previously unsuitable because of expression on normal tissues. We have a broad research program at CytomX aimed at discovering and validating this new class of targets and CD166 is the first such target for which we advanced a PDC product candidate into clinical trials. CD166 is highly and homogenously expressed in multiple different tumors types, which makes it an attractive target for a Probody drug conjugate therapeutic; however, the high expression of CD166 on normal tissues makes this a difficult target to drug with a traditional ADC. CX-2009 is our Probody therapeutic directed to CD166 and conjugated to a cytotoxic agent. CX-2009 is currently in the dose escalation portion of a Phase 1/2 study that we call PROCLAIM-CX-2009.</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color w:val="auto"/>
        </w:rPr>
        <w:t>CX-2009 Pre-Clinical Data</w:t>
      </w:r>
    </w:p>
    <w:p>
      <w:pPr>
        <w:spacing w:after="0" w:line="10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CX-2009 is derived from a CytomX discovered and humanized CD166 antibody that exhibits high affinity binding to CD166. Using our proprietary technology, we used this antibody to engineer a Probody therapeutic targeting CD166 that is designed to be masked when active proteases are absent but can be specifically activated by any one of several different tumor-associated proteases. Furthermore, through our license with ImmunoGen, we have gained access to the potent microtubule inhibiting payload DM4 which we conjugated to the anti-CD166 Probody, resulting in CX-2009; a Probody Drug Conjugate designed to bind to CD166 specifically in the tumor microenvironment.</w:t>
      </w:r>
    </w:p>
    <w:p>
      <w:pPr>
        <w:spacing w:after="0" w:line="174"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6"/>
          <w:szCs w:val="16"/>
          <w:color w:val="auto"/>
        </w:rPr>
        <w:t>We have completed multiple preclinical efficacy studies for CX-2009 and demonstrated tumor regressions at doses that we believed may be achievable in clinical trials. Preclinical efficacy data along with immunohistochemical staining (IHC) that demonstrates high expression of CD166 in these tumors, is shown in the figures below. In these figures, tumor growth curves are shown in mice-bearing HCC1806 xenograft tumors (triple negative breast cancer), H292 xenograft tumors (lung cancer), or an Ovarian patient-derived tumor model. Mice treated with CX-2009 (squares) are compared to either a control without treatment (circles) or an ADC to CD166 (triangles). The figures indicate that CX-2009 led to greater tumor growth regression than control, and similar tumor growth regression as the ADC.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113030</wp:posOffset>
            </wp:positionV>
            <wp:extent cx="5680075" cy="1341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0075" cy="134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Examples of pre-clinical anti-tumor activity of a CD166-directed ADC (red) and CX-2009 (blue) in mouse models</w:t>
      </w:r>
    </w:p>
    <w:p>
      <w:pPr>
        <w:spacing w:after="0" w:line="24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7"/>
          <w:szCs w:val="17"/>
          <w:color w:val="auto"/>
        </w:rPr>
        <w:t>Doses of CX-2009 up to 15 mg/kg were tested in non-human primate toxicology studies. The findings were consistent with the off-target, non-specific toxicity typically seen with other DM4-based ADCs that target other proteins. CX-2009 was advanced into human clinical trials on the basis of the anti-tumor activity and safety and tolerability observed in these preclinical studies and the clearance of an IND application by the FDA.</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PROCLAIM-CX-2009 Clinical Program</w:t>
      </w:r>
    </w:p>
    <w:p>
      <w:pPr>
        <w:spacing w:after="0" w:line="1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PROCLAIM CX-2009 is an ongoing Phase 1/2 clinical trial evaluating the tolerability and preliminary antitumor activity of CX-2009 as a monotherapy, which we initiated in June 2017. We are focusing this study in seven tumor types that have high CD166 expression: breast carcinoma, castration-resistant prostate carcinoma, cholangiocarcinoma, endometrial carcinoma, epithelial ovarian carcinoma, head and neck squamous cell carcinoma and non-small cell lung carcinoma. The figure below describes the design and status of PROCLAIM-CX-2009.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120015</wp:posOffset>
            </wp:positionV>
            <wp:extent cx="4102100" cy="1064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02100" cy="1064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Design and status of PROCLAIM-CX-2009 Phase 1/2 clinical trial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CX-2009 Target Levels in Cancer Patients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part of our patient screening in PROCLAIM-CX-2009, we are evaluating the expression of CX-2009 across cancer patients. Of the 250 patients screened as of January 28, 2019, 167 had tumor biopsies where at least 50% of the biopsied cells expressed 3+ membrane expression of CD166, validating the high and homogenous expression of the target in cancer patients.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618"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u w:val="single" w:color="auto"/>
          <w:color w:val="auto"/>
        </w:rPr>
        <w:t>Initial Clinical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the February 6</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2019 data cutoff for the CytomX R&amp;D day, 76 patients were treated at doses ranging from 0.25 to 10 mg/kg of CX-2009 every 3</w:t>
      </w:r>
    </w:p>
    <w:p>
      <w:pPr>
        <w:spacing w:after="0" w:line="2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weeks. Preliminary data from 46 efficacy evaluable patients demonstrated evidence of anti-cancer activity observed at doses of greater than or equal to 4 mg/kg. Tumor shrinkage was observed in 16 (34.8%) patients in multiple tumor types with 5 unconfirmed partial responses (2 each in ovarian and breast cancers and one in head and neck cancer). Of note, comparable levels of anti-cancer activity was observed in patients who were PD-pathway inhibitor naive or resistant, respectively. The graph below shows the activity of CX-2009 at doses of 4 mg/kg and higher.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187325</wp:posOffset>
            </wp:positionV>
            <wp:extent cx="3629025" cy="2043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29025" cy="204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7"/>
          <w:szCs w:val="17"/>
          <w:color w:val="auto"/>
        </w:rPr>
        <w:t>CX-2009 was generally well tolerated and the MTD was not reached. As of the February 6, 2019 data cut off, with 47 (61.8%) patients experiencing a Grade 3/4 TEAEs and 23 (30.3%) patients experienced a Grade 3/4 TRAE. The most common adverse event observed was ocular toxicity, an anticipated toxicity associated with the DM4 payload. Other Grade 3/4 TRAEs included liver function test abnormalities, gastrointestinal disorders and nervous system disorders. Dose optimization is underway to further to inform dose selection. Ocular toxicity prophylaxis has been introduced to this dose optimization phase.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Collaboration Product Candidates in the Clinic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actively developing additional Probody therapeutics in the clinic in collaboration with other companies.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BMS-986249, a CTLA-4 Probody Therapeutic in Collaboration with BMS</w:t>
      </w:r>
    </w:p>
    <w:p>
      <w:pPr>
        <w:spacing w:after="0" w:line="10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As part of our strategic oncology collaboration, BMS has advanced BMS-986249, a CTLA-4 Probody therapeutic, into a Phase 1/2 clinical trial. CTLA-4 is an immune checkpoint protein involved in regulating T-cell activation. BMS is currently marketing a CTLA-4 monoclonal antibody, Yervoy®, that has been approved for the treatment of unresectable or metastatic melanoma. CTLA-4 antibodies have been shown to lead to T-cell activation towards tumor antigens, which is the basis for its anti-tumor effect, and towards self-antigens, which may be the basis for the autoimmune toxicities associated with CTLA-4 antibodies therapies. The FDA approval for ipilimumab has a black box warning about potential severe and fatal immune-related adverse events. We believe that our CTLA-4 Probody therapeutic may be able to effectively localize the CTLA-4 antibody activity to the tumor microenvironment, thereby limiting systemic toxicities normally seen with Yervoy. We believe that BMS is the optimal strategic partner for our CTLA-4 Probody therapeutic given their expertise in cancer immunotherapy and their success with Yervoy.</w:t>
      </w:r>
    </w:p>
    <w:p>
      <w:pPr>
        <w:spacing w:after="0" w:line="176"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7"/>
          <w:szCs w:val="17"/>
          <w:color w:val="auto"/>
        </w:rPr>
        <w:t>At various scientific congresses in 2017 and 2018, BMS presented pre-clinical efficacy and safety data on BMS-986249. For example, at the 2018 Keystone Drugs as Antibodies Conference, BMS scientists presented preclinical efficacy data that showed that BMS-986249 demonstrates comparable anti-tumor activity to ipilumumab in preclinical models. At the Society of Immunotherapy of Cancer meeting in 2017, BMS scientists presented preclinical data that showed that cynomologous monkeys treated with BMS-986249 demonstrated reduced peripheral T-cell activation compared to ipilumumab.</w:t>
      </w:r>
    </w:p>
    <w:p>
      <w:pPr>
        <w:spacing w:after="0" w:line="17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In addition, BMS scientists presented data on the toxicity profile BMS-986249 and ipilumumab at the AACR-EORTC-NCI meeting in 2017. BMS scientists concluded that the highest non-severely toxic dose (“HNSTD”) of BMS-986249 was 50 mg/kg, while the HNSTD of ipilumumab was determined to be 10 mg/kg. The efficacy data, along with the peripheral T-cell activation data and the widened safety window suggests that BMS-986249 has the potential to widen the therapeutic window of ipilumumab. BMS-986249 is currently in a Phase 1/2 clinical study that is being conducted by BMS.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color w:val="auto"/>
        </w:rPr>
        <w:t>CX-2029, a CD71 Probody Drug Conjugate in Collaboration with AbbVie</w:t>
      </w:r>
    </w:p>
    <w:p>
      <w:pPr>
        <w:spacing w:after="0" w:line="105"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7"/>
          <w:szCs w:val="17"/>
          <w:color w:val="auto"/>
        </w:rPr>
        <w:t>We are collaborating with AbbVie on the development of CX-2029, a CD71 Probody Drug Conjugate (“CD71-PDC”). CD71, also known as transferrin receptor 1 (“TfR1”), is a protein that is essential for iron uptake in dividing cells, is highly expressed in a number of solid and hematologic cancers and has attractive molecular properties for efficient delivery of cytotoxic payloads to tumor cells. The combination of high expression in tumors and ubiquitous expression in normal tissues makes CD71 a difficult target for conventional ADCs, but potentially a good candidate for development of PDCs.</w:t>
      </w:r>
    </w:p>
    <w:p>
      <w:pPr>
        <w:spacing w:after="0" w:line="173"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6"/>
          <w:szCs w:val="16"/>
          <w:color w:val="auto"/>
        </w:rPr>
        <w:t>In preclinical efficacy models, we have demonstrated that CX-2029 is highly efficacious in many cell line and patient-derived xenograft models that represent many different cancer types. In our pre-clinical assessment of CD71-PDCs, we assessed activity in 42 pre-clinical models. We observed tumor regression or stasis in 30 of 42 models (71%) and tumor growth inhibition in 10 of 42 models (24%), demonstrating a wide-ranging pre-clinical anti-tumor activity profile for CD71-PDCs</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have also compared the toxicity profile of a CD71 Antibody Drug Conjugate (“CD71-ADC”) to a CD71-PDC. As the figure below shows, a single dose of the CD71-ADC resulted in a significant decrease in the number of neutrophils, a type of infection-fighting cell, in the blood in cynomologus monkeys (squares), while the CD71-PDC at the same dose did not (triangles).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118110</wp:posOffset>
            </wp:positionV>
            <wp:extent cx="1964055" cy="132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4055" cy="132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Neutrophil counts in monkeys treated with CD71 ADC or PDC</w:t>
      </w:r>
    </w:p>
    <w:p>
      <w:pPr>
        <w:spacing w:after="0" w:line="21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Taken together, we believe that CX-2029 has the potential to create a therapeutic window for a CD71 targeting therapeutic. CX-2029 is currently being studied in a Phase 1/2 clinical trial (PROCLAIM-CX-2029) that is being conducted by CytomX.</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Preclinical Product Candidates</w:t>
      </w:r>
    </w:p>
    <w:p>
      <w:pPr>
        <w:spacing w:after="0" w:line="107"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7"/>
          <w:szCs w:val="17"/>
          <w:color w:val="auto"/>
        </w:rPr>
        <w:t>We are actively pursuing the application of our Probody platform technology to multiple other product candidates. These include other product candidates directed against other immunotherapy targets, additional first-in-class PDC product candidates, and T-Cell Engaging bispecific product candidates. Below are selected examples of product candidates that we are pursuing.</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CX-188, PD-1 Probody Therapeutic</w:t>
      </w:r>
    </w:p>
    <w:p>
      <w:pPr>
        <w:spacing w:after="0" w:line="10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We have advanced CX-188, our wholly-owned PD-1 Probody therapeutic to the clinical stage. PD-1 is the receptor for the PD-L1 ligand responsible for inhibiting T-cell activation. It is the target for various immuno-oncology products, including nivolumab (Opdivo) and pembrolizumab (Keytruda). As with PD-L1, inhibiting PD-1 elicits T-cell anti-tumor responses in a variety of different cancers, and also induces systemic autoimmunity and toxicity. In 2018 we filed an IND for CX-188 and the IND was cleared by the FDA in November 2018. We have decided to indefinitely postpone clinical trials for CX-188 due to program and portfolio prioritization. We may elect in the future to initiate clinical trials for CX-188.</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Probody T-Cell Engaging Bispecific Platform</w:t>
      </w:r>
    </w:p>
    <w:p>
      <w:pPr>
        <w:spacing w:after="0" w:line="11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We believe that our Probody platform can be applied to T-cell engaging bispecific antibodies (“TCBs”). TCBs are a highly potent therapeutic modality, designed to direct the activity of cytotoxic T-cells to tumors. TCBs such as Blincyto, a CD19-directed TCB commercialized by Amgen, have shown clinical activity in hematologic malignancies, but development of TCBs for solid tumor indications is proving challenging. Due to their high potency, TCBs can target normal tissues with low antigen expression, resulting in significant on-target, off-tumor toxicity that can limit dosing to low levels. As a result, it has been difficult to reach the level of drug exposure required for efficacy without excessive toxicity. Therefore, novel methods are needed to enable the potent anti-tumor activity of TCBs while limiting toxicity due to cytokine release and the resulting damage to healthy tissues.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618" w:right="259" w:bottom="1440" w:gutter="0" w:footer="0" w:header="0"/>
        </w:sectPr>
      </w:pPr>
    </w:p>
    <w:bookmarkStart w:id="19" w:name="page20"/>
    <w:bookmarkEnd w:id="19"/>
    <w:p>
      <w:pPr>
        <w:spacing w:after="0" w:line="252" w:lineRule="auto"/>
        <w:rPr>
          <w:sz w:val="20"/>
          <w:szCs w:val="20"/>
          <w:color w:val="auto"/>
        </w:rPr>
      </w:pPr>
      <w:r>
        <w:rPr>
          <w:rFonts w:ascii="Times New Roman" w:cs="Times New Roman" w:eastAsia="Times New Roman" w:hAnsi="Times New Roman"/>
          <w:sz w:val="17"/>
          <w:szCs w:val="17"/>
          <w:color w:val="auto"/>
        </w:rPr>
        <w:t>Our most advanced asset in this modality is a T cell-engaging Bispecific Probody therapeutic (“Pb-TCB”) targeting EGFR and CD3. In in vitro preclinical studies, we have demonstrated that the unmasked EGFR-CD3 TCB (diamonds) can exhibit potent dose-dependent tumor cell killing, while the masked EGFR-CD3 Pb-TCB (filled squares) reduced cytotoxicity by more than 100,000-fold, as shown in the figure below. A TCB which does not bind EGFR (open squares) does not kill tumor cells, demonstrating that the activity of the TCB is target 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120015</wp:posOffset>
            </wp:positionV>
            <wp:extent cx="2311400" cy="1380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11400"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320"/>
        <w:spacing w:after="0" w:line="290" w:lineRule="auto"/>
        <w:rPr>
          <w:sz w:val="20"/>
          <w:szCs w:val="20"/>
          <w:color w:val="auto"/>
        </w:rPr>
      </w:pPr>
      <w:r>
        <w:rPr>
          <w:rFonts w:ascii="Times New Roman" w:cs="Times New Roman" w:eastAsia="Times New Roman" w:hAnsi="Times New Roman"/>
          <w:sz w:val="15"/>
          <w:szCs w:val="15"/>
          <w:i w:val="1"/>
          <w:iCs w:val="1"/>
          <w:color w:val="auto"/>
        </w:rPr>
        <w:t>Cytotoxicity of HT-29 tumor cells induced by unmasked, active EGFR-CD3 bispecific antibody (red) and by masked EGFR-CD3 bispecific Probody therapeutic (blue). An inactive control is shown in blue squares</w:t>
      </w:r>
    </w:p>
    <w:p>
      <w:pPr>
        <w:spacing w:after="0" w:line="15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However, in established tumor models, we have demonstrated that Pb-TCBs can induce tumor regressions. As the figure below shows, in the HT29 xenograft model, the Pb-TCB at 0.5 mg/kg (open squares) demonstrated significant anti-tumor activity, and at 1.5 mg/kg (closed squares) was able to induce complete tumor regression. A control treated with inactive PBS buffer (“PBS”) is also shown (circles).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118110</wp:posOffset>
            </wp:positionV>
            <wp:extent cx="3194685" cy="16249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94685" cy="1624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00" w:right="60"/>
        <w:spacing w:after="0" w:line="290" w:lineRule="auto"/>
        <w:rPr>
          <w:sz w:val="20"/>
          <w:szCs w:val="20"/>
          <w:color w:val="auto"/>
        </w:rPr>
      </w:pPr>
      <w:r>
        <w:rPr>
          <w:rFonts w:ascii="Times New Roman" w:cs="Times New Roman" w:eastAsia="Times New Roman" w:hAnsi="Times New Roman"/>
          <w:sz w:val="15"/>
          <w:szCs w:val="15"/>
          <w:i w:val="1"/>
          <w:iCs w:val="1"/>
          <w:color w:val="auto"/>
        </w:rPr>
        <w:t>Example of pre-clinical anti-tumor activity of a Probody TCB at 2 different doses (microgram/kg) in a mouse model, compared to vehicle control (PBS, black). Asterisks indicate statistical significance compared to control.</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60"/>
          </w:cols>
          <w:pgMar w:left="240" w:top="521" w:right="299" w:bottom="1440" w:gutter="0" w:footer="0" w:header="0"/>
        </w:sectPr>
      </w:pPr>
    </w:p>
    <w:bookmarkStart w:id="20" w:name="page21"/>
    <w:bookmarkEnd w:id="20"/>
    <w:p>
      <w:pPr>
        <w:jc w:val="both"/>
        <w:ind w:right="80"/>
        <w:spacing w:after="0" w:line="256" w:lineRule="auto"/>
        <w:rPr>
          <w:sz w:val="20"/>
          <w:szCs w:val="20"/>
          <w:color w:val="auto"/>
        </w:rPr>
      </w:pPr>
      <w:r>
        <w:rPr>
          <w:rFonts w:ascii="Times New Roman" w:cs="Times New Roman" w:eastAsia="Times New Roman" w:hAnsi="Times New Roman"/>
          <w:sz w:val="17"/>
          <w:szCs w:val="17"/>
          <w:color w:val="auto"/>
        </w:rPr>
        <w:t>In nonhuman primates, the EGFR-CD3 Pb-TCB has a significantly higher maximum tolerated dose than the unmasked TCB. Cynomologus monkeys were able to tolerate a dose of 4,000 microgram/kg of the Pb-TCB, while the maximum tolerated dose of the unmasked TCB was 60 microgram/kg. Furthermore, as shown in the figure below, the tolerated exposure of the Pb-TCB (blue symbols) was greater than 10,000-fold higher than that of the unmasked TCB (red symbols).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118110</wp:posOffset>
            </wp:positionV>
            <wp:extent cx="3178810" cy="16408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78810" cy="164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60" w:right="120"/>
        <w:spacing w:after="0" w:line="290" w:lineRule="auto"/>
        <w:rPr>
          <w:sz w:val="20"/>
          <w:szCs w:val="20"/>
          <w:color w:val="auto"/>
        </w:rPr>
      </w:pPr>
      <w:r>
        <w:rPr>
          <w:rFonts w:ascii="Times New Roman" w:cs="Times New Roman" w:eastAsia="Times New Roman" w:hAnsi="Times New Roman"/>
          <w:sz w:val="15"/>
          <w:szCs w:val="15"/>
          <w:i w:val="1"/>
          <w:iCs w:val="1"/>
          <w:color w:val="auto"/>
        </w:rPr>
        <w:t>Concentration in plasma over time of 60 or 180 micrograms/kg single dose of an unmasked, active EGFR-CD3 TCB (red) and of 2000 micrograms/kg as a single dose of a masked EGFR-CD3 Probody therapeutic TCB (blue).</w:t>
      </w:r>
    </w:p>
    <w:p>
      <w:pPr>
        <w:spacing w:after="0" w:line="15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7"/>
          <w:szCs w:val="17"/>
          <w:color w:val="auto"/>
        </w:rPr>
        <w:t>Taken together, we believe our Probody Platform has the potential to enable the development of T-cell engaging bispecific therapeutics against broadly expressed targets such as EGFR. Our EGFR-CD3 Pb-TCB program is partnered with Amgen, and as of February 2019, is in the pre-clinical lead optimization stage.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Collaborations</w:t>
      </w:r>
    </w:p>
    <w:p>
      <w:pPr>
        <w:spacing w:after="0" w:line="1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We believe that the Probody platform has broad applicability across a number of targets and antibody formats. We have leveraged strategic partnering to (a) extend the reach of our therapeutic opportunity and (b) bring in significant non-dilutive capital into the Company. Since 2013, we have entered into collaborations with AbbVie, Amgen, BMS and ImmunoGen, among others, to enable development of certain Probody therapeutics. In constructing each of these collaborations, our primary objectives were to collaborate with leading biopharmaceutical players to validate the potential of Probody therapeutics, to gain meaningful near-term funding and/or technology access to enable advancement of CytomX’s wholly owned Probody therapeutics pipeline, broaden the number of Probody therapeutics that ultimately reach the clinic, and to retain significant milestones, royalties, and in some cases product rights, for long term upside.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AbbVie Ireland Unlimited Company</w:t>
      </w:r>
    </w:p>
    <w:p>
      <w:pPr>
        <w:spacing w:after="0" w:line="1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In April 2016, we entered into two agreements with AbbVie, a CD71 Co-Development and Licensing Agreement (the “CD71 Agreement”) and a Discovery Collaboration and Licensing Agreement (the “Discovery Agreement” and together with the CD71 Agreement the “AbbVie Agreements”). Under the terms of the CD71 Agreement, we and AbbVie are co-developing CX-2029, a Probody Drug Conjugate (“PDC”) against CD71, and we are responsible for pre-clinical and early clinical development. AbbVie will be responsible for later development and commercialization, with global late-stage development costs shared between the two companies. We will assume 35% of the net profits or net losses related to later development unless we opt-out. If we opt-out from participation of co-development of CX-2029, AbbVie will have sole right and responsibility for the further development, manufacturing and commercialization of such CX-2029.</w:t>
      </w:r>
    </w:p>
    <w:p>
      <w:pPr>
        <w:spacing w:after="0" w:line="17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Under the CD71 Agreement, we received an upfront payment of $20.0 million in April 2016, and we are eligible to receive up to $470.0 million in development, regulatory and commercial milestone payments and royalties on ex-US sales in the high teens to low twenties if we participate in the co-development of the CX-2029 subject to a reduction in such royalties if we opt-out from the co-development of the CD71 PDC. Our share of later stage co-development costs for CX-2029 is capped, provided that AbbVie may offset our co-development cost above the capped amounts from future payments such as milestone payments and royalties.</w:t>
      </w:r>
    </w:p>
    <w:p>
      <w:pPr>
        <w:spacing w:after="0" w:line="173" w:lineRule="exact"/>
        <w:rPr>
          <w:sz w:val="20"/>
          <w:szCs w:val="20"/>
          <w:color w:val="auto"/>
        </w:rPr>
      </w:pPr>
    </w:p>
    <w:p>
      <w:pPr>
        <w:jc w:val="both"/>
        <w:ind w:right="80"/>
        <w:spacing w:after="0" w:line="279" w:lineRule="auto"/>
        <w:rPr>
          <w:sz w:val="20"/>
          <w:szCs w:val="20"/>
          <w:color w:val="auto"/>
        </w:rPr>
      </w:pPr>
      <w:r>
        <w:rPr>
          <w:rFonts w:ascii="Times New Roman" w:cs="Times New Roman" w:eastAsia="Times New Roman" w:hAnsi="Times New Roman"/>
          <w:sz w:val="16"/>
          <w:szCs w:val="16"/>
          <w:color w:val="auto"/>
        </w:rPr>
        <w:t>Under the terms of the Discovery Agreement, AbbVie receives exclusive worldwide rights to develop and commercialize PDC against up to two targets, one of which was selected in March 2017. We shall perform research services to discover the Probody therapeutics and create PDCs for the nominated collaboration targets. From that point, AbbVie shall have sole right and responsibility for development and commercialization of products comprising or containing such PDCs (“Discovery Licensed Products”).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21" w:name="page22"/>
    <w:bookmarkEnd w:id="21"/>
    <w:p>
      <w:pPr>
        <w:ind w:right="60"/>
        <w:spacing w:after="0" w:line="252" w:lineRule="auto"/>
        <w:rPr>
          <w:sz w:val="20"/>
          <w:szCs w:val="20"/>
          <w:color w:val="auto"/>
        </w:rPr>
      </w:pPr>
      <w:r>
        <w:rPr>
          <w:rFonts w:ascii="Times New Roman" w:cs="Times New Roman" w:eastAsia="Times New Roman" w:hAnsi="Times New Roman"/>
          <w:sz w:val="17"/>
          <w:szCs w:val="17"/>
          <w:color w:val="auto"/>
        </w:rPr>
        <w:t>Under the Discovery Agreement, we received an upfront payment of $10.0 million in April 2016 and may receive an additional payment upon the selection by AbbVie of the second target and the satisfaction of certain performance conditions under the CD71 Agreement. AbbVie has not selected the second target, but the performance conditions under the CD71 Agreement were met in September 2016. We are also eligible to receive up to $275.0 million in target nomination, development, regulatory and commercial milestone payments and royalties in the high single to low teens from commercial sales of any resulting PDCs.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Amgen, Inc.</w:t>
      </w:r>
    </w:p>
    <w:p>
      <w:pPr>
        <w:spacing w:after="0" w:line="107"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17"/>
          <w:szCs w:val="17"/>
          <w:color w:val="auto"/>
        </w:rPr>
        <w:t>In September 2017, we entered into a Collaboration and License Agreement (the “Amgen Agreement”) with Amgen. Pursuant to the Amgen Agreement, we received an upfront payment of $40.0 million in October 2017. Concurrent with the entry into the Amgen Agreement, Amgen purchased 1,156,069 shares of our common stock for $20.0 million.</w:t>
      </w:r>
    </w:p>
    <w:p>
      <w:pPr>
        <w:spacing w:after="0" w:line="1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Under the terms of the Amgen Agreement, we and Amgen are co-developing a Probody T-cell engaging bi-specific therapeutic targeting EGFR (“EGFR Products”). We are responsible for early-stage development of EGFR Products and all related costs (up to certain pre-set costs and certain limits based on clinical study size). Amgen will be responsible for late-stage development, commercialization, and all related costs of EGFR Products. Following early-stage development, we will have the right to elect to participate financially in the global co-development of EGFR Products with Amgen, during which we would bear certain of the worldwide development costs for EGFR Products and Amgen would bear the rest of such costs (the “EGFR Co-Development Option”). If we exercise our EGFR Co-Development Option, we will share in somewhat less than 50% of the profit and losses from sales of such EGFR Products in the U.S., subject to certain caps, offsets, and deferrals. If we choose not to exercise our EGFR Co-Development Option, we will not bear any costs of later stage development. We are eligible to receive up to $455.0 million in development, regulatory, and commercial milestone payments for EGFR Products, and royalties in the low-double digit to mid-teen percentage of worldwide commercial sales, provided that if we exercise our EGFR Co-Development option, we shall only receive royalties in the low-double digit to mid-teen percentage of commercial sales outside of the United States.</w:t>
      </w:r>
    </w:p>
    <w:p>
      <w:pPr>
        <w:spacing w:after="0" w:line="166"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Amgen also has the right to select a total of up to three targets, including the two additional targets discussed below. We and Amgen will collaborate in the research and development of Probody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us, Amgen will be responsible, at its expense, for the development, manufacture, and commercialization of all Amgen Products. If Amgen exercises all of its options and advances all three of the Amgen Products, we are eligible to receive up to $950.0 million in upfront, development, regulatory, and commercial milestones and tiered high single-digit to low-teen percentage royalties.</w:t>
      </w:r>
    </w:p>
    <w:p>
      <w:pPr>
        <w:spacing w:after="0" w:line="1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We have the option to select, from programs specified in the Amgen Agreement, an existing pre-clinical stage T-cell engaging bispecific product from the Amgen pre-clinical pipeline. We will be responsible, at our expense, for converting this program to a Probody T-cell engaging bispecific product, and thereafter,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Bristol-Myers Squibb Company</w:t>
      </w:r>
    </w:p>
    <w:p>
      <w:pPr>
        <w:spacing w:after="0" w:line="10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In May 2014, we and BMS entered into a Collaboration and License Agreement (the “BMS Agreement”) to discover and develop compounds for use in human therapeutics aimed at multiple immuno-oncology targets using our Probody therapeutic technology.</w:t>
      </w:r>
    </w:p>
    <w:p>
      <w:pPr>
        <w:spacing w:after="0" w:line="16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Under the terms of the BMS Agreement, we granted BMS exclusive worldwide rights to develop and commercialize Probody therapeutics for up to four oncology targets, two of which were selected upon the execution of the BMS Agreement. Pursuant to the BMS Agreement, we received an upfront payment of $50.0 million and were initially entitled to receive contingent payments of up to an aggregate of $1,217.0 million in development, regulatory and commercial milestone payments, which can be reduced by any such payments received or by any termination of targets being pursued. We are entitled to royalty payments in the mid-single digit to low double digits percentage from potential future sales. We also receive research and development service fees. BMS has terminated certain targets from the BMS Agreement, as described below.</w:t>
      </w:r>
    </w:p>
    <w:p>
      <w:pPr>
        <w:spacing w:after="0" w:line="17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7"/>
          <w:szCs w:val="17"/>
          <w:color w:val="auto"/>
        </w:rPr>
        <w:t>In January 2016, BMS selected the third target pursuant to the BMS Agreement and paid us $10.0 million. In December 2016, BMS selected the fourth and its final target pursuant to the BMS Agreement and paid us $15.0 million. In December 2016, BMS selected BMS-986249, a CTLA-4 Probody therapeutic, as a clinical candidate pursuant to the BMS Agreement, which triggered a $2.0 million pre-clinical milestone payment to us. In November 2017, BMS received acceptance of the IND for BMS-986249 from the FDA, which triggered a $10.0 million milestone payment to us.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521" w:right="259" w:bottom="1440" w:gutter="0" w:footer="0" w:header="0"/>
        </w:sectPr>
      </w:pPr>
    </w:p>
    <w:bookmarkStart w:id="22" w:name="page23"/>
    <w:bookmarkEnd w:id="22"/>
    <w:p>
      <w:pPr>
        <w:ind w:right="440"/>
        <w:spacing w:after="0" w:line="268" w:lineRule="auto"/>
        <w:rPr>
          <w:sz w:val="20"/>
          <w:szCs w:val="20"/>
          <w:color w:val="auto"/>
        </w:rPr>
      </w:pPr>
      <w:r>
        <w:rPr>
          <w:rFonts w:ascii="Times New Roman" w:cs="Times New Roman" w:eastAsia="Times New Roman" w:hAnsi="Times New Roman"/>
          <w:sz w:val="17"/>
          <w:szCs w:val="17"/>
          <w:color w:val="auto"/>
        </w:rPr>
        <w:t>In March 2017, we and BMS entered into Amendment Number 1 to Extend Collaboration and License Agreement (the “Amendment”). The Amendment grants BMS exclusive worldwide rights to develop and commercialize Probody therapeutics for up to six additional oncology targets and two non-oncology targets.</w:t>
      </w:r>
    </w:p>
    <w:p>
      <w:pPr>
        <w:spacing w:after="0" w:line="16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7"/>
          <w:szCs w:val="17"/>
          <w:color w:val="auto"/>
        </w:rPr>
        <w:t>Under the terms of the Amendment, we will continue to collaborate with BMS to discover and conduct preclinical development of Probody therapeutics against targets selected by BMS.</w:t>
      </w:r>
    </w:p>
    <w:p>
      <w:pPr>
        <w:spacing w:after="0" w:line="16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Pursuant to the Amendment, we received an upfront payment of $200.0 million and we will be eligible to receive up to an aggregate of $3,586.0 million as follows: (i) up to $116.0 million in development milestone payments per target or up to $928.0 million if the maximum of eight targets are selected for the first product modality; (ii) up to $124.0 million in milestone payments for the first commercial sale in various territories for up to three indications per target program or up to $992.0 million if the maximum of eight targets are selected for the first product modality; (iii) up to $60.0 million in sales milestone payments per target or up to $480.0 million if maximum of eight targets are selected for the first product modality; and (iv) up to $56.3 million in development milestone payments or up to $450.0 million if the maximum of eight targets are selected for the second product modality; (v) up to $62.0 million in milestone payments for the first commercial sale in various territories for up to three indications per target program or up to $496.0 million if the maximum of eight targets are selected for the second product modality; (iii) up to $30.0 million in sales milestone payments per target or up to $240.0 million if maximum of eight targets are selected for the second product modality. We are also entitled to tiered mid-single to low double-digit percentage royalties from potential future sales.</w:t>
      </w:r>
    </w:p>
    <w:p>
      <w:pPr>
        <w:spacing w:after="0" w:line="17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In January 2019, BMS provided us notification of termination of three of the targets in the BMS Agreement. We are still in the process of evaluating the related financial impact. The termination of these targets does not affect BMS-986249, which, as of February 2019, continues to be explored in a Phase 1/2 clinical study that is being conducted by BMS. The termination of these targets also does not affect the Amendment, which remains in full force and effect.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ImmunoGen, Inc.</w:t>
      </w:r>
    </w:p>
    <w:p>
      <w:pPr>
        <w:spacing w:after="0" w:line="10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In January 2014, CytomX and ImmunoGen entered into the Research Collaboration Agreement (the “ImmunoGen Research Agreement”). The ImmunoGen Research Agreement provides us with the right to use ImmunoGen’s ADC technology in combination with our Probody therapeutic technology to create a PDC directed at one specified target under a research license, and to subsequently obtain an exclusive, worldwide development and commercialization license to use ImmunoGen’s ADC technology to develop and commercialize such PDCs. Under the agreement, we provided ImmunoGen with the rights to CytomX’s Probody therapeutic technology to create PDCs directed at two targets under the research license and to subsequently obtain exclusive, worldwide development and commercialization licenses to develop and commercialize such PDCs. In February 2016, we exercised our option to obtain a development and commercialization license for CX-2009 pursuant to the terms of the ImmunoGen Research Agreement (the “CX-2009 License”). In February 2017, ImmunoGen exercised its option to obtain a development and commercialization license for the first of its two targets. ImmunoGen discontinued this program in July 2017 and substitution rights for this program terminated in February 2017. ImmunoGen exercised its second option to obtain a development and commercialization license pursuant to the ImmunoGen Research Agreement (the “ImmunoGen 2017 License”) for a target, epithelial cell adhesion molecule (EPCAM), in December 2017 and continues research work on this program.</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Under the terms of the ImmunoGen Research Agreement, both we and ImmunoGen were required to perform research activities on behalf of the other party for no monetary consideration. Each party is solely responsible for the development, manufacturing and commercialization of any products resulting from the exclusive development and commercialization license obtained by such party under the agreement. In consideration for the ImmunoGen 2017 License, we are entitled to receive up to $30.0 million in development and regulatory milestone payments per the research program target, up to $50.0 million in sales milestone payments per target and royalties in the mid-single digit percentage on the commercial sales of any resulting product. In consideration for the CX-2009 License, ImmunoGen is entitled to receive up to $60.0 million in development and regulatory milestone payments, up to $100.0 million in sales milestone payments and royalties in the mid to high single digits percentage on the commercial sales of any resulting product. In August 2017, we made a milestone payment of $1.0 million to ImmunoGen for the first patient dosing with CX-2009.</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Pfizer PDC Collaboration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May 2013, we entered into a collaboration with Pfizer for up to four targets which was terminated in March 2018.</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10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Our Probody therapeutic candidates are designed to be produced as fully recombinant antibody prodrugs. Our Probody therapeutic candidates are also designed to maintain the manufacturability benefits of antibodies and leverage well established technologies used for antibody production. We conduct cell line development and process development both in-house and in collaboration with contract development and manufacturing organizations (“CMO”). CMOs are responsible for manufacturing of drug substance and clinical drug product materials.</w:t>
      </w:r>
    </w:p>
    <w:p>
      <w:pPr>
        <w:spacing w:after="0" w:line="173"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Our lead Chinese hamster ovary cell line has been successfully used for manufacturing several antibodies and requires minimal process optimization to establish a process to support early phase manufacturing. We utilize well established production steps typically part of a platform manufacturing process for antibodies. The CMO we have selected has a strong track record in manufacturing therapeutic biologics, including antibodies. All activities from cell line development to formulated drug product are performed at one location to maintain aggressive timelines and minimize delays that can result from engaging multiple parties for manufacturing. Similarly, for our PDC projects we have selected CMOs with strong expertise in clinical/commercial drug conjugate manufacturing and with capabilities for toxin conjugation and fill-finish. Furthermore, our two lead PDC programs incorporate toxin payloads that have an established clinical and regulatory history.</w:t>
      </w:r>
    </w:p>
    <w:p>
      <w:pPr>
        <w:spacing w:after="0" w:line="17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To date, we have been able to successfully manufacture CX-072, CX-2009 and CX-2029 for our ongoing early stage clinical trials. However, in order to conduct later stage clinical trials of our product candidates, including CX-072, CX-2009 and CX-2029,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 drug manufacturing capability and to increase the term of stability for CX-072 drug product for late stage clinical trials and</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commercialization. However, we may have to start late stage trials with our early clinical trial drug product and switch to the late stage or commercial drug product mid trial. In such event, the FDA will require us to complete bridging studies to compare the earlier stage material with the late stage or commercial material to assure comparability between the earlier trial material and the late stage or commercial material. Changing the formulation and scale up process is a complicated and difficult task. While we believe we can complete the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unable scale up our manufacturing capabilities with respect to CX-072 or any of our other product candidates, increase the life of drug stability of CX-072 or such other product candidates, or successfully complete the FDA’s bridging requirements, we may not be able to successfully obtain FDA approval and commercialize CX-072 or such other product candidates in a timely manner or at all.</w:t>
      </w:r>
    </w:p>
    <w:p>
      <w:pPr>
        <w:spacing w:after="0" w:line="18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The supply chain for the manufacturing of our product candidates is complicated and can involve many parties. We do not own manufacturing facilities for producing such supplies and rely on third-party contract manufacturers to manufacture our clinical trial and preclinical study product supplies. Our clinical trial manufacturing contractors and suppliers are our sole source for their respective manufacturing and supplies. Failure of any of these contractors could affect our ability to have clinical trial material available when needed. This could result in a substantial delay of our clinical trials. For example, for each of CX-072 CX-2009 and CX-2029, our manufacturing supply chain includes several contract manufacturers, and failure by any of these manufacturers could result in interruptions of our clinical studies. We do not have any long-term contracts and we do not currently have an alternative to any of our third-party contract manufacturers. Consequently,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CX-2009. At the end of 2018, ImmunoGen closed their clinical manufacturing facility in Norwood, MA. This site provided clinical manufacturing support for the CX-2009 program. We have initiated the transfer of the drug substance manufacturing process from ImmunoGen to a contract manufacturer, where we have an existing relationship and with expertise in the manufacture of antibody drug conjugates at a clinical and commercial scale. To date, the manufacturing transfer process is still ongoing and has not yet been completed. However, there can be no assurances that we will not experience a disruption to the supply of CX-2009 in connection with such transfer or that the transfer will be successful.</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i w:val="1"/>
          <w:iCs w:val="1"/>
          <w:color w:val="auto"/>
        </w:rPr>
        <w:t>In-Licenses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License from UCSB</w:t>
      </w:r>
    </w:p>
    <w:p>
      <w:pPr>
        <w:spacing w:after="0" w:line="10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7"/>
          <w:szCs w:val="17"/>
          <w:color w:val="auto"/>
        </w:rPr>
        <w:t>In August 2010, we entered into an agreement with UCSB, that grants us an exclusive license, with the right to sublicense, under the patent rights owned by UCSB covering mask and screening technologies relating to the identification and discovery of pro-protein biologics, including masks and substrates, for the identification of pro-proteins, for use in the fields of therapeutics, in vivo diagnostics, and prophylactics (the “UCSB Agreement”). The UCSB Agreement also grants us an exclusive license, with the right to sublicense, under UCSB’s interest in certain patent rights we co-own with UCSB covering Probody antibodies and other pro-proteins in the fields of therapeutics, in vivo diagnostics and prophylactics.</w:t>
      </w:r>
    </w:p>
    <w:p>
      <w:pPr>
        <w:spacing w:after="0" w:line="17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We had no upfront payment obligations under the agreement. We are obligated to pay to UCSB royalties on net sales of licensed products in the low single digit percentages, subject to annual minimum amounts as well as certain reductions. We are required to make milestone payments to UCSB on the accomplishment of certain milestones totaling up to $1,075 million for each of the first two indications for each licensed product consisting of a molecule or compound covered by the licensed patent rights. We were also obligated to make a payment to UCSB upon the first occurrence of an IPO or change of control. If the Company sublicenses its rights under the UCSB Agreement, it must pay UCSB a percentage of our total sublicense revenues ranging from the mid-single to mid-teen percentages, which total amount would be first reduced by the aggregate amount of certain research and development related expenses incurred by the Company and other permitted deductions.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License from ImmunoGen</w:t>
      </w:r>
    </w:p>
    <w:p>
      <w:pPr>
        <w:spacing w:after="0" w:line="11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7"/>
          <w:szCs w:val="17"/>
          <w:color w:val="auto"/>
        </w:rPr>
        <w:t>In February 2016, we exercised our option to obtain a worldwide, exclusive, sublicensable license from ImmunoGen for development and commercialization of products directed against the target selected by us under our research collaboration agreement with ImmunoGen. See the description of the license agreement set forth under the caption “Our Collaborations—ImmunoGen, Inc.” in this Item 1 of this Annual Report on Form 10-K.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0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The biotechnology and biopharmaceutical industries, and the immuno-oncology subsector, are characterized by rapid evolution of technologies, fierce competition and strong defense of intellectual property. Any product candidates that we successfully develop and commercialize will have to compete with existing therapies and new therapies that may become available in the future. While we believe that our proprietary Probody platform and scientific expertise in the field of biologics and immuno-oncology provide us with competitive advantages, a wide variety of institutions, including large biopharmaceutical companies, specialty biotechnology companies, academic research departments and public and private research institutions, are actively developing potentially competitive products and technologies. We face substantial competition from biotechnology and biopharmaceutical companies developing biopharmaceutical products, particularly with respect to in immuno-oncology therapeutics, where competition is intense and rapidly evolving. These competitors generally fall within the following categories:</w:t>
      </w:r>
    </w:p>
    <w:p>
      <w:pPr>
        <w:spacing w:after="0" w:line="172" w:lineRule="exact"/>
        <w:rPr>
          <w:sz w:val="20"/>
          <w:szCs w:val="20"/>
          <w:color w:val="auto"/>
        </w:rPr>
      </w:pPr>
    </w:p>
    <w:p>
      <w:pPr>
        <w:ind w:right="740"/>
        <w:spacing w:after="0" w:line="305" w:lineRule="auto"/>
        <w:rPr>
          <w:sz w:val="20"/>
          <w:szCs w:val="20"/>
          <w:color w:val="auto"/>
        </w:rPr>
      </w:pPr>
      <w:r>
        <w:rPr>
          <w:rFonts w:ascii="Times New Roman" w:cs="Times New Roman" w:eastAsia="Times New Roman" w:hAnsi="Times New Roman"/>
          <w:sz w:val="16"/>
          <w:szCs w:val="16"/>
          <w:b w:val="1"/>
          <w:bCs w:val="1"/>
          <w:color w:val="auto"/>
        </w:rPr>
        <w:t xml:space="preserve">Masking and conditional activation: </w:t>
      </w:r>
      <w:r>
        <w:rPr>
          <w:rFonts w:ascii="Times New Roman" w:cs="Times New Roman" w:eastAsia="Times New Roman" w:hAnsi="Times New Roman"/>
          <w:sz w:val="16"/>
          <w:szCs w:val="16"/>
          <w:color w:val="auto"/>
        </w:rPr>
        <w:t>Several companies, including Akriveia, Amgen, Amunix, BioAtla, Halozyme, Harpoon, Maverick Therapeutics, Pandion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Therapeutics, Revitope, and Roche are exploring antibody masking and/or conditional activation strategies, which could compete with our Probody Platform.</w:t>
      </w:r>
    </w:p>
    <w:p>
      <w:pPr>
        <w:spacing w:after="0" w:line="1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Cancer immunotherapies: </w:t>
      </w:r>
      <w:r>
        <w:rPr>
          <w:rFonts w:ascii="Times New Roman" w:cs="Times New Roman" w:eastAsia="Times New Roman" w:hAnsi="Times New Roman"/>
          <w:sz w:val="17"/>
          <w:szCs w:val="17"/>
          <w:color w:val="auto"/>
        </w:rPr>
        <w:t>Cancer immunotherapy is one of the most competitive and fastest growing segments of the pharmaceutical industry. Almost every large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pharmaceutical company is developing cancer immunotherapies, including Amgen, AstraZeneca PLC, BMS, Celgene, GlaxoSmithKline plc, Merck &amp; Co., Inc., Novartis AG, Pfizer, Roche Holding Ltd and Sanofi SA. In addition, many large and mid-sized biotech companies such as BeiGene Incyte, TESARO, Inc., Nektar, and Alkermes have ongoing efforts in cancer immunotherapy. Finally, numerous small companies are also working in the space.</w:t>
      </w:r>
    </w:p>
    <w:p>
      <w:pPr>
        <w:spacing w:after="0" w:line="170"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6"/>
          <w:szCs w:val="16"/>
          <w:b w:val="1"/>
          <w:bCs w:val="1"/>
          <w:color w:val="auto"/>
        </w:rPr>
        <w:t xml:space="preserve">Antibody drug conjugates: </w:t>
      </w:r>
      <w:r>
        <w:rPr>
          <w:rFonts w:ascii="Times New Roman" w:cs="Times New Roman" w:eastAsia="Times New Roman" w:hAnsi="Times New Roman"/>
          <w:sz w:val="16"/>
          <w:szCs w:val="16"/>
          <w:color w:val="auto"/>
        </w:rPr>
        <w:t>Several large pharmaceutical companies, such as AbbVie, Daiichi Sankyo, Pfizer, Roche, and Takeda are developing ADCs. Three mid-sized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companies, ImmunoGen, Seattle Genetics, and Immunomedics are also leaders in this space. Finally, numerous small companies have ongoing efforts in the space.</w:t>
      </w:r>
    </w:p>
    <w:p>
      <w:pPr>
        <w:spacing w:after="0" w:line="129"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6"/>
          <w:szCs w:val="16"/>
          <w:b w:val="1"/>
          <w:bCs w:val="1"/>
          <w:color w:val="auto"/>
        </w:rPr>
        <w:t xml:space="preserve">T-cell engaging bispecifics: </w:t>
      </w:r>
      <w:r>
        <w:rPr>
          <w:rFonts w:ascii="Times New Roman" w:cs="Times New Roman" w:eastAsia="Times New Roman" w:hAnsi="Times New Roman"/>
          <w:sz w:val="16"/>
          <w:szCs w:val="16"/>
          <w:color w:val="auto"/>
        </w:rPr>
        <w:t>Several large pharmaceutics companies, such as Amgen, Novartis, and Roche, have on-going efforts in the space of TCBs. In additional,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several mid-sized biotech companies such as Macrogenics and Xencor have ongoing efforts in TCBs. Finally, numerous small companies have ongoing efforts in the space.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25" w:name="page26"/>
    <w:bookmarkEnd w:id="25"/>
    <w:p>
      <w:pPr>
        <w:spacing w:after="0" w:line="246" w:lineRule="auto"/>
        <w:rPr>
          <w:sz w:val="20"/>
          <w:szCs w:val="20"/>
          <w:color w:val="auto"/>
        </w:rPr>
      </w:pPr>
      <w:r>
        <w:rPr>
          <w:rFonts w:ascii="Times New Roman" w:cs="Times New Roman" w:eastAsia="Times New Roman" w:hAnsi="Times New Roman"/>
          <w:sz w:val="17"/>
          <w:szCs w:val="17"/>
          <w:color w:val="auto"/>
        </w:rPr>
        <w:t>Many of our competitors, either alone or with strategic partners, have substantially greater financial, technical and human resources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study sites and patient registration for clinical studies and acquiring technologies complementary to, or necessary for, our programs. Smaller or early-stage companies may also prove to be significant competitors, particularly through collaborative arrangements with large and established companies. Our commercial opportunity could be substantially limited in the event that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our products’ entry. We believe the factors determining the success of our programs will be the efficacy, safety and convenience of our product candidates.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0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We strive to protect and enhance the proprietary technology, inventions, and improvements that are commercially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product candidates that are important to the development and implementation of our business. Our patent portfolio is intended to cover, but is not limited to, our technology platforms, our product candidates and components thereof, their methods of use and processes for their manufacture, our proprietary reagents and assays, and any other inventions that are commercially important to our business. We also rely on trade secret protection of our confidential information and know-how relating to our proprietary technology, platforms and product candidates, continuing innovation, and in-licensing opportunities to develop, strengthen, and maintain our proprietary position in our Probody platform and product candidates. We expect to rely on data exclusivity, market exclusivity, patent term adjustment and patent term extensions when available.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patents; to defend against and challenge the assertion by third parties of their purported intellectual property rights; and to operate without the unauthorized infringement of valid and enforceable patents and other proprietary rights of third parties.</w:t>
      </w:r>
    </w:p>
    <w:p>
      <w:pPr>
        <w:spacing w:after="0" w:line="16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7"/>
          <w:szCs w:val="17"/>
          <w:color w:val="auto"/>
        </w:rPr>
        <w:t>We believe that we have a strong global intellectual property position and substantial know-how and trade secrets relating to our Probody therapeutic technology, platform and product candidates. Our patent portfolio as of February 15, 2019 contains at least 100 issued patents (some of which are co-owned with a third party) and 250 pending patent applications (some of which are co-owned with a third party). We have exclusively licensed UCSB’s interest in the co-owned patent family covering Probody and other pro-protein technology in the fields of therapeutics, in vivo diagnostics and prophylactics.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patents and patent applications include claims directed to:</w:t>
      </w:r>
    </w:p>
    <w:p>
      <w:pPr>
        <w:spacing w:after="0" w:line="103" w:lineRule="exact"/>
        <w:rPr>
          <w:sz w:val="20"/>
          <w:szCs w:val="20"/>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Probody platform and PDC platform;</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pro-protein platforms;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Probody conjugates and conjugation methods to produce PDCs;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Bispecific and other multispecific Probody therapeutics, including T-cell-recruiting bispecific Probody therapeutics;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Protease-cleavable linkers, e.g., serine protease- and/or MMP-cleavable linkers;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Improved display systems for peptide display, e.g., to identify masks, substrates, and other proteins;</w:t>
      </w:r>
    </w:p>
    <w:p>
      <w:pPr>
        <w:spacing w:after="0" w:line="102" w:lineRule="exact"/>
        <w:rPr>
          <w:rFonts w:ascii="Times New Roman" w:cs="Times New Roman" w:eastAsia="Times New Roman" w:hAnsi="Times New Roman"/>
          <w:sz w:val="17"/>
          <w:szCs w:val="17"/>
          <w:color w:val="auto"/>
        </w:rPr>
      </w:pPr>
    </w:p>
    <w:p>
      <w:pPr>
        <w:ind w:left="1020" w:right="240" w:hanging="511"/>
        <w:spacing w:after="0" w:line="268"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Cancer immunotherapy Probody therapeutics, e.g., PD-L1, PD-1, and CTLA-4 Probody therapeutics, as well as related novel antibodies and combination therapies;</w:t>
      </w:r>
    </w:p>
    <w:p>
      <w:pPr>
        <w:spacing w:after="0" w:line="60" w:lineRule="exact"/>
        <w:rPr>
          <w:rFonts w:ascii="Times New Roman" w:cs="Times New Roman" w:eastAsia="Times New Roman" w:hAnsi="Times New Roman"/>
          <w:sz w:val="17"/>
          <w:szCs w:val="17"/>
          <w:color w:val="auto"/>
        </w:rPr>
      </w:pPr>
    </w:p>
    <w:p>
      <w:pPr>
        <w:ind w:left="1020" w:right="140" w:hanging="511"/>
        <w:spacing w:after="0" w:line="268"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Probody drug conjugates, e.g., CD-166, CD-71 (transferrin receptor), CD49c (integrin alpha 3), and CD147 PDCs, as well as related Probody therapeutics, novel antibodies and ADCs;</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Probody therapeutics to other targets, e.g., EGFR, Jagged, and IL6R Probody therapeutics, as well as related PDCs, novel antibodies and ADCs;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Antibodies that bind Probody therapeutics, e.g., anti-mask and anti-Probody antibodies;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26" w:name="page27"/>
    <w:bookmarkEnd w:id="26"/>
    <w:p>
      <w:pPr>
        <w:ind w:left="1020" w:hanging="511"/>
        <w:spacing w:after="0"/>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Antibodies that bind key targets;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Antibodies that bind the active site of uPA protease;</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Compositions and methods to discriminate between intact Probody therapeutics and activated versions thereof, as well as other translation assays;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Methods to produce intact Probody therapeutics; and</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Methods to use any of the above-referenced compounds and compositions.</w:t>
      </w:r>
    </w:p>
    <w:p>
      <w:pPr>
        <w:spacing w:after="0" w:line="20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7"/>
          <w:szCs w:val="17"/>
          <w:color w:val="auto"/>
        </w:rPr>
        <w:t>In addition, we have exclusively licensed a patent portfolio of patent families from UCSB patents and patent applications that cover compositions and methods related to screening for and identification of masks and protease-cleavable linkers that we incorporate into our Probody therapeutics.</w:t>
      </w:r>
    </w:p>
    <w:p>
      <w:pPr>
        <w:spacing w:after="0" w:line="16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7"/>
          <w:szCs w:val="17"/>
          <w:color w:val="auto"/>
        </w:rPr>
        <w:t>As for the Probody platform, product candidates and processes we develop and commercialize, in the normal course of business, we intend to pursue, where appropriate, patent protection or trade secret protection relating to compositions, methods of manufacture, assay methods, methods of use, treatment of indications, dosing and formulations. We may also pursue patent protection with respect to product development processes and technology.</w:t>
      </w:r>
    </w:p>
    <w:p>
      <w:pPr>
        <w:spacing w:after="0" w:line="17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We continually assess and refine our intellectual property strategy as we develop new platform technologies and product candidates. To that end, we are prepared to file additional patent applications if our intellectual property strategy requires such filings, or where we seek to adapt to competition or seize business opportunities. Further, we are prepared to file patent applications, as we consider appropriate under the circumstances, relating to the new technologies that we develop. In addition to filing and prosecuting patent applications in the United States, we often file counterpart patent applications in the European Union and in additional countries where we believe such foreign filing is likely to be beneficial, including but not limited to any or all of Australia, Brazil, Canada, China, Europe, Hong Kong, India, Indonesia, Israel, Japan, Malaysia, Mexico, New Zealand, Russia or Eurasian Patent Organization, Singapore, South Africa and South Korea.</w:t>
      </w:r>
    </w:p>
    <w:p>
      <w:pPr>
        <w:spacing w:after="0" w:line="17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7"/>
          <w:szCs w:val="17"/>
          <w:color w:val="auto"/>
        </w:rPr>
        <w:t>Our currently issued patents will likely expire on dates ranging from 2028 to 2035, unless we receive patent term extension or adjustment as might be available under applicable law. If patents are issued on our pending patent applications, the resulting patents are projected to expire on dates ranging from 2028 to 2039, unless we receive patent term extension or adjustment.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4"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6"/>
          <w:szCs w:val="16"/>
          <w:color w:val="auto"/>
        </w:rPr>
        <w:t>All of our patents and patent applications are subject to risks and uncertainties under U.S. and foreign law. For a more comprehensive discussion of risks related to our proprietary technology, inventions, improvements, platforms and product candidates, please see the section entitled “Risk Factors—Risks Related to Intellectual Property.”</w:t>
      </w:r>
    </w:p>
    <w:p>
      <w:pPr>
        <w:spacing w:after="0" w:line="13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We intend to file applications for trademark registrations in connection with our product candidates in various jurisdictions, including the U.S. The USPTO previously accepted the PROBODY mark under an intent-to-use trademark application. Because we were unable to show use for that mark within three years of acceptance, the mark became abandoned. We have re-filed for trademark protection of the PROBODY mark with the USPTO. We also have filed for trademark protection of the CYTOMX and IHZ marks as well as the CytomX Logo with the USPTO. Both the PROBODY and IHZ marks were allowed by the USPTO in 2016. The PROBODY mark was registered in class 5 by the USPTO in 2017.</w:t>
      </w:r>
    </w:p>
    <w:p>
      <w:pPr>
        <w:spacing w:after="0" w:line="174"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6"/>
          <w:szCs w:val="16"/>
          <w:color w:val="auto"/>
        </w:rPr>
        <w:t>We also rely on trade secret protection for our confidential and proprietary information. It is our policy to require our employees, consultants, outside scientific collaborators, sponsored researchers and other advisors to execute confidentiality agreements upon the commencement of employment or consulting relationships with us.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421"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Government Regulation and Product Approval</w:t>
      </w:r>
    </w:p>
    <w:p>
      <w:pPr>
        <w:spacing w:after="0" w:line="10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Governmental authorities in the U.S., at the federal, state and local level, and other countries extensively regulate, among other things, the research, development, testing, manufacture, labeling, packaging, promotion, storage, advertising, distribution, marketing and export and import of products such as those we are developing. Our therapeutic candidates must be approved by the FDA through the NDA or BLA process before they may be legally marketed in the U.S. and will be subject to similar requirements in other countries prior to marketing in those countries. The process of obtaining regulatory approvals and the subsequent compliance with applicable federal, state, local and foreign statutes and regulations require the expenditure of substantial time and financial resources.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Government Regulation</w:t>
      </w:r>
    </w:p>
    <w:p>
      <w:pPr>
        <w:spacing w:after="0" w:line="10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6"/>
          <w:szCs w:val="16"/>
          <w:color w:val="auto"/>
        </w:rPr>
        <w:t>In the U.S., the FDA regulates drugs under the Federal Food, Drug, and Cosmetic Act (“FDCA”) and, in the case of therapeutic biologics, the Public Health Services Act (“PHSA”), and implementing regulations. Failure to comply with the applicable U.S. requirements at any time during the product development or approval process, or after approval, may subject an applicant to administrative or judicial sanctions, any of which could have a material adverse effect on us. These sanctions could include:</w:t>
      </w:r>
    </w:p>
    <w:p>
      <w:pPr>
        <w:spacing w:after="0" w:line="54" w:lineRule="exact"/>
        <w:rPr>
          <w:sz w:val="20"/>
          <w:szCs w:val="20"/>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applications;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an approval;</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a clinical hold;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or untitled letters;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seizures or administrative detention of product;</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or partial suspension of production or distribution; or</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fines, disgorgement, or civil or criminal penalties.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NDA and BLA approval processes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process required by the FDA before a therapeutic may be marketed in the U.S. generally involves the following:</w:t>
      </w:r>
    </w:p>
    <w:p>
      <w:pPr>
        <w:spacing w:after="0" w:line="103" w:lineRule="exact"/>
        <w:rPr>
          <w:sz w:val="20"/>
          <w:szCs w:val="20"/>
          <w:color w:val="auto"/>
        </w:rPr>
      </w:pPr>
    </w:p>
    <w:p>
      <w:pPr>
        <w:ind w:left="1020" w:right="280" w:hanging="511"/>
        <w:spacing w:after="0" w:line="268"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nonclinical laboratory tests, animal studies and formulation studies conducted according to good laboratory practices (“GLPs”), and other applicable regulations;</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IND, which must become effective before human clinical trials may begin;</w:t>
      </w:r>
    </w:p>
    <w:p>
      <w:pPr>
        <w:spacing w:after="0" w:line="102" w:lineRule="exact"/>
        <w:rPr>
          <w:rFonts w:ascii="Times New Roman" w:cs="Times New Roman" w:eastAsia="Times New Roman" w:hAnsi="Times New Roman"/>
          <w:sz w:val="17"/>
          <w:szCs w:val="17"/>
          <w:color w:val="auto"/>
        </w:rPr>
      </w:pPr>
    </w:p>
    <w:p>
      <w:pPr>
        <w:ind w:left="1020" w:right="120" w:hanging="511"/>
        <w:spacing w:after="0" w:line="268"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according to good clinical practices (“GCPs”), to establish the safety and efficacy of the product candidate for its intended use;</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NDA or BLA;</w:t>
      </w:r>
    </w:p>
    <w:p>
      <w:pPr>
        <w:spacing w:after="0" w:line="102" w:lineRule="exact"/>
        <w:rPr>
          <w:rFonts w:ascii="Times New Roman" w:cs="Times New Roman" w:eastAsia="Times New Roman" w:hAnsi="Times New Roman"/>
          <w:sz w:val="17"/>
          <w:szCs w:val="17"/>
          <w:color w:val="auto"/>
        </w:rPr>
      </w:pPr>
    </w:p>
    <w:p>
      <w:pPr>
        <w:ind w:left="1020" w:right="220" w:hanging="511"/>
        <w:spacing w:after="0" w:line="25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inspection of the manufacturing facility or facilities at which the product candidate is produced to assess readiness for commercial manufacturing and conformance to the manufacturing-related elements of the application, to conduct a data integrity audit, and to assess compliance with current good manufacturing practices (“cGMPs”) to assure that the facilities, methods and controls are adequate to preserve the product candidate’s identity, strength, quality and purity; and</w:t>
      </w:r>
    </w:p>
    <w:p>
      <w:pPr>
        <w:spacing w:after="0" w:line="73"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NDA or BLA.</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Once a biopharmaceutical candidate is identified for development, it enters the preclinical or nonclinical testing stage. Nonclinical tests include laboratory evaluations of product chemistry, toxicity and formulation, as well as animal studies. An IND sponsor must submit the results of the nonclinical tests, together with manufacturing information and analytical data, to the FDA as part of the IND. Some nonclinical testing may continue even after the IND is submitted. In addition to including the results of the nonclinical studies, the IND will also include a protocol detailing, among other things, the objectives of the clinical trial, the parameters to be used in monitoring safety and the effectiveness criteria to be evaluated if the first phase lends itself to an efficacy determination.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during the life of an IND and may affect one or more specific studies or all studies conducted under the IND.</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80"/>
          </w:cols>
          <w:pgMar w:left="240" w:top="616" w:right="279" w:bottom="1440" w:gutter="0" w:footer="0" w:header="0"/>
        </w:sectPr>
      </w:pPr>
    </w:p>
    <w:bookmarkStart w:id="28" w:name="page29"/>
    <w:bookmarkEnd w:id="28"/>
    <w:p>
      <w:pPr>
        <w:ind w:right="20"/>
        <w:spacing w:after="0" w:line="264" w:lineRule="auto"/>
        <w:rPr>
          <w:sz w:val="20"/>
          <w:szCs w:val="20"/>
          <w:color w:val="auto"/>
        </w:rPr>
      </w:pPr>
      <w:r>
        <w:rPr>
          <w:rFonts w:ascii="Times New Roman" w:cs="Times New Roman" w:eastAsia="Times New Roman" w:hAnsi="Times New Roman"/>
          <w:sz w:val="16"/>
          <w:szCs w:val="16"/>
          <w:color w:val="auto"/>
        </w:rPr>
        <w:t xml:space="preserve">All clinical trials must be conducted under the supervision of one or more qualified investigators in accordance with GCPs. They must be conducted under protocols detailing the objectives of the trial, dosing procedures, research subject selection and exclusion criteria and the safety and effectiveness criteria to be evaluated. Each protocol, and any subsequent material amendment to the protocol, must be submitted to the FDA as part of the IND, and progress reports detailing the status of the clinical trials must be submitted to the FDA annually. Sponsors also must report to the FDA serious and unexpected adverse reactions in a timely manner, any clinically important increase in the rate of a serious suspected adverse reaction over that listed in the protocol or investigation brochure or any findings from other studies or animal or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testing that suggest a significant risk in humans exposed to the product candidate. An institutional review board (“IRB”) at each institution participating in the clinical trial must review and approve the protocol before a clinical trial commences at that institution and must also approve the information regarding the trial and the consent form that must be provided to each research subject or the subject’s legal representative, monitor the study until completed and otherwise comply with IRB regulations. There are also requirements governing the reporting of ongoing clinical trials and completed clinical trial results to public registries.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Human clinical trials are typically conducted in three sequential phases that may overlap or be combined.</w:t>
      </w:r>
    </w:p>
    <w:p>
      <w:pPr>
        <w:spacing w:after="0" w:line="103" w:lineRule="exact"/>
        <w:rPr>
          <w:sz w:val="20"/>
          <w:szCs w:val="20"/>
          <w:color w:val="auto"/>
        </w:rPr>
      </w:pPr>
    </w:p>
    <w:p>
      <w:pPr>
        <w:ind w:left="1020" w:right="200" w:hanging="511"/>
        <w:spacing w:after="0" w:line="256"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1—The product candidate is initially introduced into healthy human subjects and tested for safety, dosage tolerance, absorption, metabolism, distribution and elimination. In the case of some therapeutic candidates for severe or life-threatening diseases, such as cancer, especially when the product candidate may be inherently too toxic to ethically administer to healthy volunteers, the initial human testing is often conducted in patients.</w:t>
      </w:r>
    </w:p>
    <w:p>
      <w:pPr>
        <w:spacing w:after="0" w:line="70" w:lineRule="exact"/>
        <w:rPr>
          <w:rFonts w:ascii="Times New Roman" w:cs="Times New Roman" w:eastAsia="Times New Roman" w:hAnsi="Times New Roman"/>
          <w:sz w:val="17"/>
          <w:szCs w:val="17"/>
          <w:color w:val="auto"/>
        </w:rPr>
      </w:pPr>
    </w:p>
    <w:p>
      <w:pPr>
        <w:ind w:left="1020" w:right="60" w:hanging="511"/>
        <w:spacing w:after="0" w:line="268"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2—Clinical trials are performed on a limited patient population intended to identify possible adverse effects and safety risks, to preliminarily evaluate the efficacy of the product for specific targeted diseases and to determine dosage tolerance and optimal dosage.</w:t>
      </w:r>
    </w:p>
    <w:p>
      <w:pPr>
        <w:spacing w:after="0" w:line="60" w:lineRule="exact"/>
        <w:rPr>
          <w:rFonts w:ascii="Times New Roman" w:cs="Times New Roman" w:eastAsia="Times New Roman" w:hAnsi="Times New Roman"/>
          <w:sz w:val="17"/>
          <w:szCs w:val="17"/>
          <w:color w:val="auto"/>
        </w:rPr>
      </w:pPr>
    </w:p>
    <w:p>
      <w:pPr>
        <w:ind w:left="1020" w:right="60" w:hanging="511"/>
        <w:spacing w:after="0" w:line="300" w:lineRule="auto"/>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Phase 3—Clinical trials are undertaken to further evaluate dosage, clinical efficacy and safety in an expanded patient population at geographically dispersed clinical study sites. These studies are intended to establish the overall risk-benefit ratio of the product and provide an adequate basis for product labeling.</w:t>
      </w:r>
    </w:p>
    <w:p>
      <w:pPr>
        <w:spacing w:after="0" w:line="13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A pivotal study is a clinical study that adequately meets regulatory agency requirements for the evaluation of a product candidate’s efficacy and safety such that it can be used to justify the approval of the product. Generally, pivotal studies are also Phase 3 studies but may be Phase 2 studies if the trial design provides a reliable assessment of clinical benefit, particularly in situations where there is an unmet medical need. Human clinical trials are inherently uncertain, and Phase 1, Phase 2 and Phase 3 testing may not be successfully completed. The FDA or the sponsor may suspend a clinical trial at any time for a variety of reasons,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6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During the development of a new product candidate, sponsors are given opportunities to meet with the FDA at certain points; specifically, prior to the submission of an IND, at the end of Phase 2 and before a BLA or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 that they believe will support the approval of the new therapeutic. If a Phase 3 clinical trial is the subject of discussion at the end of Phase 2 meeting with the FDA, a sponsor may be able to request a Special Protocol Assessment (“SPA”), the purpose of which is to reach agreement with the FDA on the Phase 3 clinical trial protocol design and analysis that will form the primary basis of an efficacy claim.</w:t>
      </w:r>
    </w:p>
    <w:p>
      <w:pPr>
        <w:spacing w:after="0" w:line="163"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6"/>
          <w:szCs w:val="16"/>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such “Phase 4” clinical trials.</w:t>
      </w:r>
    </w:p>
    <w:p>
      <w:pPr>
        <w:spacing w:after="0" w:line="13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According to published guidance on the SPA process, a sponsor that meets the prerequisites may make a specific request for a SPA and provide information regarding the design and size of the proposed clinical trial. The FDA is supposed to evaluate the protocol within 45 days of the request to assess whether the proposed trial is adequate, which evaluation may result in discussions and a request for additional information. A SPA request must be made before the proposed trial begins, and all open issues must be resolved before the trial begins. Although the FDA will assess protocols that have already begun, these assessments will not be subject to the 45-day review applicable to SPAs. If a written agreement is reached, it will be documented and made part of the record. The agreement will be binding on the FDA and may not be changed by the sponsor or the FDA after the trial begins except with the written agreement of the sponsor and the FDA or if the FDA determines that a substantial scientific issue essential to determining the safety or efficacy of the product candidate was identified after the testing began.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29" w:name="page30"/>
    <w:bookmarkEnd w:id="29"/>
    <w:p>
      <w:pPr>
        <w:ind w:right="20"/>
        <w:spacing w:after="0" w:line="264" w:lineRule="auto"/>
        <w:rPr>
          <w:sz w:val="20"/>
          <w:szCs w:val="20"/>
          <w:color w:val="auto"/>
        </w:rPr>
      </w:pPr>
      <w:r>
        <w:rPr>
          <w:rFonts w:ascii="Times New Roman" w:cs="Times New Roman" w:eastAsia="Times New Roman" w:hAnsi="Times New Roman"/>
          <w:sz w:val="16"/>
          <w:szCs w:val="16"/>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the manufacturer must develop methods for testing the quality, purity and potency of the product candidate.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criteria,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 Additionally, for both NDA and BLA products, appropriate packaging must be selected and tested, and stability studies must be conducted to demonstrate that the product candidate does not undergo unacceptable deterioration over its proposed shelf-life.</w:t>
      </w:r>
    </w:p>
    <w:p>
      <w:pPr>
        <w:spacing w:after="0" w:line="166" w:lineRule="exact"/>
        <w:rPr>
          <w:sz w:val="20"/>
          <w:szCs w:val="20"/>
          <w:color w:val="auto"/>
        </w:rPr>
      </w:pPr>
    </w:p>
    <w:p>
      <w:pPr>
        <w:ind w:right="740"/>
        <w:spacing w:after="0" w:line="300" w:lineRule="auto"/>
        <w:rPr>
          <w:sz w:val="20"/>
          <w:szCs w:val="20"/>
          <w:color w:val="auto"/>
        </w:rPr>
      </w:pPr>
      <w:r>
        <w:rPr>
          <w:rFonts w:ascii="Times New Roman" w:cs="Times New Roman" w:eastAsia="Times New Roman" w:hAnsi="Times New Roman"/>
          <w:sz w:val="16"/>
          <w:szCs w:val="16"/>
          <w:color w:val="auto"/>
        </w:rPr>
        <w:t>The results of product development, nonclinical studies and clinical trials, along with descriptions of the manufacturing process, analytical tests and other control mechanisms, proposed labeling and other relevant information are submitted to the FDA as part of an NDA or BLA requesting approval to market the product.</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Under the Prescription Drug User Fee Act (“PDUFA”) as amended, each BLA or NDA must be accompanied by a significant user fee. The FDA adjusts the PDUFA user fees on an annual basis. PDUFA also imposes an annual product fee for products and an annual establishment fee on facilities used to manufacture prescription biological or drug products. Fee waivers or reductions are available in certain circumstances, such as where a waiver is necessary to protect the public health, where the fee would present a significant barrier to innovation, or where the applicant is a small business submitting its first human therapeutic application for review.</w:t>
      </w:r>
    </w:p>
    <w:p>
      <w:pPr>
        <w:spacing w:after="0" w:line="17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Within 60 days following submission of the application, the FDA reviews a BLA or NDA submitted to determine if it is substantially complete before the agency accepts it for filing. The FDA may refuse to file any BLA or NDA that it deems incomplete or not properly reviewable at the time of submission and may request additional information. In this event, the BLA or NDA must be resubmitted with the additional information. The resubmitted application also is subject to review before the FDA accepts it for filing. Once the submission is accepted for filing, the FDA begins an in-depth substantive review of the BLA or NDA. The FDA reviews the BLA to determine, among other things, whether the proposed product is safe, potent, and/or effective for its intended use, and has an acceptable purity profile, and in the case of an NDA, whether the product is safe and effective for its intended use, and in each case, whether the product is being manufactured in accordance with cGMP.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7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During the product approval process, the FDA also will determine whether a risk evaluation and mitigation strategies (“REMS”) plan is necessary to assure the safe use of the product. If the FDA concludes a REMS plan is needed, the sponsor of the BLA or NDA must submit a proposed REMS plan. The FDA will not approve a BLA or NDA without a REMS plan, if required. The FDA has authority to require a REMS plan under the Food and Drug Administration Amendments Act of 2007 (the “FDAAA”) when necessary to ensure that the benefits of a drug or therapeutic biologic outweigh the risks. In determining whether a REMS plan is necessary, the FDA must consider the size of the population likely to use the drug or therapeutic biologic, the seriousness of the disease or condition to be treated, the expected benefit of the drug or therapeutic biologic, the duration of treatment, the seriousness of known or potential adverse events, and whether the drug or therapeutic biologic is a new molecular entity. A REMS plan may be required to include various elements, such as a medication guide or patient package insert, a communication plan to educate health care providers of the risks, limitations on who may prescribe or dispense the drug or therapeutic biologic, or other measures that the FDA deems necessary to assure the safe use of the drug or therapeutic biologic. In addition, the REMS plan must include a timetable to assess the strategy at 18 months, three years, and seven years after the strategy’s approval.</w:t>
      </w:r>
    </w:p>
    <w:p>
      <w:pPr>
        <w:spacing w:after="0" w:line="1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FDA may also require a REMS plan for a drug or therapeutic biologic that is already on the market if it determines, based on new safety information, that a REMS plan is necessary to ensure that the product’s benefits outweigh its risks.</w:t>
      </w:r>
    </w:p>
    <w:p>
      <w:pPr>
        <w:spacing w:after="0" w:line="16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Before approving a BLA or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or NDA,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30" w:name="page31"/>
    <w:bookmarkEnd w:id="30"/>
    <w:p>
      <w:pPr>
        <w:ind w:left="1"/>
        <w:spacing w:after="0" w:line="267" w:lineRule="auto"/>
        <w:rPr>
          <w:sz w:val="20"/>
          <w:szCs w:val="20"/>
          <w:color w:val="auto"/>
        </w:rPr>
      </w:pPr>
      <w:r>
        <w:rPr>
          <w:rFonts w:ascii="Times New Roman" w:cs="Times New Roman" w:eastAsia="Times New Roman" w:hAnsi="Times New Roman"/>
          <w:sz w:val="16"/>
          <w:szCs w:val="16"/>
          <w:color w:val="auto"/>
        </w:rPr>
        <w:t>Notwithstanding the submission of relevant data and information, the FDA may ultimately decide that the BLA or NDA does not satisfy its regulatory criteria for approval and deny approval. Data obtained from clinical trials are not always conclusive and the FDA may interpret data differently than we interpret the same data. If the agency decides not to approve the BLA or NDA in its present form, the FDA will issue a complete response letter that describes all of the specific deficiencies in the BLA or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or NDA, addressing all of the deficiencies identified in the letter, or withdraw the application.</w:t>
      </w:r>
    </w:p>
    <w:p>
      <w:pPr>
        <w:spacing w:after="0" w:line="163" w:lineRule="exact"/>
        <w:rPr>
          <w:sz w:val="20"/>
          <w:szCs w:val="20"/>
          <w:color w:val="auto"/>
        </w:rPr>
      </w:pPr>
    </w:p>
    <w:p>
      <w:pPr>
        <w:ind w:left="1"/>
        <w:spacing w:after="0" w:line="269" w:lineRule="auto"/>
        <w:rPr>
          <w:sz w:val="20"/>
          <w:szCs w:val="20"/>
          <w:color w:val="auto"/>
        </w:rPr>
      </w:pPr>
      <w:r>
        <w:rPr>
          <w:rFonts w:ascii="Times New Roman" w:cs="Times New Roman" w:eastAsia="Times New Roman" w:hAnsi="Times New Roman"/>
          <w:sz w:val="16"/>
          <w:szCs w:val="16"/>
          <w:color w:val="auto"/>
        </w:rPr>
        <w:t>Even if a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25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i w:val="1"/>
          <w:iCs w:val="1"/>
          <w:color w:val="auto"/>
        </w:rPr>
        <w:t>Companion Diagnostics</w:t>
      </w:r>
    </w:p>
    <w:p>
      <w:pPr>
        <w:spacing w:after="0" w:line="105" w:lineRule="exact"/>
        <w:rPr>
          <w:sz w:val="20"/>
          <w:szCs w:val="20"/>
          <w:color w:val="auto"/>
        </w:rPr>
      </w:pPr>
    </w:p>
    <w:p>
      <w:pPr>
        <w:ind w:left="1"/>
        <w:spacing w:after="0" w:line="246" w:lineRule="auto"/>
        <w:rPr>
          <w:sz w:val="20"/>
          <w:szCs w:val="20"/>
          <w:color w:val="auto"/>
        </w:rPr>
      </w:pPr>
      <w:r>
        <w:rPr>
          <w:rFonts w:ascii="Times New Roman" w:cs="Times New Roman" w:eastAsia="Times New Roman" w:hAnsi="Times New Roman"/>
          <w:sz w:val="17"/>
          <w:szCs w:val="17"/>
          <w:color w:val="auto"/>
        </w:rPr>
        <w:t>The FDA issued a final guidance document in July 2014 addressing agency policy in relation to in vitro companion diagnostic tests. The guidance explains that for some drugs and therapeutic biologics, the use of a companion diagnostic test is essential for the safe and effective use of the product, such as when the use of a product is limited to a specific patient subpopulation that can be identified by using the test. According to the guidance, the FDA generally will not approve such a product if the companion diagnostic is not also approved or cleared for the appropriate indication, and accordingly the therapeutic product and the companion diagnostic should be developed and approved or cleared contemporaneously. However, the FDA may decide that it is appropriate to approve such a product without an approved or cleared in vitro companion diagnostic device when the drug or therapeutic biologic is intended to treat a serious or life-threatening condition for which no satisfactory alternative treatment exists and the FDA determines that the benefits from the use of a product with an unapproved or uncleared in vitro companion diagnostic device are so pronounced as to outweigh the risks from the lack of an approved or cleared in vitro companion diagnostic device. The FDA encourages sponsors considering developing a therapeutic product that requires a companion diagnostic to request a meeting with both relevant device and therapeutic product review divisions to ensure that the product development plan will product sufficient data to establish the safety and effectiveness of both the therapeutic product and the companion diagnostic. Because the FDA’s policy on companion diagnostics is set forth only in guidance, this policy is subject to change and is not legally binding.</w:t>
      </w:r>
    </w:p>
    <w:p>
      <w:pPr>
        <w:spacing w:after="0" w:line="27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i w:val="1"/>
          <w:iCs w:val="1"/>
          <w:color w:val="auto"/>
        </w:rPr>
        <w:t>Expedited Review and Approval</w:t>
      </w:r>
    </w:p>
    <w:p>
      <w:pPr>
        <w:spacing w:after="0" w:line="105" w:lineRule="exact"/>
        <w:rPr>
          <w:sz w:val="20"/>
          <w:szCs w:val="20"/>
          <w:color w:val="auto"/>
        </w:rPr>
      </w:pPr>
    </w:p>
    <w:p>
      <w:pPr>
        <w:ind w:left="1" w:right="40"/>
        <w:spacing w:after="0" w:line="247" w:lineRule="auto"/>
        <w:rPr>
          <w:sz w:val="20"/>
          <w:szCs w:val="20"/>
          <w:color w:val="auto"/>
        </w:rPr>
      </w:pPr>
      <w:r>
        <w:rPr>
          <w:rFonts w:ascii="Times New Roman" w:cs="Times New Roman" w:eastAsia="Times New Roman" w:hAnsi="Times New Roman"/>
          <w:sz w:val="17"/>
          <w:szCs w:val="17"/>
          <w:color w:val="auto"/>
        </w:rPr>
        <w:t>The FDA has various programs, including Fast Track, priority review, accelerated approval and breakthrough therapy designation, which are intended to expedite or simplify the process for reviewing therapeutic candidates, or provide for the approval of a product candidate on the basis of a surrogate endpoint. Even if a product candidate qualifies for one or more of these programs, the FDA may later decide that the product candidate no longer meets the conditions for qualification or that the time period for FDA review or approval will be lengthened. Generally, therapeutic candidates that are eligible for these programs are those for serious or life-threatening conditions, those with the potential to address unmet medical needs and those that offer meaningful benefits over existing treatments. For example, Fast Track is a process designed to facilitate the development and expedite the review of therapeutic candidates to treat serious or life-threatening diseases or conditions and fill unmet medical needs. Priority review is designed to give therapeutic candidates that offer major advances in treatment or provide a treatment where no adequate therapy exists an initial review within eight months as compared to a standard review time of twelve months.</w:t>
      </w:r>
    </w:p>
    <w:p>
      <w:pPr>
        <w:spacing w:after="0" w:line="179" w:lineRule="exact"/>
        <w:rPr>
          <w:sz w:val="20"/>
          <w:szCs w:val="20"/>
          <w:color w:val="auto"/>
        </w:rPr>
      </w:pPr>
    </w:p>
    <w:p>
      <w:pPr>
        <w:ind w:left="1" w:right="60"/>
        <w:spacing w:after="0" w:line="266" w:lineRule="auto"/>
        <w:rPr>
          <w:sz w:val="20"/>
          <w:szCs w:val="20"/>
          <w:color w:val="auto"/>
        </w:rPr>
      </w:pPr>
      <w:r>
        <w:rPr>
          <w:rFonts w:ascii="Times New Roman" w:cs="Times New Roman" w:eastAsia="Times New Roman" w:hAnsi="Times New Roman"/>
          <w:sz w:val="16"/>
          <w:szCs w:val="16"/>
          <w:color w:val="auto"/>
        </w:rPr>
        <w:t>Although Fast Track and priority review do not affect the standards for approval, the FDA will attempt to facilitate early and frequent meetings with a sponsor of a Fast Track designated product candidate and expedite review of the application for a product candidate designated for priority review. Accelerated approval, which is described in Subpart H of 21 CFR Part 314, provides for an earlier approval for a new product candidate that is (1) intended to treat a serious or life-threatening disease or condition;</w:t>
      </w:r>
    </w:p>
    <w:p>
      <w:pPr>
        <w:spacing w:after="0" w:line="1" w:lineRule="exact"/>
        <w:rPr>
          <w:sz w:val="20"/>
          <w:szCs w:val="20"/>
          <w:color w:val="auto"/>
        </w:rPr>
      </w:pPr>
    </w:p>
    <w:p>
      <w:pPr>
        <w:ind w:left="241" w:hanging="241"/>
        <w:spacing w:after="0"/>
        <w:tabs>
          <w:tab w:leader="none" w:pos="24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provides a meaningful advantage over available therapies; and (3) demonstrates an effect on either a surrogate endpoint that is reasonably likely to predict</w:t>
      </w:r>
    </w:p>
    <w:p>
      <w:pPr>
        <w:spacing w:after="0" w:line="14" w:lineRule="exact"/>
        <w:rPr>
          <w:rFonts w:ascii="Times New Roman" w:cs="Times New Roman" w:eastAsia="Times New Roman" w:hAnsi="Times New Roman"/>
          <w:sz w:val="16"/>
          <w:szCs w:val="16"/>
          <w:color w:val="auto"/>
        </w:rPr>
      </w:pPr>
    </w:p>
    <w:p>
      <w:pPr>
        <w:ind w:left="1"/>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clinical benefit or on a clinical endpoint that can be measured earlier than irreversible morbidity or mortality (“IMM”) and is reasonably likely to predict an effect on IMM or other clinical benefit, taking into account the severity, rarity or prevalence of the condition and the availability or lack of alternative treatments. A surrogate endpoint is a laboratory measurement or physical sign used as an indirect or substitute measurement representing a clinically meaningful outcome. As a condition of approval, the FDA may require that a sponsor of a product candidate receiving accelerated approval perform post-marketing studies to verify and describe the predicted effect on irreversible morbidity or mortality or other clinical endpoint, and the product may be subject to accelerated withdrawal procedures.</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9869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81"/>
          </w:cols>
          <w:pgMar w:left="239" w:top="521" w:right="279" w:bottom="1440" w:gutter="0" w:footer="0" w:header="0"/>
        </w:sectPr>
      </w:pPr>
    </w:p>
    <w:bookmarkStart w:id="31" w:name="page32"/>
    <w:bookmarkEnd w:id="31"/>
    <w:p>
      <w:pPr>
        <w:spacing w:after="0" w:line="269" w:lineRule="auto"/>
        <w:rPr>
          <w:sz w:val="20"/>
          <w:szCs w:val="20"/>
          <w:color w:val="auto"/>
        </w:rPr>
      </w:pPr>
      <w:r>
        <w:rPr>
          <w:rFonts w:ascii="Times New Roman" w:cs="Times New Roman" w:eastAsia="Times New Roman" w:hAnsi="Times New Roman"/>
          <w:sz w:val="16"/>
          <w:szCs w:val="16"/>
          <w:color w:val="auto"/>
        </w:rPr>
        <w:t>In the Food and Drug Administration Safety and Innovation Act (the “FDASIA”), which was signed into law in July 2012, the U.S. Congress encouraged the FDA to utilize innovative and flexible approaches to the assessment of therapeutic candidates under accelerated approval. The law required the FDA to issue related guidance and also promulgate confirming regulatory changes. In May 2014, the FDA published a final Guidance for Industry titled “Expedited Programs for Serious Conditions—Drugs and Biologics,” which provides guidance on FDA programs that are intended to facilitate and expedite development and review of new therapeutic candidates as well as threshold criteria generally applicable to concluding that a product candidate is a candidate for these expedited development and review programs.</w:t>
      </w:r>
    </w:p>
    <w:p>
      <w:pPr>
        <w:spacing w:after="0" w:line="16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In addition to the Fast Track, accelerated approval and priority review programs discussed above, the FDA’s “Expedited Programs” guidance also describes the Breakthrough Therapy designation. The FDA defines a Breakthrough Therapy as a therapeutic that is intended, alone or in combination with one or more other therapeutics, to treat a serious or life-threatening disease or condition, and preliminary clinical evidence indicates that the therapeutic may demonstrate substantial improvement over existing therapies on one or more clinically significant endpoints, such as substantial treatment effects observed early in clinical development. A therapeutic designated as a Breakthrough Therapy is eligible for accelerated approval. The FDA must take certain actions, such as holding timely meetings and providing advice, intended to expedite the development and review of an application for approval of a Breakthrough Therapy. Even if a product qualifies for one or more of these programs, the FDA may later decide that the product no longer meets the conditions for qualification or decide that the time period for FDA review or approval will not be shortened. A request for Breakthrough Therapy designation should be submitted concurrently with, or as an amendment to, an IND, but ideally no later than the end of Phase 2 meeting.</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Patent Term Restoration and Marketing Exclusivity</w:t>
      </w:r>
    </w:p>
    <w:p>
      <w:pPr>
        <w:spacing w:after="0" w:line="10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Depending upon the timing, duration and specifics of FDA approval of the use of our therapeutic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 candidate’s approval date. The patent term restoration period is generally one half of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product candidate is eligible for the extension and the application for extension must be made prior to expiration of the patent.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8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Market exclusivity provisions under the FDCA also can delay the submission or the approval of certain applications. The FDCA provides a five-year period of non-patent marketing exclusivity within the U.S. to the first applicant to gain approval of an NDA for a new chemical entity. A product candidate is a new chemical entity if the FDA has not previously approved any other new product candidate containing the same active moiety, which is the molecule or ion responsible for the action of the product candidate substance. During the exclusivity period, the FDA may not accept for review an abbreviated new drug application (an “ANDA”), or a 505(b)(2) NDA submitted by another company for another version of such product candidate where the applicant does not own or have a legal right of reference to all the data required for approval. However, an application may be submitted after four years if it contains a certification of patent invalidity or non-infringement of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Examples of such new clinical investigations include those with respect to new indications, dosages or strengths of an existing product candidate. This three-year exclusivity covers only the modification for which the product received approval on the basis of the new clinical investigations and does not prohibit the FDA from approving ANDAs for product candidates containing the active agent for the original indication or condition of use. Five-year exclusivity will not delay the submission or approval of another company’s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7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The Biologics Price Competition and Innovation Act (the “BPCIA”) amended the PHSA to authorize the FDA to approve similar versions of innovative biologics, commonly known as biosimilars. A competitor seeking approval of a biosimilar must file an application to establish its molecule as highly similar to an approved innovator biologic, among other requirements. The BPCIA, however, bars the FDA from approving biosimilar applications for 12 years after an innovator biological product receives initial marketing approval.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color w:val="auto"/>
        </w:rPr>
        <w:t>Orphan Drug Designation</w:t>
      </w:r>
    </w:p>
    <w:p>
      <w:pPr>
        <w:spacing w:after="0" w:line="10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Under the Orphan Drug Act, the FDA may grant Orphan Drug Designation to therapeutic candidates intended to treat a rare disease or condition, which is generally a disease or condition that affects either (1) fewer than 200,000 individuals in the U.S., or (2) more than 200,000 individuals in the U.S. and for which there is no reasonable expectation that the cost of developing and making available in the U.S. a product candidate for this type of disease or condition will be recovered from sales in the U.S. for that product candidate. 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7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7"/>
          <w:szCs w:val="17"/>
          <w:color w:val="auto"/>
        </w:rPr>
        <w:t>If a product candidate that has Orphan Drug Designation subsequently receives the first FDA approval for the disease for which it has such designation, the product candidate is entitled to orphan product exclusivity, which means that the FDA may not approve any other applications to market the same product candidate for the same indication, except under limited circumstances, for seven years. Orphan drug exclusivity, however, could also block the approval of one of our therapeutic candidates for seven years if a competitor obtains approval of the same product candidate as defined by the FDA or if our product candidate is determined to be contained within the competitor’s product candidate for the same indication or disease.</w:t>
      </w:r>
    </w:p>
    <w:p>
      <w:pPr>
        <w:spacing w:after="0" w:line="174"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7"/>
          <w:szCs w:val="17"/>
          <w:color w:val="auto"/>
        </w:rPr>
        <w:t>In addition, the orphan drug credit is available for qualifying costs incurred between the date the FDA designates a drug as an orphan drug and the date the FDA approves the drug. The recent tax reform legislation, which was signed into law on December 22, 2017, reduced the amount of the qualified clinical research costs for a designated orphan product that a sponsor may claim as a credit from 50% to 25%.</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Pediatric Exclusivity and Pediatric Use</w:t>
      </w:r>
    </w:p>
    <w:p>
      <w:pPr>
        <w:spacing w:after="0" w:line="10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7"/>
          <w:szCs w:val="17"/>
          <w:color w:val="auto"/>
        </w:rPr>
        <w:t>Under the Best Pharmaceuticals for Children Act (the “BPCA”), certain therapeutic candidates may obtain an additional six months of exclusivity if the sponsor submits information requested in writing by the FDA, referred to as a Written Request, relating to the use of the active moiety of the product candidate in children. Although the FDA may issue a Written Request for studies on either approved or unapproved indications, it may only do so where it determines that information relating to that use of a product candidate in a pediatric population, or part of the pediatric population, may produce health benefits in that population.</w:t>
      </w:r>
    </w:p>
    <w:p>
      <w:pPr>
        <w:spacing w:after="0" w:line="17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In addition, the Pediatric Research Equity Act (“PREA”), requires a sponsor to conduct pediatric studies for most therapeutic candidates and biologics, for a new active ingredient, new indication, new dosage form, new dosing regimen or new route of administration. Under PREA, original NDAs, BLAs and supplements thereto must contain a pediatric assessment unless the sponsor has received a deferral or waiver. The required assessment must assess the safety and effectiveness of the product candidate for the claimed indications in all relevant pediatric subpopulations and support dosing and administration for each pediatric subpopulation for which the product candidate is safe and effective. The sponsor or FDA may request a deferral of pediatric studies for some or all of the pediatric subpopulations. A deferral may be granted for several reasons, including a finding that the product candidate or biologic is ready for approval for use in adults before pediatric studies are complete or that additional safety or effectiveness data needs to be collected before the pediatric studies begin. The law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post the PREA Non- Compliance letter and sponsor’s response.</w:t>
      </w:r>
    </w:p>
    <w:p>
      <w:pPr>
        <w:spacing w:after="0" w:line="177"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17"/>
          <w:szCs w:val="17"/>
          <w:color w:val="auto"/>
        </w:rPr>
        <w:t>As part of the FDASIA, the U.S. Congress made a few revisions to the BPCA and PREA, which were slated to expire on September 30, 2012, and made both laws permanent.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Post-Approval Requirements</w:t>
      </w:r>
    </w:p>
    <w:p>
      <w:pPr>
        <w:spacing w:after="0" w:line="10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Once an approval is granted, the FDA may withdraw the approval if compliance with regulatory requirements is not maintained or if problems occur after the product candidate reaches the market. Later discovery of previously unknown problems with a product candidate may result in restrictions on the product candidate or even complete withdrawal of the product candidate from the market. After approval, some types of changes to the approved product candidate, such as adding new indications, manufacturing changes and additional labeling claims, are subject to further FDA review and approval. In addition, the FDA may under some circumstances require testing and surveillance programs to monitor the effect of approved therapeutic candidates that have been commercialized, and the FDA under some circumstances has the power to prevent or limit further marketing of a product candidate based on the results of these post-marketing programs.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1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auto"/>
        </w:rPr>
        <w:t>Any therapeutic candidates manufactured or distributed by us pursuant to FDA approvals are subject to continuing regulation by the FDA, including, among other things:</w:t>
      </w:r>
    </w:p>
    <w:p>
      <w:pPr>
        <w:spacing w:after="0" w:line="114" w:lineRule="exact"/>
        <w:rPr>
          <w:sz w:val="20"/>
          <w:szCs w:val="20"/>
          <w:color w:val="auto"/>
        </w:rPr>
      </w:pPr>
    </w:p>
    <w:p>
      <w:pPr>
        <w:ind w:left="1020" w:hanging="511"/>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record-keeping requirements;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of adverse experiences with the product candidate;</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the FDA with updated safety and efficacy information;</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sampling and distribution requirements;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notifying the FDA and gaining its approval of specified manufacturing or labeling changes; and</w:t>
      </w:r>
    </w:p>
    <w:p>
      <w:pPr>
        <w:spacing w:after="0" w:line="102" w:lineRule="exact"/>
        <w:rPr>
          <w:rFonts w:ascii="Times New Roman" w:cs="Times New Roman" w:eastAsia="Times New Roman" w:hAnsi="Times New Roman"/>
          <w:sz w:val="17"/>
          <w:szCs w:val="17"/>
          <w:color w:val="auto"/>
        </w:rPr>
      </w:pPr>
    </w:p>
    <w:p>
      <w:pPr>
        <w:ind w:left="1020" w:right="80" w:hanging="511"/>
        <w:spacing w:after="0" w:line="256"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FDA promotion and advertising requirements, which include, among other things, standards for direct-to-consumer advertising, restrictions on promoting products for uses or in-patient populations that are not described in the product’s approved labeling, limitations on industry-sponsored scientific and educational activities and requirements for promotional activities involving the internet.</w:t>
      </w:r>
    </w:p>
    <w:p>
      <w:pPr>
        <w:spacing w:after="0" w:line="1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Therapeutic manufacturers and other entities involved in the manufacture and distribution of approved therapeutic products are required to register their establishments with the FDA and certain state agencies and are subject to periodic unannounced inspections by the FDA and some state agencies for compliance with cGMPs and other laws. The FDA periodically inspects manufacturing facilities to assess compliance with cGMP, which imposes extensive procedural, substantive and record-keeping requirements. In addition, changes to the manufacturing process are strictly regulated, and, depending on the significance of the change, may require FDA approval before being implemented. FDA regulations would also require investigation and correction of any deviations from cGMP and impose reporting and documentation requirements upon us and any third-party manufacturers that we may decide to use if our product candidates are approved. Accordingly, manufacturers must continue to expend time, money and effort in the area of production and quality control to maintain compliance with cGMP and other aspects of regulatory compliance.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Legislation and Regulations</w:t>
      </w:r>
    </w:p>
    <w:p>
      <w:pPr>
        <w:spacing w:after="0" w:line="10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7"/>
          <w:szCs w:val="17"/>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changed or what the effect of such changes, if any, may be.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Outside of the U.S.</w:t>
      </w:r>
    </w:p>
    <w:p>
      <w:pPr>
        <w:spacing w:after="0" w:line="10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In addition to regulations in the U.S., we will be subject to regulations of other jurisdictions governing any clinical trials and commercial sales and distribution of our therapeutic candidates. Whether or not we obtain FDA approval for a product, we must obtain approval by the comparable regulatory authorities of countries outside of the U.S. before we can commence clinical trials in such countries and approval of the regulators of such countries or economic areas, such as the European Union, before we may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7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Under European Union regulatory systems, a company can consider applying for marketing authorization in several European Union member states by submitting its marketing authorization application(s) under a centralized, decentralized or mutual recognition procedure. The centralized procedure provides for the grant of a single marketing authorization that is valid for all European Union member states. The centralized procedure is compulsory for medicines derived from biotechnology, orphan medicinal products, or those medicines with an active substance not authorized in the European Union on or before May 20, 2004 intended to treat acquired immune deficiency syndrome (“AIDS”), cancer, neurodegenerative disorders or diabetes and optional for those medicines containing a new active substance not authorized in the European Union on or before May 20, 2004, medicines which are highly innovative, or medicines to which the granting of a marketing authorization under the centralized procedure would be in the interest of patients at the European Union-level. The decentralized procedure provides for recognition by European Union national authorities of a first assessment performed by one of the member states. Under this procedure, an identical application for marketing authorization is submitted simultaneously to the national authorities of several European Union member states, one of them being chosen as the “Reference Member State”, and the remaining being the “Concerned Member States”. The Reference Member State must prepare and send drafts of an assessment report, summary of product characteristics and the labelling and package leaflet within 120 days after receipt of a valid marketing authorization application to the Concerned Member States, which must decide within 90 days whether to recognize approval. If any Concerned Member State does not recognize the marketing authorization on the grounds of potential serious risk to public health, the disputed points are eventually referred to the European Commission, whose decision is binding on all member states. The mutual recognition procedure is similar to the decentralized procedure except that a medicine must have already received a marketing authorization in at least one of the member states, and that member state acts as the Reference Member State.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34" w:name="page35"/>
    <w:bookmarkEnd w:id="34"/>
    <w:p>
      <w:pPr>
        <w:ind w:right="720"/>
        <w:spacing w:after="0" w:line="268" w:lineRule="auto"/>
        <w:rPr>
          <w:sz w:val="20"/>
          <w:szCs w:val="20"/>
          <w:color w:val="auto"/>
        </w:rPr>
      </w:pPr>
      <w:r>
        <w:rPr>
          <w:rFonts w:ascii="Times New Roman" w:cs="Times New Roman" w:eastAsia="Times New Roman" w:hAnsi="Times New Roman"/>
          <w:sz w:val="17"/>
          <w:szCs w:val="17"/>
          <w:color w:val="auto"/>
        </w:rPr>
        <w:t>As in the U.S., we may apply for designation of a product candidate as an orphan drug for the treatment of a specific indication in the European Union before the application for marketing authorization is made.</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Orphan drugs in the European Union enjoy economic and marketing benefits, including up to ten years of market exclusivity for the approved indication unless another applicant can show that its product is safer, more effective or otherwise clinically superior to the orphan-designated product, the marketing authorization holder is unable to supply sufficient quantity of the medicinal product or the marketing authorization holder has given its consent.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Coverage and Reimbursement</w:t>
      </w:r>
    </w:p>
    <w:p>
      <w:pPr>
        <w:spacing w:after="0" w:line="10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Sales of our products will depend, in part, on the extent to which our products will be covered by third-party payors, such as government health programs, commercial insurance and managed healthcare organizations. These third-party payors are increasingly reducing reimbursements for medical products and services. Additionally, the containment of healthcare costs has become a priority of federal and state governments and the prices of therapeutics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 party payors do not consider our products to be cost-effective compared to other therapies, they may not cover our products after approval as a benefit under their plans or, if they do, the level of payment may not be sufficient to allow us to sell our products on a profitable basis.</w:t>
      </w:r>
    </w:p>
    <w:p>
      <w:pPr>
        <w:spacing w:after="0" w:line="179"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 Care and Education Reconciliation Act (together, the “ACA”) has had a significant impact on the health care industry. The ACA expanded coverage for the uninsured while at the same time containing overall healthcare costs. With regard to biopharmaceutical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which, through subsequent legislative amendments, will be increased to 70% starting in 2019, off negotiated prices of applicable brand drugs to eligible beneficiaries during their coverage gap period, as a condition for the manufacturer’s outpatient drugs to be covered under Medicare Part D.</w:t>
      </w:r>
    </w:p>
    <w:p>
      <w:pPr>
        <w:spacing w:after="0" w:line="17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United States since the ACA was enacted that impact payment methodologies and reimbursement amounts. On August 2, 2011, the Budget Control Act of 2011 among other things, created measures for spending reductions by Congress, which led to aggregate reductions to Medicare payments to providers of 2% per fiscal year starting in April 2013, and, due to subsequent legislative amendments, will stay in effect through 2027 unless additional Congressional action is taken. On January 2, 2013, President Obama signed into law the American Taxpayer Relief Act of 2012 (the “ATRA”) which among other things, also reduced Medicare payments to several types of providers, including hospitals, imaging centers and cancer treatment centers, and increased the statute of limitations period for the government to recover overpayments to providers from three to five years.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also become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We expect that the current presidential administration and U.S. Congress will continue to seek to modify, repeal, or otherwise invalidate all, or certain provisions of, the ACA. Since taking office, President Trump has continued to support the repeal of all or portions of the ACA. On October 12, 2017, President Trump issued an executive order that expands the use of association health plans and allows anyone to purchase short-term health plans that provided temporary, limited insurance. This executive order also calls for the halt of federal payments to health insurers for cost-sharing reductions previously available to lower-income Americans to afford coverage. There is still uncertainty with respect to the impact this executive order could have on coverage and reimbursement for healthcare items and services covered by plans that were authorized by the ACA. In addition, most recently, the Tax Cuts and Jobs Act was enacted, which, among other things, removes penalties for not complying with the ACA’s individual mandate to carry health insurance. We cannot predict the extent of the impact of any such changes on us.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521" w:right="259" w:bottom="1440" w:gutter="0" w:footer="0" w:header="0"/>
        </w:sectPr>
      </w:pPr>
    </w:p>
    <w:bookmarkStart w:id="35" w:name="page36"/>
    <w:bookmarkEnd w:id="35"/>
    <w:p>
      <w:pPr>
        <w:spacing w:after="0" w:line="248" w:lineRule="auto"/>
        <w:rPr>
          <w:sz w:val="20"/>
          <w:szCs w:val="20"/>
          <w:color w:val="auto"/>
        </w:rPr>
      </w:pPr>
      <w:r>
        <w:rPr>
          <w:rFonts w:ascii="Times New Roman" w:cs="Times New Roman" w:eastAsia="Times New Roman" w:hAnsi="Times New Roman"/>
          <w:sz w:val="17"/>
          <w:szCs w:val="17"/>
          <w:color w:val="auto"/>
        </w:rPr>
        <w:t>Finally, in some foreign countries, the proposed pricing for a product candidate must be approved before it may be lawfully marketed. The requirements governing therapeutic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therapeutic candidates launched in the European Union do not follow price structures of the U.S. and generally tend to be significantly lower.</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Healthcare Laws</w:t>
      </w:r>
    </w:p>
    <w:p>
      <w:pPr>
        <w:spacing w:after="0" w:line="10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privacy and security, physician sunshine and drug pricing transparency laws and regulations.</w:t>
      </w:r>
    </w:p>
    <w:p>
      <w:pPr>
        <w:spacing w:after="0" w:line="1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spacing w:after="0" w:line="17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Additionally, the civil False Claims Act prohibits knowingly presenting or causing the presentation of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7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The U.S. federal Health Insurance Portability and Accountability Act of 1996 (“HIPAA”),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7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There has also been a recent trend of increased federal and state regulation of payments made to physicians and other healthcare providers. The ACA,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Certain states also mandate implementation of compliance programs and compliance with the pharmaceutical industry’s voluntary compliance guidelines and the relevant compliance guidance promulgated by the federal government, impose restrictions on drug manufacturer marketing practices and/or require the tracking and reporting of pricing and marketing information as well as gifts, compensation and other remuneration or items of value provided to physicians and other healthcare professionals and entities.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36" w:name="page37"/>
    <w:bookmarkEnd w:id="36"/>
    <w:p>
      <w:pPr>
        <w:ind w:right="40"/>
        <w:spacing w:after="0" w:line="264" w:lineRule="auto"/>
        <w:rPr>
          <w:sz w:val="20"/>
          <w:szCs w:val="20"/>
          <w:color w:val="auto"/>
        </w:rPr>
      </w:pPr>
      <w:r>
        <w:rPr>
          <w:rFonts w:ascii="Times New Roman" w:cs="Times New Roman" w:eastAsia="Times New Roman" w:hAnsi="Times New Roman"/>
          <w:sz w:val="16"/>
          <w:szCs w:val="16"/>
          <w:color w:val="auto"/>
        </w:rPr>
        <w:t>We may also be subject to data privacy and security regulation by both the federal government and the states in which we conduct our business. HIPAA, as amended by the Health Information Technology for Economic and Clinical Health Act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and non-US laws and regulations (particularly EU laws regarding personal data relating to individuals based in Europe) govern the privacy and security of health information in certain circumstances, many of which differ from each other in significant ways, thus complicating compliance efforts.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w:t>
      </w:r>
    </w:p>
    <w:p>
      <w:pPr>
        <w:spacing w:after="0" w:line="107"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7"/>
          <w:szCs w:val="17"/>
          <w:color w:val="auto"/>
        </w:rPr>
        <w:t>Our third-party manufacturers are subject to inspections by the FDA for compliance with cGMP and other U.S. regulatory requirements, including U.S. federal, state and local regulations regarding environmental protection and hazardous and controlled substance controls, among others. Environmental laws and regulations are complex, change frequently and have tended to become more stringent over time. We have incurred, and may continue to incur, significant expenditures to ensure we are in compliance with these laws and regulations. We would be subject to significant penalties for failure to comply with these laws and regulations.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Company Origins and Team</w:t>
      </w:r>
    </w:p>
    <w:p>
      <w:pPr>
        <w:spacing w:after="0" w:line="1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Our Probody platform technology has its origins in work performed at the University of California, Santa Barbara (“UCSB”), by our scientific founder Professor Patrick Daugherty. Since our inception, we have continued developing and adding to this technology and aspire to design a pipeline of Probody therapeutics that will better the lives of cancer patients. We have assembled an experienced and talented group of individuals dedicated to the advancement of cancer care. Our chief executive officer, Dr. Sean McCarthy, leads a team that draws on robust experience in all phases of product discovery, clinical development and commercialization. Our research and preclinical development team is led by Dr. Michael Kavanaugh, chief scientific officer, and includes renowned and established researchers, and our clinical development team is led by Dr. Rachel Humphrey, chief medical officer. Our management team members have significant experience in oncology with previous experience at AstraZeneca, BMS, Chiron, Five Prime, Maxygen, Millennium, Novartis, SGX and other companies.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07"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7"/>
          <w:szCs w:val="17"/>
          <w:color w:val="auto"/>
        </w:rPr>
        <w:t>As of December 31, 2018, we had 137 full-time employees and 2 part-time employees. Of these employees, 102 were primarily engaged in research and development activities.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0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Our operations commenced in February 2008 when our predecessor entity was formed. We were incorporated in Delaware in September 2010. We maintain our executive offices at 151 Oyster Point Blvd., Suite 400, South San Francisco, California 94080, and our main telephone number is (650) 515-3185.</w:t>
      </w:r>
    </w:p>
    <w:p>
      <w:pPr>
        <w:spacing w:after="0" w:line="16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6"/>
          <w:szCs w:val="16"/>
          <w:color w:val="auto"/>
        </w:rPr>
        <w:t>We were an “emerging growth company” as defined in the Jumpstart Our Business Startups Act of 2012. Based on our public float at June 30, 2018, we ceased to be an emerging growth company at December 31, 2018 and, accordingly, we are required to comply with the auditor attestation requirements of Section 404 to include an opinion from our independent registered public accounting firm on the effectiveness of our internal controls over financial reporting for our 2018 Annual Report on Form 10-K.</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view our operations and measure our business as one reportable segment operating in the United States. See Note 2 to our audited financial statement included elsewhere in this Annual Report on Form 10-K for additional information. Additional information required by this item is incorporated herein by reference to PART II. Item 6 of this Annual Report on Form 10-K.</w:t>
      </w:r>
    </w:p>
    <w:p>
      <w:pPr>
        <w:spacing w:after="0" w:line="17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Our research and development expenses were $103.9 million, $92.3 million and $54.8 million for the years ended December 31, 2018, 2017 and 2016, respectively. Please see “Management’s Discussion and Analysis of Financial Condition and Results of Operations-Research and Development Expenses” for additional detail regarding our research and development activities.</w:t>
      </w:r>
    </w:p>
    <w:p>
      <w:pPr>
        <w:spacing w:after="0" w:line="1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 xml:space="preserve">We maintain a website at </w:t>
      </w:r>
      <w:r>
        <w:rPr>
          <w:rFonts w:ascii="Times New Roman" w:cs="Times New Roman" w:eastAsia="Times New Roman" w:hAnsi="Times New Roman"/>
          <w:sz w:val="17"/>
          <w:szCs w:val="17"/>
          <w:i w:val="1"/>
          <w:iCs w:val="1"/>
          <w:color w:val="auto"/>
        </w:rPr>
        <w:t>www.cytomx.com</w:t>
      </w:r>
      <w:r>
        <w:rPr>
          <w:rFonts w:ascii="Times New Roman" w:cs="Times New Roman" w:eastAsia="Times New Roman" w:hAnsi="Times New Roman"/>
          <w:sz w:val="17"/>
          <w:szCs w:val="17"/>
          <w:color w:val="auto"/>
        </w:rPr>
        <w:t xml:space="preserve">, which contains information about us. The information in, or that can be accessed through, our website is not part of this Annual Report on Form 10-K.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 The SEC maintains an Internet site that contains reports, proxy and information statements and other information regarding our filings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0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0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i w:val="1"/>
          <w:iCs w:val="1"/>
          <w:color w:val="auto"/>
        </w:rPr>
        <w:t>You should consider carefully the risks and uncertainties described below, together with all of the other information in this Annual Report on Form 10-K,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10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December 31, 2018, and December 31, 2017, we had an accumulated deficit of $315.0 million and $219.5 million, respectively. Substantially all of our losses have resulted from expenses incurred in connection with our research and development programs and from general and administrative costs associated with our operations.</w:t>
      </w:r>
    </w:p>
    <w:p>
      <w:pPr>
        <w:spacing w:after="0" w:line="17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 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7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continue to enroll patients in our ongoing Phase 1/2 clinical trials of CX-072, our candidate directed against PD-L1, CX-2009, our PDC candidate directed against CD-166, CX-2029, and our PDC candidate directed against CD71 in collaboration with AbbVie Inc., and as we advance into later trials and new trials for other programs.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75" w:lineRule="exact"/>
        <w:rPr>
          <w:sz w:val="20"/>
          <w:szCs w:val="20"/>
          <w:color w:val="auto"/>
        </w:rPr>
      </w:pPr>
    </w:p>
    <w:p>
      <w:pPr>
        <w:jc w:val="both"/>
        <w:ind w:right="50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6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7"/>
          <w:szCs w:val="17"/>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38" w:name="page39"/>
    <w:bookmarkEnd w:id="38"/>
    <w:p>
      <w:pPr>
        <w:ind w:right="100"/>
        <w:spacing w:after="0" w:line="248" w:lineRule="auto"/>
        <w:rPr>
          <w:sz w:val="20"/>
          <w:szCs w:val="20"/>
          <w:color w:val="auto"/>
        </w:rPr>
      </w:pPr>
      <w:r>
        <w:rPr>
          <w:rFonts w:ascii="Times New Roman" w:cs="Times New Roman" w:eastAsia="Times New Roman" w:hAnsi="Times New Roman"/>
          <w:sz w:val="17"/>
          <w:szCs w:val="17"/>
          <w:color w:val="auto"/>
        </w:rPr>
        <w:t>As of December 31, 2018, we had $436.1 million in cash, cash equivalents and short-term investments. We believe that our existing capital resources will be sufficient to fund our planned operations into 2021.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continue to enroll patients in our ongoing Phase 1/2 clinical trials of CX-072, CX-2009, and CX-2029, and as we advance into later trials and new trials for other programs.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timing and amount of our operating expenditures will depend largely on:</w:t>
      </w:r>
    </w:p>
    <w:p>
      <w:pPr>
        <w:spacing w:after="0" w:line="103" w:lineRule="exact"/>
        <w:rPr>
          <w:sz w:val="20"/>
          <w:szCs w:val="20"/>
          <w:color w:val="auto"/>
        </w:rPr>
      </w:pPr>
    </w:p>
    <w:p>
      <w:pPr>
        <w:ind w:left="1020" w:hanging="511"/>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timing and progress of our ongoing clinical trials as well as any other preclinical and clinical development activities;</w:t>
      </w:r>
    </w:p>
    <w:p>
      <w:pPr>
        <w:spacing w:after="0" w:line="102" w:lineRule="exact"/>
        <w:rPr>
          <w:rFonts w:ascii="Times New Roman" w:cs="Times New Roman" w:eastAsia="Times New Roman" w:hAnsi="Times New Roman"/>
          <w:sz w:val="17"/>
          <w:szCs w:val="17"/>
          <w:color w:val="auto"/>
        </w:rPr>
      </w:pPr>
    </w:p>
    <w:p>
      <w:pPr>
        <w:ind w:left="1020" w:right="280" w:hanging="511"/>
        <w:spacing w:after="0" w:line="268"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size and type of clinical trials and preclinical studies that we may be required to complete for our product candidates, as well as the cost and time of such studies and trials;</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scope and prioritization of preclinical and clinical programs we decide to pursue;</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and cost necessary to produce clinical supplies of our product candidates;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and cost necessary to scale our manufacturing capabilities following regulatory approval and commercial launch of any product candidates.</w:t>
      </w:r>
    </w:p>
    <w:p>
      <w:pPr>
        <w:spacing w:after="0" w:line="102" w:lineRule="exact"/>
        <w:rPr>
          <w:rFonts w:ascii="Times New Roman" w:cs="Times New Roman" w:eastAsia="Times New Roman" w:hAnsi="Times New Roman"/>
          <w:sz w:val="17"/>
          <w:szCs w:val="17"/>
          <w:color w:val="auto"/>
        </w:rPr>
      </w:pPr>
    </w:p>
    <w:p>
      <w:pPr>
        <w:ind w:left="1020" w:right="160" w:hanging="511"/>
        <w:spacing w:after="0" w:line="268"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of the development efforts of parties with whom we have entered or may in the future enter into collaborations and research and development agreements;</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amount of payments we may receive or are obligated to pay under our collaboration agreements and license agreements;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current licenses and research and development programs and to establish new collaboration arrangements;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involved in prosecuting and enforcing patent and other intellectual property claims;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regulatory approvals; and</w:t>
      </w:r>
    </w:p>
    <w:p>
      <w:pPr>
        <w:spacing w:after="0" w:line="102" w:lineRule="exact"/>
        <w:rPr>
          <w:rFonts w:ascii="Times New Roman" w:cs="Times New Roman" w:eastAsia="Times New Roman" w:hAnsi="Times New Roman"/>
          <w:sz w:val="17"/>
          <w:szCs w:val="17"/>
          <w:color w:val="auto"/>
        </w:rPr>
      </w:pPr>
    </w:p>
    <w:p>
      <w:pPr>
        <w:ind w:left="1020" w:right="80" w:hanging="511"/>
        <w:spacing w:after="0" w:line="268"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enhance operational systems and hire additional personnel, including personnel to support development and commercialization of our product candidates and satisfy our obligations as a public company.</w:t>
      </w:r>
    </w:p>
    <w:p>
      <w:pPr>
        <w:spacing w:after="0" w:line="16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Amgen in September 2017.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521" w:right="259" w:bottom="1440" w:gutter="0" w:footer="0" w:header="0"/>
        </w:sectPr>
      </w:pPr>
    </w:p>
    <w:bookmarkStart w:id="39" w:name="page40"/>
    <w:bookmarkEnd w:id="39"/>
    <w:p>
      <w:pPr>
        <w:jc w:val="both"/>
        <w:ind w:right="12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6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As is the case with all oncology drugs, our product candidates in clinical development or preclinical development have a high risk of failure. We commenced enrollment of our Phase 1/2 clinical trial of CX-072, our candidate directed against PD-L1, for cancer and treated our first patient in January 2017. We also initiated our Phase 1/2 clinical trial of CX-2009, our PDC candidate directed against CD-166, for cancer in June 2017, and initiated our Phase 1/2 clinical trial of CX-2029, our PDC candidate directed against CD71 in collaboration with AbbVie, for cancer in June 2018. In addition, Bristol-Myers Squibb Company (“BMS”) commenced enrollment of a Phase 1/2 clinical trial for BMS-986249, a Probody therapeutic directed against CTLA-4, in 2018.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CX-072, CX-2009, CX-2029 and BMS-986249 is subject to finalizing the trial design and filing an IND or similar filing with the FDA or similar foreign regulatory authority. In addition, even if we file our IND or comparable submissions in other jurisdictions for these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8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7"/>
          <w:szCs w:val="17"/>
          <w:color w:val="auto"/>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be delayed for a variety of reasons, including delays related to:</w:t>
      </w:r>
    </w:p>
    <w:p>
      <w:pPr>
        <w:spacing w:after="0" w:line="75" w:lineRule="exact"/>
        <w:rPr>
          <w:sz w:val="20"/>
          <w:szCs w:val="20"/>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recruiting suitable patients to participate in a clinical trial;</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validating any companion diagnostic to be used in a clinical trial;</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other regulatory authorities requiring us to submit additional data or imposing other requirements before permitting us to initiate a clinical trial;</w:t>
      </w:r>
    </w:p>
    <w:p>
      <w:pPr>
        <w:spacing w:after="0" w:line="114" w:lineRule="exact"/>
        <w:rPr>
          <w:rFonts w:ascii="Times New Roman" w:cs="Times New Roman" w:eastAsia="Times New Roman" w:hAnsi="Times New Roman"/>
          <w:sz w:val="16"/>
          <w:szCs w:val="16"/>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regulatory clearance to commence a clinical trial;</w:t>
      </w:r>
    </w:p>
    <w:p>
      <w:pPr>
        <w:spacing w:after="0" w:line="102" w:lineRule="exact"/>
        <w:rPr>
          <w:rFonts w:ascii="Times New Roman" w:cs="Times New Roman" w:eastAsia="Times New Roman" w:hAnsi="Times New Roman"/>
          <w:sz w:val="17"/>
          <w:szCs w:val="17"/>
          <w:color w:val="auto"/>
        </w:rPr>
      </w:pPr>
    </w:p>
    <w:p>
      <w:pPr>
        <w:ind w:left="1020" w:right="120" w:hanging="511"/>
        <w:spacing w:after="0" w:line="268"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institutional review board (“IRB”) approval at each clinical trial site;</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having patients complete a clinical trial or return for post-treatment follow-up;</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 sites deviating from trial protocol or dropping out of a trial;</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adding new clinical trial sites;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our product candidates in sufficient quality and quantity for use in clinical trials; or</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electing to not pursue development and commercialization of our product candidates.</w:t>
      </w:r>
    </w:p>
    <w:p>
      <w:pPr>
        <w:spacing w:after="0" w:line="202"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7"/>
          <w:szCs w:val="17"/>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40" w:name="page41"/>
    <w:bookmarkEnd w:id="40"/>
    <w:p>
      <w:pPr>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6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7"/>
          <w:szCs w:val="17"/>
          <w:color w:val="auto"/>
        </w:rPr>
        <w:t>We are very early in our development efforts, with only three product candidates, CX-072, CX-2009 and CX-2029, currently in early stage clinical development. In addition, BMS is currently evaluating BMS-986249, a CTLA-4-directed Probody therapeutic in a Phase 1/2 clinical trial that it initiated in January 2018.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174"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7"/>
          <w:szCs w:val="17"/>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60" w:lineRule="exact"/>
        <w:rPr>
          <w:sz w:val="20"/>
          <w:szCs w:val="20"/>
          <w:color w:val="auto"/>
        </w:rPr>
      </w:pPr>
    </w:p>
    <w:p>
      <w:pPr>
        <w:ind w:left="1020" w:right="100" w:hanging="511"/>
        <w:spacing w:after="0" w:line="268"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60" w:lineRule="exact"/>
        <w:rPr>
          <w:rFonts w:ascii="Times New Roman" w:cs="Times New Roman" w:eastAsia="Times New Roman" w:hAnsi="Times New Roman"/>
          <w:sz w:val="17"/>
          <w:szCs w:val="17"/>
          <w:color w:val="auto"/>
        </w:rPr>
      </w:pPr>
    </w:p>
    <w:p>
      <w:pPr>
        <w:ind w:left="1020" w:right="720" w:hanging="511"/>
        <w:spacing w:after="0" w:line="268"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product-related side effects experienced by participants in our clinical trials, the clinical trials of our collaborators or by individuals using drugs or therapeutic biologics similar to our product candidates;</w:t>
      </w:r>
    </w:p>
    <w:p>
      <w:pPr>
        <w:spacing w:after="0" w:line="60" w:lineRule="exact"/>
        <w:rPr>
          <w:rFonts w:ascii="Times New Roman" w:cs="Times New Roman" w:eastAsia="Times New Roman" w:hAnsi="Times New Roman"/>
          <w:sz w:val="17"/>
          <w:szCs w:val="17"/>
          <w:color w:val="auto"/>
        </w:rPr>
      </w:pPr>
    </w:p>
    <w:p>
      <w:pPr>
        <w:ind w:left="1020" w:right="440" w:hanging="511"/>
        <w:spacing w:after="0" w:line="268"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imposed by the FDA or comparable foreign authorities regarding the scope or design of our clinical trials;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enrolling research subjects in clinical trials;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drop-out rates of research subjects;</w:t>
      </w:r>
    </w:p>
    <w:p>
      <w:pPr>
        <w:spacing w:after="0" w:line="102" w:lineRule="exact"/>
        <w:rPr>
          <w:rFonts w:ascii="Times New Roman" w:cs="Times New Roman" w:eastAsia="Times New Roman" w:hAnsi="Times New Roman"/>
          <w:sz w:val="17"/>
          <w:szCs w:val="17"/>
          <w:color w:val="auto"/>
        </w:rPr>
      </w:pPr>
    </w:p>
    <w:p>
      <w:pPr>
        <w:ind w:left="1020" w:right="280" w:hanging="511"/>
        <w:spacing w:after="0" w:line="268"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supply or quality of product candidate components or materials or other supplies necessary for the conduct of our clinical trials or the clinical trials of our collaborators;</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than anticipated clinical trial costs;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in the development or approval of companion diagnostic tests for our product candidates;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FDA or other regulatory agency inspection and review of a clinical trial site;</w:t>
      </w:r>
    </w:p>
    <w:p>
      <w:pPr>
        <w:spacing w:after="0" w:line="102" w:lineRule="exact"/>
        <w:rPr>
          <w:rFonts w:ascii="Times New Roman" w:cs="Times New Roman" w:eastAsia="Times New Roman" w:hAnsi="Times New Roman"/>
          <w:sz w:val="17"/>
          <w:szCs w:val="17"/>
          <w:color w:val="auto"/>
        </w:rPr>
      </w:pPr>
    </w:p>
    <w:p>
      <w:pPr>
        <w:ind w:left="1020" w:right="380" w:hanging="511"/>
        <w:spacing w:after="0" w:line="268"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third-party contractors or investigators to comply with regulatory requirements or otherwise meet their contractual obligations in a timely manner, or at all;</w:t>
      </w:r>
    </w:p>
    <w:p>
      <w:pPr>
        <w:spacing w:after="0" w:line="60" w:lineRule="exact"/>
        <w:rPr>
          <w:rFonts w:ascii="Times New Roman" w:cs="Times New Roman" w:eastAsia="Times New Roman" w:hAnsi="Times New Roman"/>
          <w:sz w:val="17"/>
          <w:szCs w:val="17"/>
          <w:color w:val="auto"/>
        </w:rPr>
      </w:pPr>
    </w:p>
    <w:p>
      <w:pPr>
        <w:ind w:left="1020" w:right="360" w:hanging="511"/>
        <w:spacing w:after="0" w:line="268"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and changes in regulatory requirements, policy and guidelines, including the imposition of additional regulatory oversight around clinical testing generally or with respect to our technology in particular; or</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varying interpretations of data by the FDA and similar foreign regulatory agencies.</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6"/>
          <w:szCs w:val="16"/>
          <w:color w:val="auto"/>
        </w:rPr>
        <w:t>We could find that the therapeutics we or our collaborators pursue are not safe or efficacious or that the safety.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41" w:name="page42"/>
    <w:bookmarkEnd w:id="41"/>
    <w:p>
      <w:pPr>
        <w:ind w:right="60"/>
        <w:spacing w:after="0" w:line="248" w:lineRule="auto"/>
        <w:rPr>
          <w:sz w:val="20"/>
          <w:szCs w:val="20"/>
          <w:color w:val="auto"/>
        </w:rPr>
      </w:pPr>
      <w:r>
        <w:rPr>
          <w:rFonts w:ascii="Times New Roman" w:cs="Times New Roman" w:eastAsia="Times New Roman" w:hAnsi="Times New Roman"/>
          <w:sz w:val="17"/>
          <w:szCs w:val="17"/>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272"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5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CX-072, CX-2009and CX-2029). For example, in June 2018 we announced initial clinical data on CX-072 at the Annual Meeting of the American Society of Clinical Oncology (“ASCO”) and in February 2019 we announced updated clinical data regarding CX-072 and our first clinical data on CX-2009. While CX-072 has generally been well tolerated to date, there can be no guaranty that unexpected adverse events will not occur later in this trial or in other trials involving our product candidates or the product candidates of our collaborators. The data described at ASCO show that the administration of monotherapy CX-072 was well tolerated with the majority of treatment-related adverse events (“TRAEs”) as Grade 1/2. However, Grade 3/4 TRAEs were reported in two patients (neutropenia and thrombocytopenia in a patient with thymic cancer (3 mg/kg) and transaminase elevation in a patient with breast cancer (30 mg/kg)) but both events were successfully managed with therapeutic intervention including steroids and discontinuation of CX-072. In addition, the results showed that the administration of CX-072 in combination with ipilimumab was well tolerated with the majority of TRAEs as Grade 1/2. Of the 16 treated patients, five (31%) reported a Grade 3/4 TRAE, a rate similar to that reported previously for 3 mg/kg ipilimumab monotherapy. These events included: Grade 3 colitis (n=1), Grade 3 dyspnea/pneumonitis (n=1), Grade 3 headache/Grade 3 hyponatremia (n=1), and Grade 3 amylase/Grade 4 lipase (n=1). A Grade 3 TRAE in one patient was designated as non-treatment related post data cutoff. A dose limiting toxicity of Grade 3 dyspnea was reported in one patient. On October 22, 2018, we presented follow-up data at the 2018 Annual Meeting of the European Society of Medical Oncology in Munich, Germany. In this presentation, we also disclosed initial data on immune related adverse events (irAE) and infusion related reactions (IRR). Of the 46 patients treated, 3 (7%) developed Grade 3/4 irAEs and 2 (4%) developed Grade 3/4 IRRs. Of the 20 patients treated in the combination with ipilimumab, 2 (10%) developed Grade 3/4 irAEs and 0 (0%) developed Grade 3/4 IRRs.</w:t>
      </w:r>
    </w:p>
    <w:p>
      <w:pPr>
        <w:spacing w:after="0" w:line="16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In February 2019, we announced updated data on the ongoing monotherapy clinical trial for CX-072 focused on our dose expansion cohort of 10 mg/kg. While the safety data we reported at 10 mg/kg is trending toward a similar or better profile than data presented previously, that rate may change with time as more patients are enrolled in the ongoing studies. We also reported at the 10 mg/kg dose an anti-drug antibody (“ADA”) rate of approximately 62%, The rate across all dose levels, including lower dose levels in our trial, is approximately 77% at the data cutoff. We do not believe this ADA is impacting our ability to reach targeted drug exposures. However, we cannot provide assurance that it will not later limit drug exposure or cause severe adverse events.</w:t>
      </w:r>
    </w:p>
    <w:p>
      <w:pPr>
        <w:spacing w:after="0" w:line="174"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7"/>
          <w:szCs w:val="17"/>
          <w:color w:val="auto"/>
        </w:rPr>
        <w:t>In February 2019, we announced data on the ongoing clinical trial for CX-2009. While CX-2009 has been generally well tolerated to date, 23 / 76 (30.3%) patients experienced a Grade 3/4 TRAE. The most common adverse event observed was ocular toxicity, an anticipated toxicity associated with the DM4 payload. Other Grade 3/4 TRAEs included liver function test abnormalities, gastrointestinal disorders and nervous system disorders. Currently, dose optimization is underway to further to inform dose selection.</w:t>
      </w:r>
    </w:p>
    <w:p>
      <w:pPr>
        <w:spacing w:after="0" w:line="21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The results of our future clinical trials or the clinical trials of our collaborators could reveal a high and unacceptable severity of adverse side effects and it is possible that patients enrolled in such clinical trials could respond in unexpected ways. For instance, our Phase 1/2 clinical trial of CX-072 is being conducted in patients with advanced cancers, including metastatic or locally advanced unresectable solid tumors or lymphomas, who have failed other approved therapies for their disease, and as such, it may be difficult to establish safety and efficacy in this type of patient population. In addition, certain arms of our clinical trial of CX-072 enroll patients with tumor types that are not known to be responsive to PD-L1 agents and therefore may be less likely to show effectiveness. Because certain PD-1 and PD-L1 agents are already approved for the treatment of some tumor types, we cannot test CX-072 on those tumor types and will not be able to obtain clinical information about how CX-072 acts in these tumors. Comparing safety and efficacy of CX-072 against other PD-L1 or PD-1 antibodies (either in development or in the market) may be difficult since our Phase 1/2 study is enrolling a different patient population than other studies. Furthermore, a portion of our Phase 1/2 clinical trial of CX-072 includes the administration of CX-072 in combination with Yervoy (ipilimumab) or Zelboraf (vemurafenib), which could exacerbate immune system related adverse events, cause increased toxicity or otherwise lead to unexpected adverse events. The Phase 1/2 clinical trial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42" w:name="page43"/>
    <w:bookmarkEnd w:id="42"/>
    <w:p>
      <w:pPr>
        <w:spacing w:after="0" w:line="250" w:lineRule="auto"/>
        <w:rPr>
          <w:sz w:val="20"/>
          <w:szCs w:val="20"/>
          <w:color w:val="auto"/>
        </w:rPr>
      </w:pPr>
      <w:r>
        <w:rPr>
          <w:rFonts w:ascii="Times New Roman" w:cs="Times New Roman" w:eastAsia="Times New Roman" w:hAnsi="Times New Roman"/>
          <w:sz w:val="17"/>
          <w:szCs w:val="17"/>
          <w:color w:val="auto"/>
        </w:rPr>
        <w:t>BMS-986249 being conducted by BMS includes the administration of the product candidate at relatively high dosage levels, which could further exacerbate such risks. In our Phase 1/2 clinical trials of CX-2009 and CX-2029, we are targeting CD-166 and CD71, respectively, targets that are broadly expressed on normal tissue, which could create unacceptable toxicity or fail to result in anti-tumor activity. For instance, CD71, which is a metabolic protein with high levels of expression in healthy tissues, and the consequences of targeting such protein in humans are unknown. Any future clinical trials of our product candidates could face similar or heightened risks depending on the modality.</w:t>
      </w:r>
    </w:p>
    <w:p>
      <w:pPr>
        <w:spacing w:after="0" w:line="17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In the event that our clinical trials or the clinical trials of our collaborators reveal these or other adverse side effects, our trials or the clinical trials of our collaborators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7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0" w:lineRule="exact"/>
        <w:rPr>
          <w:sz w:val="20"/>
          <w:szCs w:val="20"/>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their approval of the product or seize the product;</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collaborators may be required to recall the product or change the way the product is administered to patients;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restrictions may be imposed on the marketing of the particular product or the manufacturing processes for the product or any component thereof;</w:t>
      </w:r>
    </w:p>
    <w:p>
      <w:pPr>
        <w:spacing w:after="0" w:line="114" w:lineRule="exact"/>
        <w:rPr>
          <w:rFonts w:ascii="Times New Roman" w:cs="Times New Roman" w:eastAsia="Times New Roman" w:hAnsi="Times New Roman"/>
          <w:sz w:val="16"/>
          <w:szCs w:val="16"/>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fines, injunctions or the imposition of civil or criminal penalties;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such as a “black box” warning or a contraindication;</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create a Medication Guide outlining the risks of such side effects for distribution to patients;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sued and held liable for harm caused to patients;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 may become less competitive;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20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7"/>
          <w:szCs w:val="17"/>
          <w:color w:val="auto"/>
        </w:rPr>
        <w:t>In addition, adverse side effects caused by any drugs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70"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6"/>
          <w:szCs w:val="16"/>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the enrollment of patients in clinical trials, our receipt of necessary regulatory approvals could be delayed or prevented.</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83" w:lineRule="exact"/>
        <w:rPr>
          <w:sz w:val="20"/>
          <w:szCs w:val="20"/>
          <w:color w:val="auto"/>
        </w:rPr>
      </w:pPr>
    </w:p>
    <w:p>
      <w:pPr>
        <w:ind w:left="1020" w:hanging="511"/>
        <w:spacing w:after="0"/>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nature of the target patient population;</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eligibility criteria for the clinical trial;</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 of the clinical trial;</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an appropriate genomic screening test;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43" w:name="page44"/>
    <w:bookmarkEnd w:id="43"/>
    <w:p>
      <w:pPr>
        <w:ind w:left="1020" w:hanging="511"/>
        <w:spacing w:after="0"/>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perceived risks and benefits of the product candidate under study;</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efforts to facilitate timely enrollment in clinical trials;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patient referral practices of physicians;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monitor patients adequately during and after treatment;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proximity and availability of clinical trial sites for prospective patients.</w:t>
      </w:r>
    </w:p>
    <w:p>
      <w:pPr>
        <w:spacing w:after="0" w:line="20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For example, in our Phase 1/2 clinical trial of CX-072, which is directed against PD-L1, we are only permitted to enroll patients with cancer types for which there are no PD inhibitors available for sale. As there are currently several PD-1 and/or PD-L1 agents approved for a growing list of cancer types along with hundreds of clinical trials exploring the use of PD-1 and PD-L1 agents, there can be no assurance that patients will choose to enroll in our clinical trial. In addition, any arms of our Phase 1/2 clinical trial of CX-072 for indications with small population sizes could be particularly difficult to enroll. Furthermore, the part of our Phase 1/2 clinical trial of CX-072 in which patients are treated with the combination of CX-072 and vemurafenib can only enroll those patients who do not have access to MEK inhibitors because the emerging standard of care in jurisdictions where MEK inhibitors are available in combination with a BRAF inhibitor (such as vemurafenib), which may have an impact on enrollment in this part of the trial. Our Phase 1/2 clinical trial of CX-2009 studies patients who have one of seven specific tumor types rather than patients suffering from any cancer, which may limit the rate of enrollment of the trial. As with the clinical trials of CX-072, our Phase 1/2 clinical trials of CX-2009 and CX-2029 are also competing with hundreds of clinical trials with alternative anti-cancer drugs in a similar class (e.g. antibody drug conjugates), and certain arms of the clinical trial may be difficult to enroll due to the emerging standard of care for such indications in certain jurisdictions, including the United States. Any clinical trials of our product candidates initiated by our collaborators, including BMS’ ongoing Phase 1/2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clinical trials or the clinical trials of our collaborators, which may materially and adversely affect our business, financial condition, results of operations and prospects.</w:t>
      </w:r>
    </w:p>
    <w:p>
      <w:pPr>
        <w:spacing w:after="0" w:line="281"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approach to the discovery and development of our therapeutic treatments is based on novel technologies that are unproven and may not result in marketable products.</w:t>
      </w:r>
    </w:p>
    <w:p>
      <w:pPr>
        <w:spacing w:after="0" w:line="56"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7"/>
          <w:szCs w:val="17"/>
          <w:color w:val="auto"/>
        </w:rPr>
        <w:t>We plan to continue to develop a pipeline of product candidates using our proprietary Probody platform. We believe that product candidates (including cancer immunotherapies, PDCs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Phase 1/2 clinical trials for CX-072, CX-2009 and CX-2029.</w:t>
      </w:r>
    </w:p>
    <w:p>
      <w:pPr>
        <w:spacing w:after="0" w:line="17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 binding domain of the Probody may not be constant, which could lead to intermittent periods when the antigen 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their overall safety and efficacy profile including, but not limited to, the removal of only one mask from the dually masked antibody, the removal of both masks from the dually masked antibody, the binding strength of masks for the underlying antibody, and the binding strength of the underlying antibody for its target. We have no direct structural evidence for how masks interact with antibodies. It may take many years before we develop a full understanding of Probody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44" w:name="page45"/>
    <w:bookmarkEnd w:id="44"/>
    <w:p>
      <w:pPr>
        <w:ind w:right="120"/>
        <w:spacing w:after="0" w:line="247" w:lineRule="auto"/>
        <w:rPr>
          <w:sz w:val="20"/>
          <w:szCs w:val="20"/>
          <w:color w:val="auto"/>
        </w:rPr>
      </w:pPr>
      <w:r>
        <w:rPr>
          <w:rFonts w:ascii="Times New Roman" w:cs="Times New Roman" w:eastAsia="Times New Roman" w:hAnsi="Times New Roman"/>
          <w:sz w:val="17"/>
          <w:szCs w:val="17"/>
          <w:color w:val="auto"/>
        </w:rPr>
        <w:t>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ADA, that may inhibit the ability of the antibody to reach the target tissue, inhibit the ability of the antibody to bind to its target, cause adverse side effects in humans or cause hypersensitivity reactions. For example, we reported in February 2019 that in our ongoing CX-2019 trial at the 10 mg/kg dose, the anti-drug antibody (“ADA”) rate was approximately 62%. Across all dose levels, including lower dose levels in our trial, the rate is approximately 77% at the data cutoff. We do not believe ADA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79"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7"/>
          <w:szCs w:val="17"/>
          <w:color w:val="auto"/>
        </w:rPr>
        <w:t>In addition, the scientific evidence to support the feasibility of developing product candidates against novel, difficult to drug targets, is both preliminary and limited. For example, our understanding of the expression of CD166 in both healthy and diseased tissues is still developing. As a result, we cannot provide any assurance that we will be able to successfully identify and advance any product candidates to target novel, difficult to drug targets.</w:t>
      </w:r>
    </w:p>
    <w:p>
      <w:pPr>
        <w:spacing w:after="0" w:line="1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We believe the only clinical experience that the FDA and foreign regulatory authorities have with Probody-based therapeutics in oncology comes from CX-072, CX-2009, CX-2029 and BMS-986249.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would have little, if any, value, which would have a material and adverse effect on our business, financial condition, results of operations and prospects.</w:t>
      </w:r>
    </w:p>
    <w:p>
      <w:pPr>
        <w:spacing w:after="0" w:line="273"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5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CX-072and BMS-986249) for which there are existing approved therapies, such as approved agents targeting PD-L1, PD-1, or CTLA-4. Market acceptance of our product candidates will depend on, among other factors:</w:t>
      </w:r>
    </w:p>
    <w:p>
      <w:pPr>
        <w:spacing w:after="0" w:line="77" w:lineRule="exact"/>
        <w:rPr>
          <w:sz w:val="20"/>
          <w:szCs w:val="20"/>
          <w:color w:val="auto"/>
        </w:rPr>
      </w:pPr>
    </w:p>
    <w:p>
      <w:pPr>
        <w:ind w:left="1020" w:hanging="511"/>
        <w:spacing w:after="0"/>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our receipt of any marketing and commercialization approvals;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any approvals and the countries in which approvals are obtained;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safety and efficacy of our product candidates, including those being developed by our collaborators;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adverse side effects associated with our product candidates;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contained in any labeling approved by the FDA or other regulatory authority;</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effective companion diagnostics;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convenience and ease of administration of our product candidates;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45" w:name="page46"/>
    <w:bookmarkEnd w:id="45"/>
    <w:p>
      <w:pPr>
        <w:ind w:left="1020" w:hanging="511"/>
        <w:spacing w:after="0"/>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patients to accept any new methods of administration;</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physician education programs;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adequate government and third-party payor reimbursement;</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pricing of our products, particularly as compared to alternative treatments; and</w:t>
      </w:r>
    </w:p>
    <w:p>
      <w:pPr>
        <w:spacing w:after="0" w:line="102" w:lineRule="exact"/>
        <w:rPr>
          <w:rFonts w:ascii="Times New Roman" w:cs="Times New Roman" w:eastAsia="Times New Roman" w:hAnsi="Times New Roman"/>
          <w:sz w:val="17"/>
          <w:szCs w:val="17"/>
          <w:color w:val="auto"/>
        </w:rPr>
      </w:pPr>
    </w:p>
    <w:p>
      <w:pPr>
        <w:ind w:left="1020" w:right="160" w:hanging="511"/>
        <w:spacing w:after="0" w:line="268" w:lineRule="auto"/>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alternative effective treatments for the disease indications our product candidates are intended to treat and the relative risks, benefits and costs of those treatments.</w:t>
      </w:r>
    </w:p>
    <w:p>
      <w:pPr>
        <w:spacing w:after="0" w:line="16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7"/>
          <w:szCs w:val="17"/>
          <w:color w:val="auto"/>
        </w:rPr>
        <w:t>If any product candidate we commercialize fails to achieve market acceptance, it could have a material and adverse effect on our business, financial condition, results of operations and prospects.</w:t>
      </w:r>
    </w:p>
    <w:p>
      <w:pPr>
        <w:spacing w:after="0" w:line="25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Since 2013, we have entered into collaborations with AbbVie, Amgen, BMS, ImmunoGen and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Probody Drug Conjugate. In July 2017, ImmunoGen discontinued the preclinical evaluation of one of its two programs being developed under our collaboration and in January 2019, BMS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 may terminate the relevant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Overall, collaborations involving our product candidates currently pose, and will continue to pose, the following risks to us:</w:t>
      </w:r>
    </w:p>
    <w:p>
      <w:pPr>
        <w:spacing w:after="0" w:line="103" w:lineRule="exact"/>
        <w:rPr>
          <w:sz w:val="20"/>
          <w:szCs w:val="20"/>
          <w:color w:val="auto"/>
        </w:rPr>
      </w:pPr>
    </w:p>
    <w:p>
      <w:pPr>
        <w:ind w:left="1020" w:hanging="511"/>
        <w:spacing w:after="0" w:line="268"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amount and timing of efforts and resources that they will apply to these collaborations, including, with respect to BMS, BMS-986249;</w:t>
      </w:r>
    </w:p>
    <w:p>
      <w:pPr>
        <w:spacing w:after="0" w:line="60" w:lineRule="exact"/>
        <w:rPr>
          <w:rFonts w:ascii="Times New Roman" w:cs="Times New Roman" w:eastAsia="Times New Roman" w:hAnsi="Times New Roman"/>
          <w:sz w:val="17"/>
          <w:szCs w:val="17"/>
          <w:color w:val="auto"/>
        </w:rPr>
      </w:pPr>
    </w:p>
    <w:p>
      <w:pPr>
        <w:ind w:left="1020" w:right="220" w:hanging="511"/>
        <w:spacing w:after="0" w:line="256"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70" w:lineRule="exact"/>
        <w:rPr>
          <w:rFonts w:ascii="Times New Roman" w:cs="Times New Roman" w:eastAsia="Times New Roman" w:hAnsi="Times New Roman"/>
          <w:sz w:val="17"/>
          <w:szCs w:val="17"/>
          <w:color w:val="auto"/>
        </w:rPr>
      </w:pPr>
    </w:p>
    <w:p>
      <w:pPr>
        <w:ind w:left="1020" w:right="360" w:hanging="511"/>
        <w:spacing w:after="0" w:line="256"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designing any clinical trials they operate pursuant to our collaboration agreements, including BMS’ ongoing Phase 1/2 clinical trial of BMS-986249, and may release data from such clinical trials, including with respect to our Probody therapeutics, without consulting us;</w:t>
      </w:r>
    </w:p>
    <w:p>
      <w:pPr>
        <w:spacing w:after="0" w:line="70" w:lineRule="exact"/>
        <w:rPr>
          <w:rFonts w:ascii="Times New Roman" w:cs="Times New Roman" w:eastAsia="Times New Roman" w:hAnsi="Times New Roman"/>
          <w:sz w:val="17"/>
          <w:szCs w:val="17"/>
          <w:color w:val="auto"/>
        </w:rPr>
      </w:pPr>
    </w:p>
    <w:p>
      <w:pPr>
        <w:ind w:left="1020" w:right="80" w:hanging="511"/>
        <w:spacing w:after="0" w:line="256"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0" w:lineRule="exact"/>
        <w:rPr>
          <w:rFonts w:ascii="Times New Roman" w:cs="Times New Roman" w:eastAsia="Times New Roman" w:hAnsi="Times New Roman"/>
          <w:sz w:val="17"/>
          <w:szCs w:val="17"/>
          <w:color w:val="auto"/>
        </w:rPr>
      </w:pPr>
    </w:p>
    <w:p>
      <w:pPr>
        <w:ind w:left="1020" w:right="560" w:hanging="511"/>
        <w:spacing w:after="0" w:line="256"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0" w:lineRule="exact"/>
        <w:rPr>
          <w:rFonts w:ascii="Times New Roman" w:cs="Times New Roman" w:eastAsia="Times New Roman" w:hAnsi="Times New Roman"/>
          <w:sz w:val="17"/>
          <w:szCs w:val="17"/>
          <w:color w:val="auto"/>
        </w:rPr>
      </w:pPr>
    </w:p>
    <w:p>
      <w:pPr>
        <w:ind w:left="1020" w:right="160" w:hanging="511"/>
        <w:spacing w:after="0" w:line="268"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with marketing and distribution rights to one or more products may not commit sufficient resources to the marketing and distribution of such product or products;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46" w:name="page47"/>
    <w:bookmarkEnd w:id="46"/>
    <w:p>
      <w:pPr>
        <w:ind w:left="1020" w:hanging="511"/>
        <w:spacing w:after="0" w:line="268"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infringe the intellectual property rights of third parties, which may expose us to litigation and potential liability;</w:t>
      </w:r>
    </w:p>
    <w:p>
      <w:pPr>
        <w:spacing w:after="0" w:line="102" w:lineRule="exact"/>
        <w:rPr>
          <w:rFonts w:ascii="Times New Roman" w:cs="Times New Roman" w:eastAsia="Times New Roman" w:hAnsi="Times New Roman"/>
          <w:sz w:val="17"/>
          <w:szCs w:val="17"/>
          <w:color w:val="auto"/>
        </w:rPr>
      </w:pPr>
    </w:p>
    <w:p>
      <w:pPr>
        <w:ind w:left="1020" w:right="60" w:hanging="511"/>
        <w:spacing w:after="0" w:line="268"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60" w:lineRule="exact"/>
        <w:rPr>
          <w:rFonts w:ascii="Times New Roman" w:cs="Times New Roman" w:eastAsia="Times New Roman" w:hAnsi="Times New Roman"/>
          <w:sz w:val="17"/>
          <w:szCs w:val="17"/>
          <w:color w:val="auto"/>
        </w:rPr>
      </w:pPr>
    </w:p>
    <w:p>
      <w:pPr>
        <w:ind w:left="1020" w:right="200" w:hanging="511"/>
        <w:spacing w:after="0" w:line="268"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and, if terminated, may result in a need for additional capital to pursue further development or commercialization of the applicable product candidates.</w:t>
      </w:r>
    </w:p>
    <w:p>
      <w:pPr>
        <w:spacing w:after="0" w:line="16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68"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5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Substantially all of our revenue to date has been derived from our existing collaboration agreements, including, most recently, the Amgen Agreement that we entered into with Amgen in September 2017,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we are unable to successfully advance the development of our product candidates or achieve milestones, revenue and cash resources from milestone payments under our collaboration agreements will be substantially less than expected.</w:t>
      </w:r>
    </w:p>
    <w:p>
      <w:pPr>
        <w:spacing w:after="0" w:line="17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the collaboration agreement we had entered into with them in May 2013, and in January 2019, BMS terminated its programs for three targets it had selected under our agreement with them. Any of the foregoing could result in a change to our business plan and have a material adverse effect on our business, financial condition, results of operations and prospects. If a collaboration is terminated, we would not be eligible to receive the milestone, royalty or other payments that would have been payable under the collaboration agreement.</w:t>
      </w:r>
    </w:p>
    <w:p>
      <w:pPr>
        <w:spacing w:after="0" w:line="27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5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80" w:lineRule="exact"/>
        <w:rPr>
          <w:sz w:val="20"/>
          <w:szCs w:val="20"/>
          <w:color w:val="auto"/>
        </w:rPr>
      </w:pPr>
    </w:p>
    <w:p>
      <w:pPr>
        <w:ind w:left="1020" w:hanging="511"/>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available capital resources or capital constraints we experience;</w:t>
      </w:r>
    </w:p>
    <w:p>
      <w:pPr>
        <w:spacing w:after="0" w:line="102" w:lineRule="exact"/>
        <w:rPr>
          <w:rFonts w:ascii="Times New Roman" w:cs="Times New Roman" w:eastAsia="Times New Roman" w:hAnsi="Times New Roman"/>
          <w:sz w:val="17"/>
          <w:szCs w:val="17"/>
          <w:color w:val="auto"/>
        </w:rPr>
      </w:pPr>
    </w:p>
    <w:p>
      <w:pPr>
        <w:ind w:left="1020" w:right="620" w:hanging="511"/>
        <w:spacing w:after="0" w:line="268" w:lineRule="auto"/>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progress, costs and results of our clinical trials and research and development activities, including the extent of scheduling conflicts with participating clinicians and collaborators;</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and enroll patients who meet clinical trial eligibility criteria;</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receipt of approvals by the FDA and other regulatory authorities and the timing thereof;</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actions, decisions or rules issued by regulators;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421" w:right="259" w:bottom="1440" w:gutter="0" w:footer="0" w:header="0"/>
        </w:sectPr>
      </w:pPr>
    </w:p>
    <w:bookmarkStart w:id="47" w:name="page48"/>
    <w:bookmarkEnd w:id="47"/>
    <w:p>
      <w:pPr>
        <w:ind w:left="1020" w:hanging="511"/>
        <w:spacing w:after="0"/>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sufficient, reliable and affordable supplies of materials used in the manufacture of our product candidates;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manufacture and supply clinical trial materials to our clinical sites on a timely basis;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efforts of our collaborators with respect to the commercialization of our products;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securing of, costs related to, and timing issues associated with, product manufacturing as well as sales and marketing activities.</w:t>
      </w:r>
    </w:p>
    <w:p>
      <w:pPr>
        <w:spacing w:after="0" w:line="202"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7"/>
          <w:szCs w:val="17"/>
          <w:color w:val="auto"/>
        </w:rPr>
        <w:t>If we fail to achieve announced milestones in the timeframes we expect, the commercialization of any of our product candidates may be delayed, and our business and results of operations may be harmed.</w:t>
      </w:r>
    </w:p>
    <w:p>
      <w:pPr>
        <w:spacing w:after="0" w:line="255"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5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Since commencing operations, we have entered into several collaboration agreements, including, most recently, the Amgen Agreement that we entered into with Amgen in September 2017.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80"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421" w:right="25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6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spacing w:after="0" w:line="17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259" w:lineRule="exact"/>
        <w:rPr>
          <w:sz w:val="20"/>
          <w:szCs w:val="20"/>
          <w:color w:val="auto"/>
        </w:rPr>
      </w:pPr>
    </w:p>
    <w:p>
      <w:pPr>
        <w:ind w:right="520"/>
        <w:spacing w:after="0" w:line="305" w:lineRule="auto"/>
        <w:rPr>
          <w:sz w:val="20"/>
          <w:szCs w:val="20"/>
          <w:color w:val="auto"/>
        </w:rPr>
      </w:pPr>
      <w:r>
        <w:rPr>
          <w:rFonts w:ascii="Times New Roman" w:cs="Times New Roman" w:eastAsia="Times New Roman" w:hAnsi="Times New Roman"/>
          <w:sz w:val="16"/>
          <w:szCs w:val="16"/>
          <w:b w:val="1"/>
          <w:bCs w:val="1"/>
          <w:i w:val="1"/>
          <w:iCs w:val="1"/>
          <w:color w:val="auto"/>
        </w:rPr>
        <w:t>Because we have no long 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3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We rely on third-party contract manufacturers to manufacture our clinical trial and preclinical study product supplies.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example, for each of CX-072 CX-2009 and CX-2029, our manufacturing supply chain includes several contract manufacturers, and failure by any of these manufacturers could result in interruptions of our clinical studies. We do not own manufacturing facilities for producing such supplies and do not have any long 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CX-2009. At the end of 2018, ImmunoGen closed their clinical manufacturing facility in Norwood, MA. This site provided clinical manufacturing support for the CX-2009 program. We have initiated the transfer of the drug substance manufacturing process from ImmunoGen to CMO, where we have an existing relationship and which has expertise in the manufacture of antibody drug conjugates at a clinical and commercial scale. To date, the manufacturing transfer process is still ongoing and has not yet been completed. However, there can be no assurances that we will not experience a disruption to the supply of CX-2009 in connection with such transfer or that the transfer will be successful.</w:t>
      </w:r>
    </w:p>
    <w:p>
      <w:pPr>
        <w:spacing w:after="0" w:line="17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sectPr>
      </w:pPr>
    </w:p>
    <w:bookmarkStart w:id="49" w:name="page50"/>
    <w:bookmarkEnd w:id="49"/>
    <w:p>
      <w:pPr>
        <w:spacing w:after="0" w:line="248" w:lineRule="auto"/>
        <w:rPr>
          <w:sz w:val="20"/>
          <w:szCs w:val="20"/>
          <w:color w:val="auto"/>
        </w:rPr>
      </w:pPr>
      <w:r>
        <w:rPr>
          <w:rFonts w:ascii="Times New Roman" w:cs="Times New Roman" w:eastAsia="Times New Roman" w:hAnsi="Times New Roman"/>
          <w:sz w:val="17"/>
          <w:szCs w:val="17"/>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0" w:lineRule="exact"/>
        <w:rPr>
          <w:sz w:val="20"/>
          <w:szCs w:val="20"/>
          <w:color w:val="auto"/>
        </w:rPr>
      </w:pPr>
    </w:p>
    <w:p>
      <w:pPr>
        <w:ind w:left="1020" w:hanging="511"/>
        <w:spacing w:after="0"/>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initiate or continue clinical trials of product candidates under development;</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in submitting regulatory applications, or receiving regulatory approvals, for product candidates;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the cooperation of a collaborator;</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subjecting third-party manufacturing facilities or our manufacturing facilities to additional inspections by regulatory authorities;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cease distribution or to recall batches of our product candidates;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approval to market and commercialize a product candidate, an inability to meet commercial demands for our products.</w:t>
      </w:r>
    </w:p>
    <w:p>
      <w:pPr>
        <w:spacing w:after="0" w:line="202"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17"/>
          <w:szCs w:val="17"/>
          <w:color w:val="auto"/>
        </w:rPr>
        <w:t>The supply chain for the manufacturing of our product candidates is complicated and can involve many parties. This is especially the case for our clinical stage Probody Drug Conjugates, CX-2009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65"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 may prove more challenging than we anticipate to manufacture products that incorporate our Probody therapeutic technology. In order to conduct clinical trials of our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candidates, including our Phase 1/2 clinical trials for CX-072, CX-2009 and CX-2029, we will need to manufacture them in large quantities. To date we have been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able to successfully manufacture CX-072, CX-2009 and CX-2029 for our ongoing early stage clinical trials. However, in order to conduct later stage clinical trials of our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 candidates, including CX-072, CX-2009 and CX-2029, and eventually, if approved, commercial products, we will need to manufacture them in larger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quantities. We, or any manufacturing partners, may be unable to successfully increase the manufacturing scale and capacity for any of our product candidates in a timely 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cost-effective manner, or at all. For example, we are currently working with our CMOs to change our manufacturing processes and formulations as well as scaling up for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larger drug manufacturing capability and to increase the term of stability for CX-072 drug product for late stage clinical trials and commercialization. However, we may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have to start late stage trials with our early clinical trial drug product and switch to late stage or commercial drug product mid trial. In such event, the FDA will require us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complete bridging studies to compare the earlier stage material with late stage or commercial material to assure comparability between the earlier trial material and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late stage or commercial material. Changing formulation and scale up process is a complicated and difficult task. While we believe we can complete this process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successfully, there can be no assurances that the changes we make to the drug product and manufacturing process will be successful or completed in a timely manner or that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FDA will not require additional development steps or studies from those we believe are necessary. If we are not able to scale up our manufacturing capabilities with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respect to CX-072 or any of our other product candidates, increase the life of drug stability of CX-072 or such other product candidates, or successfully complete the FDA’s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bridging requirements, we may not be able to successfully obtain FDA approval and commercialize CX-072 or such other product candidates in a timely manner or at all.</w:t>
      </w:r>
    </w:p>
    <w:p>
      <w:pPr>
        <w:spacing w:after="0" w:line="19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Additionally, we were dependent on ImmunoGen under our collaboration for certain steps in the manufacturing of clinical quantities of CX-2009. At the end of 2018, ImmunoGen closed their clinical manufacturing facility in Norwood, Massachusetts, which provided clinical manufacturing support for the CX-2009 program. We have initiated the transfer of the drug substance manufacturing process from ImmunoGen to a contract manufacturer, where we have an existing relationship and with expertise in the manufacture of antibody drug conjugates at a clinical and commercial scale. However, there can be no assurances that we will not experience a disruption to the supply of CX-2009 in connection with such transfer. To date, the manufacturing transfer process is still ongoing and has not yet been completed.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521" w:right="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i w:val="1"/>
          <w:iCs w:val="1"/>
          <w:color w:val="auto"/>
        </w:rPr>
        <w:t>We may acquire assets or form strategic alliances in the future, and we may not realize the benefits of such acquisitions</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6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7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60" w:lineRule="exact"/>
        <w:rPr>
          <w:sz w:val="20"/>
          <w:szCs w:val="20"/>
          <w:color w:val="auto"/>
        </w:rPr>
      </w:pPr>
    </w:p>
    <w:p>
      <w:pPr>
        <w:ind w:left="1020" w:hanging="511"/>
        <w:spacing w:after="0"/>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acquisition costs;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incur substantial debt or engage in dilutive issuances of equity securities to pay for acquisitions;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disruption of our historical business and our activities under our collaboration agreements;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strain on, and need to expand, our existing operational, technical, financial and administrative infrastructure;</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lack of experience in late-stage product development and commercialization;</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difficulties in assimilating employees and corporate cultures;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difficulties in hiring qualified personnel and establishing necessary development and/or commercialization capabilities;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retain key management and other personnel;</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challenges in controlling additional costs and expenses in connection with and as a result of the acquisition;</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write down assets or recognize impairment charges;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our management’s attention to integration of operations and corporate and administrative infrastructures;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unanticipated liabilities for activities of or related to the acquired business or its operations, products or product candidates.</w:t>
      </w:r>
    </w:p>
    <w:p>
      <w:pPr>
        <w:spacing w:after="0" w:line="20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sectPr>
      </w:pPr>
    </w:p>
    <w:bookmarkStart w:id="51" w:name="page52"/>
    <w:bookmarkEnd w:id="51"/>
    <w:p>
      <w:pPr>
        <w:ind w:right="2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5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on specific product candidates, including CX-072, CX-2009 and CX-2029. As a result, we may forgo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difficulties in managing our growth and expanding our operations successfully.</w:t>
      </w:r>
    </w:p>
    <w:p>
      <w:pPr>
        <w:spacing w:after="0" w:line="10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We will need to grow our organization substantially to continue development and pursue the potential commercialization of CX-072, CX-2009 and CX-2029 and our other product candidates,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For instance,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7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CX-072, CX-2009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CX-072 is, in particular, highly competitive and the field is changing quickly.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52" w:name="page53"/>
    <w:bookmarkEnd w:id="52"/>
    <w:p>
      <w:pPr>
        <w:spacing w:after="0" w:line="263" w:lineRule="auto"/>
        <w:rPr>
          <w:sz w:val="20"/>
          <w:szCs w:val="20"/>
          <w:color w:val="auto"/>
        </w:rPr>
      </w:pPr>
      <w:r>
        <w:rPr>
          <w:rFonts w:ascii="Times New Roman" w:cs="Times New Roman" w:eastAsia="Times New Roman" w:hAnsi="Times New Roman"/>
          <w:sz w:val="16"/>
          <w:szCs w:val="16"/>
          <w:color w:val="auto"/>
        </w:rPr>
        <w:t>We face substantial competition from pharmaceutical companies developing products in immuno-oncology, including companies, such as Amgen, AstraZeneca PLC, BMS, Celgene, GlaxoSmithKline plc, Merck &amp; Co., Inc. Novartis AG, Pfizer, Roche Holding Ltd. and Sanofi SA. Many large and mid-sized biotech companies, including BeiGene, Incyte, TESARO, Inc., Nektar, and Alkermes have ongoing efforts in cancer immunotherapy. Finally, numerous small companies are also working in the space. Several companies, including Akriveia, Amgen, Amunix, BioAtla, Halozyme, Maverick Therapeutics, Pandion Therapeutics, Revitope, Roche, and Seattle Genetics are exploring antibody masking and/or conditional activation strategies, which could compete with our Probody Platform. We are also aware of several companies that are developing ADCs, such as AbbVie, Immunomedics, Pfizer, Roche Holding Ltd. And Takeda. In addition, two mid-sized companies, ImmunoGen and Seattle Genetics, Inc. are also leaders in the development of ADCs and we are aware of numerous small companies with ongoing efforts in this field.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well-capitalized and may have significant clinical experience. In addition, these companies include our collaborators.</w:t>
      </w:r>
    </w:p>
    <w:p>
      <w:pPr>
        <w:spacing w:after="0" w:line="17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inability to attract and retain qualified key management and technical personnel would impair our ability to implement our business plan.</w:t>
      </w:r>
    </w:p>
    <w:p>
      <w:pPr>
        <w:spacing w:after="0" w:line="10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Our success largely depends on the continued service of key management, advisors and other specialized personnel, including Sean A. McCarthy, D.Phil., our president and chief executive officer, W. Michael Kavanaugh, M.D., our chief scientific officer and Rachel W. Humphrey, M.D., our chief medical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w:t>
      </w:r>
    </w:p>
    <w:p>
      <w:pPr>
        <w:spacing w:after="0" w:line="2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6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53" w:name="page54"/>
    <w:bookmarkEnd w:id="53"/>
    <w:p>
      <w:pPr>
        <w:ind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future growth may depend, in part, on our ability to operate in foreign markets, where we would be subject to additional regulatory burdens and other risks and uncertainties.</w:t>
      </w:r>
    </w:p>
    <w:p>
      <w:pPr>
        <w:spacing w:after="0" w:line="5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Price controls imposed in foreign markets may adversely affect our future profitability.</w:t>
      </w:r>
    </w:p>
    <w:p>
      <w:pPr>
        <w:spacing w:after="0" w:line="10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77"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5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We are exposed to significant product liability risks inherent in the development, testing, manufacturing and marketing of therapeutic treatments, including as a result of the clinical testing of CX-072, CX-2009, CX-2029 and BMS-986249 and any other product candidates we or our collaborators may conduct clinical trials for.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75" w:lineRule="exact"/>
        <w:rPr>
          <w:sz w:val="20"/>
          <w:szCs w:val="20"/>
          <w:color w:val="auto"/>
        </w:rPr>
      </w:pPr>
    </w:p>
    <w:p>
      <w:pPr>
        <w:ind w:right="7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employees and independent contractors may engage in misconduct or other improper activities, including noncompliance with regulatory standards and requirements.</w:t>
      </w:r>
    </w:p>
    <w:p>
      <w:pPr>
        <w:spacing w:after="0" w:line="56"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7"/>
          <w:szCs w:val="17"/>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54" w:name="page55"/>
    <w:bookmarkEnd w:id="54"/>
    <w:p>
      <w:pPr>
        <w:ind w:right="20"/>
        <w:spacing w:after="0" w:line="266" w:lineRule="auto"/>
        <w:rPr>
          <w:sz w:val="20"/>
          <w:szCs w:val="20"/>
          <w:color w:val="auto"/>
        </w:rPr>
      </w:pPr>
      <w:r>
        <w:rPr>
          <w:rFonts w:ascii="Times New Roman" w:cs="Times New Roman" w:eastAsia="Times New Roman" w:hAnsi="Times New Roman"/>
          <w:sz w:val="16"/>
          <w:szCs w:val="16"/>
          <w:color w:val="auto"/>
        </w:rPr>
        <w:t>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58"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5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Our information technology and other internal infrastructure systems and those of our CROs and contractors and consultants, including corporate firewalls, servers, leased lines and connection to the Internet, face the risk of systemic failure and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 studies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breaches could expose us to liability, damage our reputation, compromise our confidential information or otherwise adversely affect our business.</w:t>
      </w:r>
    </w:p>
    <w:p>
      <w:pPr>
        <w:spacing w:after="0" w:line="1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We maintain sensitive company data on our computer networks, including our intellectual property and proprietary business information. We face a number of threats to our networks from unauthorized access, security breaches and other system disruptions. Despite our security measures, our infrastructure may be vulnerable to attacks by hackers or other disruptive problems. Any such security breach may compromise information stored on our networks and may result in significant data losses or theft of our intellectual property or proprietary business information. A cybersecurity breach could adversely affect our reputation and could result in other negative consequences, including disruption of our internal operations, increased cyber security protection costs, lost revenues or litigation.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comply with laws regulating the protection of the environment and health and human safety, our business could be adversely affected.</w:t>
      </w:r>
    </w:p>
    <w:p>
      <w:pPr>
        <w:spacing w:after="0" w:line="10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55" w:name="page56"/>
    <w:bookmarkEnd w:id="55"/>
    <w:p>
      <w:pPr>
        <w:ind w:right="1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5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reported financial results may be adversely affected by changes in accounting principles generally accepted in the U.S.</w:t>
      </w:r>
    </w:p>
    <w:p>
      <w:pPr>
        <w:spacing w:after="0" w:line="10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net operating loss carryforwards and certain other tax attributes may be limited.</w:t>
      </w:r>
    </w:p>
    <w:p>
      <w:pPr>
        <w:spacing w:after="0" w:line="10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We have performed an IRC Section 382 analysis and determined there was an ownership change in 2017,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our company.</w:t>
      </w:r>
    </w:p>
    <w:p>
      <w:pPr>
        <w:spacing w:after="0" w:line="275"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Recent U.S. tax legislation and future changes to applicable U.S. or foreign tax laws and regulations may have a material adverse effect on our business, financial condition and results of operations.</w:t>
      </w:r>
    </w:p>
    <w:p>
      <w:pPr>
        <w:spacing w:after="0" w:line="5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34%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56" w:name="page57"/>
    <w:bookmarkEnd w:id="56"/>
    <w:p>
      <w:pPr>
        <w:ind w:right="160"/>
        <w:spacing w:after="0" w:line="252" w:lineRule="auto"/>
        <w:rPr>
          <w:sz w:val="20"/>
          <w:szCs w:val="20"/>
          <w:color w:val="auto"/>
        </w:rPr>
      </w:pPr>
      <w:r>
        <w:rPr>
          <w:rFonts w:ascii="Times New Roman" w:cs="Times New Roman" w:eastAsia="Times New Roman" w:hAnsi="Times New Roman"/>
          <w:sz w:val="17"/>
          <w:szCs w:val="17"/>
          <w:color w:val="auto"/>
        </w:rPr>
        <w:t>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103"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6"/>
          <w:szCs w:val="16"/>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6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Times New Roman" w:cs="Times New Roman" w:eastAsia="Times New Roman" w:hAnsi="Times New Roman"/>
          <w:sz w:val="16"/>
          <w:szCs w:val="16"/>
          <w:i w:val="1"/>
          <w:iCs w:val="1"/>
          <w:color w:val="auto"/>
        </w:rPr>
        <w:t>Association for Molecular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Pathology v. Myriad Genetics, Inc</w:t>
      </w:r>
      <w:r>
        <w:rPr>
          <w:rFonts w:ascii="Times New Roman" w:cs="Times New Roman" w:eastAsia="Times New Roman" w:hAnsi="Times New Roman"/>
          <w:sz w:val="16"/>
          <w:szCs w:val="16"/>
          <w:color w:val="auto"/>
        </w:rPr>
        <w:t>. precludes a claim to a nucleic acid having a stated nucleotide sequence that is identical to a sequence found in nature and has not been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57" w:name="page58"/>
    <w:bookmarkEnd w:id="57"/>
    <w:p>
      <w:pPr>
        <w:ind w:right="40"/>
        <w:spacing w:after="0" w:line="252" w:lineRule="auto"/>
        <w:rPr>
          <w:sz w:val="20"/>
          <w:szCs w:val="20"/>
          <w:color w:val="auto"/>
        </w:rPr>
      </w:pPr>
      <w:r>
        <w:rPr>
          <w:rFonts w:ascii="Times New Roman" w:cs="Times New Roman" w:eastAsia="Times New Roman" w:hAnsi="Times New Roman"/>
          <w:sz w:val="17"/>
          <w:szCs w:val="17"/>
          <w:color w:val="auto"/>
        </w:rPr>
        <w:t>Once granted, patents may remain open to opposition, interference, re-examination, post-grant review, inter parties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73" w:lineRule="exact"/>
        <w:rPr>
          <w:sz w:val="20"/>
          <w:szCs w:val="20"/>
          <w:color w:val="auto"/>
        </w:rPr>
      </w:pPr>
    </w:p>
    <w:p>
      <w:pPr>
        <w:ind w:left="1020" w:right="220" w:hanging="511"/>
        <w:spacing w:after="0" w:line="268"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will not or may not be able to make, use or sell compounds that are the same as or similar to our product candidates but that are not covered by the claims of the patents that we own or license.</w:t>
      </w:r>
    </w:p>
    <w:p>
      <w:pPr>
        <w:spacing w:after="0" w:line="60" w:lineRule="exact"/>
        <w:rPr>
          <w:rFonts w:ascii="Times New Roman" w:cs="Times New Roman" w:eastAsia="Times New Roman" w:hAnsi="Times New Roman"/>
          <w:sz w:val="17"/>
          <w:szCs w:val="17"/>
          <w:color w:val="auto"/>
        </w:rPr>
      </w:pPr>
    </w:p>
    <w:p>
      <w:pPr>
        <w:ind w:left="1020" w:right="200" w:hanging="511"/>
        <w:spacing w:after="0" w:line="268"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or our collaborators are the first to make the inventions covered by each of our issued patents and pending patent applications that we own or license.</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or our collaborators are the first to file patent applications covering certain aspects of our inventions.</w:t>
      </w:r>
    </w:p>
    <w:p>
      <w:pPr>
        <w:spacing w:after="0" w:line="102" w:lineRule="exact"/>
        <w:rPr>
          <w:rFonts w:ascii="Times New Roman" w:cs="Times New Roman" w:eastAsia="Times New Roman" w:hAnsi="Times New Roman"/>
          <w:sz w:val="17"/>
          <w:szCs w:val="17"/>
          <w:color w:val="auto"/>
        </w:rPr>
      </w:pPr>
    </w:p>
    <w:p>
      <w:pPr>
        <w:ind w:left="1020" w:right="240" w:hanging="511"/>
        <w:spacing w:after="0" w:line="268"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will not independently develop similar or alternative technologies or duplicate any of our technologies without infringing our intellectual property rights.</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third party may not challenge our patents and, if challenged, a court would hold that our patents are valid, enforceable and infringed.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issued patents that we own or have licensed will provide us with any competitive advantages, or will not be challenged by third parties.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develop additional proprietary technologies that are patentable.</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will not have a material or adverse effect on our business, financial condition, results of operations and prospects.</w:t>
      </w:r>
    </w:p>
    <w:p>
      <w:pPr>
        <w:spacing w:after="0" w:line="102" w:lineRule="exact"/>
        <w:rPr>
          <w:rFonts w:ascii="Times New Roman" w:cs="Times New Roman" w:eastAsia="Times New Roman" w:hAnsi="Times New Roman"/>
          <w:sz w:val="17"/>
          <w:szCs w:val="17"/>
          <w:color w:val="auto"/>
        </w:rPr>
      </w:pPr>
    </w:p>
    <w:p>
      <w:pPr>
        <w:ind w:left="1020" w:right="780" w:hanging="511"/>
        <w:spacing w:after="0" w:line="268"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55"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Other companies or organizations may challenge our or our licensors’ patent rights or may assert patent rights that prevent us from developing and commercializing our products.</w:t>
      </w:r>
    </w:p>
    <w:p>
      <w:pPr>
        <w:spacing w:after="0" w:line="5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7"/>
          <w:szCs w:val="17"/>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7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rights throughout the world.</w:t>
      </w:r>
    </w:p>
    <w:p>
      <w:pPr>
        <w:spacing w:after="0" w:line="10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7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7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7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7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59" w:name="page60"/>
    <w:bookmarkEnd w:id="59"/>
    <w:p>
      <w:pPr>
        <w:spacing w:after="0" w:line="246" w:lineRule="auto"/>
        <w:rPr>
          <w:sz w:val="20"/>
          <w:szCs w:val="20"/>
          <w:color w:val="auto"/>
        </w:rPr>
      </w:pPr>
      <w:r>
        <w:rPr>
          <w:rFonts w:ascii="Times New Roman" w:cs="Times New Roman" w:eastAsia="Times New Roman" w:hAnsi="Times New Roman"/>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2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6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8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litigation could cause us to spend substantial resources and distract our personnel from their normal responsibilities.</w:t>
      </w:r>
    </w:p>
    <w:p>
      <w:pPr>
        <w:spacing w:after="0" w:line="10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and adverse effect on our ability to compete in the marketplace.</w:t>
      </w:r>
    </w:p>
    <w:p>
      <w:pPr>
        <w:spacing w:after="0" w:line="270" w:lineRule="exact"/>
        <w:rPr>
          <w:sz w:val="20"/>
          <w:szCs w:val="20"/>
          <w:color w:val="auto"/>
        </w:rPr>
      </w:pPr>
    </w:p>
    <w:p>
      <w:pPr>
        <w:ind w:right="620"/>
        <w:spacing w:after="0" w:line="305"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6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79" w:lineRule="exact"/>
        <w:rPr>
          <w:sz w:val="20"/>
          <w:szCs w:val="20"/>
          <w:color w:val="auto"/>
        </w:rPr>
      </w:pPr>
    </w:p>
    <w:p>
      <w:pPr>
        <w:ind w:right="200"/>
        <w:spacing w:after="0" w:line="203" w:lineRule="exact"/>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executing or may be breached, and we may be forced to bring claims against third parties, or defend claims they may bring against us, to determine the ownership of what we regard as our intellectual property.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would be harmed.</w:t>
      </w:r>
    </w:p>
    <w:p>
      <w:pPr>
        <w:spacing w:after="0" w:line="1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7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5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69"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7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 Regulation</w:t>
      </w:r>
    </w:p>
    <w:p>
      <w:pPr>
        <w:spacing w:after="0" w:line="103"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obtain or be delayed in obtaining U.S. or foreign regulatory approval and, as a result, unable or delayed in being able to commercialize our product candidates.</w:t>
      </w:r>
    </w:p>
    <w:p>
      <w:pPr>
        <w:spacing w:after="0" w:line="56"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7"/>
          <w:szCs w:val="17"/>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It is possible that none of the product candidates we may develop will obtain the regulatory approvals necessary for us or our existing or future collaborators to begin selling them.</w:t>
      </w:r>
    </w:p>
    <w:p>
      <w:pPr>
        <w:spacing w:after="0" w:line="1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6"/>
          <w:szCs w:val="16"/>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recent U.S. shutdown in late 2018 or the uncertainty of Great Britain’ departure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62" w:name="page63"/>
    <w:bookmarkEnd w:id="62"/>
    <w:p>
      <w:pPr>
        <w:ind w:right="40"/>
        <w:spacing w:after="0" w:line="256" w:lineRule="auto"/>
        <w:rPr>
          <w:sz w:val="20"/>
          <w:szCs w:val="20"/>
          <w:color w:val="auto"/>
        </w:rPr>
      </w:pPr>
      <w:r>
        <w:rPr>
          <w:rFonts w:ascii="Times New Roman" w:cs="Times New Roman" w:eastAsia="Times New Roman" w:hAnsi="Times New Roman"/>
          <w:sz w:val="17"/>
          <w:szCs w:val="17"/>
          <w:color w:val="auto"/>
        </w:rPr>
        <w:t>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Because the product candidates we are developing may represent a new class of therapeutic biologics, the FDA and its foreign counterparts have not yet established any definitive policies, practices or guidelines in relation to these product candidates. While we believe the product candidates that we are currently developing are regulated as therapeutic biologics that are subject to requirements for review and approval of a BLA by the FDA’s Center for Drug Evaluation and Research (“CDER”), the FDA could decide to regulate them as drugs that are subject to requirements for review and approval of an NDA by CDER or as biological products that are subject to requirements for review and approval of a BLA by the FDA’s Center for Biologics Evaluation and Research (“CBER”). The lack of policies, practices or guidelines may hinder or slow review by the FDA of any regulatory filings that we may submit. Moreover, the FDA may respond to these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8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strategies (“REMS”) plan as part of an NDA or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63"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6"/>
          <w:szCs w:val="16"/>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25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69"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0" w:lineRule="exact"/>
        <w:rPr>
          <w:sz w:val="20"/>
          <w:szCs w:val="20"/>
          <w:color w:val="auto"/>
        </w:rPr>
      </w:pPr>
    </w:p>
    <w:p>
      <w:pPr>
        <w:ind w:left="1020" w:hanging="511"/>
        <w:spacing w:after="0"/>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product, withdrawal of the product from the market or voluntary or mandatory product recalls;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warning letters or holds on clinical trials;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by the FDA to approve pending applications or supplements to approved applications filed by us or our strategic partners;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63" w:name="page64"/>
    <w:bookmarkEnd w:id="63"/>
    <w:p>
      <w:pPr>
        <w:ind w:left="1020" w:hanging="511"/>
        <w:spacing w:after="0"/>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revocation of product license approvals;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products;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w:t>
      </w:r>
    </w:p>
    <w:p>
      <w:pPr>
        <w:spacing w:after="0" w:line="20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The FDA’s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biologics and to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7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Healthcare legislative reform measures may have a material and adverse effect on our business and results of operations.</w:t>
      </w:r>
    </w:p>
    <w:p>
      <w:pPr>
        <w:spacing w:after="0" w:line="10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will be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8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Since its enactment, there have been judicial and Congressional challenges to certain aspects of the ACA, and we expect there will be additional challenges and amendments to the ACA in the future. The current Presidential Administration and U.S. Congress will likely continue to seek to modify, repeal, or otherwise invalidate all, or certain provisions of, the ACA. Since taking office, President Trump has continued to support the repeal of all or portions of the ACA. On October 12, 2017, President Trump issued an executive order that expands the use of association health plans and allows anyone to purchase short-term health plans that provide temporary, limited insurance. This executive order also calls for the halt of federal payments to health insurers for cost-sharing reductions previously available to lower-income Americans to afford coverage. There is still uncertainty with respect to the impact this executive order could have on coverage and reimbursement for healthcare items and services covered by plans that were authorized by the ACA. In addition, the Tax Cuts and Jobs Act was enacted, which, among other things, removes penalties for not complying with the Affordable Care Act’s individual mandate to carry health insurance. On January 22, 2018, President Trump signed a continuing resolution on appropriations for fiscal year 2018 that delayed the implementation of certain mandated fees under the Affordable Care Act, including the so-called “Cadillac” tax on certain high cost employer-sponsored insurance plans, the annual fee imposed on certain health insurance providers based on market share, and the medical device excise tax on non-exempt medical devices. Congress may consider other legislation to repeal or replace other elements of the Affordable Care Act. It is uncertain the extent to which any such changes may impact our business or financial condition.</w:t>
      </w:r>
    </w:p>
    <w:p>
      <w:pPr>
        <w:spacing w:after="0" w:line="18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64" w:name="page65"/>
    <w:bookmarkEnd w:id="64"/>
    <w:p>
      <w:pPr>
        <w:ind w:right="100"/>
        <w:spacing w:after="0" w:line="252" w:lineRule="auto"/>
        <w:rPr>
          <w:sz w:val="20"/>
          <w:szCs w:val="20"/>
          <w:color w:val="auto"/>
        </w:rPr>
      </w:pPr>
      <w:r>
        <w:rPr>
          <w:rFonts w:ascii="Times New Roman" w:cs="Times New Roman" w:eastAsia="Times New Roman" w:hAnsi="Times New Roman"/>
          <w:sz w:val="17"/>
          <w:szCs w:val="17"/>
          <w:color w:val="auto"/>
        </w:rPr>
        <w:t>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7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 xml:space="preserve">Moreover, payment methodologies, including payment for companion diagnostics, may be subject to changes in healthcare legislation and regulatory initiatives. For example, the Centers for Medicare &amp; Medicaid Services (“CMS”) has begun bundling the Medicare payments for certain laboratory tests ordered while a patient received services in a hospital outpatient setting and, beginning in 2018, CMS will pay for clinical laboratory services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8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277"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5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In addition, we may be subject to patient data privacy and security regulation by both the U.S. federal government and the states in which we conduct our business. Restrictions under applicable federal and state healthcare laws and regulations, include the following:</w:t>
      </w:r>
    </w:p>
    <w:p>
      <w:pPr>
        <w:spacing w:after="0" w:line="77" w:lineRule="exact"/>
        <w:rPr>
          <w:sz w:val="20"/>
          <w:szCs w:val="20"/>
          <w:color w:val="auto"/>
        </w:rPr>
      </w:pPr>
    </w:p>
    <w:p>
      <w:pPr>
        <w:ind w:left="1020" w:right="200" w:hanging="511"/>
        <w:spacing w:after="0" w:line="273" w:lineRule="auto"/>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57" w:lineRule="exact"/>
        <w:rPr>
          <w:rFonts w:ascii="Times New Roman" w:cs="Times New Roman" w:eastAsia="Times New Roman" w:hAnsi="Times New Roman"/>
          <w:sz w:val="16"/>
          <w:szCs w:val="16"/>
          <w:color w:val="auto"/>
        </w:rPr>
      </w:pPr>
    </w:p>
    <w:p>
      <w:pPr>
        <w:ind w:left="1020" w:right="60" w:hanging="511"/>
        <w:spacing w:after="0" w:line="269" w:lineRule="auto"/>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65" w:name="page66"/>
    <w:bookmarkEnd w:id="65"/>
    <w:p>
      <w:pPr>
        <w:ind w:left="1020" w:right="60" w:hanging="511"/>
        <w:spacing w:after="0" w:line="250" w:lineRule="auto"/>
        <w:tabs>
          <w:tab w:leader="none" w:pos="1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7"/>
          <w:szCs w:val="17"/>
          <w:color w:val="auto"/>
        </w:rPr>
      </w:pPr>
    </w:p>
    <w:p>
      <w:pPr>
        <w:ind w:left="1020" w:hanging="511"/>
        <w:spacing w:after="0" w:line="250" w:lineRule="auto"/>
        <w:tabs>
          <w:tab w:leader="none" w:pos="1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(“HITECH”), which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5" w:lineRule="exact"/>
        <w:rPr>
          <w:rFonts w:ascii="Times New Roman" w:cs="Times New Roman" w:eastAsia="Times New Roman" w:hAnsi="Times New Roman"/>
          <w:sz w:val="17"/>
          <w:szCs w:val="17"/>
          <w:color w:val="auto"/>
        </w:rPr>
      </w:pPr>
    </w:p>
    <w:p>
      <w:pPr>
        <w:ind w:left="1020" w:right="220" w:hanging="511"/>
        <w:spacing w:after="0" w:line="273" w:lineRule="auto"/>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 EU General Data Protection Regulation (“GDPR”) which came into effect on May 25, 2018 and imposes obligations and restrictions on how we collect and use personal data relating to individuals located in the EU (including health data), and introduces fines of up to 4% total worldwide annual turnover or up to €20 million (whichever is higher) for non-compliance with its requirements. The GDPR also provides that EU member states may make their own further laws and regulations limiting the processing of special categories of personal data such as genetic, biometric or health data;</w:t>
      </w:r>
    </w:p>
    <w:p>
      <w:pPr>
        <w:spacing w:after="0" w:line="57" w:lineRule="exact"/>
        <w:rPr>
          <w:rFonts w:ascii="Times New Roman" w:cs="Times New Roman" w:eastAsia="Times New Roman" w:hAnsi="Times New Roman"/>
          <w:sz w:val="16"/>
          <w:szCs w:val="16"/>
          <w:color w:val="auto"/>
        </w:rPr>
      </w:pPr>
    </w:p>
    <w:p>
      <w:pPr>
        <w:ind w:left="1020" w:right="40" w:hanging="511"/>
        <w:spacing w:after="0" w:line="250" w:lineRule="auto"/>
        <w:tabs>
          <w:tab w:leader="none" w:pos="1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 and</w:t>
      </w:r>
    </w:p>
    <w:p>
      <w:pPr>
        <w:spacing w:after="0" w:line="75" w:lineRule="exact"/>
        <w:rPr>
          <w:rFonts w:ascii="Times New Roman" w:cs="Times New Roman" w:eastAsia="Times New Roman" w:hAnsi="Times New Roman"/>
          <w:sz w:val="17"/>
          <w:szCs w:val="17"/>
          <w:color w:val="auto"/>
        </w:rPr>
      </w:pPr>
    </w:p>
    <w:p>
      <w:pPr>
        <w:ind w:left="1020" w:right="40" w:hanging="511"/>
        <w:spacing w:after="0" w:line="267" w:lineRule="auto"/>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 and state laws governing the privacy and security of health information in certain circumstances, many of which differ from each other in significant ways and often are not preempted by HIPAA, thus complicating compliance efforts.</w:t>
      </w:r>
    </w:p>
    <w:p>
      <w:pPr>
        <w:spacing w:after="0" w:line="16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Ensuring that our future business arrangements with third-parties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0" w:lineRule="exact"/>
        <w:rPr>
          <w:sz w:val="20"/>
          <w:szCs w:val="20"/>
          <w:color w:val="auto"/>
        </w:rPr>
      </w:pPr>
    </w:p>
    <w:p>
      <w:pPr>
        <w:ind w:left="1020" w:hanging="511"/>
        <w:spacing w:after="0"/>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regulatory inspection findings;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letters;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or mandatory product recalls or public notification or medical product safety alerts to healthcare professionals;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or prohibitions against, marketing our products;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66" w:name="page67"/>
    <w:bookmarkEnd w:id="66"/>
    <w:p>
      <w:pPr>
        <w:ind w:left="1020" w:hanging="511"/>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or prohibitions against, importation or exportation of our products;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of review or refusal to approve pending applications or supplements to approved applications;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exclusion from participation in government-funded healthcare programs;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exclusion from eligibility for the award of government contracts for our products;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product approvals;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seizures or administrative detention of products;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and criminal penalties and fines.</w:t>
      </w:r>
    </w:p>
    <w:p>
      <w:pPr>
        <w:spacing w:after="0" w:line="297"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5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7"/>
          <w:szCs w:val="17"/>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83"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56"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7"/>
          <w:szCs w:val="17"/>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General Data Protection Regulation, or GDPR, became effective, implementing more stringent requirements in relation to our use of personal data relating to individuals located in the E.U. (and E.E.A.). The GDPR repeals the Data Protection Directive (95/46/EC) and is directly applicable in all E.U. member states. The GDPR significantly increased fining levels to up to 4% total worldwide annual turnover or up to €20 million (whichever is higher) for non-compliance with its requirements. We will be subject to the GDPR where we have an E.U. presence or “establishment”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E.U. based subsidiary or operations), when conducting clinical trials with E.U. based data subjects (whether the trials are conducted directly by us or through a clinical vendor or collaborator) or offering approved products or services (if relevant) to E.U. based data subjects (regardless of whether involving our E.U. based subsidiary or operations).</w:t>
      </w:r>
    </w:p>
    <w:p>
      <w:pPr>
        <w:spacing w:after="0" w:line="17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The GDPR sets out a number of requirements that must be complied with when handling the personal data of such E.U.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member states have a broad right to impose additional conditions – including restrictions – on these data</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67" w:name="page68"/>
    <w:bookmarkEnd w:id="67"/>
    <w:p>
      <w:pPr>
        <w:ind w:right="320"/>
        <w:spacing w:after="0" w:line="252" w:lineRule="auto"/>
        <w:rPr>
          <w:sz w:val="20"/>
          <w:szCs w:val="20"/>
          <w:color w:val="auto"/>
        </w:rPr>
      </w:pPr>
      <w:r>
        <w:rPr>
          <w:rFonts w:ascii="Times New Roman" w:cs="Times New Roman" w:eastAsia="Times New Roman" w:hAnsi="Times New Roman"/>
          <w:sz w:val="17"/>
          <w:szCs w:val="17"/>
          <w:color w:val="auto"/>
        </w:rPr>
        <w:t>categories. This is because the GDPR allows E.U. member states to derogate from the requirements of the GDPR mainly in regard to specific processing situations (including special category data and processing for scientific or statistical purposes). As the E.U. member states reframe their national legislation to harmonize with the GDPR, we will need to monitor compliance with all relevant E.U. member states' laws and regulations, including where permitted derogations from the GDPR are introduced.</w:t>
      </w:r>
    </w:p>
    <w:p>
      <w:pPr>
        <w:spacing w:after="0" w:line="17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7"/>
          <w:szCs w:val="17"/>
          <w:color w:val="auto"/>
        </w:rPr>
        <w:t>We will also be subject to evolving E.U. laws on data export, where we transfer data outside the E.U. (or E.E.A.) to group companies or third parties. The GDPR only permits exports of data outside the E.U. (and E.E.A.) where there is a suitable data transfer solution in place to safeguard personal data (e.g., the EU Commission approved Standard Contractual Clauses). Some of the approved current data transfer mechanisms are under review in the E.U. courts and by the E.U. Commission and therefore we need to monitor this space for any future changes.</w:t>
      </w:r>
    </w:p>
    <w:p>
      <w:pPr>
        <w:spacing w:after="0" w:line="173"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6"/>
          <w:szCs w:val="16"/>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5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and commentators now expect it to be adopted during the middle or second half of 2019. The current draft of the ePrivacy Regulation imposes strict opt-in e-marketing rules with limited exceptions to business to business communications and significantly increases fining powers to the same levels as GDPR (see above).</w:t>
      </w:r>
    </w:p>
    <w:p>
      <w:pPr>
        <w:spacing w:after="0" w:line="17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7"/>
          <w:szCs w:val="17"/>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60" w:lineRule="exact"/>
        <w:rPr>
          <w:sz w:val="20"/>
          <w:szCs w:val="20"/>
          <w:color w:val="auto"/>
        </w:rPr>
      </w:pPr>
    </w:p>
    <w:p>
      <w:pPr>
        <w:jc w:val="both"/>
        <w:ind w:right="140"/>
        <w:spacing w:after="0" w:line="279" w:lineRule="auto"/>
        <w:rPr>
          <w:sz w:val="20"/>
          <w:szCs w:val="20"/>
          <w:color w:val="auto"/>
        </w:rPr>
      </w:pPr>
      <w:r>
        <w:rPr>
          <w:rFonts w:ascii="Times New Roman" w:cs="Times New Roman" w:eastAsia="Times New Roman" w:hAnsi="Times New Roman"/>
          <w:sz w:val="16"/>
          <w:szCs w:val="16"/>
          <w:color w:val="auto"/>
        </w:rPr>
        <w:t>The introduction of the GDPR, and any resultant changes in E.U. member states’ national laws and regulations and the ePrivacy Regulation, will increase our compliance obligations and will necessitate the review and implementation of policies and processes relating to our collection and use of data. This increase in compliance obligations could also lead to an increase in compliance costs which may have an adverse impact on our business, financial condition or results of operations.</w:t>
      </w:r>
    </w:p>
    <w:p>
      <w:pPr>
        <w:spacing w:after="0" w:line="15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7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7"/>
          <w:szCs w:val="17"/>
          <w:color w:val="auto"/>
        </w:rPr>
        <w:t>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268"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5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68" w:name="page69"/>
    <w:bookmarkEnd w:id="68"/>
    <w:p>
      <w:pPr>
        <w:ind w:right="20"/>
        <w:spacing w:after="0" w:line="261" w:lineRule="auto"/>
        <w:rPr>
          <w:sz w:val="20"/>
          <w:szCs w:val="20"/>
          <w:color w:val="auto"/>
        </w:rPr>
      </w:pPr>
      <w:r>
        <w:rPr>
          <w:rFonts w:ascii="Times New Roman" w:cs="Times New Roman" w:eastAsia="Times New Roman" w:hAnsi="Times New Roman"/>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27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 Breakthrough Therapy Designation by the FDA for any of our product candidates may not lead to a faster development or regulatory review or approval process, and it does not increase the likelihood that our product candidates will receive marketing approval.</w:t>
      </w:r>
    </w:p>
    <w:p>
      <w:pPr>
        <w:spacing w:after="0" w:line="56"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We may seek a Breakthrough Therapy Designation for some of our product candidates. A breakthrough therapy is defined as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can also be eligible for accelerated approval.</w:t>
      </w:r>
    </w:p>
    <w:p>
      <w:pPr>
        <w:spacing w:after="0" w:line="179"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and rescind the breakthrough designation.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Fast Track Designation by the FDA for any of our product candidates may not actually lead to a faster development or regulatory review or approval process.</w:t>
      </w:r>
    </w:p>
    <w:p>
      <w:pPr>
        <w:spacing w:after="0" w:line="10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We may seek Fast Track Designation for some of our product candidates. If a product is intended for the treatment of a serious or life-threatening condition and the product demonstrates the potential to address unmet medical needs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69" w:name="page70"/>
    <w:bookmarkEnd w:id="69"/>
    <w:p>
      <w:pPr>
        <w:ind w:right="3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5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NDA or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8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active moieties can be approved for the same condition. Even after an orphan product is approved, the FDA can subsequently approve the same drug or therapeutic biologic with the same active moiety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8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103"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our operating results to be subject to quarterly fluctuations. Our net loss and other operating results will be affected by numerous factors, including:</w:t>
      </w:r>
    </w:p>
    <w:p>
      <w:pPr>
        <w:spacing w:after="0" w:line="103" w:lineRule="exact"/>
        <w:rPr>
          <w:sz w:val="20"/>
          <w:szCs w:val="20"/>
          <w:color w:val="auto"/>
        </w:rPr>
      </w:pPr>
    </w:p>
    <w:p>
      <w:pPr>
        <w:ind w:left="1020" w:hanging="511"/>
        <w:spacing w:after="0"/>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the level of expense related to the ongoing development of our Probody platform, our product candidates or future development programs;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clinical trials, or the addition or termination of clinical trials or funding support by us, or existing or future collaborators or licensing partners;</w:t>
      </w:r>
    </w:p>
    <w:p>
      <w:pPr>
        <w:spacing w:after="0" w:line="102" w:lineRule="exact"/>
        <w:rPr>
          <w:rFonts w:ascii="Times New Roman" w:cs="Times New Roman" w:eastAsia="Times New Roman" w:hAnsi="Times New Roman"/>
          <w:sz w:val="17"/>
          <w:szCs w:val="17"/>
          <w:color w:val="auto"/>
        </w:rPr>
      </w:pPr>
    </w:p>
    <w:p>
      <w:pPr>
        <w:ind w:left="1020" w:right="400" w:hanging="511"/>
        <w:spacing w:after="0" w:line="268" w:lineRule="auto"/>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0" w:lineRule="exact"/>
        <w:rPr>
          <w:rFonts w:ascii="Times New Roman" w:cs="Times New Roman" w:eastAsia="Times New Roman" w:hAnsi="Times New Roman"/>
          <w:sz w:val="17"/>
          <w:szCs w:val="17"/>
          <w:color w:val="auto"/>
        </w:rPr>
      </w:pPr>
    </w:p>
    <w:p>
      <w:pPr>
        <w:ind w:left="1020" w:right="220" w:hanging="511"/>
        <w:spacing w:after="0" w:line="268" w:lineRule="auto"/>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patents or other proprietary rights, including patents, litigation matters and our ability to obtain patent protection for our products;</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intellectual property infringement lawsuit or opposition, interference or cancellation proceeding in which we may become involved;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and departures of key personnel;</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70" w:name="page71"/>
    <w:bookmarkEnd w:id="70"/>
    <w:p>
      <w:pPr>
        <w:ind w:left="1020" w:hanging="511"/>
        <w:spacing w:after="0"/>
        <w:tabs>
          <w:tab w:leader="none" w:pos="10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strategic decisions by us or our competitors, such as acquisitions, divestitures, spin-offs, joint ventures, strategic investments or changes in business strategy;</w:t>
      </w:r>
    </w:p>
    <w:p>
      <w:pPr>
        <w:spacing w:after="0" w:line="114" w:lineRule="exact"/>
        <w:rPr>
          <w:rFonts w:ascii="Times New Roman" w:cs="Times New Roman" w:eastAsia="Times New Roman" w:hAnsi="Times New Roman"/>
          <w:sz w:val="16"/>
          <w:szCs w:val="16"/>
          <w:color w:val="auto"/>
        </w:rPr>
      </w:pPr>
    </w:p>
    <w:p>
      <w:pPr>
        <w:ind w:left="1020" w:hanging="511"/>
        <w:spacing w:after="0"/>
        <w:tabs>
          <w:tab w:leader="none" w:pos="10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of our product candidates receives regulatory approval, the terms of such approval and market acceptance and demand for such product candidates;</w:t>
      </w:r>
    </w:p>
    <w:p>
      <w:pPr>
        <w:spacing w:after="0" w:line="114" w:lineRule="exact"/>
        <w:rPr>
          <w:rFonts w:ascii="Times New Roman" w:cs="Times New Roman" w:eastAsia="Times New Roman" w:hAnsi="Times New Roman"/>
          <w:sz w:val="16"/>
          <w:szCs w:val="16"/>
          <w:color w:val="auto"/>
        </w:rPr>
      </w:pPr>
    </w:p>
    <w:p>
      <w:pPr>
        <w:ind w:left="1020" w:hanging="511"/>
        <w:spacing w:after="0"/>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affecting our product candidates or those of our competitors;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market and economic conditions.</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purchasers of our common stock could incur substantial losses.</w:t>
      </w:r>
    </w:p>
    <w:p>
      <w:pPr>
        <w:spacing w:after="0" w:line="10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Our stock price is volatile. Since our initial public offering (“IPO”), our stock had high and low sales prices in the range of $9.01 and $35.00 per share. The market price for our common stock may be influenced by many factors, including the other risks described in this section titled “Risk Factors” and the following:</w:t>
      </w:r>
    </w:p>
    <w:p>
      <w:pPr>
        <w:spacing w:after="0" w:line="60" w:lineRule="exact"/>
        <w:rPr>
          <w:sz w:val="20"/>
          <w:szCs w:val="20"/>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clinical trials and preclinical studies of our product candidates, or those of our competitors or our collaborators;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U.S. and other countries, especially changes in laws or regulations applicable to our products;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competitive products or technologies;</w:t>
      </w:r>
    </w:p>
    <w:p>
      <w:pPr>
        <w:spacing w:after="0" w:line="102" w:lineRule="exact"/>
        <w:rPr>
          <w:rFonts w:ascii="Times New Roman" w:cs="Times New Roman" w:eastAsia="Times New Roman" w:hAnsi="Times New Roman"/>
          <w:sz w:val="17"/>
          <w:szCs w:val="17"/>
          <w:color w:val="auto"/>
        </w:rPr>
      </w:pPr>
    </w:p>
    <w:p>
      <w:pPr>
        <w:ind w:left="1020" w:right="80" w:hanging="511"/>
        <w:spacing w:after="0" w:line="268"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introductions and announcements of new products by us, our future commercialization partners, or our competitors, and the timing of these introductions or announcements;</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taken by regulatory agencies with respect to our products, clinical studies, manufacturing process or sales and marketing terms;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financial results or those of companies that are perceived to be similar to us;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efforts to acquire or in-license additional technologies, products or product candidates;</w:t>
      </w:r>
    </w:p>
    <w:p>
      <w:pPr>
        <w:spacing w:after="0" w:line="102" w:lineRule="exact"/>
        <w:rPr>
          <w:rFonts w:ascii="Times New Roman" w:cs="Times New Roman" w:eastAsia="Times New Roman" w:hAnsi="Times New Roman"/>
          <w:sz w:val="17"/>
          <w:szCs w:val="17"/>
          <w:color w:val="auto"/>
        </w:rPr>
      </w:pPr>
    </w:p>
    <w:p>
      <w:pPr>
        <w:ind w:left="1020" w:right="100" w:hanging="511"/>
        <w:spacing w:after="0" w:line="268"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concerning any future collaborations, including but not limited to those with our sources of manufacturing supply and our commercialization partners;</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the pharmaceutical and biotechnology sectors;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collaborations, joint ventures or capital commitments;</w:t>
      </w:r>
    </w:p>
    <w:p>
      <w:pPr>
        <w:spacing w:after="0" w:line="102" w:lineRule="exact"/>
        <w:rPr>
          <w:rFonts w:ascii="Times New Roman" w:cs="Times New Roman" w:eastAsia="Times New Roman" w:hAnsi="Times New Roman"/>
          <w:sz w:val="17"/>
          <w:szCs w:val="17"/>
          <w:color w:val="auto"/>
        </w:rPr>
      </w:pPr>
    </w:p>
    <w:p>
      <w:pPr>
        <w:ind w:left="1020" w:right="220" w:hanging="511"/>
        <w:spacing w:after="0" w:line="268"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patents or other proprietary rights, including patents, litigation matters and our ability to obtain patent protection for our products;</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or inability to raise additional capital and the terms on which we raise it;</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payment systems;</w:t>
      </w:r>
    </w:p>
    <w:p>
      <w:pPr>
        <w:spacing w:after="0" w:line="102" w:lineRule="exact"/>
        <w:rPr>
          <w:rFonts w:ascii="Times New Roman" w:cs="Times New Roman" w:eastAsia="Times New Roman" w:hAnsi="Times New Roman"/>
          <w:sz w:val="17"/>
          <w:szCs w:val="17"/>
          <w:color w:val="auto"/>
        </w:rPr>
      </w:pPr>
    </w:p>
    <w:p>
      <w:pPr>
        <w:ind w:left="1020" w:right="320" w:hanging="511"/>
        <w:spacing w:after="0" w:line="268"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earnings estimates or changes in stock market analyst recommendations regarding our common stock, other comparable companies or our industry generally;</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or the failure of our competitors to meet analysts’ projections or guidance that we or our competitors may give to the market;</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valuation of companies perceived by investors to be comparable to us;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 and expectation of additional financing efforts;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volume of our common stock;</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71" w:name="page72"/>
    <w:bookmarkEnd w:id="71"/>
    <w:p>
      <w:pPr>
        <w:ind w:left="1020" w:hanging="511"/>
        <w:spacing w:after="0"/>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or our stockholders;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concentrated ownership of our common stock;</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terrorist acts, acts of war or periods of widespread civil unrest;</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and other calamities;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future issuance of equity or of debt securities that are convertible into equity will dilute our share capital.</w:t>
      </w:r>
    </w:p>
    <w:p>
      <w:pPr>
        <w:spacing w:after="0" w:line="10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70"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5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Each of our executive officers is entitled to receive a lump sum payment equal to nine months or one year of his or her base salary as well as continued medical and dental coverage for a period of nine months or one year following his or her termination of employment due to good reason or without cause. In the event of a change in control and a termination of employment without cause or due to good reason, each of our executive officers would similarly receive nine months or one year of his or her base salary as well as continued medical and dental coverage for a period of nine months or one year, as well as an additional lump sum payment equal to three-fourths or 100%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active market for our common stock may not be maintained.</w:t>
      </w:r>
    </w:p>
    <w:p>
      <w:pPr>
        <w:spacing w:after="0" w:line="10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70" w:lineRule="exact"/>
        <w:rPr>
          <w:sz w:val="20"/>
          <w:szCs w:val="20"/>
          <w:color w:val="auto"/>
        </w:rPr>
      </w:pPr>
    </w:p>
    <w:p>
      <w:pPr>
        <w:jc w:val="both"/>
        <w:ind w:right="2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56"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7"/>
          <w:szCs w:val="17"/>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72" w:name="page73"/>
    <w:bookmarkEnd w:id="72"/>
    <w:p>
      <w:pPr>
        <w:ind w:right="1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5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7"/>
          <w:szCs w:val="17"/>
          <w:color w:val="auto"/>
        </w:rPr>
        <w:t>As of December 31, 2018, our executive officers, directors, holders of 5% or more of our capital stock based on publicly available filings made with the SEC and their respective affiliates beneficially owned approximately 44.9%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270"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7"/>
          <w:szCs w:val="17"/>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3" w:lineRule="exact"/>
        <w:rPr>
          <w:sz w:val="20"/>
          <w:szCs w:val="20"/>
          <w:color w:val="auto"/>
        </w:rPr>
      </w:pPr>
    </w:p>
    <w:p>
      <w:pPr>
        <w:ind w:left="1020" w:hanging="511"/>
        <w:spacing w:after="0"/>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actions by our stockholders by written consent;</w:t>
      </w:r>
    </w:p>
    <w:p>
      <w:pPr>
        <w:spacing w:after="0" w:line="102" w:lineRule="exact"/>
        <w:rPr>
          <w:rFonts w:ascii="Times New Roman" w:cs="Times New Roman" w:eastAsia="Times New Roman" w:hAnsi="Times New Roman"/>
          <w:sz w:val="17"/>
          <w:szCs w:val="17"/>
          <w:color w:val="auto"/>
        </w:rPr>
      </w:pPr>
    </w:p>
    <w:p>
      <w:pPr>
        <w:ind w:left="1020" w:hanging="511"/>
        <w:spacing w:after="0" w:line="273"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57" w:lineRule="exact"/>
        <w:rPr>
          <w:rFonts w:ascii="Times New Roman" w:cs="Times New Roman" w:eastAsia="Times New Roman" w:hAnsi="Times New Roman"/>
          <w:sz w:val="16"/>
          <w:szCs w:val="16"/>
          <w:color w:val="auto"/>
        </w:rPr>
      </w:pPr>
    </w:p>
    <w:p>
      <w:pPr>
        <w:ind w:left="1020" w:hanging="511"/>
        <w:spacing w:after="0"/>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requirements for election to our board of directors and for proposing matters that can be acted upon at stockholder meetings;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division of our board of directors into three classes, serving staggered terms of three years each;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authority of the board of directors to issue preferred stock with such terms as the board of directors may determine.</w:t>
      </w:r>
    </w:p>
    <w:p>
      <w:pPr>
        <w:spacing w:after="0" w:line="202" w:lineRule="exact"/>
        <w:rPr>
          <w:sz w:val="20"/>
          <w:szCs w:val="20"/>
          <w:color w:val="auto"/>
        </w:rPr>
      </w:pPr>
    </w:p>
    <w:p>
      <w:pPr>
        <w:jc w:val="both"/>
        <w:ind w:right="340"/>
        <w:spacing w:after="0" w:line="252"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68"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5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sectPr>
      </w:pPr>
    </w:p>
    <w:bookmarkStart w:id="73" w:name="page74"/>
    <w:bookmarkEnd w:id="73"/>
    <w:p>
      <w:pPr>
        <w:ind w:right="4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5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 Based on our market capitalization at June 30, 2018, we ceased to be an emerging growth company at December 31, 2018 and, accordingly, are now required to have an opinion from our independent registered public accounting firm on the effectiveness of our internal controls over financial reporting for our 2018 Annual Report and future annual reports.</w:t>
      </w:r>
    </w:p>
    <w:p>
      <w:pPr>
        <w:spacing w:after="0" w:line="17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However, if we are not able to comply with the requirements of Section 404 in a timely manner,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10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incur significant costs from class action litigation due to our expected stock volatility.</w:t>
      </w:r>
    </w:p>
    <w:p>
      <w:pPr>
        <w:spacing w:after="0" w:line="1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7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If any of our stockholders were to bring a lawsuit of this type against us, even if the lawsuit is without merit, we could incur substantial costs defending the lawsuit. The lawsuit could also divert the time and attention of our management.</w:t>
      </w:r>
    </w:p>
    <w:p>
      <w:pPr>
        <w:spacing w:after="0" w:line="268"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7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i w:val="1"/>
          <w:iCs w:val="1"/>
          <w:color w:val="auto"/>
        </w:rPr>
        <w:t>Unresolved Staff Comments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74" w:name="page75"/>
    <w:bookmarkEnd w:id="74"/>
    <w:p>
      <w:pPr>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Properties</w:t>
      </w:r>
    </w:p>
    <w:p>
      <w:pPr>
        <w:spacing w:after="0" w:line="1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Our principal executive office is currently located in South San Francisco, California, and consists of approximately 76,000 square feet of office and research and development space, all of which is located in a single building, under a lease that expires in October 2026. We believe that our existing facilities are sufficient for our current needs.</w:t>
      </w:r>
    </w:p>
    <w:p>
      <w:pPr>
        <w:spacing w:after="0" w:line="26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not currently a party to any material litigation or legal proceedings.</w:t>
      </w:r>
    </w:p>
    <w:p>
      <w:pPr>
        <w:spacing w:after="0" w:line="29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8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0940"/>
          </w:cols>
          <w:pgMar w:left="240" w:top="616" w:right="7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2" w:lineRule="exact"/>
        <w:rPr>
          <w:sz w:val="20"/>
          <w:szCs w:val="20"/>
          <w:color w:val="auto"/>
        </w:rPr>
      </w:pPr>
    </w:p>
    <w:p>
      <w:pPr>
        <w:ind w:right="2540"/>
        <w:spacing w:after="0" w:line="368" w:lineRule="auto"/>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7"/>
          <w:szCs w:val="17"/>
          <w:b w:val="1"/>
          <w:bCs w:val="1"/>
          <w:color w:val="auto"/>
        </w:rPr>
        <w:t xml:space="preserve"> Market Information for Common Stock</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Our common stock has been listed on the Nasdaq Global Select Market under the symbol “CTMX” since our initial public offering in October 2015. Prior to that time, there was no public market for our common stock.</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1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As of January 31, 2019, there were approximately 37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07" w:lineRule="exact"/>
        <w:rPr>
          <w:sz w:val="20"/>
          <w:szCs w:val="20"/>
          <w:color w:val="auto"/>
        </w:rPr>
      </w:pPr>
    </w:p>
    <w:p>
      <w:pPr>
        <w:jc w:val="both"/>
        <w:ind w:right="180"/>
        <w:spacing w:after="0" w:line="252" w:lineRule="auto"/>
        <w:rPr>
          <w:sz w:val="20"/>
          <w:szCs w:val="20"/>
          <w:color w:val="auto"/>
        </w:rPr>
      </w:pPr>
      <w:r>
        <w:rPr>
          <w:rFonts w:ascii="Times New Roman" w:cs="Times New Roman" w:eastAsia="Times New Roman" w:hAnsi="Times New Roman"/>
          <w:sz w:val="17"/>
          <w:szCs w:val="17"/>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10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The following graph shows the total stockholder’s return on an investment of $100 in cash at market close on October 8, 2015 (the first day of trading of our common stock), through December 31, 2018 for (i) our common stock, (ii) the Nasdaq Composite Index and (iii) the Nasdaq Biotechnology Index. Pursuant to applicable Securities and Exchange Commission rules, all values assume reinvestment of pre-tax amount of all dividends; however, no dividends have been declared on our common stock to date. The stockholder return shown on the graph below is not necessarily indicative of future performance, and we do not make or endorse any predictions as to future stockholder return. This graph shall not be deemed “soliciting material” or be deemed “filed” for purposes of Section 18 of the Securities Exchange Act of 1934 as amended (the “Exchange Act”), or otherwise subject to the liabilities under that Section, and shall not be deemed to be incorporated by reference into any of our filings under the Securities Act of 1933, as amended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124460</wp:posOffset>
            </wp:positionV>
            <wp:extent cx="5671820" cy="2429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71820" cy="2429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59"/>
        </w:trPr>
        <w:tc>
          <w:tcPr>
            <w:tcW w:w="3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$100 investment in stock or index</w:t>
            </w:r>
          </w:p>
        </w:tc>
        <w:tc>
          <w:tcPr>
            <w:tcW w:w="16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October 8, 2015</w:t>
            </w:r>
          </w:p>
        </w:tc>
        <w:tc>
          <w:tcPr>
            <w:tcW w:w="10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2015</w:t>
            </w:r>
          </w:p>
        </w:tc>
        <w:tc>
          <w:tcPr>
            <w:tcW w:w="120" w:type="dxa"/>
            <w:vAlign w:val="bottom"/>
          </w:tcPr>
          <w:p>
            <w:pPr>
              <w:spacing w:after="0"/>
              <w:rPr>
                <w:sz w:val="13"/>
                <w:szCs w:val="13"/>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2016</w:t>
            </w:r>
          </w:p>
        </w:tc>
        <w:tc>
          <w:tcPr>
            <w:tcW w:w="1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2017</w:t>
            </w:r>
          </w:p>
        </w:tc>
        <w:tc>
          <w:tcPr>
            <w:tcW w:w="12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2018</w:t>
            </w:r>
          </w:p>
        </w:tc>
      </w:tr>
      <w:tr>
        <w:trPr>
          <w:trHeight w:val="216"/>
        </w:trPr>
        <w:tc>
          <w:tcPr>
            <w:tcW w:w="3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CytomX (CTMX)</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161.78</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85.19</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163.64</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117.05</w:t>
            </w: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Nasdaq Composite Index (IXIC)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104.09</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137.92</w:t>
            </w:r>
          </w:p>
        </w:tc>
        <w:tc>
          <w:tcPr>
            <w:tcW w:w="120" w:type="dxa"/>
            <w:vAlign w:val="bottom"/>
          </w:tcPr>
          <w:p>
            <w:pPr>
              <w:spacing w:after="0"/>
              <w:rPr>
                <w:sz w:val="19"/>
                <w:szCs w:val="19"/>
                <w:color w:val="auto"/>
              </w:rPr>
            </w:pPr>
          </w:p>
        </w:tc>
      </w:tr>
      <w:tr>
        <w:trPr>
          <w:trHeight w:val="224"/>
        </w:trPr>
        <w:tc>
          <w:tcPr>
            <w:tcW w:w="3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Nasdaq Biotech Index (^NBI)</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110.25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86.34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104.52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94.77</w:t>
            </w:r>
          </w:p>
        </w:tc>
        <w:tc>
          <w:tcPr>
            <w:tcW w:w="120" w:type="dxa"/>
            <w:vAlign w:val="bottom"/>
            <w:shd w:val="clear" w:color="auto" w:fill="CFF0FC"/>
          </w:tcPr>
          <w:p>
            <w:pPr>
              <w:spacing w:after="0"/>
              <w:rPr>
                <w:sz w:val="19"/>
                <w:szCs w:val="19"/>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0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7"/>
          <w:szCs w:val="17"/>
          <w:color w:val="auto"/>
        </w:rPr>
        <w:t>The information required by this Item regarding equity compensation plans is incorporated by reference to the information set forth in PART III. Item 12 of this Annual Report on Form 10-K.</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 from Registered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Equity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9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Selected Financial Data</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should read the following selected financial data together with the information under “Item 7. Management’s Discussion and Analysis of Financial Condition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Results of Operations” and our financial statements and related notes included in this Form 10-K. The statement of operations data for each of the years ended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2018, 2017 and 2016 and the balance sheet data as of December 31, 2018 and 2017 are derived from our audited financial statements included elsewhere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Form 10-K. The statement of operations data for each of the years ended December 31, 2015 and 2014 and the selected balance sheet data as of December 31, 2016,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2015 and 2014 are derived from our audited financial statements which are not included in this Annual Report on Form 10-K. Our historical results of any prior periods are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necessary indicative of results to be expected in any future period.</w:t>
      </w:r>
    </w:p>
    <w:p>
      <w:pPr>
        <w:spacing w:after="0" w:line="18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 xml:space="preserve">We adopted the Accounting Standards Codification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 effective January 1, 2018 on a modified retrospective basis. As such, the prior period amounts were not restated and continue to be presented in accordance with Accounting Standards Codification 605, </w:t>
      </w: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xml:space="preserve"> (“ASC 605”).</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color w:val="auto"/>
        </w:rPr>
        <w:t>Statement of Operations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FF0FC"/>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2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78"/>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2016</w:t>
            </w:r>
          </w:p>
        </w:tc>
        <w:tc>
          <w:tcPr>
            <w:tcW w:w="2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3"/>
                <w:szCs w:val="13"/>
                <w:b w:val="1"/>
                <w:bCs w:val="1"/>
                <w:color w:val="auto"/>
              </w:rPr>
              <w:t>2015</w:t>
            </w:r>
          </w:p>
        </w:tc>
        <w:tc>
          <w:tcPr>
            <w:tcW w:w="2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8"/>
              <w:spacing w:after="0" w:line="142" w:lineRule="exact"/>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Borders>
              <w:bottom w:val="single" w:sz="8" w:color="CFF0FC"/>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59,502</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71,623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5,941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2,751</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Revenues from related parties</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tcBorders>
              <w:top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Total revenues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59,502</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71,623</w:t>
            </w: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15,043</w:t>
            </w: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7,712</w:t>
            </w: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5,077</w:t>
            </w: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103,866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92,277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54,755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28,357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28,302</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33,510</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25,605</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19,874</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12,558</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6,540</w:t>
            </w:r>
          </w:p>
        </w:tc>
        <w:tc>
          <w:tcPr>
            <w:tcW w:w="10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137,376</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117,882</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74,629</w:t>
            </w:r>
          </w:p>
        </w:tc>
        <w:tc>
          <w:tcPr>
            <w:tcW w:w="2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40,915</w:t>
            </w:r>
          </w:p>
        </w:tc>
        <w:tc>
          <w:tcPr>
            <w:tcW w:w="24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34,842</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(77,874)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(59,586)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(33,203)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(29,765)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7,641</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(1,732)</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(68)</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(27)</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(69)</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(1,744)</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(70,301)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(58,919)</w:t>
            </w: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(35,364)</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(30,300)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Provision for (benefit from)</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income taxes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14,303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(513)</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(19)</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(84,604)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(58,900)</w:t>
            </w: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(35,374)</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(30,310)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Accretion to redemption value and</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cumulative dividends on</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preferred stock</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(6,705)</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4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Net loss attributable to</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common stockholders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(84,604)</w:t>
            </w:r>
          </w:p>
        </w:tc>
        <w:tc>
          <w:tcPr>
            <w:tcW w:w="28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(43,099)</w:t>
            </w:r>
          </w:p>
        </w:tc>
        <w:tc>
          <w:tcPr>
            <w:tcW w:w="42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(58,900)</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(42,079)</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(34,876)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4420" w:type="dxa"/>
            <w:vAlign w:val="bottom"/>
            <w:tcBorders>
              <w:top w:val="single" w:sz="8" w:color="CFF0FC"/>
            </w:tcBorders>
            <w:shd w:val="clear" w:color="auto" w:fill="CFF0FC"/>
          </w:tcPr>
          <w:p>
            <w:pPr>
              <w:spacing w:after="0" w:line="172" w:lineRule="exact"/>
              <w:rPr>
                <w:sz w:val="20"/>
                <w:szCs w:val="20"/>
                <w:color w:val="auto"/>
              </w:rPr>
            </w:pPr>
            <w:r>
              <w:rPr>
                <w:rFonts w:ascii="Times New Roman" w:cs="Times New Roman" w:eastAsia="Times New Roman" w:hAnsi="Times New Roman"/>
                <w:sz w:val="17"/>
                <w:szCs w:val="17"/>
                <w:color w:val="auto"/>
              </w:rPr>
              <w:t>Net loss per share attributable to</w:t>
            </w:r>
          </w:p>
        </w:tc>
        <w:tc>
          <w:tcPr>
            <w:tcW w:w="2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common stockholders, basic</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and diluted</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(2.03)</w:t>
            </w:r>
          </w:p>
        </w:tc>
        <w:tc>
          <w:tcPr>
            <w:tcW w:w="2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(1.16)</w:t>
            </w:r>
          </w:p>
        </w:tc>
        <w:tc>
          <w:tcPr>
            <w:tcW w:w="42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(1.63)</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(4.90)</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7"/>
                <w:szCs w:val="17"/>
                <w:color w:val="auto"/>
              </w:rPr>
              <w:t>Shares used to compute net loss per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 attributable to common</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42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7"/>
                <w:szCs w:val="17"/>
                <w:color w:val="auto"/>
              </w:rPr>
              <w:t>stockholders, basic and diluted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41,664,382</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37,166,830</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36,234,732</w:t>
            </w:r>
          </w:p>
        </w:tc>
        <w:tc>
          <w:tcPr>
            <w:tcW w:w="2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8,595,247</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989,453</w:t>
            </w:r>
          </w:p>
        </w:tc>
        <w:tc>
          <w:tcPr>
            <w:tcW w:w="100" w:type="dxa"/>
            <w:vAlign w:val="bottom"/>
            <w:tcBorders>
              <w:bottom w:val="single" w:sz="8" w:color="CFF0FC"/>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4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7"/>
                <w:szCs w:val="17"/>
                <w:color w:val="auto"/>
              </w:rPr>
              <w:t>Other comprehensive loss:</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unrealized gain (losses)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on investments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(76)</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24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(84,603)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(43,166)</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(58,851)</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(35,450)</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(30,310)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4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FF0FC"/>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2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78"/>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2016</w:t>
            </w:r>
          </w:p>
        </w:tc>
        <w:tc>
          <w:tcPr>
            <w:tcW w:w="2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3"/>
                <w:szCs w:val="13"/>
                <w:b w:val="1"/>
                <w:bCs w:val="1"/>
                <w:color w:val="auto"/>
              </w:rPr>
              <w:t>2015</w:t>
            </w:r>
          </w:p>
        </w:tc>
        <w:tc>
          <w:tcPr>
            <w:tcW w:w="2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8"/>
              <w:spacing w:after="0" w:line="142" w:lineRule="exact"/>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Borders>
              <w:bottom w:val="single" w:sz="8" w:color="CFF0FC"/>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short term</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436,127</w:t>
            </w:r>
          </w:p>
        </w:tc>
        <w:tc>
          <w:tcPr>
            <w:tcW w:w="240" w:type="dxa"/>
            <w:vAlign w:val="bottom"/>
          </w:tcPr>
          <w:p>
            <w:pPr>
              <w:spacing w:after="0"/>
              <w:rPr>
                <w:sz w:val="18"/>
                <w:szCs w:val="18"/>
                <w:color w:val="auto"/>
              </w:rPr>
            </w:pPr>
          </w:p>
        </w:tc>
        <w:tc>
          <w:tcPr>
            <w:tcW w:w="28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374,110</w:t>
            </w:r>
          </w:p>
        </w:tc>
        <w:tc>
          <w:tcPr>
            <w:tcW w:w="80" w:type="dxa"/>
            <w:vAlign w:val="bottom"/>
          </w:tcPr>
          <w:p>
            <w:pPr>
              <w:spacing w:after="0"/>
              <w:rPr>
                <w:sz w:val="18"/>
                <w:szCs w:val="18"/>
                <w:color w:val="auto"/>
              </w:rPr>
            </w:pPr>
          </w:p>
        </w:tc>
        <w:tc>
          <w:tcPr>
            <w:tcW w:w="42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181,938</w:t>
            </w:r>
          </w:p>
        </w:tc>
        <w:tc>
          <w:tcPr>
            <w:tcW w:w="260" w:type="dxa"/>
            <w:vAlign w:val="bottom"/>
          </w:tcPr>
          <w:p>
            <w:pPr>
              <w:spacing w:after="0"/>
              <w:rPr>
                <w:sz w:val="18"/>
                <w:szCs w:val="18"/>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186,711</w:t>
            </w:r>
          </w:p>
        </w:tc>
        <w:tc>
          <w:tcPr>
            <w:tcW w:w="240" w:type="dxa"/>
            <w:vAlign w:val="bottom"/>
          </w:tcPr>
          <w:p>
            <w:pPr>
              <w:spacing w:after="0"/>
              <w:rPr>
                <w:sz w:val="18"/>
                <w:szCs w:val="18"/>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Working capital</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347,567</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327,454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152,380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174,015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55,690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457,108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397,644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199,128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197,215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long-term debt, current and non-current</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Redeemable convertible preferred stock</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76,236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Convertible preferred stock</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(314,981)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(219,465)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(176,366)</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(117,466)</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130,883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69,896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78,479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126,068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(78,541)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616" w:right="199" w:bottom="1440" w:gutter="0" w:footer="0" w:header="0"/>
        </w:sectPr>
      </w:pPr>
    </w:p>
    <w:bookmarkStart w:id="78" w:name="page79"/>
    <w:bookmarkEnd w:id="78"/>
    <w:p>
      <w:pPr>
        <w:ind w:left="1"/>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5" w:lineRule="exact"/>
        <w:rPr>
          <w:sz w:val="20"/>
          <w:szCs w:val="20"/>
          <w:color w:val="auto"/>
        </w:rPr>
      </w:pPr>
    </w:p>
    <w:p>
      <w:pPr>
        <w:ind w:left="1" w:right="40"/>
        <w:spacing w:after="0" w:line="249"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the attached financial statements and notes thereto. This Annual Report on Form 10-K, including the following sections, contains forward-looking statements within the meaning of the federal securities laws. These statements are subject to risks and uncertainties that could cause actual results and events to differ materially from those expressed or implied by such forward-looking statements. For a detailed discussion of these risks and uncertainties, see the “Risk Factors” section in Item 1A of this Annual Report on Form 10-K. We caution the reader not to place undue reliance on these forward-looking statements, which reflect management’s analysis only as of the date of this Form 10-K. We undertake no obligation to update forward-looking statements, which reflect events or circumstances occurring after the date of this Form 10-K.</w:t>
      </w:r>
    </w:p>
    <w:p>
      <w:pPr>
        <w:spacing w:after="0" w:line="27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7" w:lineRule="exact"/>
        <w:rPr>
          <w:sz w:val="20"/>
          <w:szCs w:val="20"/>
          <w:color w:val="auto"/>
        </w:rPr>
      </w:pPr>
    </w:p>
    <w:p>
      <w:pPr>
        <w:ind w:left="1"/>
        <w:spacing w:after="0" w:line="247" w:lineRule="auto"/>
        <w:rPr>
          <w:sz w:val="20"/>
          <w:szCs w:val="20"/>
          <w:color w:val="auto"/>
        </w:rPr>
      </w:pPr>
      <w:r>
        <w:rPr>
          <w:rFonts w:ascii="Times New Roman" w:cs="Times New Roman" w:eastAsia="Times New Roman" w:hAnsi="Times New Roman"/>
          <w:sz w:val="17"/>
          <w:szCs w:val="17"/>
          <w:color w:val="auto"/>
        </w:rPr>
        <w:t>We are a clinical-stage, oncology-focused biopharmaceutical company with a vision of transforming lives with safer, more effective therapies. We are pioneering a novel class of investigational antibody therapeutics, based on our Probody™ technology platform, for the treatment of cancer. The Probody therapeutic approach is designed to more specifically target antibody therapeutics to the tumor microenvironment and minimize drug activity in healthy tissue and in circulation. We believe this approach has the potential to make meaningful enhancements to the combined efficacy and safety profile of antibody therapeutics, known as the “therapeutic window” and also to enable new targeted therapies. We believe that Probody therapeutics have the potential to create or widen the therapeutic window for certain antibody therapeutics, allowing for the development of new approaches to the treatment of cancer. We are utilizing our Probody Platform to develop a pipeline of potential best-in-class immunotherapies against clinically-validated targets and potential first-in-class therapeutics against novel, difficult to drug targets. Furthermore, we believe the Probody therapeutic approach has the potential to enable safer, more effective combination therapy for cancer.</w:t>
      </w:r>
    </w:p>
    <w:p>
      <w:pPr>
        <w:spacing w:after="0" w:line="179" w:lineRule="exact"/>
        <w:rPr>
          <w:sz w:val="20"/>
          <w:szCs w:val="20"/>
          <w:color w:val="auto"/>
        </w:rPr>
      </w:pPr>
    </w:p>
    <w:p>
      <w:pPr>
        <w:ind w:left="1" w:right="40"/>
        <w:spacing w:after="0" w:line="266" w:lineRule="auto"/>
        <w:rPr>
          <w:sz w:val="20"/>
          <w:szCs w:val="20"/>
          <w:color w:val="auto"/>
        </w:rPr>
      </w:pPr>
      <w:r>
        <w:rPr>
          <w:rFonts w:ascii="Times New Roman" w:cs="Times New Roman" w:eastAsia="Times New Roman" w:hAnsi="Times New Roman"/>
          <w:sz w:val="16"/>
          <w:szCs w:val="16"/>
          <w:color w:val="auto"/>
        </w:rPr>
        <w:t>Our most advanced product candidate is CX-072, a wholly owned Probody therapeutic targeting programmed cell death ligand 1 (“PD-L1”), a clinically and commercially validated immuno-oncology target. CX-072 is designed to uncouple the anti-cancer activity of PD-L1 inhibitors from the associated autoimmune toxicities by inhibiting PD-L1 in the tumor microenvironment with minimal engagement in healthy tissue. We are currently evaluating CX-072 in a Phase 1/2 study that we call PROCLAIM-CX-</w:t>
      </w:r>
    </w:p>
    <w:p>
      <w:pPr>
        <w:spacing w:after="0" w:line="1" w:lineRule="exact"/>
        <w:rPr>
          <w:sz w:val="20"/>
          <w:szCs w:val="20"/>
          <w:color w:val="auto"/>
        </w:rPr>
      </w:pPr>
    </w:p>
    <w:p>
      <w:pPr>
        <w:ind w:left="1" w:right="160" w:hanging="1"/>
        <w:spacing w:after="0" w:line="246" w:lineRule="auto"/>
        <w:tabs>
          <w:tab w:leader="none" w:pos="33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study is designed to assess the safety, activity, and translational biology of CX-072 as a single agent and in combination with other anticancer therapies. We disclosed initial clinical proof of concept data on CX-072 at various oncology conferences in 2018. In February 2019, we disclosed additional clinical safety and efficacy data on CX-072 at a Research and Development Day hosted by CytomX management (“CytomX R&amp;D Day”).</w:t>
      </w:r>
    </w:p>
    <w:p>
      <w:pPr>
        <w:spacing w:after="0" w:line="177" w:lineRule="exact"/>
        <w:rPr>
          <w:sz w:val="20"/>
          <w:szCs w:val="20"/>
          <w:color w:val="auto"/>
        </w:rPr>
      </w:pPr>
    </w:p>
    <w:p>
      <w:pPr>
        <w:ind w:left="1" w:right="40"/>
        <w:spacing w:after="0" w:line="266" w:lineRule="auto"/>
        <w:rPr>
          <w:sz w:val="20"/>
          <w:szCs w:val="20"/>
          <w:color w:val="auto"/>
        </w:rPr>
      </w:pPr>
      <w:r>
        <w:rPr>
          <w:rFonts w:ascii="Times New Roman" w:cs="Times New Roman" w:eastAsia="Times New Roman" w:hAnsi="Times New Roman"/>
          <w:sz w:val="16"/>
          <w:szCs w:val="16"/>
          <w:color w:val="auto"/>
        </w:rPr>
        <w:t>Our second most advanced product candidate is CX-2009, a wholly owned Probody Drug Conjugate directed against CD166, a novel drug target. Probody Drug Conjugates are unique, CytomX-designed Probody therapeutic versions of a class of drugs called Antibody Drug Conjugates (ADCs), which are antibodies that have been conjugated to a small molecule cytotoxic agent via a labile chemical linker. Because our Probody therapeutics are designed to minimize binding of potent anti-cancer therapy to normal tissues, we believe we can address a new class of targets with attractive molecular features that were previously unsuitable because of high expression on normal tissues. CD166 is an example of this kind of target. CD166 is highly and homogenously expressed in multiple different tumors types, which makes it an attractive target for a Probody drug conjugate therapeutic; however, the high expression of CD166 on normal tissues makes this a difficult target to drug with a traditional ADC. CX-2009 is currently in the dose escalation portion of a Phase 1/2 study. In February 2019, we disclosed initial clinical data on CX-2009 at the CytomX R&amp;D Day.</w:t>
      </w:r>
    </w:p>
    <w:p>
      <w:pPr>
        <w:spacing w:after="0" w:line="163" w:lineRule="exact"/>
        <w:rPr>
          <w:sz w:val="20"/>
          <w:szCs w:val="20"/>
          <w:color w:val="auto"/>
        </w:rPr>
      </w:pPr>
    </w:p>
    <w:p>
      <w:pPr>
        <w:ind w:left="1" w:right="60"/>
        <w:spacing w:after="0" w:line="267" w:lineRule="auto"/>
        <w:rPr>
          <w:sz w:val="20"/>
          <w:szCs w:val="20"/>
          <w:color w:val="auto"/>
        </w:rPr>
      </w:pPr>
      <w:r>
        <w:rPr>
          <w:rFonts w:ascii="Times New Roman" w:cs="Times New Roman" w:eastAsia="Times New Roman" w:hAnsi="Times New Roman"/>
          <w:sz w:val="16"/>
          <w:szCs w:val="16"/>
          <w:color w:val="auto"/>
        </w:rPr>
        <w:t>In addition to our wholly owned programs, we have entered into several strategic collaborations with leading oncology-focused pharmaceutical companies, such as AbbVie Inc., through its subsidiary AbbVie Ireland Unlimited Company (“AbbVie”), Amgen, Inc. (“Amgen”) and Bristol-Myers Squibb Company (“BMS”). The most advanced program from our partnerships is a BMS-986249, a CTLA-4 Probody therapeutic, which BMS is currently advancing through the dose escalation phase of a Phase 1/2 clinical trial. We are also treating patients in a Phase 1/2 clinical study for CX-2029, a PDC targeting the highly expressed target, CD71 that we have partnered with AbbVie. We have also extended our Probody platform to the T-cell engaging bispecific modality. Our most advanced program in that modality is an Epidermal Growth Factor Receptor-CD3 (“EGFR-CD3”) T-cell bispecific, which is currently in lead optimization stage, and which we are developing in partnership with Amgen.</w:t>
      </w:r>
    </w:p>
    <w:p>
      <w:pPr>
        <w:spacing w:after="0" w:line="201" w:lineRule="exact"/>
        <w:rPr>
          <w:sz w:val="20"/>
          <w:szCs w:val="20"/>
          <w:color w:val="auto"/>
        </w:rPr>
      </w:pPr>
    </w:p>
    <w:p>
      <w:pPr>
        <w:ind w:left="1" w:right="160"/>
        <w:spacing w:after="0" w:line="250" w:lineRule="auto"/>
        <w:rPr>
          <w:sz w:val="20"/>
          <w:szCs w:val="20"/>
          <w:color w:val="auto"/>
        </w:rPr>
      </w:pPr>
      <w:r>
        <w:rPr>
          <w:rFonts w:ascii="Times New Roman" w:cs="Times New Roman" w:eastAsia="Times New Roman" w:hAnsi="Times New Roman"/>
          <w:sz w:val="17"/>
          <w:szCs w:val="17"/>
          <w:color w:val="auto"/>
        </w:rPr>
        <w:t>We currently have three product candidates enrolling patients in clinical trials that we are conducting and one product candidate enrolling patients in clinical trials which our partner, BMS, is conducting, but we do not have any product candidates approved for sale, and we continue to incur significant research and development and general administrative expenses related to our operations. We are not profitable and have incurred losses in each year since our founding in 2008. Our net loss was $84.6 million, $43.1 million and $58.9 million for 2018, 2017 and 2016, respectively. As of December 31, 2018 and 2017 we had an accumulated deficit of $315.0 million and $219.5 million, respectively. We expect to continue to incur significant losses for the foreseeable future.</w:t>
      </w: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9869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318" w:right="239" w:bottom="1440" w:gutter="0" w:footer="0" w:header="0"/>
        </w:sectPr>
      </w:pPr>
    </w:p>
    <w:bookmarkStart w:id="79" w:name="page80"/>
    <w:bookmarkEnd w:id="79"/>
    <w:p>
      <w:pPr>
        <w:ind w:right="100"/>
        <w:spacing w:after="0" w:line="248" w:lineRule="auto"/>
        <w:rPr>
          <w:sz w:val="20"/>
          <w:szCs w:val="20"/>
          <w:color w:val="auto"/>
        </w:rPr>
      </w:pPr>
      <w:r>
        <w:rPr>
          <w:rFonts w:ascii="Times New Roman" w:cs="Times New Roman" w:eastAsia="Times New Roman" w:hAnsi="Times New Roman"/>
          <w:sz w:val="17"/>
          <w:szCs w:val="17"/>
          <w:color w:val="auto"/>
        </w:rPr>
        <w:t>Regulatory agencies, including the FDA, regulate many aspects of a product candidate’s life cycle, including research and development and preclinical and clinical testing. We will need to commit significant time, resources, and funding to develop our wholly owned and partnered product candidates in clinical trials, including CX-072, CX-2009 and CX-2029 as well as any additional product candidates for which we initiate clinical trials in 2019 and beyond.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204"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6"/>
          <w:szCs w:val="16"/>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0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BMS and Pfizer for research and development costs incurred under our research, collaboration and license agreements with them are classified as revenue.</w:t>
      </w:r>
    </w:p>
    <w:p>
      <w:pPr>
        <w:spacing w:after="0" w:line="18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BMS, ImmunoGen and any other collaboration partners, and as a result of the fluctuations in the research and development expenses we incur in the performance of assigned activities under these agreements.</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AbbVie Ireland Unlimited Company (“AbbVie”), one of our collaboration partners, entered into a license agreement with Seattle Genetics, Inc. (“SGEN”) to license certain intellectual property rights. As part of our collaboration agreement with AbbVie, we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xml:space="preserve">On January 1, 2018, we adopted Accounting Standards Update, or ASU, No. 2014-09, </w:t>
      </w:r>
      <w:r>
        <w:rPr>
          <w:rFonts w:ascii="Times New Roman" w:cs="Times New Roman" w:eastAsia="Times New Roman" w:hAnsi="Times New Roman"/>
          <w:sz w:val="17"/>
          <w:szCs w:val="17"/>
          <w:i w:val="1"/>
          <w:iCs w:val="1"/>
          <w:color w:val="auto"/>
        </w:rPr>
        <w:t>Revenue from Contracts with Customers (Topic 606)</w:t>
      </w:r>
      <w:r>
        <w:rPr>
          <w:rFonts w:ascii="Times New Roman" w:cs="Times New Roman" w:eastAsia="Times New Roman" w:hAnsi="Times New Roman"/>
          <w:sz w:val="17"/>
          <w:szCs w:val="17"/>
          <w:color w:val="auto"/>
        </w:rPr>
        <w:t xml:space="preserve"> using the modified retrospective transition method. See further discussion under “ Critical Accounting Policies and Estimates – 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0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Our research and development expenses consist primarily of costs incurred to conduct research, such as the discovery and development of our product candidates, clinical development including activities with third parties, such as CROs and CMOs,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9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For example, we commenced enrollment of our Phase 1/2 clinical trial of CX-072, our candidate directed against PD-L1, for cancer and treated our first patient in January 2017, and our Phase 1/2 clinical trial of CX-2009, our PDC candidate directed against CD-166, for cancer and treated our first patient in June 2017. In June 2018, we commenced enrollment of our Phase 1/2 clinical trial for CX-2029, our CD71 Probody Drug Conjugate being developed in collaboration with AbbVie.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80" w:name="page81"/>
    <w:bookmarkEnd w:id="80"/>
    <w:p>
      <w:pPr>
        <w:jc w:val="both"/>
        <w:ind w:right="240"/>
        <w:spacing w:after="0" w:line="256" w:lineRule="auto"/>
        <w:rPr>
          <w:sz w:val="20"/>
          <w:szCs w:val="20"/>
          <w:color w:val="auto"/>
        </w:rPr>
      </w:pPr>
      <w:r>
        <w:rPr>
          <w:rFonts w:ascii="Times New Roman" w:cs="Times New Roman" w:eastAsia="Times New Roman" w:hAnsi="Times New Roman"/>
          <w:sz w:val="17"/>
          <w:szCs w:val="17"/>
          <w:color w:val="auto"/>
        </w:rPr>
        <w:t>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0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the Sarbanes-Oxley Act of 2002 and those of any national securities exchange on which our securities are traded, additional insurance expenses, investor relations activities and other administrative and professional services. We also expect to increase our administrative headcount to operate as a public company and as we advance our product candidates through clinical development, which will also increase our general and administrative expenses.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0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Interest income primarily consists of interest income from our cash equivalents and short-term investments, and accretion of discounts or amortization of premiums on our short-term investments.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net consists primarily of changes to currency exchange rates.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(Benefit from) Income Taxes</w:t>
      </w:r>
    </w:p>
    <w:p>
      <w:pPr>
        <w:spacing w:after="0" w:line="10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7"/>
          <w:szCs w:val="17"/>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7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94"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On December 22, 2017, the U.S. enacted the Tax Cuts and Jobs Act (“Tax Act”), which includes significant changes to the U.S. corporate tax system. Effective January 1, 2018, the Tax Act reduced the U.S. federal corporate tax rate from 35% to 21%, and transitioned from a worldwide tax system to a territorial tax system, and eliminated or reduced certain domestic deductions among other changes. The Tax Act introduced new provisions including the Global Intangible Low-Taxed Income (“GILTI”), Foreign Derived Intangible Income (“FDII”), Base Erosion Anti-Abuse Tax (“BEAT"), expanded bonus depreciation and changed deductions for executive compensation and interest expense. See "Part II. Item 8. Financial Statements and Supplementary Data, Note 14. Income Taxes" in the accompanying Notes to the consolidated financial statements for more information regarding the impact of the Tax Act.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Years Ended December 31, 2018 and 2017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center"/>
              <w:ind w:left="48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42"/>
        </w:trPr>
        <w:tc>
          <w:tcPr>
            <w:tcW w:w="1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245"/>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11"/>
        </w:trPr>
        <w:tc>
          <w:tcPr>
            <w:tcW w:w="1720" w:type="dxa"/>
            <w:vAlign w:val="bottom"/>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Revenue</w:t>
            </w:r>
          </w:p>
        </w:tc>
        <w:tc>
          <w:tcPr>
            <w:tcW w:w="2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7"/>
                <w:szCs w:val="17"/>
                <w:color w:val="auto"/>
              </w:rPr>
              <w:t>59,502</w:t>
            </w:r>
          </w:p>
        </w:tc>
        <w:tc>
          <w:tcPr>
            <w:tcW w:w="3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rPr>
              <w:t>71,623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(12,121)</w:t>
            </w:r>
          </w:p>
        </w:tc>
        <w:tc>
          <w:tcPr>
            <w:tcW w:w="1740" w:type="dxa"/>
            <w:vAlign w:val="bottom"/>
          </w:tcPr>
          <w:p>
            <w:pPr>
              <w:spacing w:after="0"/>
              <w:rPr>
                <w:sz w:val="18"/>
                <w:szCs w:val="18"/>
                <w:color w:val="auto"/>
              </w:rPr>
            </w:pPr>
          </w:p>
        </w:tc>
      </w:tr>
      <w:tr>
        <w:trPr>
          <w:trHeight w:val="597"/>
        </w:trPr>
        <w:tc>
          <w:tcPr>
            <w:tcW w:w="1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517"/>
              <w:spacing w:after="0"/>
              <w:rPr>
                <w:sz w:val="20"/>
                <w:szCs w:val="20"/>
                <w:color w:val="auto"/>
              </w:rPr>
            </w:pPr>
            <w:r>
              <w:rPr>
                <w:rFonts w:ascii="Times New Roman" w:cs="Times New Roman" w:eastAsia="Times New Roman" w:hAnsi="Times New Roman"/>
                <w:sz w:val="17"/>
                <w:szCs w:val="17"/>
                <w:color w:val="auto"/>
              </w:rPr>
              <w:t>79</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04"/>
        </w:trPr>
        <w:tc>
          <w:tcPr>
            <w:tcW w:w="17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359" w:right="199" w:bottom="1440" w:gutter="0" w:footer="0" w:header="0"/>
        </w:sectPr>
      </w:pPr>
    </w:p>
    <w:bookmarkStart w:id="81" w:name="page82"/>
    <w:bookmarkEnd w:id="81"/>
    <w:p>
      <w:pPr>
        <w:ind w:right="40"/>
        <w:spacing w:after="0" w:line="268" w:lineRule="auto"/>
        <w:rPr>
          <w:sz w:val="20"/>
          <w:szCs w:val="20"/>
          <w:color w:val="auto"/>
        </w:rPr>
      </w:pPr>
      <w:r>
        <w:rPr>
          <w:rFonts w:ascii="Times New Roman" w:cs="Times New Roman" w:eastAsia="Times New Roman" w:hAnsi="Times New Roman"/>
          <w:sz w:val="17"/>
          <w:szCs w:val="17"/>
          <w:color w:val="auto"/>
        </w:rPr>
        <w:t>Revenue decreased by $12.1 million during the year ended December 31, 2018 compared to the corresponding period in 2017. The following table summarizes our revenue by collaboration partner during the respective periods:</w:t>
      </w:r>
    </w:p>
    <w:p>
      <w:pPr>
        <w:spacing w:after="0" w:line="229"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7"/>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2"/>
                <w:szCs w:val="12"/>
                <w:color w:val="auto"/>
              </w:rPr>
            </w:pPr>
          </w:p>
        </w:tc>
      </w:tr>
      <w:tr>
        <w:trPr>
          <w:trHeight w:val="141"/>
        </w:trPr>
        <w:tc>
          <w:tcPr>
            <w:tcW w:w="2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2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AbbVie</w:t>
            </w:r>
          </w:p>
        </w:tc>
        <w:tc>
          <w:tcPr>
            <w:tcW w:w="20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18,997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19,434</w:t>
            </w:r>
          </w:p>
        </w:tc>
        <w:tc>
          <w:tcPr>
            <w:tcW w:w="1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(437)</w:t>
            </w:r>
          </w:p>
        </w:tc>
      </w:tr>
      <w:tr>
        <w:trPr>
          <w:trHeight w:val="211"/>
        </w:trPr>
        <w:tc>
          <w:tcPr>
            <w:tcW w:w="2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Amgen</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3,588</w:t>
            </w:r>
          </w:p>
        </w:tc>
        <w:tc>
          <w:tcPr>
            <w:tcW w:w="100" w:type="dxa"/>
            <w:vAlign w:val="bottom"/>
          </w:tcPr>
          <w:p>
            <w:pPr>
              <w:spacing w:after="0"/>
              <w:rPr>
                <w:sz w:val="18"/>
                <w:szCs w:val="18"/>
                <w:color w:val="auto"/>
              </w:rPr>
            </w:pPr>
          </w:p>
        </w:tc>
      </w:tr>
      <w:tr>
        <w:trPr>
          <w:trHeight w:val="211"/>
        </w:trPr>
        <w:tc>
          <w:tcPr>
            <w:tcW w:w="2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BMS</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32,780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36,492</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(3,712)</w:t>
            </w:r>
          </w:p>
        </w:tc>
      </w:tr>
      <w:tr>
        <w:trPr>
          <w:trHeight w:val="211"/>
        </w:trPr>
        <w:tc>
          <w:tcPr>
            <w:tcW w:w="2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ImmunoGen</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(11,032)</w:t>
            </w:r>
          </w:p>
        </w:tc>
      </w:tr>
      <w:tr>
        <w:trPr>
          <w:trHeight w:val="211"/>
        </w:trPr>
        <w:tc>
          <w:tcPr>
            <w:tcW w:w="2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Pfizer</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(528)</w:t>
            </w:r>
          </w:p>
        </w:tc>
      </w:tr>
      <w:tr>
        <w:trPr>
          <w:trHeight w:val="204"/>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8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59,502</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71,623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(12,121)</w:t>
            </w:r>
          </w:p>
        </w:tc>
        <w:tc>
          <w:tcPr>
            <w:tcW w:w="100" w:type="dxa"/>
            <w:vAlign w:val="bottom"/>
          </w:tcPr>
          <w:p>
            <w:pPr>
              <w:spacing w:after="0"/>
              <w:rPr>
                <w:sz w:val="17"/>
                <w:szCs w:val="17"/>
                <w:color w:val="auto"/>
              </w:rPr>
            </w:pPr>
          </w:p>
        </w:tc>
      </w:tr>
      <w:tr>
        <w:trPr>
          <w:trHeight w:val="20"/>
        </w:trPr>
        <w:tc>
          <w:tcPr>
            <w:tcW w:w="2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variances in revenue for 2018 compared to 2017 were partially due to the adoption of ASC 606.</w:t>
      </w:r>
    </w:p>
    <w:p>
      <w:pPr>
        <w:spacing w:after="0" w:line="22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Under ASC 605, total revenue for 2018 would have been $66.0 million, a decrease of $5.6 million from $71.6 million in 2017, primarily due to a $3.0 million net decrease in milestone payments, as well as a $2.6 million decrease in the recognition of deferred revenues in 2018.</w:t>
      </w:r>
    </w:p>
    <w:p>
      <w:pPr>
        <w:spacing w:after="0" w:line="73" w:lineRule="exact"/>
        <w:rPr>
          <w:sz w:val="20"/>
          <w:szCs w:val="20"/>
          <w:color w:val="auto"/>
        </w:rPr>
      </w:pPr>
    </w:p>
    <w:p>
      <w:pPr>
        <w:ind w:left="1020" w:right="300" w:hanging="511"/>
        <w:spacing w:after="0" w:line="256" w:lineRule="auto"/>
        <w:tabs>
          <w:tab w:leader="none" w:pos="10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2017, a total of $24.0 million in milestone payments were recognized, including $14.0 million (net of the payment of an associated license fee of $1.0 million to Seattle Genetics (“SGEN”) under the Seattle Genetics Agreement) received from AbbVie for meeting the criteria to begin the CD71 GLP toxicology studies under the AbbVie Agreements and $10.0 million received from BMS related to the IND filing for BMS-986249 in 2017.</w:t>
      </w:r>
    </w:p>
    <w:p>
      <w:pPr>
        <w:spacing w:after="0" w:line="70" w:lineRule="exact"/>
        <w:rPr>
          <w:rFonts w:ascii="Times New Roman" w:cs="Times New Roman" w:eastAsia="Times New Roman" w:hAnsi="Times New Roman"/>
          <w:sz w:val="17"/>
          <w:szCs w:val="17"/>
          <w:color w:val="auto"/>
        </w:rPr>
      </w:pPr>
    </w:p>
    <w:p>
      <w:pPr>
        <w:ind w:left="1020" w:right="80" w:hanging="511"/>
        <w:spacing w:after="0" w:line="268" w:lineRule="auto"/>
        <w:tabs>
          <w:tab w:leader="none" w:pos="10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2018, a $21.0 million milestone payment (net of the payment of an associated sublicense fee of $4.0 million to SGEN) was received from AbbVie for the achievement of the successful IND filing criteria related to CX-2029.</w:t>
      </w:r>
    </w:p>
    <w:p>
      <w:pPr>
        <w:spacing w:after="0" w:line="60" w:lineRule="exact"/>
        <w:rPr>
          <w:rFonts w:ascii="Times New Roman" w:cs="Times New Roman" w:eastAsia="Times New Roman" w:hAnsi="Times New Roman"/>
          <w:sz w:val="17"/>
          <w:szCs w:val="17"/>
          <w:color w:val="auto"/>
        </w:rPr>
      </w:pPr>
    </w:p>
    <w:p>
      <w:pPr>
        <w:ind w:left="1020" w:right="80" w:hanging="511"/>
        <w:spacing w:after="0" w:line="268" w:lineRule="auto"/>
        <w:tabs>
          <w:tab w:leader="none" w:pos="10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$2.6 million decrease in recognition of deferred revenue under ASC 605 was attributable to a decrease of $11.8 million related to Immunogen, partially offset by a $6.2 million increase and a $3.1 million increase related to BMS and Amgen, respectively.</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The difference between the amount of revenue recognized under ASC 606 and the amount that would have been recognized under ASC 605 was primarily a result of the difference in how revenue is recognized related to the $21.0 million (net of the payment of an associated sublicense fee of $4.0 million to SGEN) CD71 milestone payment. Under ASC 606, the milestone payment is included in the transaction price and recognized over time based on the total estimated percentage completed to-date. Under ASC 605, the entire $21.0 million would have been recognized upon satisfaction of the successful IND filing criteria.</w:t>
      </w:r>
    </w:p>
    <w:p>
      <w:pPr>
        <w:spacing w:after="0" w:line="198"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The decrease in revenue from AbbVie of $0.4 million for 2018 compared to 2017 was primarily due to the recognition of $14.0 million (net of the payment of an associated license fee of $1.0 million to SGEN) in milestone revenue as a result of completion of certain milestones under the CD71 Agreement during the third quarter of 2017, which was partially offset by the recognition of $11.7 million of revenue based on the percentage completed to-date on the project of the $21.0 million milestone payment received(net of the payment of an associated sublicense fee of $4.0 million to SGEN) and added to the transaction price in May 2018 for the achievement of the IND filing success criteria under the CD71 Agreement; and an increase of $1.9 million in revenue resulting from the change in the method of revenue recognition for the CD71 Agreement from straight-line under ASC 605 to percentage-of-completion under ASC 606, which we adopted on January 1, 2018.</w:t>
      </w:r>
    </w:p>
    <w:p>
      <w:pPr>
        <w:spacing w:after="0" w:line="20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Revenue from Amgen under the Amgen Agreement entered into in September 2017 increased by $3.6 million for 2018 compared to 2017. The increase in revenue was primarily due to a full year of revenue recognized for 2018 as compared to a partial year’s revenue recognition for this agreement starting in October 2017. In the fourth quarter of 2018, the joint steering committee (“JSC”) officially terminated any further work on two molecules in the Amgen EGFR project due to unacceptable test results. The current plan is to evaluate other molecules as part of the candidate identification phase of the project, and as a result, there has been a change in estimate of the projected costs and an extended research service period to seven years. As such, the revenue growth in 2018 was not as large as it may have been before this change in estimate in late 2018.</w:t>
      </w:r>
    </w:p>
    <w:p>
      <w:pPr>
        <w:spacing w:after="0" w:line="20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The decrease in revenue from BMS of $3.7 million for 2018 compared to 2017 was primarily due to a $10.0 million milestone payment related to the IND filing for BMS-986249 by BMS in 2017, a decrease of $1.3 million in amortization of certain deferred revenue resulting from an increase in the estimated length of the research terms during late April 2017, which caused average monthly amortization in 2018 to be less than that reported in 2017, and a decrease in service revenue of $0.3 million for 2018 compared to that in 2017. These factors that contributed to larger revenue in 2017 were partially offset by an increase of $7.9 million in amortization of deferred revenue for 2018 related to the $200.0 million upfront payment we received in the second quarter of 2017 as a result of Amendment Number 1 to Extend Collaboration and License Agreement (“BMS Amendment) entered into in March 2017.</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82" w:name="page83"/>
    <w:bookmarkEnd w:id="82"/>
    <w:p>
      <w:pPr>
        <w:ind w:right="220"/>
        <w:spacing w:after="0" w:line="252" w:lineRule="auto"/>
        <w:rPr>
          <w:sz w:val="20"/>
          <w:szCs w:val="20"/>
          <w:color w:val="auto"/>
        </w:rPr>
      </w:pPr>
      <w:r>
        <w:rPr>
          <w:rFonts w:ascii="Times New Roman" w:cs="Times New Roman" w:eastAsia="Times New Roman" w:hAnsi="Times New Roman"/>
          <w:sz w:val="17"/>
          <w:szCs w:val="17"/>
          <w:color w:val="auto"/>
        </w:rPr>
        <w:t>The decrease in revenue from ImmunoGen of $11.0 million for 2018 compared to 2017 was the result of the recognition of $6.5 million in revenue in 2017 related to the delivery of the ImmunoGen 2017 License to ImmunoGen in connection with the Immunogen Research Agreement, as well as the recognition of $5.9 million of revenue during 2017 resulting from an amendment to the ImmunoGen Research Agreement extending the research term to June 2018, which was partially offset by an increase of $1.4 million in revenue in 2018 due to the related extension of the research term to June 2018.</w:t>
      </w:r>
    </w:p>
    <w:p>
      <w:pPr>
        <w:spacing w:after="0" w:line="198"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7"/>
          <w:szCs w:val="17"/>
          <w:color w:val="auto"/>
        </w:rPr>
        <w:t>The decrease in revenue from Pfizer of $0.5 million for 2018 compared to 2017 was as a result of Pfizer terminating our Research Collaboration, Option and License Agreement in March 2018.</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73"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4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center"/>
              <w:ind w:left="46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47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225"/>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85"/>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8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1"/>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7"/>
                <w:szCs w:val="17"/>
                <w:color w:val="auto"/>
              </w:rPr>
              <w:t>103,866</w:t>
            </w:r>
          </w:p>
        </w:tc>
        <w:tc>
          <w:tcPr>
            <w:tcW w:w="3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rPr>
              <w:t>92,277</w:t>
            </w:r>
          </w:p>
        </w:tc>
        <w:tc>
          <w:tcPr>
            <w:tcW w:w="2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11,589</w:t>
            </w:r>
          </w:p>
        </w:tc>
        <w:tc>
          <w:tcPr>
            <w:tcW w:w="80" w:type="dxa"/>
            <w:vAlign w:val="bottom"/>
            <w:shd w:val="clear" w:color="auto" w:fill="CFF0FC"/>
          </w:tcPr>
          <w:p>
            <w:pPr>
              <w:spacing w:after="0"/>
              <w:rPr>
                <w:sz w:val="18"/>
                <w:szCs w:val="18"/>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Research and development expenses increased by $11.6 million during 2018 compared to 2017. The increase was primarily attributable to the following:</w:t>
      </w:r>
    </w:p>
    <w:p>
      <w:pPr>
        <w:spacing w:after="0" w:line="214" w:lineRule="exact"/>
        <w:rPr>
          <w:sz w:val="20"/>
          <w:szCs w:val="20"/>
          <w:color w:val="auto"/>
        </w:rPr>
      </w:pPr>
    </w:p>
    <w:p>
      <w:pPr>
        <w:ind w:left="1020" w:right="660" w:hanging="511"/>
        <w:spacing w:after="0" w:line="268" w:lineRule="auto"/>
        <w:tabs>
          <w:tab w:leader="none" w:pos="10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$10.0 million in lab services and $12.3 million in clinical trial expenses related to CX-072, CX-2009 and CX-2029 Phase 1/2 clinical development and the ramp up for IND filing and clinical trial preparation for CX-188,</w:t>
      </w:r>
    </w:p>
    <w:p>
      <w:pPr>
        <w:spacing w:after="0" w:line="60" w:lineRule="exact"/>
        <w:rPr>
          <w:rFonts w:ascii="Times New Roman" w:cs="Times New Roman" w:eastAsia="Times New Roman" w:hAnsi="Times New Roman"/>
          <w:sz w:val="17"/>
          <w:szCs w:val="17"/>
          <w:color w:val="auto"/>
        </w:rPr>
      </w:pPr>
    </w:p>
    <w:p>
      <w:pPr>
        <w:ind w:left="1020" w:right="220" w:hanging="511"/>
        <w:spacing w:after="0" w:line="268" w:lineRule="auto"/>
        <w:tabs>
          <w:tab w:leader="none" w:pos="10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$10.5 million in personnel related expenses and a $1.2 million allocation of information technology and facilities-related expenses resulting from an increase in headcount,</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$0.9 million in lab supplies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$0.7 million in consulting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increases were partially offset by:</w:t>
      </w:r>
    </w:p>
    <w:p>
      <w:pPr>
        <w:spacing w:after="0" w:line="214" w:lineRule="exact"/>
        <w:rPr>
          <w:sz w:val="20"/>
          <w:szCs w:val="20"/>
          <w:color w:val="auto"/>
        </w:rPr>
      </w:pPr>
    </w:p>
    <w:p>
      <w:pPr>
        <w:ind w:left="1020" w:right="460" w:hanging="511"/>
        <w:spacing w:after="0" w:line="268" w:lineRule="auto"/>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$10.7 million of non-cash research and development expense recognized in 2017 related to the estimated fair value of the CytomX Product under the Amgen Agreement,</w:t>
      </w:r>
    </w:p>
    <w:p>
      <w:pPr>
        <w:spacing w:after="0" w:line="60" w:lineRule="exact"/>
        <w:rPr>
          <w:rFonts w:ascii="Times New Roman" w:cs="Times New Roman" w:eastAsia="Times New Roman" w:hAnsi="Times New Roman"/>
          <w:sz w:val="17"/>
          <w:szCs w:val="17"/>
          <w:color w:val="auto"/>
        </w:rPr>
      </w:pPr>
    </w:p>
    <w:p>
      <w:pPr>
        <w:ind w:left="1020" w:right="80" w:hanging="511"/>
        <w:spacing w:after="0" w:line="268" w:lineRule="auto"/>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$10.0 million sublicense fee payment made to UCSB in 2017, which was triggered by the $200 million upfront payment made by BMS in connection with our expanded collaboration,</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$2.1 million sublicense fee payable to UCSB recognized as a result of the Amgen Agreement in 2017 and</w:t>
      </w:r>
    </w:p>
    <w:p>
      <w:pPr>
        <w:spacing w:after="0" w:line="102" w:lineRule="exact"/>
        <w:rPr>
          <w:rFonts w:ascii="Times New Roman" w:cs="Times New Roman" w:eastAsia="Times New Roman" w:hAnsi="Times New Roman"/>
          <w:sz w:val="17"/>
          <w:szCs w:val="17"/>
          <w:color w:val="auto"/>
        </w:rPr>
      </w:pPr>
    </w:p>
    <w:p>
      <w:pPr>
        <w:ind w:left="1020" w:right="240" w:hanging="511"/>
        <w:spacing w:after="0" w:line="268" w:lineRule="auto"/>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$1.0 million sublicense payment to ImmunoGen upon the commencement of enrollment of Phase 1/2 and first patient dosing in the clinical trial for CX-2009 during the second quarter of 2017.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expenses by program incurred during the respective periods: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8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97"/>
              </w:rPr>
              <w:t>External costs incurred by product candidate (target):</w:t>
            </w:r>
          </w:p>
        </w:tc>
        <w:tc>
          <w:tcPr>
            <w:tcW w:w="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CX-072 (PD-L1)</w:t>
            </w:r>
          </w:p>
        </w:tc>
        <w:tc>
          <w:tcPr>
            <w:tcW w:w="10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19,393</w:t>
            </w:r>
          </w:p>
        </w:tc>
        <w:tc>
          <w:tcPr>
            <w:tcW w:w="3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9,290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10,103</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CX-2009 (CD166)</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8,082</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CX-2029 (CD71)</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10,798</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9,550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Other wholly owned and partnered programs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(10,838)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General research and development expenses</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10,547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18,976</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(8,429)</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67,614</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67,448</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Internal Costs</w:t>
            </w:r>
          </w:p>
        </w:tc>
        <w:tc>
          <w:tcPr>
            <w:tcW w:w="8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36,252</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24,829</w:t>
            </w:r>
          </w:p>
        </w:tc>
        <w:tc>
          <w:tcPr>
            <w:tcW w:w="1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11,423</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840" w:type="dxa"/>
            <w:vAlign w:val="bottom"/>
          </w:tcPr>
          <w:p>
            <w:pPr>
              <w:spacing w:after="0"/>
              <w:rPr>
                <w:sz w:val="17"/>
                <w:szCs w:val="17"/>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103,866</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92,277</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11,589</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40" w:type="dxa"/>
            <w:vAlign w:val="bottom"/>
            <w:vMerge w:val="restart"/>
          </w:tcPr>
          <w:p>
            <w:pPr>
              <w:jc w:val="right"/>
              <w:ind w:right="537"/>
              <w:spacing w:after="0"/>
              <w:rPr>
                <w:sz w:val="20"/>
                <w:szCs w:val="20"/>
                <w:color w:val="auto"/>
              </w:rPr>
            </w:pPr>
            <w:r>
              <w:rPr>
                <w:rFonts w:ascii="Times New Roman" w:cs="Times New Roman" w:eastAsia="Times New Roman" w:hAnsi="Times New Roman"/>
                <w:sz w:val="17"/>
                <w:szCs w:val="17"/>
                <w:color w:val="auto"/>
              </w:rPr>
              <w:t>81</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1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2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545" w:right="199" w:bottom="1440" w:gutter="0" w:footer="0" w:header="0"/>
        </w:sectPr>
      </w:pPr>
    </w:p>
    <w:bookmarkStart w:id="83" w:name="page84"/>
    <w:bookmarkEnd w:id="83"/>
    <w:p>
      <w:pPr>
        <w:ind w:right="60"/>
        <w:spacing w:after="0" w:line="267" w:lineRule="auto"/>
        <w:rPr>
          <w:sz w:val="20"/>
          <w:szCs w:val="20"/>
          <w:color w:val="auto"/>
        </w:rPr>
      </w:pPr>
      <w:r>
        <w:rPr>
          <w:rFonts w:ascii="Times New Roman" w:cs="Times New Roman" w:eastAsia="Times New Roman" w:hAnsi="Times New Roman"/>
          <w:sz w:val="16"/>
          <w:szCs w:val="16"/>
          <w:color w:val="auto"/>
        </w:rPr>
        <w:t>The decrease in “Other wholly owned and partnered programs” for 2018 compared to 2017 was primarily due to $10.7 million of research and development expense recognized during 2017 related to the estimated fair value of the CytomX Product under the Amgen Agreement. The decrease in general research and development expenses for 2018 compared to 2017 was primarily a payment of $10.0 million in sublicense fee under the UCSB Agreement in 2017. The increase in other categories of external costs for 2018 was due primarily to increases in laboratory contracts and services and clinical trial expenses related to CX-072, CX-2009 and CX-2029 Phase 1/2 clinical development and the ramp up for IND filing and clinical trial preparation for CX-188. The increase in internal costs for 2018 was primarily due to increase in personnel-related expenses and allocation of information technology and facilities-related expenses resulting from an increase in headcount.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73"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3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center"/>
              <w:ind w:left="48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245"/>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85"/>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7"/>
                <w:szCs w:val="17"/>
                <w:color w:val="auto"/>
              </w:rPr>
              <w:t>33,510</w:t>
            </w:r>
          </w:p>
        </w:tc>
        <w:tc>
          <w:tcPr>
            <w:tcW w:w="3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rPr>
              <w:t>25,605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7,905</w:t>
            </w:r>
          </w:p>
        </w:tc>
        <w:tc>
          <w:tcPr>
            <w:tcW w:w="100" w:type="dxa"/>
            <w:vAlign w:val="bottom"/>
            <w:shd w:val="clear" w:color="auto" w:fill="CFF0FC"/>
          </w:tcPr>
          <w:p>
            <w:pPr>
              <w:spacing w:after="0"/>
              <w:rPr>
                <w:sz w:val="18"/>
                <w:szCs w:val="18"/>
                <w:color w:val="auto"/>
              </w:rPr>
            </w:pPr>
          </w:p>
        </w:tc>
      </w:tr>
    </w:tbl>
    <w:p>
      <w:pPr>
        <w:spacing w:after="0" w:line="207"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7"/>
          <w:szCs w:val="17"/>
          <w:color w:val="auto"/>
        </w:rPr>
        <w:t>General and administrative expenses increased by $7.9 million during 2018 compared to 2017. The increase was attributable to an increase of $5.6 million in personnel-related expenses primarily due to an increase in headcount, and an increase of $2.3 million in subscription services and consulting or services expenses related to audit, strategic planning, tax compliance, legal compliance and facilities.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Income(Expense) and Other Income (Expense), Net</w:t>
      </w:r>
    </w:p>
    <w:p>
      <w:pPr>
        <w:spacing w:after="0" w:line="273"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3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7"/>
          </w:tcPr>
          <w:p>
            <w:pPr>
              <w:jc w:val="center"/>
              <w:ind w:left="48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1"/>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2"/>
                <w:szCs w:val="12"/>
                <w:color w:val="auto"/>
              </w:rPr>
            </w:pPr>
          </w:p>
        </w:tc>
      </w:tr>
      <w:tr>
        <w:trPr>
          <w:trHeight w:val="142"/>
        </w:trPr>
        <w:tc>
          <w:tcPr>
            <w:tcW w:w="3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3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11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7,641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100" w:type="dxa"/>
            <w:vAlign w:val="bottom"/>
            <w:shd w:val="clear" w:color="auto" w:fill="CFF0FC"/>
          </w:tcPr>
          <w:p>
            <w:pPr>
              <w:spacing w:after="0"/>
              <w:rPr>
                <w:sz w:val="18"/>
                <w:szCs w:val="18"/>
                <w:color w:val="auto"/>
              </w:rPr>
            </w:pPr>
          </w:p>
        </w:tc>
      </w:tr>
      <w:tr>
        <w:trPr>
          <w:trHeight w:val="211"/>
        </w:trPr>
        <w:tc>
          <w:tcPr>
            <w:tcW w:w="3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(68)</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w:t>
            </w:r>
          </w:p>
        </w:tc>
      </w:tr>
      <w:tr>
        <w:trPr>
          <w:trHeight w:val="204"/>
        </w:trPr>
        <w:tc>
          <w:tcPr>
            <w:tcW w:w="3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interest and other income (expense)</w:t>
            </w:r>
          </w:p>
        </w:tc>
        <w:tc>
          <w:tcPr>
            <w:tcW w:w="96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7,573</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2,647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4,926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17" w:lineRule="exact"/>
        <w:rPr>
          <w:sz w:val="20"/>
          <w:szCs w:val="20"/>
          <w:color w:val="auto"/>
        </w:rPr>
      </w:pPr>
    </w:p>
    <w:p>
      <w:pPr>
        <w:ind w:right="720"/>
        <w:spacing w:after="0" w:line="268" w:lineRule="auto"/>
        <w:rPr>
          <w:sz w:val="20"/>
          <w:szCs w:val="20"/>
          <w:color w:val="auto"/>
        </w:rPr>
      </w:pPr>
      <w:r>
        <w:rPr>
          <w:rFonts w:ascii="Times New Roman" w:cs="Times New Roman" w:eastAsia="Times New Roman" w:hAnsi="Times New Roman"/>
          <w:sz w:val="17"/>
          <w:szCs w:val="17"/>
          <w:color w:val="auto"/>
        </w:rPr>
        <w:t>Interest income increased by $5.0 million for 2018 compared to 2017. The increase was primarily attributable to an increase in interest earned on our short-term investments due to an overall increase in our cash and cash equivalents position resulting from the common stock offering completed in July 2018.</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Other income (expense), net increased by $41,000 in expense was primarily due to increased loss in currency exchange resulting from unfavorable movements in the US dollar relative to Euros.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Provision for (Benefit from) Income Taxes</w:t>
      </w:r>
    </w:p>
    <w:p>
      <w:pPr>
        <w:spacing w:after="0" w:line="273"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4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center"/>
              <w:ind w:left="46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1"/>
        </w:trPr>
        <w:tc>
          <w:tcPr>
            <w:tcW w:w="47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245"/>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85"/>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8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1"/>
        </w:trPr>
        <w:tc>
          <w:tcPr>
            <w:tcW w:w="4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7"/>
                <w:szCs w:val="17"/>
                <w:color w:val="auto"/>
              </w:rPr>
              <w:t>14,303</w:t>
            </w:r>
          </w:p>
        </w:tc>
        <w:tc>
          <w:tcPr>
            <w:tcW w:w="3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2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14,816</w:t>
            </w:r>
          </w:p>
        </w:tc>
        <w:tc>
          <w:tcPr>
            <w:tcW w:w="80" w:type="dxa"/>
            <w:vAlign w:val="bottom"/>
            <w:shd w:val="clear" w:color="auto" w:fill="CFF0FC"/>
          </w:tcPr>
          <w:p>
            <w:pPr>
              <w:spacing w:after="0"/>
              <w:rPr>
                <w:sz w:val="18"/>
                <w:szCs w:val="18"/>
                <w:color w:val="auto"/>
              </w:rPr>
            </w:pPr>
          </w:p>
        </w:tc>
      </w:tr>
    </w:tbl>
    <w:p>
      <w:pPr>
        <w:spacing w:after="0" w:line="2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Provision for income tax expense increased to $14.3 million in 2018 from a tax benefit of $0.5 million in 2017. The income tax expense was generated as a result of a temporary difference in the recognition of revenue under tax and U.S. GAAP authoritative guidance, primarily due to revenue recognition for tax purposes in 2018 of the upfront payments received pursuant to the BMS Amendment entered into in March 2017, and the Amgen Agreement entered into in September 2017, prior to revenue recognition for U.S. GAAP purposes. These upfront payments will be recognized over the related research and development service periods under U.S. GAAP for book purposes and the associated deferred tax assets due to the timing differences are subject to a valuation allowance. In addition, the ownership changes under Section 382 of the IRC in 2017 limited the use of available net operating losses and research tax credits against our 2018 taxable income.</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20"/>
          </w:cols>
          <w:pgMar w:left="240" w:top="322"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color w:val="auto"/>
        </w:rPr>
        <w:t>Comparison of Years Ended December 31, 2017 and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5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5"/>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48"/>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5"/>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8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248"/>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71,623</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7"/>
                <w:szCs w:val="17"/>
                <w:color w:val="auto"/>
              </w:rPr>
              <w:t>15,043</w:t>
            </w:r>
          </w:p>
        </w:tc>
        <w:tc>
          <w:tcPr>
            <w:tcW w:w="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56,580</w:t>
            </w:r>
          </w:p>
        </w:tc>
        <w:tc>
          <w:tcPr>
            <w:tcW w:w="80" w:type="dxa"/>
            <w:vAlign w:val="bottom"/>
            <w:shd w:val="clear" w:color="auto" w:fill="CFF0FC"/>
          </w:tcPr>
          <w:p>
            <w:pPr>
              <w:spacing w:after="0"/>
              <w:rPr>
                <w:sz w:val="18"/>
                <w:szCs w:val="18"/>
                <w:color w:val="auto"/>
              </w:rPr>
            </w:pPr>
          </w:p>
        </w:tc>
      </w:tr>
    </w:tbl>
    <w:p>
      <w:pPr>
        <w:spacing w:after="0" w:line="22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Revenue increased $56.6 million during the year ended December 31, 2017 compared to the corresponding period in 2016. The following table summarizes our revenue by collaboration partner during the respective periods: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5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41"/>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8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1"/>
        </w:trPr>
        <w:tc>
          <w:tcPr>
            <w:tcW w:w="5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AbbVie</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19,434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16,166</w:t>
            </w:r>
          </w:p>
        </w:tc>
        <w:tc>
          <w:tcPr>
            <w:tcW w:w="80" w:type="dxa"/>
            <w:vAlign w:val="bottom"/>
            <w:shd w:val="clear" w:color="auto" w:fill="CFF0FC"/>
          </w:tcPr>
          <w:p>
            <w:pPr>
              <w:spacing w:after="0"/>
              <w:rPr>
                <w:sz w:val="18"/>
                <w:szCs w:val="18"/>
                <w:color w:val="auto"/>
              </w:rPr>
            </w:pPr>
          </w:p>
        </w:tc>
      </w:tr>
      <w:tr>
        <w:trPr>
          <w:trHeight w:val="211"/>
        </w:trPr>
        <w:tc>
          <w:tcPr>
            <w:tcW w:w="5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Amgen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80" w:type="dxa"/>
            <w:vAlign w:val="bottom"/>
          </w:tcPr>
          <w:p>
            <w:pPr>
              <w:spacing w:after="0"/>
              <w:rPr>
                <w:sz w:val="18"/>
                <w:szCs w:val="18"/>
                <w:color w:val="auto"/>
              </w:rPr>
            </w:pPr>
          </w:p>
        </w:tc>
      </w:tr>
      <w:tr>
        <w:trPr>
          <w:trHeight w:val="211"/>
        </w:trPr>
        <w:tc>
          <w:tcPr>
            <w:tcW w:w="5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BMS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36,492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9,577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26,915</w:t>
            </w:r>
          </w:p>
        </w:tc>
        <w:tc>
          <w:tcPr>
            <w:tcW w:w="80" w:type="dxa"/>
            <w:vAlign w:val="bottom"/>
            <w:shd w:val="clear" w:color="auto" w:fill="CFF0FC"/>
          </w:tcPr>
          <w:p>
            <w:pPr>
              <w:spacing w:after="0"/>
              <w:rPr>
                <w:sz w:val="18"/>
                <w:szCs w:val="18"/>
                <w:color w:val="auto"/>
              </w:rPr>
            </w:pPr>
          </w:p>
        </w:tc>
      </w:tr>
      <w:tr>
        <w:trPr>
          <w:trHeight w:val="211"/>
        </w:trPr>
        <w:tc>
          <w:tcPr>
            <w:tcW w:w="5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ImmunoGen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12,503</w:t>
            </w:r>
          </w:p>
        </w:tc>
        <w:tc>
          <w:tcPr>
            <w:tcW w:w="80" w:type="dxa"/>
            <w:vAlign w:val="bottom"/>
          </w:tcPr>
          <w:p>
            <w:pPr>
              <w:spacing w:after="0"/>
              <w:rPr>
                <w:sz w:val="18"/>
                <w:szCs w:val="18"/>
                <w:color w:val="auto"/>
              </w:rPr>
            </w:pPr>
          </w:p>
        </w:tc>
      </w:tr>
      <w:tr>
        <w:trPr>
          <w:trHeight w:val="211"/>
        </w:trPr>
        <w:tc>
          <w:tcPr>
            <w:tcW w:w="5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Pfizer</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2,198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(315)</w:t>
            </w:r>
          </w:p>
        </w:tc>
      </w:tr>
      <w:tr>
        <w:trPr>
          <w:trHeight w:val="204"/>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71,623</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15,043</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56,580</w:t>
            </w:r>
          </w:p>
        </w:tc>
        <w:tc>
          <w:tcPr>
            <w:tcW w:w="8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in revenue from AbbVie of $16.2 million for the year ended December 31, 2017 compared to the corresponding period in 2016 was due to recognition of</w:t>
      </w:r>
    </w:p>
    <w:p>
      <w:pPr>
        <w:spacing w:after="0" w:line="20"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7"/>
          <w:szCs w:val="17"/>
          <w:color w:val="auto"/>
        </w:rPr>
        <w:t>$14.0 million, net of the associated sublicense fee, from the milestone payment we received as a result of our achievement of certain milestones required to be met to begin GLP toxicology studies under the AbbVie Agreements, and an increase of $2.2 million, net of the related deferred costs, related to the recognition of the upfront payment we received in April 2016.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entered into the Amgen Agreement in September 2017 and we recognized $1.3 million of upfront payments in 2017.</w:t>
      </w:r>
    </w:p>
    <w:p>
      <w:pPr>
        <w:spacing w:after="0" w:line="227"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7"/>
          <w:szCs w:val="17"/>
          <w:color w:val="auto"/>
        </w:rPr>
        <w:t>The increase in revenue from BMS of $26.9 million for the year ended December 31, 2017 compared to the corresponding period in 2016 was due to an increase of $17.1 million related to the recognition of an upfront payment we received in connection with the expansion of our collaboration, an increase of $2.1 million related to the recognition of payments made in connection with the selection of its fourth target under our collaboration and license agreement with BMS and the acceleration of the research timeline triggered by BMS’s selection of a fourth target under the BMS Agreement, and a milestone payment of $10.0 million related to the IND filing for BMS-986249 by BMS in 2017. These increases were partially offset by a milestone payment of $2.0 million payment received in 2016 for the selection of BMS-986249 clinical candidate, and a decrease of $0.3 million related to research and development services provided to BMS.</w:t>
      </w:r>
    </w:p>
    <w:p>
      <w:pPr>
        <w:spacing w:after="0" w:line="20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7"/>
          <w:szCs w:val="17"/>
          <w:color w:val="auto"/>
        </w:rPr>
        <w:t>The increase in revenue from ImmunoGen of $12.5 million for the year ended December 31, 2017 compared to the corresponding period in 2016 was a result of the recognition of $6.6 million for the delivery of the ImmunoGen 2017 License to ImmunoGen in connection with the ImmunoGen Research Agreement and the recognition of $5.9 million resulting from an amendment to the ImmunoGen Research Amendment. See Note 9 - Research and Collaboration Agreements under Item 8 of this Annual Report on Form 10-K for more details.</w:t>
      </w:r>
    </w:p>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The decrease in revenue from Pfizer of $0.3 million for the year ended December 31, 2017 compared to the corresponding period in 2016 was due to a reduction in the research and development services we provided to Pfizer. In March 2018, Pfizer gave notice terminating our collaboration in its entirety. As a result of such termination, we are no longer eligible to receive any future payments from our collaboration with Pfizer.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1"/>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5"/>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248"/>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2016</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45"/>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48"/>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1"/>
        </w:trPr>
        <w:tc>
          <w:tcPr>
            <w:tcW w:w="114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92,277</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54,755</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37,522</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r>
      <w:tr>
        <w:trPr>
          <w:trHeight w:val="621"/>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60" w:type="dxa"/>
            <w:vAlign w:val="bottom"/>
          </w:tcPr>
          <w:p>
            <w:pPr>
              <w:jc w:val="right"/>
              <w:ind w:right="657"/>
              <w:spacing w:after="0"/>
              <w:rPr>
                <w:sz w:val="20"/>
                <w:szCs w:val="20"/>
                <w:color w:val="auto"/>
              </w:rPr>
            </w:pPr>
            <w:r>
              <w:rPr>
                <w:rFonts w:ascii="Times New Roman" w:cs="Times New Roman" w:eastAsia="Times New Roman" w:hAnsi="Times New Roman"/>
                <w:sz w:val="17"/>
                <w:szCs w:val="17"/>
                <w:color w:val="auto"/>
              </w:rPr>
              <w:t>83</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4"/>
        </w:trPr>
        <w:tc>
          <w:tcPr>
            <w:tcW w:w="114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616" w:right="199" w:bottom="1440" w:gutter="0" w:footer="0" w:header="0"/>
        </w:sectPr>
      </w:pPr>
    </w:p>
    <w:bookmarkStart w:id="85" w:name="page86"/>
    <w:bookmarkEnd w:id="85"/>
    <w:p>
      <w:pPr>
        <w:ind w:right="280"/>
        <w:spacing w:after="0" w:line="268" w:lineRule="auto"/>
        <w:rPr>
          <w:sz w:val="20"/>
          <w:szCs w:val="20"/>
          <w:color w:val="auto"/>
        </w:rPr>
      </w:pPr>
      <w:r>
        <w:rPr>
          <w:rFonts w:ascii="Times New Roman" w:cs="Times New Roman" w:eastAsia="Times New Roman" w:hAnsi="Times New Roman"/>
          <w:sz w:val="17"/>
          <w:szCs w:val="17"/>
          <w:color w:val="auto"/>
        </w:rPr>
        <w:t>Research and development expenses increased $37.5 million during the year ended December 31, 2017 compared to the corresponding period in 2016. The increase was primarily attributable to the following:</w:t>
      </w:r>
    </w:p>
    <w:p>
      <w:pPr>
        <w:spacing w:after="0" w:line="60" w:lineRule="exact"/>
        <w:rPr>
          <w:sz w:val="20"/>
          <w:szCs w:val="20"/>
          <w:color w:val="auto"/>
        </w:rPr>
      </w:pPr>
    </w:p>
    <w:p>
      <w:pPr>
        <w:ind w:left="1020" w:hanging="511"/>
        <w:spacing w:after="0"/>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non-cash charge of $10.7 million of in-process research and development expense recognized related to the Amgen Agreement;</w:t>
      </w:r>
    </w:p>
    <w:p>
      <w:pPr>
        <w:spacing w:after="0" w:line="102" w:lineRule="exact"/>
        <w:rPr>
          <w:rFonts w:ascii="Times New Roman" w:cs="Times New Roman" w:eastAsia="Times New Roman" w:hAnsi="Times New Roman"/>
          <w:sz w:val="17"/>
          <w:szCs w:val="17"/>
          <w:color w:val="auto"/>
        </w:rPr>
      </w:pPr>
    </w:p>
    <w:p>
      <w:pPr>
        <w:ind w:left="1020" w:right="700" w:hanging="511"/>
        <w:spacing w:after="0" w:line="268" w:lineRule="auto"/>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million sublicense payment made to UCSB triggered by the $200.0 million upfront payment made by BMS in connection with our expanded collaboration;</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 million of UCSB sublicense fees accrued as a result of the Amgen agreement;</w:t>
      </w:r>
    </w:p>
    <w:p>
      <w:pPr>
        <w:spacing w:after="0" w:line="102" w:lineRule="exact"/>
        <w:rPr>
          <w:rFonts w:ascii="Times New Roman" w:cs="Times New Roman" w:eastAsia="Times New Roman" w:hAnsi="Times New Roman"/>
          <w:sz w:val="17"/>
          <w:szCs w:val="17"/>
          <w:color w:val="auto"/>
        </w:rPr>
      </w:pPr>
    </w:p>
    <w:p>
      <w:pPr>
        <w:ind w:left="1020" w:right="280" w:hanging="511"/>
        <w:spacing w:after="0" w:line="268" w:lineRule="auto"/>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million of UCSB sublicense fees recognized for our achievement of certain milestones required to be met to begin GLP toxicology studies under the AbbVie Agreement and the IND filing for BMS-986249 by BMS;</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of $8.5 million in pharmacology studies and clinical trial expenses resulting from the advancement of CX-072, CX-2009 and CX-2029 in 2017;</w:t>
      </w:r>
    </w:p>
    <w:p>
      <w:pPr>
        <w:spacing w:after="0" w:line="114" w:lineRule="exact"/>
        <w:rPr>
          <w:rFonts w:ascii="Times New Roman" w:cs="Times New Roman" w:eastAsia="Times New Roman" w:hAnsi="Times New Roman"/>
          <w:sz w:val="16"/>
          <w:szCs w:val="16"/>
          <w:color w:val="auto"/>
        </w:rPr>
      </w:pPr>
    </w:p>
    <w:p>
      <w:pPr>
        <w:ind w:left="1020" w:hanging="511"/>
        <w:spacing w:after="0"/>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$5.3 million in personnel-related expenses and allocation of IT and facilities-related expenses due to an increase in headcount;</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$1.7 million in consulting expenses due to the commencement of clinical trials in 2017;</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$0.6 million related to expenses incurred in acquiring a patent;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$0.5 million in stock-based compensation resulting from increased headcount and an increase in the value of our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increases were partially offset by:</w:t>
      </w:r>
    </w:p>
    <w:p>
      <w:pPr>
        <w:spacing w:after="0" w:line="103" w:lineRule="exact"/>
        <w:rPr>
          <w:sz w:val="20"/>
          <w:szCs w:val="20"/>
          <w:color w:val="auto"/>
        </w:rPr>
      </w:pPr>
    </w:p>
    <w:p>
      <w:pPr>
        <w:ind w:left="1020" w:right="740" w:hanging="511"/>
        <w:spacing w:after="0" w:line="268" w:lineRule="auto"/>
        <w:tabs>
          <w:tab w:leader="none" w:pos="10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$2.1 million in manufacturing expenses for our CX-072 and CX-2009 programs due to manufacturing activities occurring in 2016 in preparation for clinical trials in 2017;</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laboratory supply expenses of $0.4 million;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program management expenses of $0.4 million.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expenses by program incurred during the respective periods: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3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External costs incurred by product candidate (target):</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41"/>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2016</w:t>
            </w: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3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CX-072 (PD-L1)</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9,290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8,917</w:t>
            </w:r>
          </w:p>
        </w:tc>
        <w:tc>
          <w:tcPr>
            <w:tcW w:w="2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CX-2009 (CD166)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(2,162)</w:t>
            </w:r>
          </w:p>
        </w:tc>
        <w:tc>
          <w:tcPr>
            <w:tcW w:w="0" w:type="dxa"/>
            <w:vAlign w:val="bottom"/>
          </w:tcPr>
          <w:p>
            <w:pPr>
              <w:spacing w:after="0"/>
              <w:rPr>
                <w:sz w:val="1"/>
                <w:szCs w:val="1"/>
                <w:color w:val="auto"/>
              </w:rPr>
            </w:pPr>
          </w:p>
        </w:tc>
      </w:tr>
      <w:tr>
        <w:trPr>
          <w:trHeight w:val="211"/>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CX-2029 (CD71)</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3,220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Other wholly owned and partnered programs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General research and development expenses</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18,976</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9,382</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67,448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36,054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Internal Costs</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24,829</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18,701</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92,277</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54,755</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2"/>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5"/>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48"/>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5"/>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1"/>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248"/>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1"/>
        </w:trPr>
        <w:tc>
          <w:tcPr>
            <w:tcW w:w="114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25,605</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7"/>
                <w:szCs w:val="17"/>
                <w:color w:val="auto"/>
              </w:rPr>
              <w:t>19,874</w:t>
            </w:r>
          </w:p>
        </w:tc>
        <w:tc>
          <w:tcPr>
            <w:tcW w:w="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5,731</w:t>
            </w:r>
          </w:p>
        </w:tc>
        <w:tc>
          <w:tcPr>
            <w:tcW w:w="8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r>
      <w:tr>
        <w:trPr>
          <w:trHeight w:val="597"/>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60" w:type="dxa"/>
            <w:vAlign w:val="bottom"/>
          </w:tcPr>
          <w:p>
            <w:pPr>
              <w:jc w:val="right"/>
              <w:ind w:right="657"/>
              <w:spacing w:after="0"/>
              <w:rPr>
                <w:sz w:val="20"/>
                <w:szCs w:val="20"/>
                <w:color w:val="auto"/>
              </w:rPr>
            </w:pPr>
            <w:r>
              <w:rPr>
                <w:rFonts w:ascii="Times New Roman" w:cs="Times New Roman" w:eastAsia="Times New Roman" w:hAnsi="Times New Roman"/>
                <w:sz w:val="17"/>
                <w:szCs w:val="17"/>
                <w:color w:val="auto"/>
              </w:rPr>
              <w:t>84</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4"/>
        </w:trPr>
        <w:tc>
          <w:tcPr>
            <w:tcW w:w="114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322" w:right="199" w:bottom="1440" w:gutter="0" w:footer="0" w:header="0"/>
        </w:sectPr>
      </w:pPr>
    </w:p>
    <w:bookmarkStart w:id="86" w:name="page87"/>
    <w:bookmarkEnd w:id="86"/>
    <w:p>
      <w:pPr>
        <w:ind w:right="100"/>
        <w:spacing w:after="0" w:line="250" w:lineRule="auto"/>
        <w:rPr>
          <w:sz w:val="20"/>
          <w:szCs w:val="20"/>
          <w:color w:val="auto"/>
        </w:rPr>
      </w:pPr>
      <w:r>
        <w:rPr>
          <w:rFonts w:ascii="Times New Roman" w:cs="Times New Roman" w:eastAsia="Times New Roman" w:hAnsi="Times New Roman"/>
          <w:sz w:val="17"/>
          <w:szCs w:val="17"/>
          <w:color w:val="auto"/>
        </w:rPr>
        <w:t>General and administrative expense increased $5.7 million during the year ended December 31, 2017 compared to the corresponding period in 2016. The increase was attributable to an increase of $1.4 million in personnel-related expenses and an increase of $1.0 million in recruitment fees due to an increase in headcount and temporary labor; an increase in stock-based compensation of $1.0 million due to an increase in headcount and an increase in the value of our stock; an increase of $1.2 million in consulting services expenses primarily due to an increase in tax and accounting compliance activities and investor relations expenses; an increase in legal expenses of $0.8 million resulting from patent filings; and an increase of $0.2 million in dues and subscriptions related to computer software.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 and Other Income (Expense), Net</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4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4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44"/>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2016</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2"/>
                <w:szCs w:val="12"/>
                <w:color w:val="auto"/>
              </w:rPr>
            </w:pPr>
          </w:p>
        </w:tc>
      </w:tr>
      <w:tr>
        <w:trPr>
          <w:trHeight w:val="141"/>
        </w:trPr>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5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680" w:type="dxa"/>
            <w:vAlign w:val="bottom"/>
            <w:shd w:val="clear" w:color="auto" w:fill="CFF0FC"/>
          </w:tcPr>
          <w:p>
            <w:pPr>
              <w:jc w:val="right"/>
              <w:ind w:right="52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2,674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1,938</w:t>
            </w:r>
          </w:p>
        </w:tc>
        <w:tc>
          <w:tcPr>
            <w:tcW w:w="100" w:type="dxa"/>
            <w:vAlign w:val="bottom"/>
            <w:shd w:val="clear" w:color="auto" w:fill="CFF0FC"/>
          </w:tcPr>
          <w:p>
            <w:pPr>
              <w:spacing w:after="0"/>
              <w:rPr>
                <w:sz w:val="18"/>
                <w:szCs w:val="18"/>
                <w:color w:val="auto"/>
              </w:rPr>
            </w:pPr>
          </w:p>
        </w:tc>
      </w:tr>
      <w:tr>
        <w:trPr>
          <w:trHeight w:val="211"/>
        </w:trPr>
        <w:tc>
          <w:tcPr>
            <w:tcW w:w="5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680" w:type="dxa"/>
            <w:vAlign w:val="bottom"/>
          </w:tcPr>
          <w:p>
            <w:pPr>
              <w:spacing w:after="0"/>
              <w:rPr>
                <w:sz w:val="18"/>
                <w:szCs w:val="18"/>
                <w:color w:val="auto"/>
              </w:rPr>
            </w:pPr>
          </w:p>
        </w:tc>
        <w:tc>
          <w:tcPr>
            <w:tcW w:w="6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8"/>
                <w:szCs w:val="18"/>
                <w:color w:val="auto"/>
              </w:rPr>
            </w:pPr>
          </w:p>
        </w:tc>
      </w:tr>
      <w:tr>
        <w:trPr>
          <w:trHeight w:val="204"/>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interest and other income (expense)</w:t>
            </w:r>
          </w:p>
        </w:tc>
        <w:tc>
          <w:tcPr>
            <w:tcW w:w="680" w:type="dxa"/>
            <w:vAlign w:val="bottom"/>
            <w:tcBorders>
              <w:top w:val="single" w:sz="8" w:color="auto"/>
              <w:bottom w:val="single" w:sz="8" w:color="auto"/>
            </w:tcBorders>
            <w:shd w:val="clear" w:color="auto" w:fill="CFF0FC"/>
          </w:tcPr>
          <w:p>
            <w:pPr>
              <w:jc w:val="right"/>
              <w:ind w:right="52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2,647</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Interest income increased $1.9 million during the year ended December 31, 2017 compared to the corresponding period in 2016. The increase was attributable to an increase in cash and cash equivalents and a decrease in the amortization of premiums on short-term investments resulting from a decrease in average investments in treasury bills.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0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7"/>
          <w:szCs w:val="17"/>
          <w:color w:val="auto"/>
        </w:rPr>
        <w:t>Other income (expense), net decreased in loss of $42,000 during the year ended December 31, 2017 compared to the corresponding period in 2016. The decrease was primarily attributable to a decrease in foreign currency losses resulting from the strengthening of the U.S. dollar against Euros and British Pound Sterling.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Provision for (Benefit from) Income Taxes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The benefit for income taxes during the year ended December 31, 2017, of $0.5 million was due to a reduction in our valuation allowance and related tax benefit when we began amortizing certain indefinite-lived intangible assets. An income tax benefit of $19,000 was recorded for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Sources of Liquidity</w:t>
      </w:r>
    </w:p>
    <w:p>
      <w:pPr>
        <w:spacing w:after="0" w:line="11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As of December 31, 2018, we had cash, cash equivalents and short-term investments of $436.1 million and an accumulated deficit of $315.0 million, compared to cash and cash equivalents of $374.1 million and an accumulated deficit of $219.5 million as of December 31, 2017. To date, we have financed our operations primarily through sales of our common stock in conjunction with the IPO and a subsequent stock offering, sales of our convertible preferred securities prior to our IPO and payments received under our collaboration agreements. In July 2018, we issued 5,867,347 shares of our common stock at a price of $24.50 per share, which included 765,306 shares issued pursuant to the underwriters’ exercise of their option to purchase additional shares of common stock, for net proceeds of $134.6 million.</w:t>
      </w:r>
    </w:p>
    <w:p>
      <w:pPr>
        <w:spacing w:after="0" w:line="19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Based upon our current operating plan, we expect our existing capital resources will be sufficient to fund operations into 2021.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Annual Report on Form 10-K. The cost and timing of developing our products, including CX-072, CX-2009 and CX-2029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a more promising product candidate in our research efforts or unexpected operating costs and expenditures. We will need to raise additional funds in the future. There can be no assurance, however, that such efforts will be successful or that, in the event that they are successful, the terms and conditions of such financing will be favorable to us.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color w:val="auto"/>
        </w:rPr>
        <w:t>Summary Statement of 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43"/>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rPr>
              <w:t>(75,521)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170,373</w:t>
            </w: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(2,032)</w:t>
            </w: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(used in) by investing activities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(121,266)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45,859</w:t>
            </w:r>
          </w:p>
        </w:tc>
        <w:tc>
          <w:tcPr>
            <w:tcW w:w="100" w:type="dxa"/>
            <w:vAlign w:val="bottom"/>
          </w:tcPr>
          <w:p>
            <w:pPr>
              <w:spacing w:after="0"/>
              <w:rPr>
                <w:sz w:val="18"/>
                <w:szCs w:val="18"/>
                <w:color w:val="auto"/>
              </w:rPr>
            </w:pPr>
          </w:p>
        </w:tc>
      </w:tr>
      <w:tr>
        <w:trPr>
          <w:trHeight w:val="21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139,624</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23,796</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shd w:val="clear" w:color="auto" w:fill="CFF0FC"/>
          </w:tcPr>
          <w:p>
            <w:pPr>
              <w:spacing w:after="0"/>
              <w:rPr>
                <w:sz w:val="18"/>
                <w:szCs w:val="18"/>
                <w:color w:val="auto"/>
              </w:rPr>
            </w:pPr>
          </w:p>
        </w:tc>
      </w:tr>
      <w:tr>
        <w:trPr>
          <w:trHeight w:val="204"/>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70,029</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72,903</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44,823</w:t>
            </w:r>
          </w:p>
        </w:tc>
        <w:tc>
          <w:tcPr>
            <w:tcW w:w="1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2018, cash used in operating activities was $75.5 million, which consisted of a net loss of $84.6 million, adjusted by non-cash charges of $17.1 million and a net decrease of $8.0 million in our operating assets and liabilities. The non-cash charges primarily consisted of $16.9 million in stock-based compensation and $1.9 million in depreciation and amortization, partially offset by $1.7 million in accretion of discounts on our short-term investments.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net decrease in our operating assets and liabilities of $8.0 million was primarily attributable to:</w:t>
      </w:r>
    </w:p>
    <w:p>
      <w:pPr>
        <w:spacing w:after="0" w:line="301" w:lineRule="exact"/>
        <w:rPr>
          <w:sz w:val="20"/>
          <w:szCs w:val="20"/>
          <w:color w:val="auto"/>
        </w:rPr>
      </w:pPr>
    </w:p>
    <w:p>
      <w:pPr>
        <w:ind w:left="1020" w:right="120" w:hanging="511"/>
        <w:spacing w:after="0" w:line="256" w:lineRule="auto"/>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net decrease in deferred revenue of $38.2 million resulting from the recognition of $59.2 million in upfront fees and milestone payments under ASC 606 pursuant to our collaboration agreements, offset by the $21.0 million (net of the payment of an associated sublicense fee of $4.0 million to SGEN) new milestone addition to deferred revenue in 2018 resulting from the AbbVie CX-2029 milestone payment received;</w:t>
      </w:r>
    </w:p>
    <w:p>
      <w:pPr>
        <w:spacing w:after="0" w:line="7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$4.9 million resulting from the increase in prepaid expenses and other current assets; partially offset by</w:t>
      </w:r>
    </w:p>
    <w:p>
      <w:pPr>
        <w:spacing w:after="0" w:line="102" w:lineRule="exact"/>
        <w:rPr>
          <w:rFonts w:ascii="Times New Roman" w:cs="Times New Roman" w:eastAsia="Times New Roman" w:hAnsi="Times New Roman"/>
          <w:sz w:val="17"/>
          <w:szCs w:val="17"/>
          <w:color w:val="auto"/>
        </w:rPr>
      </w:pPr>
    </w:p>
    <w:p>
      <w:pPr>
        <w:ind w:left="1020" w:right="240" w:hanging="511"/>
        <w:spacing w:after="0" w:line="268" w:lineRule="auto"/>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cash flows from accounts receivable primarily from the $10.0 million we received from BMS for achieving the milestone of IND filing of BMS-986249 in 2018;</w:t>
      </w:r>
    </w:p>
    <w:p>
      <w:pPr>
        <w:spacing w:after="0" w:line="60" w:lineRule="exact"/>
        <w:rPr>
          <w:rFonts w:ascii="Times New Roman" w:cs="Times New Roman" w:eastAsia="Times New Roman" w:hAnsi="Times New Roman"/>
          <w:sz w:val="17"/>
          <w:szCs w:val="17"/>
          <w:color w:val="auto"/>
        </w:rPr>
      </w:pPr>
    </w:p>
    <w:p>
      <w:pPr>
        <w:ind w:left="1020" w:right="280" w:hanging="511"/>
        <w:spacing w:after="0" w:line="256" w:lineRule="auto"/>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$24.8 million in accrued liabilities, income tax payable and other long-term liabilities resulting primarily from a $13.3 million increase in income tax payable, a $10.3 million in accrued liabilities driven by increases in laboratory services, UCSB sublicense fee accrual and CRO expenses accrual relating to clinical trial activities; and</w:t>
      </w:r>
    </w:p>
    <w:p>
      <w:pPr>
        <w:spacing w:after="0" w:line="7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accounts payable of $0.3 million.</w:t>
      </w:r>
    </w:p>
    <w:p>
      <w:pPr>
        <w:spacing w:after="0" w:line="202" w:lineRule="exact"/>
        <w:rPr>
          <w:sz w:val="20"/>
          <w:szCs w:val="20"/>
          <w:color w:val="auto"/>
        </w:rPr>
      </w:pPr>
    </w:p>
    <w:p>
      <w:pPr>
        <w:jc w:val="both"/>
        <w:ind w:right="200"/>
        <w:spacing w:after="0" w:line="279" w:lineRule="auto"/>
        <w:rPr>
          <w:sz w:val="20"/>
          <w:szCs w:val="20"/>
          <w:color w:val="auto"/>
        </w:rPr>
      </w:pPr>
      <w:r>
        <w:rPr>
          <w:rFonts w:ascii="Times New Roman" w:cs="Times New Roman" w:eastAsia="Times New Roman" w:hAnsi="Times New Roman"/>
          <w:sz w:val="16"/>
          <w:szCs w:val="16"/>
          <w:color w:val="auto"/>
        </w:rPr>
        <w:t>During the year ended December 31, 2017, cash provided by operating activities was $170.4 million, which consisted of a net loss of $43.1 million, non-cash charges of $23.5 million, and an increase of $190.0 million in our net operating assets and liabilities. The non-cash charges primarily consisted of $1.6 million in depreciation and amortization, $11.3 million in stock-based compensation and a $10.7 million non-cash acquisition of in-process research and development asset charged to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our net operating assets and liabilities of $190.0 million was primarily attributable to:</w:t>
      </w:r>
    </w:p>
    <w:p>
      <w:pPr>
        <w:spacing w:after="0" w:line="103" w:lineRule="exact"/>
        <w:rPr>
          <w:sz w:val="20"/>
          <w:szCs w:val="20"/>
          <w:color w:val="auto"/>
        </w:rPr>
      </w:pPr>
    </w:p>
    <w:p>
      <w:pPr>
        <w:ind w:left="1020" w:right="40" w:hanging="511"/>
        <w:spacing w:after="0" w:line="250" w:lineRule="auto"/>
        <w:tabs>
          <w:tab w:leader="none" w:pos="10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$189.9 million in deferred revenue resulting from BMS upfront payment of $200.0 million and $40.0 million received in connection with the collaboration we entered into with Amgen in September 2017. These increases were partially offset by an increase in the recognition of revenue associated with upfront fees of $34.4 million under our various collaboration agreements, $6.6 million in recognized revenue from our delivery of a Development and Commercialization License to ImmunoGen in connection with the ImmunoGen Research Agreement, and $5.9 million in recognized revenue from ImmunoGen as a result of the amendment to the ImmunoGen Research Amendment;</w:t>
      </w:r>
    </w:p>
    <w:p>
      <w:pPr>
        <w:spacing w:after="0" w:line="7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accrued and long-term liabilities of $9.2 million;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other assets of $1.6 million; partially offset by</w:t>
      </w:r>
    </w:p>
    <w:p>
      <w:pPr>
        <w:spacing w:after="0" w:line="102" w:lineRule="exact"/>
        <w:rPr>
          <w:rFonts w:ascii="Times New Roman" w:cs="Times New Roman" w:eastAsia="Times New Roman" w:hAnsi="Times New Roman"/>
          <w:sz w:val="17"/>
          <w:szCs w:val="17"/>
          <w:color w:val="auto"/>
        </w:rPr>
      </w:pPr>
    </w:p>
    <w:p>
      <w:pPr>
        <w:ind w:left="1020" w:right="20" w:hanging="511"/>
        <w:spacing w:after="0" w:line="268" w:lineRule="auto"/>
        <w:tabs>
          <w:tab w:leader="none" w:pos="10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accounts receivable of $8.0 million resulting primarily from the $10.0 million of milestone billing to BMS for the IND filing of BMS-986249, offset by $2.0 payment received from BMS relating to the 2016 milestone for the selection of BMS-986249; and</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$2.4 million in accounts payable.</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60"/>
          </w:cols>
          <w:pgMar w:left="240" w:top="417" w:right="299" w:bottom="1440" w:gutter="0" w:footer="0" w:header="0"/>
        </w:sectPr>
      </w:pPr>
    </w:p>
    <w:bookmarkStart w:id="88" w:name="page89"/>
    <w:bookmarkEnd w:id="88"/>
    <w:p>
      <w:pPr>
        <w:ind w:right="140"/>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2016, cash used in operating activities was $2.0 million, which consisted of a net loss of $58.9 million, adjusted by non-cash charges of $13.6 million and an increase of $43.3 million in our net operating assets and liabilities. The non-cash charges primarily consisted of $10.3 million in stock-based compensation, $1.7 million in depreciation and amortization and $1.6 million in amortization of premiums on our investments.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our net operating assets and liabilities was primarily attributable to:</w:t>
      </w:r>
    </w:p>
    <w:p>
      <w:pPr>
        <w:spacing w:after="0" w:line="103" w:lineRule="exact"/>
        <w:rPr>
          <w:sz w:val="20"/>
          <w:szCs w:val="20"/>
          <w:color w:val="auto"/>
        </w:rPr>
      </w:pPr>
    </w:p>
    <w:p>
      <w:pPr>
        <w:ind w:left="1020" w:right="60" w:hanging="511"/>
        <w:spacing w:after="0" w:line="256" w:lineRule="auto"/>
        <w:tabs>
          <w:tab w:leader="none" w:pos="10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$43.3 million in deferred revenue, which was primarily due to a $30.0 million upfront payment from AbbVie in connection with the AbbVie Agreements and $25.0 million in payments from BMS in connection with the selection of its third and fourth targets under our collaboration, partially offset by the recognition of upfront fees under certain of our collaboration agreements of $11.7 million;</w:t>
      </w:r>
    </w:p>
    <w:p>
      <w:pPr>
        <w:spacing w:after="0" w:line="7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$4.0 million in accrued liabilities and other liabilities;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$1.8 million in accounts payable; partially offset by</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$2.6 million in other assets;</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$1.8 million in accounts receivable; and</w:t>
      </w:r>
    </w:p>
    <w:p>
      <w:pPr>
        <w:spacing w:after="0" w:line="10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$1.6 million in prepaid expenses and other current assets.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2018, cash provided by investing activities was $5.9 million, which consisted of $204.6 million used in purchases of short-term investments and $3.8 million of capital expenditures used to purchase property and equipment. This was offset by $214.3 million in proceeds received upon the maturity of short-term investments.</w:t>
      </w:r>
    </w:p>
    <w:p>
      <w:pPr>
        <w:spacing w:after="0" w:line="1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2017, cash used in investing activities was $121.3 million, which consisted of $218.7 million used in the purchase of short-term investments and $1.6 million of capital expenditures used to purchase property and equipment. This amount was partially offset by $99.0 million in proceeds received upon the maturity of short term investments.</w:t>
      </w:r>
    </w:p>
    <w:p>
      <w:pPr>
        <w:spacing w:after="0" w:line="170" w:lineRule="exact"/>
        <w:rPr>
          <w:sz w:val="20"/>
          <w:szCs w:val="20"/>
          <w:color w:val="auto"/>
        </w:rPr>
      </w:pPr>
    </w:p>
    <w:p>
      <w:pPr>
        <w:jc w:val="both"/>
        <w:ind w:right="480"/>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2016, cash provided by investing activities was $45.9 million, which consisted of $169.5 million in proceeds received upon the maturity of short term investments. This was offset by $121.5 million used in the purchase of short-term investments and $2.2 million of capital expenditures used to purchase property and equipment.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204"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2018, cash provided by financing activities was $139.6 million, primarily consisted of proceeds from our common stock public offering of $134.6 million (net of underwriting discounts and stock issuance costs of $9.2 million) and proceeds from the exercise of stock options and employee stock purchases under the employee stock purchase plan (“ESPP”) of $5.0 million.</w:t>
      </w:r>
    </w:p>
    <w:p>
      <w:pPr>
        <w:spacing w:after="0" w:line="17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7"/>
          <w:szCs w:val="17"/>
          <w:color w:val="auto"/>
        </w:rPr>
        <w:t>During the year ended December 31, 2017, cash provided by financing activities was $23.8 million, which primarily consisted of proceeds received from the issuance of common stock to Amgen pursuant to a stock purchase of $20.0 million and proceeds from the exercise of stock options and ESPP of $3.8 million.</w:t>
      </w:r>
    </w:p>
    <w:p>
      <w:pPr>
        <w:spacing w:after="0" w:line="16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During the year ended December 31, 2016, cash provided by financing activities was $1.0 million, which primarily consisted of proceeds from the exercise of stock options and ESPP as well as repayment of stockholder notes.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89" w:name="page90"/>
    <w:bookmarkEnd w:id="89"/>
    <w:p>
      <w:pPr>
        <w:ind w:left="1"/>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The following table summarizes our contractual obligations as of December 31, 2018 (in thousands):</w:t>
      </w:r>
    </w:p>
    <w:p>
      <w:pPr>
        <w:spacing w:after="0" w:line="283" w:lineRule="exact"/>
        <w:rPr>
          <w:sz w:val="20"/>
          <w:szCs w:val="20"/>
          <w:color w:val="auto"/>
        </w:rPr>
      </w:pPr>
    </w:p>
    <w:tbl>
      <w:tblPr>
        <w:tblLayout w:type="fixed"/>
        <w:tblInd w:w="1" w:type="dxa"/>
        <w:tblCellMar>
          <w:top w:w="0" w:type="dxa"/>
          <w:left w:w="0" w:type="dxa"/>
          <w:bottom w:w="0" w:type="dxa"/>
          <w:right w:w="0" w:type="dxa"/>
        </w:tblCellMar>
      </w:tblPr>
      <w:tr>
        <w:trPr>
          <w:trHeight w:val="159"/>
        </w:trPr>
        <w:tc>
          <w:tcPr>
            <w:tcW w:w="4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Payments Due by Period</w:t>
            </w:r>
            <w:r>
              <w:rPr>
                <w:rFonts w:ascii="Times New Roman" w:cs="Times New Roman" w:eastAsia="Times New Roman" w:hAnsi="Times New Roman"/>
                <w:sz w:val="11"/>
                <w:szCs w:val="11"/>
                <w:b w:val="1"/>
                <w:bCs w:val="1"/>
                <w:color w:val="auto"/>
              </w:rPr>
              <w:t>(3)</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47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CFF0FC"/>
            </w:tcBorders>
          </w:tcPr>
          <w:p>
            <w:pPr>
              <w:spacing w:after="0"/>
              <w:rPr>
                <w:sz w:val="12"/>
                <w:szCs w:val="12"/>
                <w:color w:val="auto"/>
              </w:rPr>
            </w:pPr>
          </w:p>
        </w:tc>
      </w:tr>
      <w:tr>
        <w:trPr>
          <w:trHeight w:val="204"/>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leases</w:t>
            </w:r>
            <w:r>
              <w:rPr>
                <w:rFonts w:ascii="Times New Roman" w:cs="Times New Roman" w:eastAsia="Times New Roman" w:hAnsi="Times New Roman"/>
                <w:sz w:val="14"/>
                <w:szCs w:val="14"/>
                <w:color w:val="auto"/>
              </w:rPr>
              <w:t>(1)</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4,854</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4,990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5,129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5,273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21,109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41,355</w:t>
            </w:r>
          </w:p>
        </w:tc>
        <w:tc>
          <w:tcPr>
            <w:tcW w:w="100" w:type="dxa"/>
            <w:vAlign w:val="bottom"/>
            <w:shd w:val="clear" w:color="auto" w:fill="CFF0FC"/>
          </w:tcPr>
          <w:p>
            <w:pPr>
              <w:spacing w:after="0"/>
              <w:rPr>
                <w:sz w:val="17"/>
                <w:szCs w:val="17"/>
                <w:color w:val="auto"/>
              </w:rPr>
            </w:pPr>
          </w:p>
        </w:tc>
      </w:tr>
      <w:tr>
        <w:trPr>
          <w:trHeight w:val="211"/>
        </w:trPr>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Royalty obligations</w:t>
            </w:r>
            <w:r>
              <w:rPr>
                <w:rFonts w:ascii="Times New Roman" w:cs="Times New Roman" w:eastAsia="Times New Roman" w:hAnsi="Times New Roman"/>
                <w:sz w:val="14"/>
                <w:szCs w:val="14"/>
                <w:color w:val="auto"/>
              </w:rPr>
              <w:t>(2)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8"/>
                <w:szCs w:val="18"/>
                <w:color w:val="auto"/>
              </w:rPr>
            </w:pPr>
          </w:p>
        </w:tc>
      </w:tr>
      <w:tr>
        <w:trPr>
          <w:trHeight w:val="204"/>
        </w:trPr>
        <w:tc>
          <w:tcPr>
            <w:tcW w:w="476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Total contractual obligations</w:t>
            </w: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5,004</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4,990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5,129</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5,273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21,109</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41,505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3" w:lineRule="exact"/>
        <w:rPr>
          <w:sz w:val="20"/>
          <w:szCs w:val="20"/>
          <w:color w:val="auto"/>
        </w:rPr>
      </w:pPr>
    </w:p>
    <w:p>
      <w:pPr>
        <w:ind w:left="501" w:right="20" w:hanging="501"/>
        <w:spacing w:after="0" w:line="254" w:lineRule="auto"/>
        <w:tabs>
          <w:tab w:leader="none" w:pos="501"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We lease our current facility under a long-term operating lease, which expires in 2026. The lease provides us with one option to extend the lease term for a period of five years at the then fair market rental value.</w:t>
      </w:r>
    </w:p>
    <w:p>
      <w:pPr>
        <w:ind w:left="501" w:right="80" w:hanging="501"/>
        <w:spacing w:after="0" w:line="244" w:lineRule="auto"/>
        <w:tabs>
          <w:tab w:leader="none" w:pos="501"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We have royalty obligations under the terms of certain exclusive licensed patent rights. The royalty obligations are cancellable any time by giving notice to the licensor, with the termination being effective 60 days after giving notice. See Part II. Item 8. Financial Statements and Supplementary Data, Note 11. Commitments and Contingencies" in the accompanying Notes to the consolidated financial statements for more information.</w:t>
      </w:r>
    </w:p>
    <w:p>
      <w:pPr>
        <w:ind w:left="501" w:hanging="501"/>
        <w:spacing w:after="0"/>
        <w:tabs>
          <w:tab w:leader="none" w:pos="501"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This table does not include any milestone payments or royalty payments to third parties as the amounts, timing and likelihood of such payments are not 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-762635</wp:posOffset>
            </wp:positionV>
            <wp:extent cx="120713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7135" cy="7620"/>
                    </a:xfrm>
                    <a:prstGeom prst="rect">
                      <a:avLst/>
                    </a:prstGeom>
                    <a:noFill/>
                  </pic:spPr>
                </pic:pic>
              </a:graphicData>
            </a:graphic>
          </wp:anchor>
        </w:drawing>
      </w:r>
    </w:p>
    <w:p>
      <w:pPr>
        <w:spacing w:after="0" w:line="190" w:lineRule="exact"/>
        <w:rPr>
          <w:sz w:val="20"/>
          <w:szCs w:val="20"/>
          <w:color w:val="auto"/>
        </w:rPr>
      </w:pPr>
    </w:p>
    <w:p>
      <w:pPr>
        <w:ind w:left="1" w:right="540"/>
        <w:spacing w:after="0" w:line="252" w:lineRule="auto"/>
        <w:rPr>
          <w:sz w:val="20"/>
          <w:szCs w:val="20"/>
          <w:color w:val="auto"/>
        </w:rPr>
      </w:pPr>
      <w:r>
        <w:rPr>
          <w:rFonts w:ascii="Times New Roman" w:cs="Times New Roman" w:eastAsia="Times New Roman" w:hAnsi="Times New Roman"/>
          <w:sz w:val="17"/>
          <w:szCs w:val="17"/>
          <w:color w:val="auto"/>
        </w:rPr>
        <w:t>We enter into agreements in the normal course of business with CROs for clinical trials and with vendors for pre-clinical studies and other services and products for operating purposes, which are cancelable at any time by us, generally upon 30 to 60 days prior written notice. These payments are not included in the above table of contractual obligations. The above table also excludes unrecognized tax benefits of $3.8 million as of December 31, 2018 because these uncertain tax positions, if recognized, would be an adjustment to our deferred tax assets.</w:t>
      </w:r>
    </w:p>
    <w:p>
      <w:pPr>
        <w:spacing w:after="0" w:line="29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11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We have one primary business activity and operate as one reportable segment.</w:t>
      </w:r>
    </w:p>
    <w:p>
      <w:pPr>
        <w:spacing w:after="0" w:line="37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9" w:lineRule="exact"/>
        <w:rPr>
          <w:sz w:val="20"/>
          <w:szCs w:val="20"/>
          <w:color w:val="auto"/>
        </w:rPr>
      </w:pPr>
    </w:p>
    <w:p>
      <w:pPr>
        <w:ind w:left="1"/>
        <w:spacing w:after="0" w:line="247"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financial statements, which have been prepared in accordance with United States generally accepted accounting principles (“U.S. GAAP”). The preparation of these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3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17" w:lineRule="exact"/>
        <w:rPr>
          <w:sz w:val="20"/>
          <w:szCs w:val="20"/>
          <w:color w:val="auto"/>
        </w:rPr>
      </w:pPr>
    </w:p>
    <w:p>
      <w:pPr>
        <w:ind w:left="1"/>
        <w:spacing w:after="0" w:line="271" w:lineRule="auto"/>
        <w:rPr>
          <w:sz w:val="20"/>
          <w:szCs w:val="20"/>
          <w:color w:val="auto"/>
        </w:rPr>
      </w:pPr>
      <w:r>
        <w:rPr>
          <w:rFonts w:ascii="Times New Roman" w:cs="Times New Roman" w:eastAsia="Times New Roman" w:hAnsi="Times New Roman"/>
          <w:sz w:val="17"/>
          <w:szCs w:val="17"/>
          <w:color w:val="auto"/>
        </w:rPr>
        <w:t xml:space="preserve">On January 1, 2018, we adopted Accounting Standards Update, or ASU, No. 2014-09, </w:t>
      </w:r>
      <w:r>
        <w:rPr>
          <w:rFonts w:ascii="Times New Roman" w:cs="Times New Roman" w:eastAsia="Times New Roman" w:hAnsi="Times New Roman"/>
          <w:sz w:val="17"/>
          <w:szCs w:val="17"/>
          <w:i w:val="1"/>
          <w:iCs w:val="1"/>
          <w:color w:val="auto"/>
        </w:rPr>
        <w:t>Revenue from Contracts with Customers (Topic 606)</w:t>
      </w:r>
      <w:r>
        <w:rPr>
          <w:rFonts w:ascii="Times New Roman" w:cs="Times New Roman" w:eastAsia="Times New Roman" w:hAnsi="Times New Roman"/>
          <w:sz w:val="17"/>
          <w:szCs w:val="17"/>
          <w:color w:val="auto"/>
        </w:rPr>
        <w:t xml:space="preserve"> using the modified retrospective transition method.</w:t>
      </w:r>
    </w:p>
    <w:p>
      <w:pPr>
        <w:spacing w:after="0" w:line="182" w:lineRule="exact"/>
        <w:rPr>
          <w:sz w:val="20"/>
          <w:szCs w:val="20"/>
          <w:color w:val="auto"/>
        </w:rPr>
      </w:pPr>
    </w:p>
    <w:p>
      <w:pPr>
        <w:ind w:left="1" w:right="100"/>
        <w:spacing w:after="0" w:line="268" w:lineRule="auto"/>
        <w:rPr>
          <w:sz w:val="20"/>
          <w:szCs w:val="20"/>
          <w:color w:val="auto"/>
        </w:rPr>
      </w:pPr>
      <w:r>
        <w:rPr>
          <w:rFonts w:ascii="Times New Roman" w:cs="Times New Roman" w:eastAsia="Times New Roman" w:hAnsi="Times New Roman"/>
          <w:sz w:val="17"/>
          <w:szCs w:val="17"/>
          <w:color w:val="auto"/>
        </w:rPr>
        <w:t>We recognize revenue when our customer obtains control of the promised goods or services, in an amount that reflects the consideration which we have received or expect to receive in exchange for those goods or services.</w:t>
      </w:r>
    </w:p>
    <w:p>
      <w:pPr>
        <w:spacing w:after="0" w:line="185" w:lineRule="exact"/>
        <w:rPr>
          <w:sz w:val="20"/>
          <w:szCs w:val="20"/>
          <w:color w:val="auto"/>
        </w:rPr>
      </w:pPr>
    </w:p>
    <w:p>
      <w:pPr>
        <w:ind w:left="1"/>
        <w:spacing w:after="0" w:line="248" w:lineRule="auto"/>
        <w:rPr>
          <w:sz w:val="20"/>
          <w:szCs w:val="20"/>
          <w:color w:val="auto"/>
        </w:rPr>
      </w:pPr>
      <w:r>
        <w:rPr>
          <w:rFonts w:ascii="Times New Roman" w:cs="Times New Roman" w:eastAsia="Times New Roman" w:hAnsi="Times New Roman"/>
          <w:sz w:val="17"/>
          <w:szCs w:val="17"/>
          <w:color w:val="auto"/>
        </w:rPr>
        <w:t>Our revenues are primarily derived through our license, research, development and commercialization agreements. The terms of these types of agreements may include (i) licenses for our technology or programs,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 In certain agreements, the collaboration partner is solely responsible for meeting the defined collaboration objectives that trigger the contingent payment.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98690"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616" w:right="239" w:bottom="1440" w:gutter="0" w:footer="0" w:header="0"/>
        </w:sectPr>
      </w:pPr>
    </w:p>
    <w:bookmarkStart w:id="90" w:name="page91"/>
    <w:bookmarkEnd w:id="90"/>
    <w:p>
      <w:pPr>
        <w:jc w:val="both"/>
        <w:ind w:right="360"/>
        <w:spacing w:after="0" w:line="256" w:lineRule="auto"/>
        <w:rPr>
          <w:sz w:val="20"/>
          <w:szCs w:val="20"/>
          <w:color w:val="auto"/>
        </w:rPr>
      </w:pPr>
      <w:r>
        <w:rPr>
          <w:rFonts w:ascii="Times New Roman" w:cs="Times New Roman" w:eastAsia="Times New Roman" w:hAnsi="Times New Roman"/>
          <w:sz w:val="17"/>
          <w:szCs w:val="17"/>
          <w:color w:val="auto"/>
        </w:rPr>
        <w:t>We assess whether the promises in these arrangements are considered distinct performance obligations that should be accounted for separately. Judgment is required to determine whether the license to our Probody therapeutic technology platform is distinct from the research and development services or participation on development committees.</w:t>
      </w:r>
    </w:p>
    <w:p>
      <w:pPr>
        <w:spacing w:after="0" w:line="19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The transaction price in each arrangement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 Due to the early stage of our licensed technology, the license of such technology is typically combined with the research and development services and committee participation as one performance obligation. In these cases,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17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7"/>
          <w:szCs w:val="17"/>
          <w:color w:val="auto"/>
        </w:rPr>
        <w:t>Our collaboration and license agreements may include contingent payments related to specified research, development and regulatory milestones and sales-based milestones. Such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upon receipt of actual marketing approvals of a covered product or for additional indications, or upon the first commercial sale of a covered product. Sales-based milestones are typically payable when annual sales of a covered product reach specified levels. At the inception of each agreement that includes such milestone payments, we evaluate whether the milestones are considered probable of being reached and estimate the amount to be included in the transaction price by using the most likely amount method. If it is probable that a significant revenue reversal would not occur, the associated milestone value is included in the transaction price. Milestone payments that are not within our control or the licensee, such as regulatory approvals, are not considered probable of being achieved until those approvals are received. The transaction price is then allocated to each performance obligation based on a relative SSP basis. At the end of each subsequent reporting period, we re-evaluate the probability or achievement of each such milestone and any related constraint, and if necessary, adjusts its estimate of the overall transaction price.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Research and Development Expenses</w:t>
      </w:r>
    </w:p>
    <w:p>
      <w:pPr>
        <w:spacing w:after="0" w:line="11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We record accruals for estimated costs of research, preclinical and clinical studies and contract manufacturing activities, which are a significant component of research and development expenses. A substantial portion of our ongoing research and development activities is conducted by third-party service providers, including CROs. Our contracts with CROs generally include pass-through costs, such as regulatory expenses, investigator fees, travel costs and other miscellaneous costs. The financial terms of these contracts are subject to negotiations, which vary from contract to contract and may result in payments that do not match the periods over which materials or services are provided to us under such contracts. We accrue the costs incurred under agreements with these third parties based on actual work completed in accordance with the respective agreements. In the event we make advance payments, they are recorded as prepaid expenses and recognized as the services are performed. We determine the estimated costs through discussions with internal personnel and external service providers as to the progress of stage of completion of the services and the agreed-upon fees to be paid for such services.</w:t>
      </w:r>
    </w:p>
    <w:p>
      <w:pPr>
        <w:spacing w:after="0" w:line="20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We make significant judgments and estimates in determining the accrual balance in each reporting period. As actual costs become known, we adjust our accruals. Although we do not expect our estimates to be materially different than the actual amounts incurred, such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 Changes in these estimates that result in material changes to our accruals could materially affect our financial condition and results of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 xml:space="preserve">We recognize compensation costs related to stock options granted to employees based on the estimated fair value of the awards on the date of grant. Before the adoption of ASU No. 2016-09, </w:t>
      </w:r>
      <w:r>
        <w:rPr>
          <w:rFonts w:ascii="Times New Roman" w:cs="Times New Roman" w:eastAsia="Times New Roman" w:hAnsi="Times New Roman"/>
          <w:sz w:val="17"/>
          <w:szCs w:val="17"/>
          <w:i w:val="1"/>
          <w:iCs w:val="1"/>
          <w:color w:val="auto"/>
        </w:rPr>
        <w:t>Compensation - Stock Compensation (Topic 718): Improvements to Employee Share-Based Payment Accounting</w:t>
      </w:r>
      <w:r>
        <w:rPr>
          <w:rFonts w:ascii="Times New Roman" w:cs="Times New Roman" w:eastAsia="Times New Roman" w:hAnsi="Times New Roman"/>
          <w:sz w:val="17"/>
          <w:szCs w:val="17"/>
          <w:color w:val="auto"/>
        </w:rPr>
        <w:t xml:space="preserve"> (“ASU 2016-09”), we estimated the fair value of the awards net of estimated forfeitures. Beginning in 2017, we record forfeitures as they are incurred. We estimate the grant date fair value, and the resulting stock-based compensation expense, using the Black-Scholes option-pricing model. The grant date fair value of stock-based awards is expensed on a straight-line basis over the period during which the employee is required to provide service in exchange for the award (generally the vesting period).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91" w:name="page92"/>
    <w:bookmarkEnd w:id="91"/>
    <w:p>
      <w:pPr>
        <w:ind w:right="380"/>
        <w:spacing w:after="0" w:line="268" w:lineRule="auto"/>
        <w:rPr>
          <w:sz w:val="20"/>
          <w:szCs w:val="20"/>
          <w:color w:val="auto"/>
        </w:rPr>
      </w:pPr>
      <w:r>
        <w:rPr>
          <w:rFonts w:ascii="Times New Roman" w:cs="Times New Roman" w:eastAsia="Times New Roman" w:hAnsi="Times New Roman"/>
          <w:sz w:val="17"/>
          <w:szCs w:val="17"/>
          <w:color w:val="auto"/>
        </w:rPr>
        <w:t>We estimate the fair value of our stock-based awards using the Black-Scholes option-pricing model, which requires the input of assumptions. Our assumptions are as follows:</w:t>
      </w:r>
    </w:p>
    <w:p>
      <w:pPr>
        <w:spacing w:after="0" w:line="71" w:lineRule="exact"/>
        <w:rPr>
          <w:sz w:val="20"/>
          <w:szCs w:val="20"/>
          <w:color w:val="auto"/>
        </w:rPr>
      </w:pPr>
    </w:p>
    <w:p>
      <w:pPr>
        <w:ind w:left="1020" w:right="500" w:hanging="511"/>
        <w:spacing w:after="0" w:line="271" w:lineRule="auto"/>
        <w:tabs>
          <w:tab w:leader="none" w:pos="10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The expected term represents the period that the stock-based awards are expected to be outstanding. We use the simplified method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 the expected term, which is calculated as the average of the time to vesting and the contractual life of the options.</w:t>
      </w:r>
    </w:p>
    <w:p>
      <w:pPr>
        <w:spacing w:after="0" w:line="55" w:lineRule="exact"/>
        <w:rPr>
          <w:rFonts w:ascii="Times New Roman" w:cs="Times New Roman" w:eastAsia="Times New Roman" w:hAnsi="Times New Roman"/>
          <w:sz w:val="17"/>
          <w:szCs w:val="17"/>
          <w:color w:val="auto"/>
        </w:rPr>
      </w:pPr>
    </w:p>
    <w:p>
      <w:pPr>
        <w:ind w:left="1020" w:right="460" w:hanging="511"/>
        <w:spacing w:after="0" w:line="257" w:lineRule="auto"/>
        <w:tabs>
          <w:tab w:leader="none" w:pos="10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The expected volatility was derived from the average historical volatilities of our stock price and of the stock price of several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comparable publicly traded companies within the biotechnology and pharmaceutical industry using an average of historical volatilities of Company’s industry peers.</w:t>
      </w:r>
    </w:p>
    <w:p>
      <w:pPr>
        <w:spacing w:after="0" w:line="67" w:lineRule="exact"/>
        <w:rPr>
          <w:rFonts w:ascii="Times New Roman" w:cs="Times New Roman" w:eastAsia="Times New Roman" w:hAnsi="Times New Roman"/>
          <w:sz w:val="17"/>
          <w:szCs w:val="17"/>
          <w:color w:val="auto"/>
        </w:rPr>
      </w:pPr>
    </w:p>
    <w:p>
      <w:pPr>
        <w:ind w:left="1020" w:right="80" w:hanging="511"/>
        <w:spacing w:after="0" w:line="271" w:lineRule="auto"/>
        <w:tabs>
          <w:tab w:leader="none" w:pos="10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The risk-free interest rate is based on the U.S. Treasury yield with a maturity equal to the expected term of the option in effect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of grant.</w:t>
      </w:r>
    </w:p>
    <w:p>
      <w:pPr>
        <w:spacing w:after="0" w:line="55" w:lineRule="exact"/>
        <w:rPr>
          <w:rFonts w:ascii="Times New Roman" w:cs="Times New Roman" w:eastAsia="Times New Roman" w:hAnsi="Times New Roman"/>
          <w:sz w:val="17"/>
          <w:szCs w:val="17"/>
          <w:color w:val="auto"/>
        </w:rPr>
      </w:pPr>
    </w:p>
    <w:p>
      <w:pPr>
        <w:ind w:left="1020" w:right="500" w:hanging="511"/>
        <w:spacing w:after="0" w:line="271" w:lineRule="auto"/>
        <w:tabs>
          <w:tab w:leader="none" w:pos="10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Dividend yield. </w:t>
      </w:r>
      <w:r>
        <w:rPr>
          <w:rFonts w:ascii="Times New Roman" w:cs="Times New Roman" w:eastAsia="Times New Roman" w:hAnsi="Times New Roman"/>
          <w:sz w:val="17"/>
          <w:szCs w:val="17"/>
          <w:color w:val="auto"/>
        </w:rPr>
        <w:t>The expected dividend is assumed to be zero as we have never paid dividends and have no current plans to pay any dividends 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w:t>
      </w:r>
    </w:p>
    <w:p>
      <w:pPr>
        <w:spacing w:after="0" w:line="15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In addition to the assumptions used in the Black-Scholes option-pricing model, prior to 2017, we also estimate a forfeiture rate to calculate the stock-based compensation for our equity awards. Beginning in 2017, we adjust our stock-based compensation expense for forfeitures as they are incurred. We will continue to use judgment in evaluating the expected volatility and expected terms utilized for our stock-based compensation calculations on a prospective basis.</w:t>
      </w:r>
    </w:p>
    <w:p>
      <w:pPr>
        <w:spacing w:after="0" w:line="1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Stock-based compensation expense for options granted to non-employees as consideration for services received is measured on the date of performance at the fair value of the consideration received or the fair value of the equity instruments issued, using the Black-Scholes option-pricing model, whichever can be more reliably measured. Stock-based compensation expense for options granted to non-employees is periodically remeasured as the underlying options vest.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1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We account for income taxes using an asset and liability approach. Deferred tax assets and liabilities reflect the net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We record a valuation allowance to reduce our deferred tax assets to reflect the net amount that we believe is more likely than not to be realized. Realization of our deferred tax assets is dependent on the generation of future taxable income, the amount and timing of which are uncertain. The valuation allowance requires an assessment of both positive and negative evidence when determining whether it is more likely than not that deferred tax assets are recoverable. Based upon the weight of available evidence at December 31, 2018, we continue to maintain a full valuation allowance against all of our deferred tax assets after management considered all available evidence, both positive and negative, including but not limited to our historical operating results, income or loss in recent periods, cumulative income in recent years, forecasted earnings, future taxable income, and significant risk and uncertainty related to forecasts.</w:t>
      </w:r>
    </w:p>
    <w:p>
      <w:pPr>
        <w:spacing w:after="0" w:line="20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We recognize the tax effects of an uncertain tax position only if it is more likely than not that it will be sustained based solely on its technical merits as of the reporting date and only in an amount more likely than not that it will be sustained upon review by the tax authorities. We evaluate uncertain tax positions on a quarterly basis and adjust the liability for changes in facts and circumstances, such as new regulations or interpretations by the taxing authorities,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our uncertain income tax positions is dependent on uncontrollable factors such as law changes, new case law, and the willingness of the income tax authorities to settle, including the timing thereof and other factors. Although we do not anticipate significant changes to our uncertain income tax positions in the next twelve months, items outside of our control could cause our uncertain income tax positions to change in the future, which would be recorded in our statements of operations. Interest and/or penalties related to income tax matters are recognized as a component of income tax expense.</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60"/>
          </w:cols>
          <w:pgMar w:left="240" w:top="546" w:right="299" w:bottom="1440" w:gutter="0" w:footer="0" w:header="0"/>
        </w:sectPr>
      </w:pPr>
    </w:p>
    <w:bookmarkStart w:id="92" w:name="page93"/>
    <w:bookmarkEnd w:id="92"/>
    <w:p>
      <w:pPr>
        <w:ind w:right="40"/>
        <w:spacing w:after="0" w:line="269" w:lineRule="auto"/>
        <w:rPr>
          <w:sz w:val="20"/>
          <w:szCs w:val="20"/>
          <w:color w:val="auto"/>
        </w:rPr>
      </w:pPr>
      <w:r>
        <w:rPr>
          <w:rFonts w:ascii="Times New Roman" w:cs="Times New Roman" w:eastAsia="Times New Roman" w:hAnsi="Times New Roman"/>
          <w:sz w:val="16"/>
          <w:szCs w:val="16"/>
          <w:color w:val="auto"/>
        </w:rPr>
        <w:t>On December 22, 2017, the U.S. enacted the Tax Cuts and Jobs Act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Although the Tax Act is generally effective on January 1, 2018, GAAP requires recognition of the tax effects of new legislation during the reporting period that includes the enactment date, which was December 22, 2017.</w:t>
      </w:r>
    </w:p>
    <w:p>
      <w:pPr>
        <w:spacing w:after="0" w:line="186"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7"/>
          <w:szCs w:val="17"/>
          <w:color w:val="auto"/>
        </w:rPr>
        <w:t>As a result of the impacts of the Tax Act, the SEC provided guidance that allows the Company to record provisional amounts for those impacts, with the requirement that the accounting be completed in a period not to exceed one year from the date of enactment. As a result, we previously provided a provisional estimate of the effect of the Tax Act in our financial statements. In the fourth quarter of 2018, we completed our analysis to determine the effect of the Tax Act and no material adjustments were recognized as of December 31, 2018. See "Part II. Item 8. Financial Statements and Supplementary Data, Note 14. Income Taxes" in the accompanying Notes to the consolidated financial statements for more information regarding the impact of the Tax Act.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not entered into any off-balance sheet arrangements and do not have any holdings in variable interest entities.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JOBS Act Accounting Election</w:t>
      </w:r>
    </w:p>
    <w:p>
      <w:pPr>
        <w:spacing w:after="0" w:line="1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We were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irrevocably elected not to avail ourselves of this exemption from new or revised accounting standards and, therefore, were subject to the same new or revised accounting standards as other public companies that are not emerging growth companies. We also relied on other exemptions provided by the JOBS Act, including without limitation, providing an auditor’s attestation report on our system of internal controls over financial reporting pursuant to Section 404(b) of the Sarbanes-Oxley 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our public float at June 30, 2018, we ceased to be an emerging growth company at December 31, 2018 and, accordingly, we are required to comply with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auditor attestation requirements of Section 404 to include an opinion from our independent registered public accounting firm on the effectiveness of our internal controls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 financial reporting for this 2018 Annual Report on Form 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w:t>
      </w:r>
    </w:p>
    <w:p>
      <w:pPr>
        <w:spacing w:after="0" w:line="3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7"/>
          <w:szCs w:val="17"/>
          <w:color w:val="auto"/>
        </w:rPr>
        <w:t>We are exposed to market risks in the ordinary course of our business. These risks primarily relate to interest rate risks. We had cash, cash equivalents and short-term investments of $436.1 million as of December 31, 2018 and cash, cash equivalents and short-term investments of $374.1 million as of December 31, 2017, which consists of bank deposits, money market funds and U.S. government bonds. Such interest-bearing instruments carry a degree of interest rate risk; however, historical fluctuations of interest income have not been significant.</w:t>
      </w:r>
    </w:p>
    <w:p>
      <w:pPr>
        <w:spacing w:after="0" w:line="173" w:lineRule="exact"/>
        <w:rPr>
          <w:sz w:val="20"/>
          <w:szCs w:val="20"/>
          <w:color w:val="auto"/>
        </w:rPr>
      </w:pPr>
    </w:p>
    <w:p>
      <w:pPr>
        <w:jc w:val="both"/>
        <w:ind w:right="160"/>
        <w:spacing w:after="0" w:line="279" w:lineRule="auto"/>
        <w:rPr>
          <w:sz w:val="20"/>
          <w:szCs w:val="20"/>
          <w:color w:val="auto"/>
        </w:rPr>
      </w:pPr>
      <w:r>
        <w:rPr>
          <w:rFonts w:ascii="Times New Roman" w:cs="Times New Roman" w:eastAsia="Times New Roman" w:hAnsi="Times New Roman"/>
          <w:sz w:val="16"/>
          <w:szCs w:val="16"/>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December 31, 2018, a hypothetical 100 basis point change in interest rates would not have material effect in the fair value of the portfolio. Any changes would only be realized if we sold the investments prior to maturity.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0"/>
        </w:trPr>
        <w:tc>
          <w:tcPr>
            <w:tcW w:w="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10260" w:type="dxa"/>
            <w:vAlign w:val="bottom"/>
            <w:gridSpan w:val="8"/>
          </w:tcPr>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Financial Statements and Supplementary Data</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320" w:type="dxa"/>
            <w:vAlign w:val="bottom"/>
            <w:gridSpan w:val="3"/>
          </w:tcPr>
          <w:p>
            <w:pPr>
              <w:jc w:val="center"/>
              <w:ind w:right="3440"/>
              <w:spacing w:after="0"/>
              <w:rPr>
                <w:sz w:val="20"/>
                <w:szCs w:val="20"/>
                <w:color w:val="auto"/>
              </w:rPr>
            </w:pPr>
            <w:r>
              <w:rPr>
                <w:rFonts w:ascii="Times New Roman" w:cs="Times New Roman" w:eastAsia="Times New Roman" w:hAnsi="Times New Roman"/>
                <w:sz w:val="17"/>
                <w:szCs w:val="17"/>
                <w:b w:val="1"/>
                <w:bCs w:val="1"/>
                <w:color w:val="auto"/>
                <w:w w:val="97"/>
              </w:rPr>
              <w:t>CYTOMX THERAPEUTICS, INC.</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320" w:type="dxa"/>
            <w:vAlign w:val="bottom"/>
            <w:gridSpan w:val="3"/>
          </w:tcPr>
          <w:p>
            <w:pPr>
              <w:jc w:val="center"/>
              <w:ind w:right="3460"/>
              <w:spacing w:after="0"/>
              <w:rPr>
                <w:sz w:val="20"/>
                <w:szCs w:val="20"/>
                <w:color w:val="auto"/>
              </w:rPr>
            </w:pPr>
            <w:r>
              <w:rPr>
                <w:rFonts w:ascii="Times New Roman" w:cs="Times New Roman" w:eastAsia="Times New Roman" w:hAnsi="Times New Roman"/>
                <w:sz w:val="17"/>
                <w:szCs w:val="17"/>
                <w:b w:val="1"/>
                <w:bCs w:val="1"/>
                <w:color w:val="auto"/>
                <w:w w:val="97"/>
              </w:rPr>
              <w:t>ANNUAL REPORT ON FORM 10-K</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320" w:type="dxa"/>
            <w:vAlign w:val="bottom"/>
            <w:gridSpan w:val="3"/>
          </w:tcPr>
          <w:p>
            <w:pPr>
              <w:jc w:val="center"/>
              <w:ind w:right="3460"/>
              <w:spacing w:after="0"/>
              <w:rPr>
                <w:sz w:val="20"/>
                <w:szCs w:val="20"/>
                <w:color w:val="auto"/>
              </w:rPr>
            </w:pPr>
            <w:r>
              <w:rPr>
                <w:rFonts w:ascii="Times New Roman" w:cs="Times New Roman" w:eastAsia="Times New Roman" w:hAnsi="Times New Roman"/>
                <w:sz w:val="17"/>
                <w:szCs w:val="17"/>
                <w:b w:val="1"/>
                <w:bCs w:val="1"/>
                <w:color w:val="auto"/>
                <w:w w:val="96"/>
              </w:rPr>
              <w:t>INDEX TO AUDITED FINANCIAL STATEMENTS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5080" w:type="dxa"/>
            <w:vAlign w:val="bottom"/>
            <w:gridSpan w:val="8"/>
            <w:vMerge w:val="restart"/>
          </w:tcPr>
          <w:p>
            <w:pPr>
              <w:spacing w:after="0"/>
              <w:rPr>
                <w:rFonts w:ascii="Times New Roman" w:cs="Times New Roman" w:eastAsia="Times New Roman" w:hAnsi="Times New Roman"/>
                <w:sz w:val="17"/>
                <w:szCs w:val="17"/>
                <w:color w:val="0000EE"/>
                <w:w w:val="96"/>
              </w:rPr>
            </w:pPr>
            <w:hyperlink w:anchor="page95">
              <w:r>
                <w:rPr>
                  <w:rFonts w:ascii="Times New Roman" w:cs="Times New Roman" w:eastAsia="Times New Roman" w:hAnsi="Times New Roman"/>
                  <w:sz w:val="17"/>
                  <w:szCs w:val="17"/>
                  <w:color w:val="0000EE"/>
                  <w:w w:val="96"/>
                </w:rPr>
                <w:t>Reports of Ernst &amp; Young - Independent Registered Public Accounting Firm</w:t>
              </w:r>
            </w:hyperlink>
          </w:p>
        </w:tc>
        <w:tc>
          <w:tcPr>
            <w:tcW w:w="6020" w:type="dxa"/>
            <w:vAlign w:val="bottom"/>
            <w:gridSpan w:val="2"/>
            <w:vMerge w:val="restart"/>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080" w:type="dxa"/>
            <w:vAlign w:val="bottom"/>
            <w:tcBorders>
              <w:bottom w:val="single" w:sz="8" w:color="0000EE"/>
            </w:tcBorders>
            <w:gridSpan w:val="8"/>
            <w:vMerge w:val="continue"/>
          </w:tcPr>
          <w:p>
            <w:pPr>
              <w:spacing w:after="0"/>
              <w:rPr>
                <w:sz w:val="13"/>
                <w:szCs w:val="13"/>
                <w:color w:val="auto"/>
              </w:rPr>
            </w:pPr>
          </w:p>
        </w:tc>
        <w:tc>
          <w:tcPr>
            <w:tcW w:w="6020" w:type="dxa"/>
            <w:vAlign w:val="bottom"/>
            <w:gridSpan w:val="2"/>
            <w:vMerge w:val="continue"/>
          </w:tcPr>
          <w:p>
            <w:pPr>
              <w:spacing w:after="0"/>
              <w:rPr>
                <w:sz w:val="13"/>
                <w:szCs w:val="13"/>
                <w:color w:val="auto"/>
              </w:rPr>
            </w:pPr>
          </w:p>
        </w:tc>
        <w:tc>
          <w:tcPr>
            <w:tcW w:w="360" w:type="dxa"/>
            <w:vAlign w:val="bottom"/>
            <w:gridSpan w:val="2"/>
          </w:tcPr>
          <w:p>
            <w:pPr>
              <w:jc w:val="right"/>
              <w:ind w:right="40"/>
              <w:spacing w:after="0" w:line="154" w:lineRule="exact"/>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179"/>
        </w:trPr>
        <w:tc>
          <w:tcPr>
            <w:tcW w:w="11100" w:type="dxa"/>
            <w:vAlign w:val="bottom"/>
            <w:gridSpan w:val="10"/>
          </w:tcPr>
          <w:p>
            <w:pPr>
              <w:spacing w:after="0" w:line="179" w:lineRule="exact"/>
              <w:rPr>
                <w:rFonts w:ascii="Times New Roman" w:cs="Times New Roman" w:eastAsia="Times New Roman" w:hAnsi="Times New Roman"/>
                <w:sz w:val="17"/>
                <w:szCs w:val="17"/>
                <w:color w:val="0000EE"/>
              </w:rPr>
            </w:pPr>
            <w:hyperlink w:anchor="page97">
              <w:r>
                <w:rPr>
                  <w:rFonts w:ascii="Times New Roman" w:cs="Times New Roman" w:eastAsia="Times New Roman" w:hAnsi="Times New Roman"/>
                  <w:sz w:val="17"/>
                  <w:szCs w:val="17"/>
                  <w:color w:val="0000EE"/>
                </w:rPr>
                <w:t>Report of PricewaterhouseCoopers - Independent Registered Public Accounting Firm</w:t>
              </w:r>
            </w:hyperlink>
          </w:p>
        </w:tc>
        <w:tc>
          <w:tcPr>
            <w:tcW w:w="360" w:type="dxa"/>
            <w:vAlign w:val="bottom"/>
            <w:gridSpan w:val="2"/>
          </w:tcPr>
          <w:p>
            <w:pPr>
              <w:jc w:val="right"/>
              <w:ind w:right="40"/>
              <w:spacing w:after="0" w:line="179" w:lineRule="exact"/>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00"/>
        </w:trPr>
        <w:tc>
          <w:tcPr>
            <w:tcW w:w="56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5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10720" w:type="dxa"/>
            <w:vAlign w:val="bottom"/>
            <w:gridSpan w:val="9"/>
          </w:tcPr>
          <w:p>
            <w:pPr>
              <w:spacing w:after="0" w:line="178" w:lineRule="exact"/>
              <w:rPr>
                <w:rFonts w:ascii="Times New Roman" w:cs="Times New Roman" w:eastAsia="Times New Roman" w:hAnsi="Times New Roman"/>
                <w:sz w:val="17"/>
                <w:szCs w:val="17"/>
                <w:color w:val="0000EE"/>
              </w:rPr>
            </w:pPr>
            <w:hyperlink w:anchor="page98">
              <w:r>
                <w:rPr>
                  <w:rFonts w:ascii="Times New Roman" w:cs="Times New Roman" w:eastAsia="Times New Roman" w:hAnsi="Times New Roman"/>
                  <w:sz w:val="17"/>
                  <w:szCs w:val="17"/>
                  <w:color w:val="0000EE"/>
                </w:rPr>
                <w:t>Balance Sheets</w:t>
              </w:r>
            </w:hyperlink>
          </w:p>
        </w:tc>
        <w:tc>
          <w:tcPr>
            <w:tcW w:w="360" w:type="dxa"/>
            <w:vAlign w:val="bottom"/>
            <w:gridSpan w:val="2"/>
          </w:tcPr>
          <w:p>
            <w:pPr>
              <w:jc w:val="right"/>
              <w:ind w:right="40"/>
              <w:spacing w:after="0" w:line="178" w:lineRule="exact"/>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3400" w:type="dxa"/>
            <w:vAlign w:val="bottom"/>
            <w:tcBorders>
              <w:bottom w:val="single" w:sz="8" w:color="0000EE"/>
            </w:tcBorders>
            <w:gridSpan w:val="6"/>
          </w:tcPr>
          <w:p>
            <w:pPr>
              <w:spacing w:after="0" w:line="179" w:lineRule="exact"/>
              <w:rPr>
                <w:rFonts w:ascii="Times New Roman" w:cs="Times New Roman" w:eastAsia="Times New Roman" w:hAnsi="Times New Roman"/>
                <w:sz w:val="17"/>
                <w:szCs w:val="17"/>
                <w:color w:val="0000EE"/>
                <w:w w:val="97"/>
              </w:rPr>
            </w:pPr>
            <w:hyperlink w:anchor="page99">
              <w:r>
                <w:rPr>
                  <w:rFonts w:ascii="Times New Roman" w:cs="Times New Roman" w:eastAsia="Times New Roman" w:hAnsi="Times New Roman"/>
                  <w:sz w:val="17"/>
                  <w:szCs w:val="17"/>
                  <w:color w:val="0000EE"/>
                  <w:w w:val="97"/>
                </w:rPr>
                <w:t>Statements of Operations and Comprehensive Loss</w:t>
              </w:r>
            </w:hyperlink>
          </w:p>
        </w:tc>
        <w:tc>
          <w:tcPr>
            <w:tcW w:w="7320" w:type="dxa"/>
            <w:vAlign w:val="bottom"/>
            <w:gridSpan w:val="3"/>
          </w:tcPr>
          <w:p>
            <w:pPr>
              <w:spacing w:after="0"/>
              <w:rPr>
                <w:sz w:val="15"/>
                <w:szCs w:val="15"/>
                <w:color w:val="auto"/>
              </w:rPr>
            </w:pPr>
          </w:p>
        </w:tc>
        <w:tc>
          <w:tcPr>
            <w:tcW w:w="360" w:type="dxa"/>
            <w:vAlign w:val="bottom"/>
            <w:gridSpan w:val="2"/>
          </w:tcPr>
          <w:p>
            <w:pPr>
              <w:jc w:val="right"/>
              <w:ind w:right="40"/>
              <w:spacing w:after="0" w:line="179" w:lineRule="exact"/>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179"/>
        </w:trPr>
        <w:tc>
          <w:tcPr>
            <w:tcW w:w="380" w:type="dxa"/>
            <w:vAlign w:val="bottom"/>
          </w:tcPr>
          <w:p>
            <w:pPr>
              <w:spacing w:after="0"/>
              <w:rPr>
                <w:sz w:val="15"/>
                <w:szCs w:val="15"/>
                <w:color w:val="auto"/>
              </w:rPr>
            </w:pPr>
          </w:p>
        </w:tc>
        <w:tc>
          <w:tcPr>
            <w:tcW w:w="2360" w:type="dxa"/>
            <w:vAlign w:val="bottom"/>
            <w:tcBorders>
              <w:bottom w:val="single" w:sz="8" w:color="0000EE"/>
            </w:tcBorders>
            <w:gridSpan w:val="5"/>
          </w:tcPr>
          <w:p>
            <w:pPr>
              <w:spacing w:after="0" w:line="179" w:lineRule="exact"/>
              <w:rPr>
                <w:rFonts w:ascii="Times New Roman" w:cs="Times New Roman" w:eastAsia="Times New Roman" w:hAnsi="Times New Roman"/>
                <w:sz w:val="17"/>
                <w:szCs w:val="17"/>
                <w:color w:val="0000EE"/>
                <w:w w:val="96"/>
              </w:rPr>
            </w:pPr>
            <w:hyperlink w:anchor="page100">
              <w:r>
                <w:rPr>
                  <w:rFonts w:ascii="Times New Roman" w:cs="Times New Roman" w:eastAsia="Times New Roman" w:hAnsi="Times New Roman"/>
                  <w:sz w:val="17"/>
                  <w:szCs w:val="17"/>
                  <w:color w:val="0000EE"/>
                  <w:w w:val="96"/>
                </w:rPr>
                <w:t>Statements of Stockholders’ Equity</w:t>
              </w:r>
            </w:hyperlink>
          </w:p>
        </w:tc>
        <w:tc>
          <w:tcPr>
            <w:tcW w:w="8360" w:type="dxa"/>
            <w:vAlign w:val="bottom"/>
            <w:gridSpan w:val="4"/>
          </w:tcPr>
          <w:p>
            <w:pPr>
              <w:spacing w:after="0"/>
              <w:rPr>
                <w:sz w:val="15"/>
                <w:szCs w:val="15"/>
                <w:color w:val="auto"/>
              </w:rPr>
            </w:pPr>
          </w:p>
        </w:tc>
        <w:tc>
          <w:tcPr>
            <w:tcW w:w="360" w:type="dxa"/>
            <w:vAlign w:val="bottom"/>
            <w:gridSpan w:val="2"/>
          </w:tcPr>
          <w:p>
            <w:pPr>
              <w:jc w:val="right"/>
              <w:ind w:right="40"/>
              <w:spacing w:after="0" w:line="179" w:lineRule="exact"/>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179"/>
        </w:trPr>
        <w:tc>
          <w:tcPr>
            <w:tcW w:w="380" w:type="dxa"/>
            <w:vAlign w:val="bottom"/>
          </w:tcPr>
          <w:p>
            <w:pPr>
              <w:spacing w:after="0"/>
              <w:rPr>
                <w:sz w:val="15"/>
                <w:szCs w:val="15"/>
                <w:color w:val="auto"/>
              </w:rPr>
            </w:pPr>
          </w:p>
        </w:tc>
        <w:tc>
          <w:tcPr>
            <w:tcW w:w="10720" w:type="dxa"/>
            <w:vAlign w:val="bottom"/>
            <w:gridSpan w:val="9"/>
          </w:tcPr>
          <w:p>
            <w:pPr>
              <w:spacing w:after="0" w:line="179" w:lineRule="exact"/>
              <w:rPr>
                <w:rFonts w:ascii="Times New Roman" w:cs="Times New Roman" w:eastAsia="Times New Roman" w:hAnsi="Times New Roman"/>
                <w:sz w:val="17"/>
                <w:szCs w:val="17"/>
                <w:color w:val="0000EE"/>
              </w:rPr>
            </w:pPr>
            <w:hyperlink w:anchor="page101">
              <w:r>
                <w:rPr>
                  <w:rFonts w:ascii="Times New Roman" w:cs="Times New Roman" w:eastAsia="Times New Roman" w:hAnsi="Times New Roman"/>
                  <w:sz w:val="17"/>
                  <w:szCs w:val="17"/>
                  <w:color w:val="0000EE"/>
                </w:rPr>
                <w:t>Statements of Cash Flows</w:t>
              </w:r>
            </w:hyperlink>
          </w:p>
        </w:tc>
        <w:tc>
          <w:tcPr>
            <w:tcW w:w="360" w:type="dxa"/>
            <w:vAlign w:val="bottom"/>
            <w:gridSpan w:val="2"/>
          </w:tcPr>
          <w:p>
            <w:pPr>
              <w:jc w:val="right"/>
              <w:ind w:right="40"/>
              <w:spacing w:after="0" w:line="179" w:lineRule="exact"/>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4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10720" w:type="dxa"/>
            <w:vAlign w:val="bottom"/>
            <w:gridSpan w:val="9"/>
          </w:tcPr>
          <w:p>
            <w:pPr>
              <w:spacing w:after="0" w:line="179" w:lineRule="exact"/>
              <w:rPr>
                <w:rFonts w:ascii="Times New Roman" w:cs="Times New Roman" w:eastAsia="Times New Roman" w:hAnsi="Times New Roman"/>
                <w:sz w:val="17"/>
                <w:szCs w:val="17"/>
                <w:color w:val="0000EE"/>
              </w:rPr>
            </w:pPr>
            <w:hyperlink w:anchor="page102">
              <w:r>
                <w:rPr>
                  <w:rFonts w:ascii="Times New Roman" w:cs="Times New Roman" w:eastAsia="Times New Roman" w:hAnsi="Times New Roman"/>
                  <w:sz w:val="17"/>
                  <w:szCs w:val="17"/>
                  <w:color w:val="0000EE"/>
                </w:rPr>
                <w:t>Notes to Financial Statements</w:t>
              </w:r>
            </w:hyperlink>
          </w:p>
        </w:tc>
        <w:tc>
          <w:tcPr>
            <w:tcW w:w="360" w:type="dxa"/>
            <w:vAlign w:val="bottom"/>
            <w:gridSpan w:val="2"/>
          </w:tcPr>
          <w:p>
            <w:pPr>
              <w:jc w:val="right"/>
              <w:ind w:right="40"/>
              <w:spacing w:after="0" w:line="179"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788"/>
        </w:trPr>
        <w:tc>
          <w:tcPr>
            <w:tcW w:w="38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gridSpan w:val="3"/>
          </w:tcPr>
          <w:p>
            <w:pPr>
              <w:spacing w:after="0"/>
              <w:rPr>
                <w:sz w:val="24"/>
                <w:szCs w:val="24"/>
                <w:color w:val="auto"/>
              </w:rPr>
            </w:pPr>
          </w:p>
        </w:tc>
        <w:tc>
          <w:tcPr>
            <w:tcW w:w="8740" w:type="dxa"/>
            <w:vAlign w:val="bottom"/>
            <w:gridSpan w:val="5"/>
          </w:tcPr>
          <w:p>
            <w:pPr>
              <w:jc w:val="center"/>
              <w:ind w:right="2020"/>
              <w:spacing w:after="0"/>
              <w:rPr>
                <w:sz w:val="20"/>
                <w:szCs w:val="20"/>
                <w:color w:val="auto"/>
              </w:rPr>
            </w:pPr>
            <w:r>
              <w:rPr>
                <w:rFonts w:ascii="Times New Roman" w:cs="Times New Roman" w:eastAsia="Times New Roman" w:hAnsi="Times New Roman"/>
                <w:sz w:val="17"/>
                <w:szCs w:val="17"/>
                <w:color w:val="auto"/>
                <w:w w:val="93"/>
              </w:rPr>
              <w:t>92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318" w:right="199" w:bottom="1440" w:gutter="0" w:footer="0" w:header="0"/>
        </w:sectPr>
      </w:pPr>
    </w:p>
    <w:bookmarkStart w:id="94" w:name="page95"/>
    <w:bookmarkEnd w:id="94"/>
    <w:p>
      <w:pPr>
        <w:ind w:left="3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 CytomX Therapeutics,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have audited the accompanying balance sheets of CytomX Therapeutics, Inc. (the Company) as of December 31, 2018 and 2017, the related statements of operations and comprehensive loss, stockholders' equity, and cash flows for each of the two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two years in the period ended December 31, 2018, in conformity with U.S. generally accepted accounting principles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27, 2019 expressed an unqualified opinion thereon.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Adoption of ASU No. 2014-09</w:t>
      </w:r>
    </w:p>
    <w:p>
      <w:pPr>
        <w:spacing w:after="0" w:line="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As discussed in Note 2 to the financial statements, the Company changed its method for recognizing revenue as a result of the adoption of Accounting Standards Update (ASU) No. 2014-09, </w:t>
      </w:r>
      <w:r>
        <w:rPr>
          <w:rFonts w:ascii="Times New Roman" w:cs="Times New Roman" w:eastAsia="Times New Roman" w:hAnsi="Times New Roman"/>
          <w:sz w:val="17"/>
          <w:szCs w:val="17"/>
          <w:i w:val="1"/>
          <w:iCs w:val="1"/>
          <w:color w:val="auto"/>
        </w:rPr>
        <w:t>Revenue from Contracts with Customers (Topic 606)</w:t>
      </w:r>
      <w:r>
        <w:rPr>
          <w:rFonts w:ascii="Times New Roman" w:cs="Times New Roman" w:eastAsia="Times New Roman" w:hAnsi="Times New Roman"/>
          <w:sz w:val="17"/>
          <w:szCs w:val="17"/>
          <w:color w:val="auto"/>
        </w:rPr>
        <w:t>, using the modified retrospective transition method effective January 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2017.</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Redwood City, California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95" w:name="page96"/>
    <w:bookmarkEnd w:id="95"/>
    <w:p>
      <w:pPr>
        <w:ind w:left="3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 CytomX Therapeutics,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have audited CytomX Therapeutics, Inc.’s internal control over financial reporting as of December 31, 2018, based on criteria established in Internal Control— Integrated Framework issued by the Committee of Sponsoring Organizations of the Treadway Commission (2013 framework) (the COSO criteria). In our opinion, CytomX Therapeutics, Inc. (the Company) maintained, in all material respects, effective internal control over financial reporting as of December 31, 2018, based on the COSO criteria.</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balance sheets of the Company as of December 31, 2018 and 2017, the related statements of operations and comprehensive loss, stockholders' equity, and cash flows for each of the two years in the period ended December 31, 2018, and the related notes and our report dated February 27, 2019 expressed an unqualified opinion thereon.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Redwood City, California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96" w:name="page97"/>
    <w:bookmarkEnd w:id="96"/>
    <w:p>
      <w:pPr>
        <w:ind w:left="3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 CytomX Therapeutics, Inc.</w:t>
      </w:r>
    </w:p>
    <w:p>
      <w:pPr>
        <w:spacing w:after="0" w:line="20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In our opinion, the statements of operations and comprehensive loss, of stockholders’ equity and of cash flows for the year ended December 31, 2016 present fairly, in all material respects, the results of operations and cash flows of CytomX Therapeutics, Inc. for the year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2017</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9"/>
        </w:trPr>
        <w:tc>
          <w:tcPr>
            <w:tcW w:w="662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3"/>
                <w:szCs w:val="13"/>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5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247,577</w:t>
            </w:r>
          </w:p>
        </w:tc>
        <w:tc>
          <w:tcPr>
            <w:tcW w:w="2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177,548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188,550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9,251</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445,475</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388,601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457,108</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397,644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Convertible Preferred Stock and Stockholders' Equity</w:t>
            </w: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150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5,132</w:t>
            </w:r>
          </w:p>
        </w:tc>
        <w:tc>
          <w:tcPr>
            <w:tcW w:w="280" w:type="dxa"/>
            <w:vAlign w:val="bottom"/>
          </w:tcPr>
          <w:p>
            <w:pPr>
              <w:spacing w:after="0"/>
              <w:rPr>
                <w:sz w:val="18"/>
                <w:szCs w:val="18"/>
                <w:color w:val="auto"/>
              </w:rPr>
            </w:pPr>
          </w:p>
        </w:tc>
        <w:tc>
          <w:tcPr>
            <w:tcW w:w="2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26,724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payable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Deferred revenues, current portion</w:t>
            </w:r>
          </w:p>
        </w:tc>
        <w:tc>
          <w:tcPr>
            <w:tcW w:w="1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52,713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40,559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97,908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225,267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264,704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3,050</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326,225</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327,748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11)</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Convertible preferred stock, $0.00001 par value; 10,000,000 shares authorized at</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December 31, 2018 and 2017; no shares issued and outstanding at</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December 31, 2018 and 2017, respectively</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5"/>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Common stock, $0.00001 par value; 75,000,000 shares authorized at</w:t>
            </w: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December 31, 2018 and 2017; 45,083,209 and 38,478,560 shares issued</w:t>
            </w: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and outstanding at December 31, 2018 and 2017, respectively</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445,956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1"/>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(314,981)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(219,465)</w:t>
            </w:r>
          </w:p>
        </w:tc>
        <w:tc>
          <w:tcPr>
            <w:tcW w:w="0" w:type="dxa"/>
            <w:vAlign w:val="bottom"/>
          </w:tcPr>
          <w:p>
            <w:pPr>
              <w:spacing w:after="0"/>
              <w:rPr>
                <w:sz w:val="1"/>
                <w:szCs w:val="1"/>
                <w:color w:val="auto"/>
              </w:rPr>
            </w:pPr>
          </w:p>
        </w:tc>
      </w:tr>
      <w:tr>
        <w:trPr>
          <w:trHeight w:val="204"/>
        </w:trPr>
        <w:tc>
          <w:tcPr>
            <w:tcW w:w="6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130,883</w:t>
            </w: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69,896</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convertible preferred stock and stockholders' equity</w:t>
            </w:r>
          </w:p>
        </w:tc>
        <w:tc>
          <w:tcPr>
            <w:tcW w:w="1260" w:type="dxa"/>
            <w:vAlign w:val="bottom"/>
          </w:tcPr>
          <w:p>
            <w:pPr>
              <w:spacing w:after="0"/>
              <w:rPr>
                <w:sz w:val="17"/>
                <w:szCs w:val="17"/>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457,108</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financial statements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OPERATIONS AND COMPREHENSIVE LOSS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2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59,502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71,623</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Revenues from related parties</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760" w:type="dxa"/>
            <w:vAlign w:val="bottom"/>
            <w:tcBorders>
              <w:top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Total revenues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59,502</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71,623</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15,043</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103,866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92,277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54,755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33,510</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25,605</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19,874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7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137,376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117,882</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74,629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(46,259)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7,641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04"/>
        </w:trPr>
        <w:tc>
          <w:tcPr>
            <w:tcW w:w="6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(70,301)</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(43,612)</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(58,919)</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(513)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4"/>
        </w:trPr>
        <w:tc>
          <w:tcPr>
            <w:tcW w:w="6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(84,604)</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(43,099)</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(58,900)</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67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7"/>
                <w:szCs w:val="17"/>
                <w:color w:val="auto"/>
              </w:rPr>
              <w:t>Shares used to compute net loss per share, basic and diluted</w:t>
            </w: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rPr>
              <w:t>41,664,382</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rPr>
              <w:t>37,166,830</w:t>
            </w:r>
          </w:p>
        </w:tc>
        <w:tc>
          <w:tcPr>
            <w:tcW w:w="2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rPr>
              <w:t>36,234,732</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7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Changes in unrealized gain (losses) on investments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Total comprehensive loss</w:t>
            </w: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(43,166)</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Stockholders’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9"/>
        </w:trPr>
        <w:tc>
          <w:tcPr>
            <w:tcW w:w="4220" w:type="dxa"/>
            <w:vAlign w:val="bottom"/>
          </w:tcPr>
          <w:p>
            <w:pPr>
              <w:spacing w:after="0"/>
              <w:rPr>
                <w:sz w:val="17"/>
                <w:szCs w:val="17"/>
                <w:color w:val="auto"/>
              </w:rPr>
            </w:pPr>
          </w:p>
        </w:tc>
        <w:tc>
          <w:tcPr>
            <w:tcW w:w="2000" w:type="dxa"/>
            <w:vAlign w:val="bottom"/>
            <w:gridSpan w:val="5"/>
          </w:tcPr>
          <w:p>
            <w:pPr>
              <w:ind w:left="3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Stockholder</w:t>
            </w:r>
          </w:p>
        </w:tc>
        <w:tc>
          <w:tcPr>
            <w:tcW w:w="100" w:type="dxa"/>
            <w:vAlign w:val="bottom"/>
          </w:tcPr>
          <w:p>
            <w:pPr>
              <w:spacing w:after="0"/>
              <w:rPr>
                <w:sz w:val="17"/>
                <w:szCs w:val="17"/>
                <w:color w:val="auto"/>
              </w:rPr>
            </w:pPr>
          </w:p>
        </w:tc>
        <w:tc>
          <w:tcPr>
            <w:tcW w:w="66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340" w:type="dxa"/>
            <w:vAlign w:val="bottom"/>
            <w:gridSpan w:val="4"/>
          </w:tcPr>
          <w:p>
            <w:pPr>
              <w:jc w:val="center"/>
              <w:ind w:left="5"/>
              <w:spacing w:after="0"/>
              <w:rPr>
                <w:sz w:val="20"/>
                <w:szCs w:val="20"/>
                <w:color w:val="auto"/>
              </w:rPr>
            </w:pPr>
            <w:r>
              <w:rPr>
                <w:rFonts w:ascii="Times New Roman" w:cs="Times New Roman" w:eastAsia="Times New Roman" w:hAnsi="Times New Roman"/>
                <w:sz w:val="15"/>
                <w:szCs w:val="15"/>
                <w:b w:val="1"/>
                <w:bCs w:val="1"/>
                <w:color w:val="auto"/>
                <w:w w:val="97"/>
              </w:rPr>
              <w:t>Comprehensive</w:t>
            </w:r>
          </w:p>
        </w:tc>
        <w:tc>
          <w:tcPr>
            <w:tcW w:w="1160" w:type="dxa"/>
            <w:vAlign w:val="bottom"/>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9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CFF0FC"/>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w w:val="95"/>
              </w:rPr>
              <w:t>Amount</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Notes</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Income/(Loss)</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2015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36,033,209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243,687</w:t>
            </w:r>
          </w:p>
        </w:tc>
        <w:tc>
          <w:tcPr>
            <w:tcW w:w="40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(76)</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(117,466)</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126,068</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414,396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Issuance of common stock under the Employee Stock Purchase Plan</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31,564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in connection with services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Repayment on stockholder note</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(58,900)</w:t>
            </w:r>
          </w:p>
        </w:tc>
        <w:tc>
          <w:tcPr>
            <w:tcW w:w="1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(58,900)</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2016</w:t>
            </w: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20" w:type="dxa"/>
            <w:vAlign w:val="bottom"/>
            <w:vMerge w:val="continue"/>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36,490,169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254,871</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(176,366)</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78,479</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764,576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Issuance of common stock under the Employee Stock Purchase Plan</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67,746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pursuant to the Amgen Stock Purchase</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1,156,069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19,457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11,287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11,287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loss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0" w:type="dxa"/>
            <w:vAlign w:val="bottom"/>
          </w:tcPr>
          <w:p>
            <w:pPr>
              <w:spacing w:after="0"/>
              <w:rPr>
                <w:sz w:val="1"/>
                <w:szCs w:val="1"/>
                <w:color w:val="auto"/>
              </w:rPr>
            </w:pPr>
          </w:p>
        </w:tc>
      </w:tr>
      <w:tr>
        <w:trPr>
          <w:trHeight w:val="20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(43,099)</w:t>
            </w:r>
          </w:p>
        </w:tc>
        <w:tc>
          <w:tcPr>
            <w:tcW w:w="1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(43,099)</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2017</w:t>
            </w: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2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38,478,560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289,454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(219,465)</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Impact of adoption of new accounting pronouncements</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(10,912)</w:t>
            </w:r>
          </w:p>
        </w:tc>
        <w:tc>
          <w:tcPr>
            <w:tcW w:w="1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(10,912)</w:t>
            </w:r>
          </w:p>
        </w:tc>
        <w:tc>
          <w:tcPr>
            <w:tcW w:w="0" w:type="dxa"/>
            <w:vAlign w:val="bottom"/>
          </w:tcPr>
          <w:p>
            <w:pPr>
              <w:spacing w:after="0"/>
              <w:rPr>
                <w:sz w:val="1"/>
                <w:szCs w:val="1"/>
                <w:color w:val="auto"/>
              </w:rPr>
            </w:pPr>
          </w:p>
        </w:tc>
      </w:tr>
      <w:tr>
        <w:trPr>
          <w:trHeight w:val="187"/>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in follow-on offering, net of issuance</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costs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5,867,347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134,596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673,382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4,156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4,156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under the Employee Stock Purchase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63,920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16,878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16,878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(84,604)</w:t>
            </w:r>
          </w:p>
        </w:tc>
        <w:tc>
          <w:tcPr>
            <w:tcW w:w="1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(84,604)</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2018</w:t>
            </w: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2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45,083,209</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445,956</w:t>
            </w:r>
          </w:p>
        </w:tc>
        <w:tc>
          <w:tcPr>
            <w:tcW w:w="4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(314,981)</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130,883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w w:val="98"/>
              </w:rPr>
              <w:t>Year Ended December 31,</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0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5"/>
                <w:szCs w:val="15"/>
                <w:b w:val="1"/>
                <w:bCs w:val="1"/>
                <w:color w:val="auto"/>
              </w:rPr>
              <w:t>2017</w:t>
            </w:r>
          </w:p>
        </w:tc>
        <w:tc>
          <w:tcPr>
            <w:tcW w:w="2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2016</w:t>
            </w:r>
          </w:p>
        </w:tc>
        <w:tc>
          <w:tcPr>
            <w:tcW w:w="0" w:type="dxa"/>
            <w:vAlign w:val="bottom"/>
          </w:tcPr>
          <w:p>
            <w:pPr>
              <w:spacing w:after="0"/>
              <w:rPr>
                <w:sz w:val="1"/>
                <w:szCs w:val="1"/>
                <w:color w:val="auto"/>
              </w:rPr>
            </w:pPr>
          </w:p>
        </w:tc>
      </w:tr>
      <w:tr>
        <w:trPr>
          <w:trHeight w:val="192"/>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loss</w:t>
            </w:r>
          </w:p>
        </w:tc>
        <w:tc>
          <w:tcPr>
            <w:tcW w:w="30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(84,604)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(43,099)</w:t>
            </w: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(58,900)</w:t>
            </w:r>
          </w:p>
        </w:tc>
        <w:tc>
          <w:tcPr>
            <w:tcW w:w="0" w:type="dxa"/>
            <w:vAlign w:val="bottom"/>
          </w:tcPr>
          <w:p>
            <w:pPr>
              <w:spacing w:after="0"/>
              <w:rPr>
                <w:sz w:val="1"/>
                <w:szCs w:val="1"/>
                <w:color w:val="auto"/>
              </w:rPr>
            </w:pPr>
          </w:p>
        </w:tc>
      </w:tr>
      <w:tr>
        <w:trPr>
          <w:trHeight w:val="202"/>
        </w:trPr>
        <w:tc>
          <w:tcPr>
            <w:tcW w:w="7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Adjustments to reconcile net loss to net cash (used) provided by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Loss/(gain) on disposal of property and equipment</w:t>
            </w:r>
          </w:p>
        </w:tc>
        <w:tc>
          <w:tcPr>
            <w:tcW w:w="300" w:type="dxa"/>
            <w:vAlign w:val="bottom"/>
          </w:tcPr>
          <w:p>
            <w:pPr>
              <w:spacing w:after="0"/>
              <w:rPr>
                <w:sz w:val="17"/>
                <w:szCs w:val="17"/>
                <w:color w:val="auto"/>
              </w:rPr>
            </w:pPr>
          </w:p>
        </w:tc>
        <w:tc>
          <w:tcPr>
            <w:tcW w:w="112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202"/>
        </w:trPr>
        <w:tc>
          <w:tcPr>
            <w:tcW w:w="70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1,645</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1,733</w:t>
            </w:r>
          </w:p>
        </w:tc>
        <w:tc>
          <w:tcPr>
            <w:tcW w:w="0" w:type="dxa"/>
            <w:vAlign w:val="bottom"/>
          </w:tcPr>
          <w:p>
            <w:pPr>
              <w:spacing w:after="0"/>
              <w:rPr>
                <w:sz w:val="1"/>
                <w:szCs w:val="1"/>
                <w:color w:val="auto"/>
              </w:rPr>
            </w:pPr>
          </w:p>
        </w:tc>
      </w:tr>
      <w:tr>
        <w:trPr>
          <w:trHeight w:val="196"/>
        </w:trPr>
        <w:tc>
          <w:tcPr>
            <w:tcW w:w="70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Amortization of premium (accretion of discount) on investments</w:t>
            </w: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1,662</w:t>
            </w:r>
          </w:p>
        </w:tc>
        <w:tc>
          <w:tcPr>
            <w:tcW w:w="0" w:type="dxa"/>
            <w:vAlign w:val="bottom"/>
          </w:tcPr>
          <w:p>
            <w:pPr>
              <w:spacing w:after="0"/>
              <w:rPr>
                <w:sz w:val="1"/>
                <w:szCs w:val="1"/>
                <w:color w:val="auto"/>
              </w:rPr>
            </w:pPr>
          </w:p>
        </w:tc>
      </w:tr>
      <w:tr>
        <w:trPr>
          <w:trHeight w:val="202"/>
        </w:trPr>
        <w:tc>
          <w:tcPr>
            <w:tcW w:w="70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16,878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11,287</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10,095</w:t>
            </w:r>
          </w:p>
        </w:tc>
        <w:tc>
          <w:tcPr>
            <w:tcW w:w="0" w:type="dxa"/>
            <w:vAlign w:val="bottom"/>
          </w:tcPr>
          <w:p>
            <w:pPr>
              <w:spacing w:after="0"/>
              <w:rPr>
                <w:sz w:val="1"/>
                <w:szCs w:val="1"/>
                <w:color w:val="auto"/>
              </w:rPr>
            </w:pPr>
          </w:p>
        </w:tc>
      </w:tr>
      <w:tr>
        <w:trPr>
          <w:trHeight w:val="196"/>
        </w:trPr>
        <w:tc>
          <w:tcPr>
            <w:tcW w:w="70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Issuance of common stock in connection with services</w:t>
            </w:r>
          </w:p>
        </w:tc>
        <w:tc>
          <w:tcPr>
            <w:tcW w:w="300" w:type="dxa"/>
            <w:vAlign w:val="bottom"/>
          </w:tcPr>
          <w:p>
            <w:pPr>
              <w:spacing w:after="0"/>
              <w:rPr>
                <w:sz w:val="17"/>
                <w:szCs w:val="17"/>
                <w:color w:val="auto"/>
              </w:rPr>
            </w:pPr>
          </w:p>
        </w:tc>
        <w:tc>
          <w:tcPr>
            <w:tcW w:w="112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0" w:type="dxa"/>
            <w:vAlign w:val="bottom"/>
          </w:tcPr>
          <w:p>
            <w:pPr>
              <w:spacing w:after="0"/>
              <w:rPr>
                <w:sz w:val="1"/>
                <w:szCs w:val="1"/>
                <w:color w:val="auto"/>
              </w:rPr>
            </w:pPr>
          </w:p>
        </w:tc>
      </w:tr>
      <w:tr>
        <w:trPr>
          <w:trHeight w:val="189"/>
        </w:trPr>
        <w:tc>
          <w:tcPr>
            <w:tcW w:w="70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Non-cash acquisition of in process research and development asset charged to</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0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expense</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10,700</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70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Deferred income taxes</w:t>
            </w:r>
          </w:p>
        </w:tc>
        <w:tc>
          <w:tcPr>
            <w:tcW w:w="300" w:type="dxa"/>
            <w:vAlign w:val="bottom"/>
          </w:tcPr>
          <w:p>
            <w:pPr>
              <w:spacing w:after="0"/>
              <w:rPr>
                <w:sz w:val="17"/>
                <w:szCs w:val="17"/>
                <w:color w:val="auto"/>
              </w:rPr>
            </w:pPr>
          </w:p>
        </w:tc>
        <w:tc>
          <w:tcPr>
            <w:tcW w:w="112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(513)</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2"/>
        </w:trPr>
        <w:tc>
          <w:tcPr>
            <w:tcW w:w="70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Accounts receivable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(7,980)</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(1,787)</w:t>
            </w:r>
          </w:p>
        </w:tc>
        <w:tc>
          <w:tcPr>
            <w:tcW w:w="0" w:type="dxa"/>
            <w:vAlign w:val="bottom"/>
          </w:tcPr>
          <w:p>
            <w:pPr>
              <w:spacing w:after="0"/>
              <w:rPr>
                <w:sz w:val="1"/>
                <w:szCs w:val="1"/>
                <w:color w:val="auto"/>
              </w:rPr>
            </w:pPr>
          </w:p>
        </w:tc>
      </w:tr>
      <w:tr>
        <w:trPr>
          <w:trHeight w:val="202"/>
        </w:trPr>
        <w:tc>
          <w:tcPr>
            <w:tcW w:w="70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Related party accounts receivable</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0" w:type="dxa"/>
            <w:vAlign w:val="bottom"/>
          </w:tcPr>
          <w:p>
            <w:pPr>
              <w:spacing w:after="0"/>
              <w:rPr>
                <w:sz w:val="1"/>
                <w:szCs w:val="1"/>
                <w:color w:val="auto"/>
              </w:rPr>
            </w:pPr>
          </w:p>
        </w:tc>
      </w:tr>
      <w:tr>
        <w:trPr>
          <w:trHeight w:val="196"/>
        </w:trPr>
        <w:tc>
          <w:tcPr>
            <w:tcW w:w="70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(4,899)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(456)</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(1,597)</w:t>
            </w:r>
          </w:p>
        </w:tc>
        <w:tc>
          <w:tcPr>
            <w:tcW w:w="0" w:type="dxa"/>
            <w:vAlign w:val="bottom"/>
          </w:tcPr>
          <w:p>
            <w:pPr>
              <w:spacing w:after="0"/>
              <w:rPr>
                <w:sz w:val="1"/>
                <w:szCs w:val="1"/>
                <w:color w:val="auto"/>
              </w:rPr>
            </w:pPr>
          </w:p>
        </w:tc>
      </w:tr>
      <w:tr>
        <w:trPr>
          <w:trHeight w:val="202"/>
        </w:trPr>
        <w:tc>
          <w:tcPr>
            <w:tcW w:w="70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Other assets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1,618</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(2,609)</w:t>
            </w:r>
          </w:p>
        </w:tc>
        <w:tc>
          <w:tcPr>
            <w:tcW w:w="0" w:type="dxa"/>
            <w:vAlign w:val="bottom"/>
          </w:tcPr>
          <w:p>
            <w:pPr>
              <w:spacing w:after="0"/>
              <w:rPr>
                <w:sz w:val="1"/>
                <w:szCs w:val="1"/>
                <w:color w:val="auto"/>
              </w:rPr>
            </w:pPr>
          </w:p>
        </w:tc>
      </w:tr>
      <w:tr>
        <w:trPr>
          <w:trHeight w:val="196"/>
        </w:trPr>
        <w:tc>
          <w:tcPr>
            <w:tcW w:w="70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Accounts payable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(2,441)</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1,765</w:t>
            </w:r>
          </w:p>
        </w:tc>
        <w:tc>
          <w:tcPr>
            <w:tcW w:w="0" w:type="dxa"/>
            <w:vAlign w:val="bottom"/>
          </w:tcPr>
          <w:p>
            <w:pPr>
              <w:spacing w:after="0"/>
              <w:rPr>
                <w:sz w:val="1"/>
                <w:szCs w:val="1"/>
                <w:color w:val="auto"/>
              </w:rPr>
            </w:pPr>
          </w:p>
        </w:tc>
      </w:tr>
      <w:tr>
        <w:trPr>
          <w:trHeight w:val="202"/>
        </w:trPr>
        <w:tc>
          <w:tcPr>
            <w:tcW w:w="70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Accrued liabilities and other liabilities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24,833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9,157</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3,953</w:t>
            </w:r>
          </w:p>
        </w:tc>
        <w:tc>
          <w:tcPr>
            <w:tcW w:w="0" w:type="dxa"/>
            <w:vAlign w:val="bottom"/>
          </w:tcPr>
          <w:p>
            <w:pPr>
              <w:spacing w:after="0"/>
              <w:rPr>
                <w:sz w:val="1"/>
                <w:szCs w:val="1"/>
                <w:color w:val="auto"/>
              </w:rPr>
            </w:pPr>
          </w:p>
        </w:tc>
      </w:tr>
      <w:tr>
        <w:trPr>
          <w:trHeight w:val="196"/>
        </w:trPr>
        <w:tc>
          <w:tcPr>
            <w:tcW w:w="70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Deferred revenue</w:t>
            </w: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(38,195)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189,913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43,317</w:t>
            </w:r>
          </w:p>
        </w:tc>
        <w:tc>
          <w:tcPr>
            <w:tcW w:w="0" w:type="dxa"/>
            <w:vAlign w:val="bottom"/>
          </w:tcPr>
          <w:p>
            <w:pPr>
              <w:spacing w:after="0"/>
              <w:rPr>
                <w:sz w:val="1"/>
                <w:szCs w:val="1"/>
                <w:color w:val="auto"/>
              </w:rPr>
            </w:pPr>
          </w:p>
        </w:tc>
      </w:tr>
      <w:tr>
        <w:trPr>
          <w:trHeight w:val="20"/>
        </w:trPr>
        <w:tc>
          <w:tcPr>
            <w:tcW w:w="7000" w:type="dxa"/>
            <w:vAlign w:val="bottom"/>
            <w:vMerge w:val="restart"/>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0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(75,521)</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170,373</w:t>
            </w:r>
          </w:p>
        </w:tc>
        <w:tc>
          <w:tcPr>
            <w:tcW w:w="22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(2,032)</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(3,788)</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(1,559)</w:t>
            </w:r>
          </w:p>
        </w:tc>
        <w:tc>
          <w:tcPr>
            <w:tcW w:w="2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(2,176)</w:t>
            </w:r>
          </w:p>
        </w:tc>
        <w:tc>
          <w:tcPr>
            <w:tcW w:w="0" w:type="dxa"/>
            <w:vAlign w:val="bottom"/>
          </w:tcPr>
          <w:p>
            <w:pPr>
              <w:spacing w:after="0"/>
              <w:rPr>
                <w:sz w:val="1"/>
                <w:szCs w:val="1"/>
                <w:color w:val="auto"/>
              </w:rPr>
            </w:pPr>
          </w:p>
        </w:tc>
      </w:tr>
      <w:tr>
        <w:trPr>
          <w:trHeight w:val="196"/>
        </w:trPr>
        <w:tc>
          <w:tcPr>
            <w:tcW w:w="7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sales of assets</w:t>
            </w:r>
          </w:p>
        </w:tc>
        <w:tc>
          <w:tcPr>
            <w:tcW w:w="300" w:type="dxa"/>
            <w:vAlign w:val="bottom"/>
          </w:tcPr>
          <w:p>
            <w:pPr>
              <w:spacing w:after="0"/>
              <w:rPr>
                <w:sz w:val="17"/>
                <w:szCs w:val="17"/>
                <w:color w:val="auto"/>
              </w:rPr>
            </w:pPr>
          </w:p>
        </w:tc>
        <w:tc>
          <w:tcPr>
            <w:tcW w:w="112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202"/>
        </w:trPr>
        <w:tc>
          <w:tcPr>
            <w:tcW w:w="7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Purchases of short term investments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(204,601)</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(218,707)</w:t>
            </w:r>
          </w:p>
        </w:tc>
        <w:tc>
          <w:tcPr>
            <w:tcW w:w="2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(121,517)</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5"/>
                <w:szCs w:val="15"/>
                <w:color w:val="auto"/>
              </w:rPr>
              <w:t>Maturities of short term investments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214,315</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99,000</w:t>
            </w:r>
          </w:p>
        </w:tc>
        <w:tc>
          <w:tcPr>
            <w:tcW w:w="2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169,500</w:t>
            </w:r>
          </w:p>
        </w:tc>
        <w:tc>
          <w:tcPr>
            <w:tcW w:w="0" w:type="dxa"/>
            <w:vAlign w:val="bottom"/>
          </w:tcPr>
          <w:p>
            <w:pPr>
              <w:spacing w:after="0"/>
              <w:rPr>
                <w:sz w:val="1"/>
                <w:szCs w:val="1"/>
                <w:color w:val="auto"/>
              </w:rPr>
            </w:pPr>
          </w:p>
        </w:tc>
      </w:tr>
      <w:tr>
        <w:trPr>
          <w:trHeight w:val="194"/>
        </w:trPr>
        <w:tc>
          <w:tcPr>
            <w:tcW w:w="70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5,926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(121,266)</w:t>
            </w:r>
          </w:p>
        </w:tc>
        <w:tc>
          <w:tcPr>
            <w:tcW w:w="280" w:type="dxa"/>
            <w:vAlign w:val="bottom"/>
            <w:shd w:val="clear" w:color="auto" w:fill="CFF0FC"/>
          </w:tcPr>
          <w:p>
            <w:pPr>
              <w:spacing w:after="0"/>
              <w:rPr>
                <w:sz w:val="16"/>
                <w:szCs w:val="16"/>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45,859</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Proceeds from issuance of common stock, net of issuance costs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134,596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19,957</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7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employee stock purchases and exercise of stock options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930</w:t>
            </w:r>
          </w:p>
        </w:tc>
        <w:tc>
          <w:tcPr>
            <w:tcW w:w="0" w:type="dxa"/>
            <w:vAlign w:val="bottom"/>
          </w:tcPr>
          <w:p>
            <w:pPr>
              <w:spacing w:after="0"/>
              <w:rPr>
                <w:sz w:val="1"/>
                <w:szCs w:val="1"/>
                <w:color w:val="auto"/>
              </w:rPr>
            </w:pPr>
          </w:p>
        </w:tc>
      </w:tr>
      <w:tr>
        <w:trPr>
          <w:trHeight w:val="202"/>
        </w:trPr>
        <w:tc>
          <w:tcPr>
            <w:tcW w:w="7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Proceeds from stockholder notes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196"/>
        </w:trPr>
        <w:tc>
          <w:tcPr>
            <w:tcW w:w="7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 of deferred offering costs</w:t>
            </w:r>
          </w:p>
        </w:tc>
        <w:tc>
          <w:tcPr>
            <w:tcW w:w="300" w:type="dxa"/>
            <w:vAlign w:val="bottom"/>
          </w:tcPr>
          <w:p>
            <w:pPr>
              <w:spacing w:after="0"/>
              <w:rPr>
                <w:sz w:val="17"/>
                <w:szCs w:val="17"/>
                <w:color w:val="auto"/>
              </w:rPr>
            </w:pPr>
          </w:p>
        </w:tc>
        <w:tc>
          <w:tcPr>
            <w:tcW w:w="112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94"/>
        </w:trPr>
        <w:tc>
          <w:tcPr>
            <w:tcW w:w="7000" w:type="dxa"/>
            <w:vAlign w:val="bottom"/>
            <w:tcBorders>
              <w:top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300" w:type="dxa"/>
            <w:vAlign w:val="bottom"/>
            <w:tcBorders>
              <w:top w:val="single" w:sz="8" w:color="auto"/>
              <w:bottom w:val="single" w:sz="8" w:color="auto"/>
            </w:tcBorders>
            <w:shd w:val="clear" w:color="auto" w:fill="CFF0FC"/>
          </w:tcPr>
          <w:p>
            <w:pPr>
              <w:spacing w:after="0"/>
              <w:rPr>
                <w:sz w:val="16"/>
                <w:szCs w:val="16"/>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139,624</w:t>
            </w: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23,796</w:t>
            </w:r>
          </w:p>
        </w:tc>
        <w:tc>
          <w:tcPr>
            <w:tcW w:w="220" w:type="dxa"/>
            <w:vAlign w:val="bottom"/>
            <w:tcBorders>
              <w:top w:val="single" w:sz="8" w:color="CFF0FC"/>
              <w:right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10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996</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Net increase in cash and cash equivalents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72,903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44,823</w:t>
            </w:r>
          </w:p>
        </w:tc>
        <w:tc>
          <w:tcPr>
            <w:tcW w:w="0" w:type="dxa"/>
            <w:vAlign w:val="bottom"/>
          </w:tcPr>
          <w:p>
            <w:pPr>
              <w:spacing w:after="0"/>
              <w:rPr>
                <w:sz w:val="1"/>
                <w:szCs w:val="1"/>
                <w:color w:val="auto"/>
              </w:rPr>
            </w:pPr>
          </w:p>
        </w:tc>
      </w:tr>
      <w:tr>
        <w:trPr>
          <w:trHeight w:val="202"/>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beginning of year</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178,465</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105,562</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60,739</w:t>
            </w:r>
          </w:p>
        </w:tc>
        <w:tc>
          <w:tcPr>
            <w:tcW w:w="0" w:type="dxa"/>
            <w:vAlign w:val="bottom"/>
          </w:tcPr>
          <w:p>
            <w:pPr>
              <w:spacing w:after="0"/>
              <w:rPr>
                <w:sz w:val="1"/>
                <w:szCs w:val="1"/>
                <w:color w:val="auto"/>
              </w:rPr>
            </w:pPr>
          </w:p>
        </w:tc>
      </w:tr>
      <w:tr>
        <w:trPr>
          <w:trHeight w:val="228"/>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end of year</w:t>
            </w:r>
          </w:p>
        </w:tc>
        <w:tc>
          <w:tcPr>
            <w:tcW w:w="30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248,494</w:t>
            </w:r>
          </w:p>
        </w:tc>
        <w:tc>
          <w:tcPr>
            <w:tcW w:w="10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178,465</w:t>
            </w:r>
          </w:p>
        </w:tc>
        <w:tc>
          <w:tcPr>
            <w:tcW w:w="22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105,562</w:t>
            </w:r>
          </w:p>
        </w:tc>
        <w:tc>
          <w:tcPr>
            <w:tcW w:w="0" w:type="dxa"/>
            <w:vAlign w:val="bottom"/>
          </w:tcPr>
          <w:p>
            <w:pPr>
              <w:spacing w:after="0"/>
              <w:rPr>
                <w:sz w:val="1"/>
                <w:szCs w:val="1"/>
                <w:color w:val="auto"/>
              </w:rPr>
            </w:pPr>
          </w:p>
        </w:tc>
      </w:tr>
      <w:tr>
        <w:trPr>
          <w:trHeight w:val="179"/>
        </w:trPr>
        <w:tc>
          <w:tcPr>
            <w:tcW w:w="7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disclosures of noncash investing and financing items:</w:t>
            </w: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right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Purchases of property and equipment in accounts payable and accrued liabilities</w:t>
            </w:r>
          </w:p>
        </w:tc>
        <w:tc>
          <w:tcPr>
            <w:tcW w:w="30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1,027</w:t>
            </w:r>
          </w:p>
        </w:tc>
        <w:tc>
          <w:tcPr>
            <w:tcW w:w="100" w:type="dxa"/>
            <w:vAlign w:val="bottom"/>
          </w:tcPr>
          <w:p>
            <w:pPr>
              <w:spacing w:after="0"/>
              <w:rPr>
                <w:sz w:val="16"/>
                <w:szCs w:val="16"/>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22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Description of the Business</w:t>
      </w:r>
    </w:p>
    <w:p>
      <w:pPr>
        <w:spacing w:after="0" w:line="10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CytomX Therapeutics, Inc. (the “Company”) is a clinical-stage, oncology-focused biopharmaceutical company with a vision of transforming lives with safer, more effective therapeutics. The Company is pioneering a novel class of investigational antibody therapeutics, based on its Probody™ therapeutic technology platform, for the treatment of cancer. The Probody therapeutic approach is designed to more specifically target antibody therapeutics to the tumor microenvironment and minimize drug activity in healthy tissue and in circulation. The Company is located in South San Francisco, California and was incorporated in the state of Delaware in September 2010.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Offering</w:t>
      </w:r>
    </w:p>
    <w:p>
      <w:pPr>
        <w:spacing w:after="0" w:line="107"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7"/>
          <w:szCs w:val="17"/>
          <w:color w:val="auto"/>
        </w:rPr>
        <w:t>In July 2018, the Company completed an underwritten public offering of 5,867,347 shares of common stock at a price of $24.50 per share, which included 765,306 shares issued pursuant to the underwriters’ exercise of their option to purchase additional shares of common stock. The aggregate net proceeds received by the Company from the offering were approximately $134.6 million after deducting underwriting discounts and commissions and offering expenses of $9.2 million.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w:t>
      </w:r>
    </w:p>
    <w:p>
      <w:pPr>
        <w:spacing w:after="0" w:line="10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7"/>
          <w:szCs w:val="17"/>
          <w:color w:val="auto"/>
        </w:rPr>
        <w:t>On September 29, 2017, the Company and Amgen entered into the Purchase Agreement, pursuant to which the Company agreed to issue and sell to Amgen 1,156,069 shares (the “Shares”) of its common stock, for an aggregate cash purchase price of $20 million. The Shares were issued and sold to Amgen at a price per share of $17.30, using a calculation method of 20-day Volume Weighted Average Price (VWAP). The Closing of the sale and issuance of the Shares, including the delivery of the aggregate purchase price, occurred on October 4, 2017.</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Basis of Presentation and Summary of Significant Accounting Policies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financial statements have been prepared in conformity with accounting principles generally accepted in the United States of America (“U.S. GAAP”).</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07"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 and Other Risks and Uncertainties</w:t>
      </w:r>
    </w:p>
    <w:p>
      <w:pPr>
        <w:spacing w:after="0" w:line="10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7"/>
          <w:szCs w:val="17"/>
          <w:color w:val="auto"/>
        </w:rPr>
        <w:t>The Company is subject to a number of risks similar to other biopharmaceutical companies in the early stage,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the Company’s products, and protection of proprietary technology. If the Company does not successfully obtain regulatory approval, commercialize or partner any of its product candidates, it will be unable to generate revenue from product sales or achieve profitability.</w:t>
      </w:r>
    </w:p>
    <w:p>
      <w:pPr>
        <w:spacing w:after="0" w:line="17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a concentration of credit risk consist of cash and cash equivalents, short-term investments and accounts receivable. Substantially all the Company’s cash is held by one financial institution. Such deposits may, at times, exceed federally insured limits. The Company invests its cash equivalents and short-term investments in highly rated money market funds and its short-term investments in U.S. Government Bonds.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384" w:lineRule="exact"/>
        <w:rPr>
          <w:sz w:val="20"/>
          <w:szCs w:val="20"/>
          <w:color w:val="auto"/>
        </w:rPr>
      </w:pPr>
    </w:p>
    <w:p>
      <w:pPr>
        <w:ind w:left="1" w:right="400"/>
        <w:spacing w:after="0" w:line="268" w:lineRule="auto"/>
        <w:rPr>
          <w:sz w:val="20"/>
          <w:szCs w:val="20"/>
          <w:color w:val="auto"/>
        </w:rPr>
      </w:pPr>
      <w:r>
        <w:rPr>
          <w:rFonts w:ascii="Times New Roman" w:cs="Times New Roman" w:eastAsia="Times New Roman" w:hAnsi="Times New Roman"/>
          <w:sz w:val="17"/>
          <w:szCs w:val="17"/>
          <w:color w:val="auto"/>
        </w:rPr>
        <w:t>Customers and collaboration partners who represent 10% or more of the Company’s total revenue during each period presented or accounts receivable balance at each respective balance sheet date are as follows (in thousands):</w:t>
      </w:r>
    </w:p>
    <w:p>
      <w:pPr>
        <w:spacing w:after="0" w:line="229" w:lineRule="exact"/>
        <w:rPr>
          <w:sz w:val="20"/>
          <w:szCs w:val="20"/>
          <w:color w:val="auto"/>
        </w:rPr>
      </w:pPr>
    </w:p>
    <w:tbl>
      <w:tblPr>
        <w:tblLayout w:type="fixed"/>
        <w:tblInd w:w="1" w:type="dxa"/>
        <w:tblCellMar>
          <w:top w:w="0" w:type="dxa"/>
          <w:left w:w="0" w:type="dxa"/>
          <w:bottom w:w="0" w:type="dxa"/>
          <w:right w:w="0" w:type="dxa"/>
        </w:tblCellMar>
      </w:tblPr>
      <w:tr>
        <w:trPr>
          <w:trHeight w:val="159"/>
        </w:trPr>
        <w:tc>
          <w:tcPr>
            <w:tcW w:w="15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Accounts Receivable, net</w:t>
            </w:r>
          </w:p>
        </w:tc>
      </w:tr>
      <w:tr>
        <w:trPr>
          <w:trHeight w:val="142"/>
        </w:trPr>
        <w:tc>
          <w:tcPr>
            <w:tcW w:w="15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3"/>
          </w:tcPr>
          <w:p>
            <w:pPr>
              <w:ind w:left="560"/>
              <w:spacing w:after="0" w:line="142"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520" w:type="dxa"/>
            <w:vAlign w:val="bottom"/>
            <w:tcBorders>
              <w:bottom w:val="single" w:sz="8" w:color="CFF0FC"/>
            </w:tcBorders>
          </w:tcPr>
          <w:p>
            <w:pPr>
              <w:spacing w:after="0"/>
              <w:rPr>
                <w:sz w:val="12"/>
                <w:szCs w:val="12"/>
                <w:color w:val="auto"/>
              </w:rPr>
            </w:pPr>
          </w:p>
        </w:tc>
        <w:tc>
          <w:tcPr>
            <w:tcW w:w="38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2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2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Borders>
              <w:bottom w:val="single" w:sz="8" w:color="CFF0FC"/>
            </w:tcBorders>
          </w:tcPr>
          <w:p>
            <w:pPr>
              <w:spacing w:after="0"/>
              <w:rPr>
                <w:sz w:val="12"/>
                <w:szCs w:val="12"/>
                <w:color w:val="auto"/>
              </w:rPr>
            </w:pPr>
          </w:p>
        </w:tc>
      </w:tr>
      <w:tr>
        <w:trPr>
          <w:trHeight w:val="216"/>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AbbVie Ireland Unlimited Company</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18,997</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19,434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r>
      <w:tr>
        <w:trPr>
          <w:trHeight w:val="224"/>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Bristol-Myers Squibb Company</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32,780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36,492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3"/>
              </w:rPr>
              <w:t>97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10,126</w:t>
            </w:r>
          </w:p>
        </w:tc>
        <w:tc>
          <w:tcPr>
            <w:tcW w:w="100" w:type="dxa"/>
            <w:vAlign w:val="bottom"/>
          </w:tcPr>
          <w:p>
            <w:pPr>
              <w:spacing w:after="0"/>
              <w:rPr>
                <w:sz w:val="19"/>
                <w:szCs w:val="19"/>
                <w:color w:val="auto"/>
              </w:rPr>
            </w:pPr>
          </w:p>
        </w:tc>
      </w:tr>
      <w:tr>
        <w:trPr>
          <w:trHeight w:val="224"/>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ImmunoGen, Inc.</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12,503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4"/>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Pfizer Inc.</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r>
      <w:tr>
        <w:trPr>
          <w:trHeight w:val="187"/>
        </w:trPr>
        <w:tc>
          <w:tcPr>
            <w:tcW w:w="5380" w:type="dxa"/>
            <w:vAlign w:val="bottom"/>
            <w:tcBorders>
              <w:top w:val="single" w:sz="8" w:color="CFF0FC"/>
            </w:tcBorders>
            <w:gridSpan w:val="2"/>
            <w:shd w:val="clear" w:color="auto" w:fill="CFF0FC"/>
          </w:tcPr>
          <w:p>
            <w:pPr>
              <w:ind w:left="220"/>
              <w:spacing w:after="0" w:line="187" w:lineRule="exact"/>
              <w:rPr>
                <w:sz w:val="20"/>
                <w:szCs w:val="20"/>
                <w:color w:val="auto"/>
              </w:rPr>
            </w:pPr>
            <w:r>
              <w:rPr>
                <w:rFonts w:ascii="Times New Roman" w:cs="Times New Roman" w:eastAsia="Times New Roman" w:hAnsi="Times New Roman"/>
                <w:sz w:val="17"/>
                <w:szCs w:val="17"/>
                <w:color w:val="auto"/>
              </w:rPr>
              <w:t>Total revenue from customers who represent 10%</w:t>
            </w:r>
          </w:p>
        </w:tc>
        <w:tc>
          <w:tcPr>
            <w:tcW w:w="2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15"/>
        </w:trPr>
        <w:tc>
          <w:tcPr>
            <w:tcW w:w="53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or more of the Company's total revenue</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51,777</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68,429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15,043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7"/>
                <w:szCs w:val="17"/>
                <w:color w:val="auto"/>
                <w:w w:val="93"/>
              </w:rPr>
              <w:t>97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10,126</w:t>
            </w:r>
          </w:p>
        </w:tc>
        <w:tc>
          <w:tcPr>
            <w:tcW w:w="100" w:type="dxa"/>
            <w:vAlign w:val="bottom"/>
            <w:shd w:val="clear" w:color="auto" w:fill="CFF0FC"/>
          </w:tcPr>
          <w:p>
            <w:pPr>
              <w:spacing w:after="0"/>
              <w:rPr>
                <w:sz w:val="18"/>
                <w:szCs w:val="18"/>
                <w:color w:val="auto"/>
              </w:rPr>
            </w:pPr>
          </w:p>
        </w:tc>
      </w:tr>
      <w:tr>
        <w:trPr>
          <w:trHeight w:val="20"/>
        </w:trPr>
        <w:tc>
          <w:tcPr>
            <w:tcW w:w="1520" w:type="dxa"/>
            <w:vAlign w:val="bottom"/>
            <w:tcBorders>
              <w:top w:val="single" w:sz="8" w:color="CFF0FC"/>
            </w:tcBorders>
          </w:tcPr>
          <w:p>
            <w:pPr>
              <w:spacing w:after="0" w:line="20" w:lineRule="exact"/>
              <w:rPr>
                <w:sz w:val="1"/>
                <w:szCs w:val="1"/>
                <w:color w:val="auto"/>
              </w:rPr>
            </w:pPr>
          </w:p>
        </w:tc>
        <w:tc>
          <w:tcPr>
            <w:tcW w:w="38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02"/>
        </w:trPr>
        <w:tc>
          <w:tcPr>
            <w:tcW w:w="152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1" w:lineRule="exact"/>
        <w:rPr>
          <w:sz w:val="20"/>
          <w:szCs w:val="20"/>
          <w:color w:val="auto"/>
        </w:rPr>
      </w:pPr>
    </w:p>
    <w:p>
      <w:pPr>
        <w:ind w:left="501" w:hanging="501"/>
        <w:spacing w:after="0"/>
        <w:tabs>
          <w:tab w:leader="none" w:pos="501"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from the customer was less than 10% of the Company’s total revenue for the respective periods presented.</w:t>
      </w:r>
    </w:p>
    <w:p>
      <w:pPr>
        <w:spacing w:after="0" w:line="20" w:lineRule="exact"/>
        <w:rPr>
          <w:sz w:val="20"/>
          <w:szCs w:val="20"/>
          <w:color w:val="auto"/>
        </w:rPr>
      </w:pPr>
    </w:p>
    <w:p>
      <w:pPr>
        <w:ind w:left="1" w:right="1040" w:hanging="1"/>
        <w:spacing w:after="0" w:line="537" w:lineRule="auto"/>
        <w:tabs>
          <w:tab w:leader="none" w:pos="51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balance from the customer was less than 10% of the Company’s total accounts receivable as of the respective periods presented. All of the Company’s customers are located in the United States of America.</w:t>
      </w:r>
    </w:p>
    <w:p>
      <w:pPr>
        <w:spacing w:after="0" w:line="7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Segments</w:t>
      </w:r>
    </w:p>
    <w:p>
      <w:pPr>
        <w:spacing w:after="0" w:line="107" w:lineRule="exact"/>
        <w:rPr>
          <w:sz w:val="20"/>
          <w:szCs w:val="20"/>
          <w:color w:val="auto"/>
        </w:rPr>
      </w:pPr>
    </w:p>
    <w:p>
      <w:pPr>
        <w:ind w:left="1" w:right="20"/>
        <w:spacing w:after="0" w:line="300" w:lineRule="auto"/>
        <w:rPr>
          <w:sz w:val="20"/>
          <w:szCs w:val="20"/>
          <w:color w:val="auto"/>
        </w:rPr>
      </w:pPr>
      <w:r>
        <w:rPr>
          <w:rFonts w:ascii="Times New Roman" w:cs="Times New Roman" w:eastAsia="Times New Roman" w:hAnsi="Times New Roman"/>
          <w:sz w:val="16"/>
          <w:szCs w:val="16"/>
          <w:color w:val="auto"/>
        </w:rPr>
        <w:t>Management has determined that it has one business activity and operates as one operating segment as it only reports financial information on an aggregate basis to its chief executive officer and chief financial officer, who are the Company’s chief operating decision makers. All long-lived assets are maintained in the United States of America.</w:t>
      </w:r>
    </w:p>
    <w:p>
      <w:pPr>
        <w:spacing w:after="0" w:line="23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The Company considers all highly liquid investments purchased with original maturities of three months or less at the date of purchase to be cash equivalents.</w:t>
      </w:r>
    </w:p>
    <w:p>
      <w:pPr>
        <w:spacing w:after="0" w:line="3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Restricted cash represents a standby letter of credit issued pursuant to an office lease entered in December 2015.</w:t>
      </w:r>
    </w:p>
    <w:p>
      <w:pPr>
        <w:spacing w:after="0" w:line="202" w:lineRule="exact"/>
        <w:rPr>
          <w:sz w:val="20"/>
          <w:szCs w:val="20"/>
          <w:color w:val="auto"/>
        </w:rPr>
      </w:pPr>
    </w:p>
    <w:p>
      <w:pPr>
        <w:ind w:left="1" w:right="120"/>
        <w:spacing w:after="0" w:line="268"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balance sheets that sum to the total of the amounts shown in the statement of cash flows (in thousands):</w:t>
      </w:r>
    </w:p>
    <w:p>
      <w:pPr>
        <w:spacing w:after="0" w:line="229" w:lineRule="exact"/>
        <w:rPr>
          <w:sz w:val="20"/>
          <w:szCs w:val="20"/>
          <w:color w:val="auto"/>
        </w:rPr>
      </w:pPr>
    </w:p>
    <w:tbl>
      <w:tblPr>
        <w:tblLayout w:type="fixed"/>
        <w:tblInd w:w="1721" w:type="dxa"/>
        <w:tblCellMar>
          <w:top w:w="0" w:type="dxa"/>
          <w:left w:w="0" w:type="dxa"/>
          <w:bottom w:w="0" w:type="dxa"/>
          <w:right w:w="0" w:type="dxa"/>
        </w:tblCellMar>
      </w:tblPr>
      <w:tr>
        <w:trPr>
          <w:trHeight w:val="159"/>
        </w:trPr>
        <w:tc>
          <w:tcPr>
            <w:tcW w:w="5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1"/>
        </w:trPr>
        <w:tc>
          <w:tcPr>
            <w:tcW w:w="53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4"/>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80" w:type="dxa"/>
            <w:vAlign w:val="bottom"/>
            <w:tcBorders>
              <w:bottom w:val="single" w:sz="8" w:color="CFF0FC"/>
            </w:tcBorders>
          </w:tcPr>
          <w:p>
            <w:pPr>
              <w:spacing w:after="0"/>
              <w:rPr>
                <w:sz w:val="12"/>
                <w:szCs w:val="12"/>
                <w:color w:val="auto"/>
              </w:rPr>
            </w:pPr>
          </w:p>
        </w:tc>
      </w:tr>
      <w:tr>
        <w:trPr>
          <w:trHeight w:val="204"/>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247,577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177,548</w:t>
            </w:r>
          </w:p>
        </w:tc>
        <w:tc>
          <w:tcPr>
            <w:tcW w:w="80" w:type="dxa"/>
            <w:vAlign w:val="bottom"/>
            <w:shd w:val="clear" w:color="auto" w:fill="CFF0FC"/>
          </w:tcPr>
          <w:p>
            <w:pPr>
              <w:spacing w:after="0"/>
              <w:rPr>
                <w:sz w:val="17"/>
                <w:szCs w:val="17"/>
                <w:color w:val="auto"/>
              </w:rPr>
            </w:pPr>
          </w:p>
        </w:tc>
      </w:tr>
      <w:tr>
        <w:trPr>
          <w:trHeight w:val="211"/>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80" w:type="dxa"/>
            <w:vAlign w:val="bottom"/>
            <w:tcBorders>
              <w:bottom w:val="single" w:sz="8" w:color="CFF0FC"/>
            </w:tcBorders>
          </w:tcPr>
          <w:p>
            <w:pPr>
              <w:spacing w:after="0"/>
              <w:rPr>
                <w:sz w:val="18"/>
                <w:szCs w:val="18"/>
                <w:color w:val="auto"/>
              </w:rPr>
            </w:pPr>
          </w:p>
        </w:tc>
      </w:tr>
      <w:tr>
        <w:trPr>
          <w:trHeight w:val="204"/>
        </w:trPr>
        <w:tc>
          <w:tcPr>
            <w:tcW w:w="53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248,494</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178,465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w:t>
      </w:r>
    </w:p>
    <w:p>
      <w:pPr>
        <w:spacing w:after="0" w:line="107" w:lineRule="exact"/>
        <w:rPr>
          <w:sz w:val="20"/>
          <w:szCs w:val="20"/>
          <w:color w:val="auto"/>
        </w:rPr>
      </w:pPr>
    </w:p>
    <w:p>
      <w:pPr>
        <w:ind w:left="1"/>
        <w:spacing w:after="0" w:line="256" w:lineRule="auto"/>
        <w:rPr>
          <w:sz w:val="20"/>
          <w:szCs w:val="20"/>
          <w:color w:val="auto"/>
        </w:rPr>
      </w:pPr>
      <w:r>
        <w:rPr>
          <w:rFonts w:ascii="Times New Roman" w:cs="Times New Roman" w:eastAsia="Times New Roman" w:hAnsi="Times New Roman"/>
          <w:sz w:val="17"/>
          <w:szCs w:val="17"/>
          <w:color w:val="auto"/>
        </w:rPr>
        <w:t>All investments have been classified as “available-for-sale” and are carried at fair value as determined based upon quoted market prices or pricing models for similar securities at period end. Generally, those investments with contractual maturities greater than 12 months are considered long-term investments. Unrealized gains and losses, deemed temporary in nature, are reported as a component of accumulated other comprehensive income (loss), net of tax.</w:t>
      </w:r>
    </w:p>
    <w:p>
      <w:pPr>
        <w:spacing w:after="0" w:line="170" w:lineRule="exact"/>
        <w:rPr>
          <w:sz w:val="20"/>
          <w:szCs w:val="20"/>
          <w:color w:val="auto"/>
        </w:rPr>
      </w:pPr>
    </w:p>
    <w:p>
      <w:pPr>
        <w:ind w:left="1" w:right="100"/>
        <w:spacing w:after="0" w:line="252" w:lineRule="auto"/>
        <w:rPr>
          <w:sz w:val="20"/>
          <w:szCs w:val="20"/>
          <w:color w:val="auto"/>
        </w:rPr>
      </w:pPr>
      <w:r>
        <w:rPr>
          <w:rFonts w:ascii="Times New Roman" w:cs="Times New Roman" w:eastAsia="Times New Roman" w:hAnsi="Times New Roman"/>
          <w:sz w:val="17"/>
          <w:szCs w:val="17"/>
          <w:color w:val="auto"/>
        </w:rPr>
        <w:t>A decline in the fair value of any security below cost that is deemed other than temporary results in a charge to earnings and the corresponding establishment of a new cost basis for the security.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98690"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119" w:right="239" w:bottom="1440" w:gutter="0" w:footer="0" w:header="0"/>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0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Property and equipment are recorded at cost net of accumulated depreciation and amortization. Depreciation is provided using the straight-line method over the estimated useful lives of the respective assets. The useful lives of property and equipment are as follows:</w:t>
      </w:r>
    </w:p>
    <w:p>
      <w:pPr>
        <w:spacing w:after="0" w:line="176" w:lineRule="exact"/>
        <w:rPr>
          <w:sz w:val="20"/>
          <w:szCs w:val="20"/>
          <w:color w:val="auto"/>
        </w:rPr>
      </w:pPr>
    </w:p>
    <w:tbl>
      <w:tblPr>
        <w:tblLayout w:type="fixed"/>
        <w:tblInd w:w="2280" w:type="dxa"/>
        <w:tblCellMar>
          <w:top w:w="0" w:type="dxa"/>
          <w:left w:w="0" w:type="dxa"/>
          <w:bottom w:w="0" w:type="dxa"/>
          <w:right w:w="0" w:type="dxa"/>
        </w:tblCellMar>
      </w:tblPr>
      <w:tr>
        <w:trPr>
          <w:trHeight w:val="211"/>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Machinery and equipment</w:t>
            </w:r>
          </w:p>
        </w:tc>
        <w:tc>
          <w:tcPr>
            <w:tcW w:w="37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7"/>
                <w:szCs w:val="17"/>
                <w:color w:val="auto"/>
              </w:rPr>
              <w:t>5 years</w:t>
            </w:r>
          </w:p>
        </w:tc>
      </w:tr>
      <w:tr>
        <w:trPr>
          <w:trHeight w:val="211"/>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37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3 years</w:t>
            </w:r>
          </w:p>
        </w:tc>
      </w:tr>
      <w:tr>
        <w:trPr>
          <w:trHeight w:val="211"/>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37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7"/>
                <w:szCs w:val="17"/>
                <w:color w:val="auto"/>
              </w:rPr>
              <w:t>3 years</w:t>
            </w:r>
          </w:p>
        </w:tc>
      </w:tr>
      <w:tr>
        <w:trPr>
          <w:trHeight w:val="195"/>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37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Shorter of remaining lease term or</w:t>
            </w:r>
          </w:p>
        </w:tc>
      </w:tr>
      <w:tr>
        <w:trPr>
          <w:trHeight w:val="216"/>
        </w:trPr>
        <w:tc>
          <w:tcPr>
            <w:tcW w:w="3080" w:type="dxa"/>
            <w:vAlign w:val="bottom"/>
          </w:tcPr>
          <w:p>
            <w:pPr>
              <w:spacing w:after="0"/>
              <w:rPr>
                <w:sz w:val="18"/>
                <w:szCs w:val="18"/>
                <w:color w:val="auto"/>
              </w:rPr>
            </w:pPr>
          </w:p>
        </w:tc>
        <w:tc>
          <w:tcPr>
            <w:tcW w:w="37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estimated life of the assets</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Maintenance and repairs that do not extend the life or improve the asset are expensed when incurred.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10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Goodwill represents the excess of the purchase price paid over the fair value of tangible and identifiable intangible assets acquired in business combinations. Goodwill and other intangible assets with indefinite lives are not amortized, but are assigned to reporting units and tested for impairment annually, or whenever there is an impairment indicator. Intangible assets are comprised of in-process research and development. The Company assesses impairment indicators annually as of December 31 or more frequently, if a change in circumstances or the occurrence of events suggests the remaining value may not be recoverable. Intangible assets that are not deemed to have an indefinite life are amortized over their estimated useful lives. There was no impairment of goodwill or intangible assets identified during the years ended December 31, 2018, 2017 and 2016.</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Long-lived assets are reviewed for impairment whenever events or changes in circumstances indicate that the carrying amount of an asset (or asset group) may not be recoverable and prior to any goodwill impairment test. An impairment loss is recognized when the total of estimated undiscounted future cash flows expected to result from the use of the asset (or asset group) and its eventual disposition is less than its carrying amount. Impairment, if any, would be assessed using discounted cash flows or other appropriate measures of fair value. There was no impairment of long-lived assets during the years ended December 31, 2018, 2017 and 2016.</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 xml:space="preserve">On January 1, 2018, the Company adopted Accounting Standards Update No. 2014-09, </w:t>
      </w:r>
      <w:r>
        <w:rPr>
          <w:rFonts w:ascii="Times New Roman" w:cs="Times New Roman" w:eastAsia="Times New Roman" w:hAnsi="Times New Roman"/>
          <w:sz w:val="17"/>
          <w:szCs w:val="17"/>
          <w:i w:val="1"/>
          <w:iCs w:val="1"/>
          <w:color w:val="auto"/>
        </w:rPr>
        <w:t>Revenue from Contracts with Customers (Topic 606)</w:t>
      </w:r>
      <w:r>
        <w:rPr>
          <w:rFonts w:ascii="Times New Roman" w:cs="Times New Roman" w:eastAsia="Times New Roman" w:hAnsi="Times New Roman"/>
          <w:sz w:val="17"/>
          <w:szCs w:val="17"/>
          <w:color w:val="auto"/>
        </w:rPr>
        <w:t xml:space="preserve">, which supersedes the revenue recognition requirements in Accounting Standards Codification (ASC) Topic 605, </w:t>
      </w:r>
      <w:r>
        <w:rPr>
          <w:rFonts w:ascii="Times New Roman" w:cs="Times New Roman" w:eastAsia="Times New Roman" w:hAnsi="Times New Roman"/>
          <w:sz w:val="17"/>
          <w:szCs w:val="17"/>
          <w:i w:val="1"/>
          <w:iCs w:val="1"/>
          <w:color w:val="auto"/>
        </w:rPr>
        <w:t>Revenue Recognition (ASC 605)</w:t>
      </w:r>
      <w:r>
        <w:rPr>
          <w:rFonts w:ascii="Times New Roman" w:cs="Times New Roman" w:eastAsia="Times New Roman" w:hAnsi="Times New Roman"/>
          <w:sz w:val="17"/>
          <w:szCs w:val="17"/>
          <w:color w:val="auto"/>
        </w:rPr>
        <w:t>, using the modified retrospective transition method applied to those contracts which were not completed as of January 1, 2018. Results for reporting periods beginning after January 1, 2018 are presented under ASC 606, while prior period amounts have not been adjusted and continue to be reported in accordance with our historic accounting under ASC 605.</w:t>
      </w:r>
    </w:p>
    <w:p>
      <w:pPr>
        <w:spacing w:after="0" w:line="20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6"/>
          <w:szCs w:val="16"/>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 In the event that the Company receives non-cash consideration such as in the form of a research license and research support services from the counterparty, under ASC 606, the transaction price of a non-monetary exchange that has commercial substance is estimated based on the fair value of the non-cash consideration received, which may be determined through a valuation analysis.</w:t>
      </w:r>
    </w:p>
    <w:p>
      <w:pPr>
        <w:spacing w:after="0" w:line="18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7"/>
          <w:szCs w:val="17"/>
          <w:color w:val="auto"/>
        </w:rPr>
        <w:t>The Company assesses whether the promises in its arrangements with customers are considered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119" w:right="25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2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The transaction price in each arrangement is allocated to the identified performance obligations based on the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8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The Company’s collaboration and license agreements may include contingent payments related to specified research, development and regulatory milestones. Such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At each reporting date, the Company 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Once determined, the transaction price is allocated to each performance obligation on a relative SSP basis. At the end of each subsequent reporting period, the Company re-evaluates the probability or achievement of each such milestone and any related constraint, and if necessary, adjusts its estimate of the overall transaction price.</w:t>
      </w:r>
    </w:p>
    <w:p>
      <w:pPr>
        <w:spacing w:after="0" w:line="21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17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AbbVie Ireland Unlimited Company (“AbbVie”), one of the Company’s collaboration partners, entered into a license agreement with Seattle Genetics, Inc. (“SGEN”) to license certain intellectual property rights. As part of the Company’s collaboration agreement with AbbVie, the Company pays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Loss</w:t>
      </w:r>
    </w:p>
    <w:p>
      <w:pPr>
        <w:spacing w:after="0" w:line="10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Comprehensive loss represents all changes in stockholders’ equity except those resulting from distributions to stockholders. The Company’s unrealized gains and losses on short-term investments represent the only component of other comprehensive income (loss) that is excluded from the reported net loss.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107"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7"/>
          <w:szCs w:val="17"/>
          <w:color w:val="auto"/>
        </w:rPr>
        <w:t>Customer payments are recorded as deferred revenue upon receipt or when due and may require deferral of revenue recognition to a future period until the Company performs its obligations under these arrangements. Amounts payable to the Company are recorded as accounts receivable when the Company’s right to consideration is unconditional.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 xml:space="preserve">The Company measures its stock-based awards made to employees based on the fair values of the awards as of the grant date using the Black-Scholes option-pricing model. Stock-based compensation expense is recognized over the requisite service period using the ratable method and is based on the value of the portion of stock-based payment awards that is ultimately expected to vest. Prior to 2017, the Company’s stock-based compensation is reduced for the estimated forfeitures at the date of grant and revised in subsequent periods if actual forfeitures differ from those estimates. After the adoption of ASU No. 2016-09, </w:t>
      </w:r>
      <w:r>
        <w:rPr>
          <w:rFonts w:ascii="Times New Roman" w:cs="Times New Roman" w:eastAsia="Times New Roman" w:hAnsi="Times New Roman"/>
          <w:sz w:val="17"/>
          <w:szCs w:val="17"/>
          <w:i w:val="1"/>
          <w:iCs w:val="1"/>
          <w:color w:val="auto"/>
        </w:rPr>
        <w:t>Compensation - Stock Compensation (Topic 718):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Improvements to Employee Share-Based Payment Accounting </w:t>
      </w:r>
      <w:r>
        <w:rPr>
          <w:rFonts w:ascii="Times New Roman" w:cs="Times New Roman" w:eastAsia="Times New Roman" w:hAnsi="Times New Roman"/>
          <w:sz w:val="17"/>
          <w:szCs w:val="17"/>
          <w:color w:val="auto"/>
        </w:rPr>
        <w:t>(“ASU 2016-09”) in 2017, forfeitures are recognized as they occur.</w:t>
      </w:r>
    </w:p>
    <w:p>
      <w:pPr>
        <w:spacing w:after="0" w:line="17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Stock-based compensation expense for options granted to non-employees as consideration for services received is measured on the date of performance at the fair value of the consideration received or the fair value of the equity instruments issued, using the Black-Scholes option-pricing model, whichever can be more reliably measured. Compensation expense for options granted to non- employees is periodically remeasured as the underlying options vest.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0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The Company accounts for income taxes using an asset and liability approach. Deferred tax assets and liabilities reflect the net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Company records a valuation allowance to reduce its deferred tax assets to reflect the net amount that it believes as more likely than not to be realized. Realization of the deferred tax assets is dependent on the generation of future taxable income, the amount and timing of which are uncertain. The valuation allowance requires an assessment of both positive and negative evidence when determining whether it is more likely than not that deferred tax assets are recoverable. Based upon the weight of available evidence at December 31, 2018, the Company continues to maintain a full valuation allowance against all of its deferred tax assets after management considered all available evidence, both positive and negative, including but not limited to its historical operating results, income or loss in recent periods, cumulative income in recent years, forecasted earnings, future taxable income, and significant risk and uncertainty related to forecasts.</w:t>
      </w:r>
    </w:p>
    <w:p>
      <w:pPr>
        <w:spacing w:after="0" w:line="17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The Company recognizes the tax effects of an uncertain tax position only if it is more likely than not that it will be sustained based solely on its technical merits as of the reporting date and only in an amount more likely than not that it will be sustained upon review by the tax authorities. The Company evaluates uncertain tax positions on a quarterly basis and adjust the liability for changes in facts and circumstances, such as new regulations or interpretations by the taxing authorities,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its uncertain income tax positions is dependent on uncontrollable factors such as law changes, new case law, and the willingness of the income tax authorities to settle, including the timing thereof and other factors. Although the Company does not anticipate significant changes to its uncertain income tax positions in the next twelve months, items outside of its control could cause its uncertain income tax positions to change in the future, which would be recorded in its statements of operations. Interest and/or penalties related to income tax matters are recognized as a component of income tax expense.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Research and Development Costs</w:t>
      </w:r>
    </w:p>
    <w:p>
      <w:pPr>
        <w:spacing w:after="0" w:line="10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spacing w:after="0" w:line="22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7"/>
          <w:szCs w:val="17"/>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119"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7"/>
          <w:szCs w:val="17"/>
          <w:color w:val="auto"/>
        </w:rPr>
        <w:t>Certain reclassifications have been made to prior period amounts to conform to current period presentation. Such reclassifications have no effect on revenues, loss from operations or net loss as previously reported.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Adopted and Recent Accounting Pronouncements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63238"/>
        </w:rPr>
        <w:t>Adopted Accounting Pronouncements</w:t>
      </w:r>
    </w:p>
    <w:p>
      <w:pPr>
        <w:spacing w:after="0" w:line="10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 xml:space="preserve">In May 2014, the Financial Accounting Standards Board (“FASB”) issued Accounting Standards Update (“ASU”) No.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(Topic 606)</w:t>
      </w:r>
      <w:r>
        <w:rPr>
          <w:rFonts w:ascii="Times New Roman" w:cs="Times New Roman" w:eastAsia="Times New Roman" w:hAnsi="Times New Roman"/>
          <w:sz w:val="16"/>
          <w:szCs w:val="16"/>
          <w:color w:val="auto"/>
        </w:rPr>
        <w:t>, which requires an entity to recognize the amount of revenue to which it expects to be entitled for the transfer of promised goods or services to customers. ASU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2014-09 replaced most existing revenue recognition guidance in U.S. GAAP. The standard permits the use of either the retrospective or cumulative effect transition method. Additionally, in March 2016, the FASB issued ASU No. 2016-08, </w:t>
      </w:r>
      <w:r>
        <w:rPr>
          <w:rFonts w:ascii="Times New Roman" w:cs="Times New Roman" w:eastAsia="Times New Roman" w:hAnsi="Times New Roman"/>
          <w:sz w:val="16"/>
          <w:szCs w:val="16"/>
          <w:i w:val="1"/>
          <w:iCs w:val="1"/>
          <w:color w:val="auto"/>
        </w:rPr>
        <w:t>Revenue from Contracts with Customers (Topic 606):</w:t>
      </w:r>
      <w:r>
        <w:rPr>
          <w:rFonts w:ascii="Times New Roman" w:cs="Times New Roman" w:eastAsia="Times New Roman" w:hAnsi="Times New Roman"/>
          <w:sz w:val="16"/>
          <w:szCs w:val="16"/>
          <w:color w:val="auto"/>
        </w:rPr>
        <w:t xml:space="preserve"> Principal versus Agent Considerations (Reporting Revenue Gross versus Net), which clarifies the implementation guidance on principal versus agent considerations in ASU No. 2014-09. In April 2016, the FASB issued ASU No. 2016-10, </w:t>
      </w:r>
      <w:r>
        <w:rPr>
          <w:rFonts w:ascii="Times New Roman" w:cs="Times New Roman" w:eastAsia="Times New Roman" w:hAnsi="Times New Roman"/>
          <w:sz w:val="16"/>
          <w:szCs w:val="16"/>
          <w:i w:val="1"/>
          <w:iCs w:val="1"/>
          <w:color w:val="auto"/>
        </w:rPr>
        <w:t>Revenue from Contracts with Customers (Topic 606)</w:t>
      </w:r>
      <w:r>
        <w:rPr>
          <w:rFonts w:ascii="Times New Roman" w:cs="Times New Roman" w:eastAsia="Times New Roman" w:hAnsi="Times New Roman"/>
          <w:sz w:val="16"/>
          <w:szCs w:val="16"/>
          <w:color w:val="auto"/>
        </w:rPr>
        <w:t xml:space="preserve">: Identifying Performance Obligations and Licensing, which clarifies certain aspects of identifying performance obligations and licensing implementation guidance. In May 2016, the FASB issued ASU No. 2016-12, </w:t>
      </w:r>
      <w:r>
        <w:rPr>
          <w:rFonts w:ascii="Times New Roman" w:cs="Times New Roman" w:eastAsia="Times New Roman" w:hAnsi="Times New Roman"/>
          <w:sz w:val="16"/>
          <w:szCs w:val="16"/>
          <w:i w:val="1"/>
          <w:iCs w:val="1"/>
          <w:color w:val="auto"/>
        </w:rPr>
        <w:t>Revenue from Contracts with Customers (Topic 606)</w:t>
      </w:r>
      <w:r>
        <w:rPr>
          <w:rFonts w:ascii="Times New Roman" w:cs="Times New Roman" w:eastAsia="Times New Roman" w:hAnsi="Times New Roman"/>
          <w:sz w:val="16"/>
          <w:szCs w:val="16"/>
          <w:color w:val="auto"/>
        </w:rPr>
        <w:t>: Narrow-Scope Improvements and Practical Expedients, which relates to disclosures of remaining performance obligations, as well as other amendments to guidance on collectability, non-cash consideration and the presentation of sales and other similar taxes collected from customers. These standards (collectively Accounting Standard Codification Topic 606 (“ASC 606”) have the same effective date and transition date of January 1, 2018. The Company adopted ASC 606 on January 1, 2018, using the modified retrospective transition method. The Company elected to use the practical expedient for contract modifications whereby the aggregate effect of all modifications that occurred prior to the transition date can be reflected when identifying performance obligations and determining and allocating the transaction price.</w:t>
      </w:r>
    </w:p>
    <w:p>
      <w:pPr>
        <w:spacing w:after="0" w:line="16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The Company evaluated its contracts with customers under ASC 606. The impact of adopting ASC 606 on the Company’s results of operations, financial condition, and cash flows varies depending on the contract. The Company recorded adjustments upon the adoption of ASC 606 as a result of the different accounting treatment of its revenue agreements with respect to the inclusion of milestone payments in the initial transaction price and the method to be used to recognize upfront fees. Under the prior revenue recognition standard, milestone payments were recognized when earned and upfront fees were generally recognized as revenue over the research term on a straight-line basis if another method of revenue recognition did not more clearly match the pattern of delivery of goods or services to the customer. Under ASC 606, milestone payments are included in the initial transaction price when it is probable that a significant reversal of the milestone payment will not occur. In addition, the Company can no longer default to the straight-line method as the default method in recognizing revenue for goods or services delivered over time. As such, the amount and timing of revenue recognition for its collaboration agreements changed under ASC 606. The impact of the adoption of ASC 606 was an increase in the balance of deferred revenue and an increase in the accumulated deficit balance of $10.9 million on January 1, 2018 in the Company’s Balance Sheet.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07" w:name="page108"/>
    <w:bookmarkEnd w:id="107"/>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impact of adopting ASC 606 on select balance sheet line items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As of December 31, 2018</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3"/>
                <w:szCs w:val="13"/>
                <w:b w:val="1"/>
                <w:bCs w:val="1"/>
                <w:color w:val="auto"/>
              </w:rPr>
              <w:t>Balances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jc w:val="center"/>
              <w:ind w:right="203"/>
              <w:spacing w:after="0" w:line="119" w:lineRule="exact"/>
              <w:rPr>
                <w:sz w:val="20"/>
                <w:szCs w:val="20"/>
                <w:color w:val="auto"/>
              </w:rPr>
            </w:pPr>
            <w:r>
              <w:rPr>
                <w:rFonts w:ascii="Times New Roman" w:cs="Times New Roman" w:eastAsia="Times New Roman" w:hAnsi="Times New Roman"/>
                <w:sz w:val="13"/>
                <w:szCs w:val="13"/>
                <w:b w:val="1"/>
                <w:bCs w:val="1"/>
                <w:color w:val="auto"/>
              </w:rPr>
              <w:t>As Reported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3"/>
                <w:szCs w:val="13"/>
                <w:b w:val="1"/>
                <w:bCs w:val="1"/>
                <w:color w:val="auto"/>
              </w:rPr>
              <w:t>Under ASC</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60" w:type="dxa"/>
            <w:vAlign w:val="bottom"/>
          </w:tcPr>
          <w:p>
            <w:pPr>
              <w:spacing w:after="0"/>
              <w:rPr>
                <w:sz w:val="11"/>
                <w:szCs w:val="11"/>
                <w:color w:val="auto"/>
              </w:rPr>
            </w:pPr>
          </w:p>
        </w:tc>
        <w:tc>
          <w:tcPr>
            <w:tcW w:w="128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3"/>
                <w:szCs w:val="13"/>
                <w:b w:val="1"/>
                <w:bCs w:val="1"/>
                <w:color w:val="auto"/>
              </w:rPr>
              <w:t>Under ASC</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4"/>
              <w:spacing w:after="0"/>
              <w:rPr>
                <w:sz w:val="20"/>
                <w:szCs w:val="20"/>
                <w:color w:val="auto"/>
              </w:rPr>
            </w:pPr>
            <w:r>
              <w:rPr>
                <w:rFonts w:ascii="Times New Roman" w:cs="Times New Roman" w:eastAsia="Times New Roman" w:hAnsi="Times New Roman"/>
                <w:sz w:val="13"/>
                <w:szCs w:val="13"/>
                <w:b w:val="1"/>
                <w:bCs w:val="1"/>
                <w:color w:val="auto"/>
              </w:rPr>
              <w:t>605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w w:val="92"/>
              </w:rPr>
              <w:t>606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payable</w:t>
            </w:r>
          </w:p>
        </w:tc>
        <w:tc>
          <w:tcPr>
            <w:tcW w:w="14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14,886</w:t>
            </w:r>
          </w:p>
        </w:tc>
        <w:tc>
          <w:tcPr>
            <w:tcW w:w="80" w:type="dxa"/>
            <w:vAlign w:val="bottom"/>
          </w:tcPr>
          <w:p>
            <w:pPr>
              <w:spacing w:after="0"/>
              <w:rPr>
                <w:sz w:val="18"/>
                <w:szCs w:val="18"/>
                <w:color w:val="auto"/>
              </w:rPr>
            </w:pPr>
          </w:p>
        </w:tc>
        <w:tc>
          <w:tcPr>
            <w:tcW w:w="42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(1,547)</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3,249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(199)</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3,050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revenue - current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Deferred revenue - long-term</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214,790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10,477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225,267</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(298,825)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(16,156)</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(314,981)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5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rPr>
              <w:t>Three Months Ended December 31, 2018</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3"/>
                <w:szCs w:val="13"/>
                <w:b w:val="1"/>
                <w:bCs w:val="1"/>
                <w:color w:val="auto"/>
              </w:rPr>
              <w:t>Balances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jc w:val="center"/>
              <w:ind w:right="203"/>
              <w:spacing w:after="0" w:line="119" w:lineRule="exact"/>
              <w:rPr>
                <w:sz w:val="20"/>
                <w:szCs w:val="20"/>
                <w:color w:val="auto"/>
              </w:rPr>
            </w:pPr>
            <w:r>
              <w:rPr>
                <w:rFonts w:ascii="Times New Roman" w:cs="Times New Roman" w:eastAsia="Times New Roman" w:hAnsi="Times New Roman"/>
                <w:sz w:val="13"/>
                <w:szCs w:val="13"/>
                <w:b w:val="1"/>
                <w:bCs w:val="1"/>
                <w:color w:val="auto"/>
              </w:rPr>
              <w:t>As Reported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3"/>
                <w:szCs w:val="13"/>
                <w:b w:val="1"/>
                <w:bCs w:val="1"/>
                <w:color w:val="auto"/>
              </w:rPr>
              <w:t>Under ASC</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60" w:type="dxa"/>
            <w:vAlign w:val="bottom"/>
          </w:tcPr>
          <w:p>
            <w:pPr>
              <w:spacing w:after="0"/>
              <w:rPr>
                <w:sz w:val="11"/>
                <w:szCs w:val="11"/>
                <w:color w:val="auto"/>
              </w:rPr>
            </w:pPr>
          </w:p>
        </w:tc>
        <w:tc>
          <w:tcPr>
            <w:tcW w:w="128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3"/>
                <w:szCs w:val="13"/>
                <w:b w:val="1"/>
                <w:bCs w:val="1"/>
                <w:color w:val="auto"/>
              </w:rPr>
              <w:t>Under ASC</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4"/>
              <w:spacing w:after="0"/>
              <w:rPr>
                <w:sz w:val="20"/>
                <w:szCs w:val="20"/>
                <w:color w:val="auto"/>
              </w:rPr>
            </w:pPr>
            <w:r>
              <w:rPr>
                <w:rFonts w:ascii="Times New Roman" w:cs="Times New Roman" w:eastAsia="Times New Roman" w:hAnsi="Times New Roman"/>
                <w:sz w:val="13"/>
                <w:szCs w:val="13"/>
                <w:b w:val="1"/>
                <w:bCs w:val="1"/>
                <w:color w:val="auto"/>
              </w:rPr>
              <w:t>605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w w:val="92"/>
              </w:rPr>
              <w:t>606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Revenue</w:t>
            </w:r>
          </w:p>
        </w:tc>
        <w:tc>
          <w:tcPr>
            <w:tcW w:w="1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10,022</w:t>
            </w: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2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11,471</w:t>
            </w: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(27,260)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(24,770)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(23,321)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(2,654)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(36,336)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4,103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(32,233)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Year Ended December 31, 2018</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3"/>
                <w:szCs w:val="13"/>
                <w:b w:val="1"/>
                <w:bCs w:val="1"/>
                <w:color w:val="auto"/>
              </w:rPr>
              <w:t>Balances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jc w:val="center"/>
              <w:ind w:right="203"/>
              <w:spacing w:after="0" w:line="119" w:lineRule="exact"/>
              <w:rPr>
                <w:sz w:val="20"/>
                <w:szCs w:val="20"/>
                <w:color w:val="auto"/>
              </w:rPr>
            </w:pPr>
            <w:r>
              <w:rPr>
                <w:rFonts w:ascii="Times New Roman" w:cs="Times New Roman" w:eastAsia="Times New Roman" w:hAnsi="Times New Roman"/>
                <w:sz w:val="13"/>
                <w:szCs w:val="13"/>
                <w:b w:val="1"/>
                <w:bCs w:val="1"/>
                <w:color w:val="auto"/>
              </w:rPr>
              <w:t>As Reported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3"/>
                <w:szCs w:val="13"/>
                <w:b w:val="1"/>
                <w:bCs w:val="1"/>
                <w:color w:val="auto"/>
              </w:rPr>
              <w:t>Under ASC</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60" w:type="dxa"/>
            <w:vAlign w:val="bottom"/>
          </w:tcPr>
          <w:p>
            <w:pPr>
              <w:spacing w:after="0"/>
              <w:rPr>
                <w:sz w:val="11"/>
                <w:szCs w:val="11"/>
                <w:color w:val="auto"/>
              </w:rPr>
            </w:pPr>
          </w:p>
        </w:tc>
        <w:tc>
          <w:tcPr>
            <w:tcW w:w="128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3"/>
                <w:szCs w:val="13"/>
                <w:b w:val="1"/>
                <w:bCs w:val="1"/>
                <w:color w:val="auto"/>
              </w:rPr>
              <w:t>Under ASC</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4"/>
              <w:spacing w:after="0"/>
              <w:rPr>
                <w:sz w:val="20"/>
                <w:szCs w:val="20"/>
                <w:color w:val="auto"/>
              </w:rPr>
            </w:pPr>
            <w:r>
              <w:rPr>
                <w:rFonts w:ascii="Times New Roman" w:cs="Times New Roman" w:eastAsia="Times New Roman" w:hAnsi="Times New Roman"/>
                <w:sz w:val="13"/>
                <w:szCs w:val="13"/>
                <w:b w:val="1"/>
                <w:bCs w:val="1"/>
                <w:color w:val="auto"/>
              </w:rPr>
              <w:t>605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w w:val="92"/>
              </w:rPr>
              <w:t>606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Revenue</w:t>
            </w:r>
          </w:p>
        </w:tc>
        <w:tc>
          <w:tcPr>
            <w:tcW w:w="1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65,966</w:t>
            </w: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(6,464)</w:t>
            </w:r>
          </w:p>
        </w:tc>
        <w:tc>
          <w:tcPr>
            <w:tcW w:w="2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59,502</w:t>
            </w: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(71,410)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(6,464)</w:t>
            </w:r>
          </w:p>
        </w:tc>
        <w:tc>
          <w:tcPr>
            <w:tcW w:w="2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(77,874)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(63,837)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(6,464)</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(70,301)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(1,746)</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(79,886)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(4,718)</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(84,604)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(0.11)</w:t>
            </w:r>
          </w:p>
        </w:tc>
        <w:tc>
          <w:tcPr>
            <w:tcW w:w="2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Year Ended December 31, 2018</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3"/>
                <w:szCs w:val="13"/>
                <w:b w:val="1"/>
                <w:bCs w:val="1"/>
                <w:color w:val="auto"/>
              </w:rPr>
              <w:t>Balances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jc w:val="center"/>
              <w:ind w:right="203"/>
              <w:spacing w:after="0" w:line="119" w:lineRule="exact"/>
              <w:rPr>
                <w:sz w:val="20"/>
                <w:szCs w:val="20"/>
                <w:color w:val="auto"/>
              </w:rPr>
            </w:pPr>
            <w:r>
              <w:rPr>
                <w:rFonts w:ascii="Times New Roman" w:cs="Times New Roman" w:eastAsia="Times New Roman" w:hAnsi="Times New Roman"/>
                <w:sz w:val="13"/>
                <w:szCs w:val="13"/>
                <w:b w:val="1"/>
                <w:bCs w:val="1"/>
                <w:color w:val="auto"/>
              </w:rPr>
              <w:t>As Reported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3"/>
                <w:szCs w:val="13"/>
                <w:b w:val="1"/>
                <w:bCs w:val="1"/>
                <w:color w:val="auto"/>
              </w:rPr>
              <w:t>Under ASC</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60" w:type="dxa"/>
            <w:vAlign w:val="bottom"/>
          </w:tcPr>
          <w:p>
            <w:pPr>
              <w:spacing w:after="0"/>
              <w:rPr>
                <w:sz w:val="11"/>
                <w:szCs w:val="11"/>
                <w:color w:val="auto"/>
              </w:rPr>
            </w:pPr>
          </w:p>
        </w:tc>
        <w:tc>
          <w:tcPr>
            <w:tcW w:w="128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3"/>
                <w:szCs w:val="13"/>
                <w:b w:val="1"/>
                <w:bCs w:val="1"/>
                <w:color w:val="auto"/>
              </w:rPr>
              <w:t>Under ASC</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4"/>
              <w:spacing w:after="0"/>
              <w:rPr>
                <w:sz w:val="20"/>
                <w:szCs w:val="20"/>
                <w:color w:val="auto"/>
              </w:rPr>
            </w:pPr>
            <w:r>
              <w:rPr>
                <w:rFonts w:ascii="Times New Roman" w:cs="Times New Roman" w:eastAsia="Times New Roman" w:hAnsi="Times New Roman"/>
                <w:sz w:val="13"/>
                <w:szCs w:val="13"/>
                <w:b w:val="1"/>
                <w:bCs w:val="1"/>
                <w:color w:val="auto"/>
              </w:rPr>
              <w:t>605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w w:val="92"/>
              </w:rPr>
              <w:t>606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w:t>
            </w:r>
          </w:p>
        </w:tc>
        <w:tc>
          <w:tcPr>
            <w:tcW w:w="14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(79,886)</w:t>
            </w:r>
          </w:p>
        </w:tc>
        <w:tc>
          <w:tcPr>
            <w:tcW w:w="42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(4,718)</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(84,604)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 income tax payable and other long-term liabilities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(1,746)</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(44,659)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6,464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(38,195)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7"/>
        </w:trPr>
        <w:tc>
          <w:tcPr>
            <w:tcW w:w="5200" w:type="dxa"/>
            <w:vAlign w:val="bottom"/>
          </w:tcPr>
          <w:p>
            <w:pPr>
              <w:spacing w:after="0"/>
              <w:rPr>
                <w:sz w:val="24"/>
                <w:szCs w:val="24"/>
                <w:color w:val="auto"/>
              </w:rPr>
            </w:pPr>
          </w:p>
        </w:tc>
        <w:tc>
          <w:tcPr>
            <w:tcW w:w="1240" w:type="dxa"/>
            <w:vAlign w:val="bottom"/>
          </w:tcPr>
          <w:p>
            <w:pPr>
              <w:jc w:val="right"/>
              <w:ind w:right="517"/>
              <w:spacing w:after="0"/>
              <w:rPr>
                <w:sz w:val="20"/>
                <w:szCs w:val="20"/>
                <w:color w:val="auto"/>
              </w:rPr>
            </w:pPr>
            <w:r>
              <w:rPr>
                <w:rFonts w:ascii="Times New Roman" w:cs="Times New Roman" w:eastAsia="Times New Roman" w:hAnsi="Times New Roman"/>
                <w:sz w:val="17"/>
                <w:szCs w:val="17"/>
                <w:color w:val="auto"/>
              </w:rPr>
              <w:t>106</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19" w:right="19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2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7"/>
          <w:szCs w:val="17"/>
          <w:color w:val="auto"/>
        </w:rPr>
        <w:t xml:space="preserve">In August 2016, the FASB issued ASU No. 2016-15, </w:t>
      </w:r>
      <w:r>
        <w:rPr>
          <w:rFonts w:ascii="Times New Roman" w:cs="Times New Roman" w:eastAsia="Times New Roman" w:hAnsi="Times New Roman"/>
          <w:sz w:val="17"/>
          <w:szCs w:val="17"/>
          <w:i w:val="1"/>
          <w:iCs w:val="1"/>
          <w:color w:val="auto"/>
        </w:rPr>
        <w:t>Statement of Cash Flows (Topic 230): Classification of Certain Cash Receipts and Cash Payments</w:t>
      </w:r>
      <w:r>
        <w:rPr>
          <w:rFonts w:ascii="Times New Roman" w:cs="Times New Roman" w:eastAsia="Times New Roman" w:hAnsi="Times New Roman"/>
          <w:sz w:val="17"/>
          <w:szCs w:val="17"/>
          <w:color w:val="auto"/>
        </w:rPr>
        <w:t>. The new standard provides clarification on the cash flow presentation and classification of certain transactions, including debt prepayment or extinguishment, settlement of certain debt instruments, contingent consideration payments made after a business combination, proceeds from the settlement of certain insurance claims and distributions received from equity method investees. The Company adopted this standard in its first quarter ended March 31, 2018. The adoption of this standard had no significant impact on the Company’s financial statements.</w:t>
      </w:r>
    </w:p>
    <w:p>
      <w:pPr>
        <w:spacing w:after="0" w:line="17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color w:val="auto"/>
        </w:rPr>
        <w:t xml:space="preserve">In November 2016, the FASB issued ASU No. 2016-18, </w:t>
      </w:r>
      <w:r>
        <w:rPr>
          <w:rFonts w:ascii="Times New Roman" w:cs="Times New Roman" w:eastAsia="Times New Roman" w:hAnsi="Times New Roman"/>
          <w:sz w:val="16"/>
          <w:szCs w:val="16"/>
          <w:i w:val="1"/>
          <w:iCs w:val="1"/>
          <w:color w:val="auto"/>
        </w:rPr>
        <w:t>Restricted Cash, Statement of Cash Flows (Topic 230)</w:t>
      </w:r>
      <w:r>
        <w:rPr>
          <w:rFonts w:ascii="Times New Roman" w:cs="Times New Roman" w:eastAsia="Times New Roman" w:hAnsi="Times New Roman"/>
          <w:sz w:val="16"/>
          <w:szCs w:val="16"/>
          <w:color w:val="auto"/>
        </w:rPr>
        <w:t>. ASU 2016-18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Company adopted this standard in its first quarter ended March 31, 2018. The Company has revised the presentation of restricted cash in its Statements of Cash Flows and provided the additional disclosures required under this standard.</w:t>
      </w:r>
    </w:p>
    <w:p>
      <w:pPr>
        <w:spacing w:after="0" w:line="158"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7"/>
          <w:szCs w:val="17"/>
          <w:color w:val="auto"/>
        </w:rPr>
        <w:t xml:space="preserve">In May 2017, the FASB issued ASU No. 2017-09, </w:t>
      </w:r>
      <w:r>
        <w:rPr>
          <w:rFonts w:ascii="Times New Roman" w:cs="Times New Roman" w:eastAsia="Times New Roman" w:hAnsi="Times New Roman"/>
          <w:sz w:val="17"/>
          <w:szCs w:val="17"/>
          <w:i w:val="1"/>
          <w:iCs w:val="1"/>
          <w:color w:val="auto"/>
        </w:rPr>
        <w:t>Compensation - Stock Compensation (Topic 718): Scope of Modification Accounting</w:t>
      </w:r>
      <w:r>
        <w:rPr>
          <w:rFonts w:ascii="Times New Roman" w:cs="Times New Roman" w:eastAsia="Times New Roman" w:hAnsi="Times New Roman"/>
          <w:sz w:val="17"/>
          <w:szCs w:val="17"/>
          <w:color w:val="auto"/>
        </w:rPr>
        <w:t>. This accounting standard update provides clarity when a change to terms or conditions of a share-based payment award must be accounted for as a modification. The new guidance requires modification accounting if the vesting condition, fair value or the award classification is not the same both before and after a change to the terms and conditions of the award. The Company adopted this standard on January 1, 2018. The adoption of this standard did not impact on the Company’s financial position or results of operations for the year ended December 31, 2018.</w:t>
      </w:r>
    </w:p>
    <w:p>
      <w:pPr>
        <w:spacing w:after="0" w:line="17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 xml:space="preserve">In March 2018, the FASB issued ASU No. 2018-05, </w:t>
      </w:r>
      <w:r>
        <w:rPr>
          <w:rFonts w:ascii="Times New Roman" w:cs="Times New Roman" w:eastAsia="Times New Roman" w:hAnsi="Times New Roman"/>
          <w:sz w:val="17"/>
          <w:szCs w:val="17"/>
          <w:i w:val="1"/>
          <w:iCs w:val="1"/>
          <w:color w:val="auto"/>
        </w:rPr>
        <w:t>Income Taxes (Topic 740): Amendments to SEC Paragraphs Pursuant to SEC Staff Accounting Bulletin No. 118 (SEC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Update)</w:t>
      </w:r>
      <w:r>
        <w:rPr>
          <w:rFonts w:ascii="Times New Roman" w:cs="Times New Roman" w:eastAsia="Times New Roman" w:hAnsi="Times New Roman"/>
          <w:sz w:val="17"/>
          <w:szCs w:val="17"/>
          <w:color w:val="auto"/>
        </w:rPr>
        <w:t>. This standard adds various SEC paragraphs pursuant to the issuance of SEC Staff Accounting Bulletin No. 118, which clarifies the SEC Staff’s views on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 accounting implications of the Tax Cuts and Jobs Act (the “Tax Act”). It requires reporting of provisional amounts for specific income tax effects of the Tax Act for which the accounting under ASC Topic 740 will be incomplete, but a reasonable estimate can be determined. For provisional amounts for income tax effects of the Tax Act for which a reasonable estimate cannot be determined, ASC Topic 740 should be applied based on provisions of the tax laws that were in effect immediately prior to the Tax Act being enacted. Provisional amounts for income tax effects for which a reasonable estimate cannot be determined would be reported in the first reporting period in which a reasonable estimate can be determined. The provisional amounts during a measurement period do not extent beyond one year of the enactment date. As a result, the Company previously provided a provisional estimate of the effect of the Tax Act. In the fourth quarter of 2018, the Company completed the analysis to determine the effect of the Tax Act. No material adjustments were recorded as of December 31, 2018.</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1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 xml:space="preserve">In February 2016, the FASB issued ASU No. 2016-02,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that amends the guidance for the accounting and disclosure of leases. This new standard requires that lessees recognize on the balance sheet the assets and liabilities that arise from leases, including leases classified as operating leases under current GAAP, and disclose qualitative and quantitative information about leasing arrangements. The new standard requires a modified retrospective approach to adoption and is effective for interim and annual periods beginning after December 15, 2018 but may be adopted earlier. In July 2018, the FASB further amended this standard to allow for a new transition method that provides the option to use the effective date as the date of initial application. The Company will adopt this standard using the modified retrospective approach on the effective date of January 1, 2019.</w:t>
      </w:r>
    </w:p>
    <w:p>
      <w:pPr>
        <w:spacing w:after="0" w:line="17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The Company has elected the package of practical expedients permitted under ASC 842. Accordingly, the Company continues to account for its existing operating leases as operating leases under the new guidance, without reassessing (a) whether the contracts contain a lease under ASC 842, (b) whether classification of the operating leases would be different in accordance with ASC 842, or (c) whether the unamortized initial direct costs before transition adjustments would have met the definition of initial direct costs in ASC 842 at lease commencement. In addition, the Company also elected the short-term lease practical expedients allowed under the standard. As a result of the adoption of ASC 842, the Company expects to recognize on January 1, 2019 on its balance sheet a right-of-use asset and a lease liability of approximately $27 million to $32 million. This standard will not have material impact on the Company’s results of operations or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2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 xml:space="preserve">In June 2016, the FASB issued ASU No. 2016-13, </w:t>
      </w:r>
      <w:r>
        <w:rPr>
          <w:rFonts w:ascii="Times New Roman" w:cs="Times New Roman" w:eastAsia="Times New Roman" w:hAnsi="Times New Roman"/>
          <w:sz w:val="16"/>
          <w:szCs w:val="16"/>
          <w:i w:val="1"/>
          <w:iCs w:val="1"/>
          <w:color w:val="auto"/>
        </w:rPr>
        <w:t>Financial Instruments-Credit Losses (Topic 326): Measurement of Credit Losses on Financial Instruments</w:t>
      </w:r>
      <w:r>
        <w:rPr>
          <w:rFonts w:ascii="Times New Roman" w:cs="Times New Roman" w:eastAsia="Times New Roman" w:hAnsi="Times New Roman"/>
          <w:sz w:val="16"/>
          <w:szCs w:val="16"/>
          <w:color w:val="auto"/>
        </w:rPr>
        <w:t>. The new standard changes the impairment model for most financial assets and certain other 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The new standard will be effective for the Company on January 1, 2020. The Company is currently evaluating the impact of this new guidance.</w:t>
      </w:r>
    </w:p>
    <w:p>
      <w:pPr>
        <w:spacing w:after="0" w:line="18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 xml:space="preserve">In January 2017, the FASB issued ASU No. 2017-04, </w:t>
      </w:r>
      <w:r>
        <w:rPr>
          <w:rFonts w:ascii="Times New Roman" w:cs="Times New Roman" w:eastAsia="Times New Roman" w:hAnsi="Times New Roman"/>
          <w:sz w:val="17"/>
          <w:szCs w:val="17"/>
          <w:i w:val="1"/>
          <w:iCs w:val="1"/>
          <w:color w:val="auto"/>
        </w:rPr>
        <w:t>Intangibles-Goodwill and Other (Topic 350): Simplifying the Test for Goodwill Impairment</w:t>
      </w:r>
      <w:r>
        <w:rPr>
          <w:rFonts w:ascii="Times New Roman" w:cs="Times New Roman" w:eastAsia="Times New Roman" w:hAnsi="Times New Roman"/>
          <w:sz w:val="17"/>
          <w:szCs w:val="17"/>
          <w:color w:val="auto"/>
        </w:rPr>
        <w:t>. The new standard simplifies the measurement of goodwill by eliminating the Step 2 impairment test. Step 2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new guidance becomes effective for goodwill impairment tests in fiscal years beginning after December 15, 2019, though early adoption is permitted. The Company is currently evaluating the impact of this new guidance.</w:t>
      </w:r>
    </w:p>
    <w:p>
      <w:pPr>
        <w:spacing w:after="0" w:line="21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7"/>
          <w:szCs w:val="17"/>
          <w:color w:val="auto"/>
        </w:rPr>
        <w:t xml:space="preserve">In February 2018, the FASB issued ASU No. 2018-02, </w:t>
      </w:r>
      <w:r>
        <w:rPr>
          <w:rFonts w:ascii="Times New Roman" w:cs="Times New Roman" w:eastAsia="Times New Roman" w:hAnsi="Times New Roman"/>
          <w:sz w:val="17"/>
          <w:szCs w:val="17"/>
          <w:i w:val="1"/>
          <w:iCs w:val="1"/>
          <w:color w:val="auto"/>
        </w:rPr>
        <w:t>Income Statement - Reporting Comprehensive Income (Topic 220): Reclassification of Certain Tax Effects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Accumulated Other Comprehensive Income</w:t>
      </w:r>
      <w:r>
        <w:rPr>
          <w:rFonts w:ascii="Times New Roman" w:cs="Times New Roman" w:eastAsia="Times New Roman" w:hAnsi="Times New Roman"/>
          <w:sz w:val="17"/>
          <w:szCs w:val="17"/>
          <w:color w:val="auto"/>
        </w:rPr>
        <w:t>. The amendments in this standard allows a reclassification from accumulated other comprehensive income to retained earnings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stranded tax effects resulting from the Tax Cuts and Jobs Act. The new standard will be effective for the Company on January 1, 2019. The Company does not expect the adoption of this ASU will have a material impact on its financial statements.</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 xml:space="preserve">In June 2018, the FASB issued ASU No. 2018-07, </w:t>
      </w:r>
      <w:r>
        <w:rPr>
          <w:rFonts w:ascii="Times New Roman" w:cs="Times New Roman" w:eastAsia="Times New Roman" w:hAnsi="Times New Roman"/>
          <w:sz w:val="17"/>
          <w:szCs w:val="17"/>
          <w:i w:val="1"/>
          <w:iCs w:val="1"/>
          <w:color w:val="auto"/>
        </w:rPr>
        <w:t>Compensation - Stock Compensation (Topic 718): Improvements to Nonemployee Share-Based Payment Accounting</w:t>
      </w:r>
      <w:r>
        <w:rPr>
          <w:rFonts w:ascii="Times New Roman" w:cs="Times New Roman" w:eastAsia="Times New Roman" w:hAnsi="Times New Roman"/>
          <w:sz w:val="17"/>
          <w:szCs w:val="17"/>
          <w:color w:val="auto"/>
        </w:rPr>
        <w:t>. The amendments in this ASU expand the scope of Topic 718 to include share-based payment transactions for acquiring goods and services from nonemployees. This new guidance is effective for the Company on January 1, 2019 with early adoption permitted. The Company does not expect the adoption of this ASU will have a material impact on its financial statements.</w:t>
      </w:r>
    </w:p>
    <w:p>
      <w:pPr>
        <w:spacing w:after="0" w:line="19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 xml:space="preserve">In August 2018, the FASB issued ASU No. 2018-13, </w:t>
      </w:r>
      <w:r>
        <w:rPr>
          <w:rFonts w:ascii="Times New Roman" w:cs="Times New Roman" w:eastAsia="Times New Roman" w:hAnsi="Times New Roman"/>
          <w:sz w:val="16"/>
          <w:szCs w:val="16"/>
          <w:i w:val="1"/>
          <w:iCs w:val="1"/>
          <w:color w:val="auto"/>
        </w:rPr>
        <w:t>Fair Value Measurement (Topic 820)</w:t>
      </w:r>
      <w:r>
        <w:rPr>
          <w:rFonts w:ascii="Times New Roman" w:cs="Times New Roman" w:eastAsia="Times New Roman" w:hAnsi="Times New Roman"/>
          <w:sz w:val="16"/>
          <w:szCs w:val="16"/>
          <w:color w:val="auto"/>
        </w:rPr>
        <w:t>. The amendments in this ASU modify the disclosure requirements on fair value measurements in Topic 820, Fair Value Measurement. Various disclosure requirements have been removed, including the amount of and reasons for transfers between Level 1 and Level 2 of the fair value hierarchy, the policy for timing of transfers between levels, the valuation processes for Level 3 fair value measurements held at the end of the reporting period. The ASU also modified various disclosure requirements and added some disclosure requirements for Level 3 fair value measurements. The amendments in this ASU are effective for the Company on January 1, 2020. The additional disclosures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An entity is permitted to early adopt any removed or modified disclosures upon issuance of this ASU and delay adoption of the additional disclosures until their effective date. The Company does not expect the adoption of this ASU will have a material impact on its financial statements.</w:t>
      </w:r>
    </w:p>
    <w:p>
      <w:pPr>
        <w:spacing w:after="0" w:line="20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 xml:space="preserve">In August 2018, the FASB issued ASU No. 2018-15, </w:t>
      </w:r>
      <w:r>
        <w:rPr>
          <w:rFonts w:ascii="Times New Roman" w:cs="Times New Roman" w:eastAsia="Times New Roman" w:hAnsi="Times New Roman"/>
          <w:sz w:val="17"/>
          <w:szCs w:val="17"/>
          <w:i w:val="1"/>
          <w:iCs w:val="1"/>
          <w:color w:val="auto"/>
        </w:rPr>
        <w:t>Intangibles-Goodwill and Other- Internal-Use Software (Subtopic 350-40)</w:t>
      </w:r>
      <w:r>
        <w:rPr>
          <w:rFonts w:ascii="Times New Roman" w:cs="Times New Roman" w:eastAsia="Times New Roman" w:hAnsi="Times New Roman"/>
          <w:sz w:val="17"/>
          <w:szCs w:val="17"/>
          <w:color w:val="auto"/>
        </w:rPr>
        <w:t>. The amendments in this ASU on the accounting for implementation, setup and other upfront costs (collectively “implementation costs”) apply to entities that are a customer in a hosting arrangement. The amendments under this ASU align the requirements for capitalizing implementation costs incurred in a hosting arrangement that is a service contract with the requirements for capitalizing implementation costs incurred to develop or obtain internal-use software. Accordingly, the amendments in this ASU require an entity in a hosting arrangement that is a service contract to follow the guidance in Subtopic 350-40 to determine which implementation costs to expense. They also require an entity to expense the capitalized implementation costs of a hosting arrangement that is a service contract over the term of the hosting arrangement. This ASU is effective for the Company on January 1, 2020. The Company is currently evaluating the impact of this new guidance.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2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 xml:space="preserve">In November 2018, the FASB issued ASU No. 2018-18, </w:t>
      </w:r>
      <w:r>
        <w:rPr>
          <w:rFonts w:ascii="Times New Roman" w:cs="Times New Roman" w:eastAsia="Times New Roman" w:hAnsi="Times New Roman"/>
          <w:sz w:val="17"/>
          <w:szCs w:val="17"/>
          <w:i w:val="1"/>
          <w:iCs w:val="1"/>
          <w:color w:val="auto"/>
        </w:rPr>
        <w:t>Collaborative Arrangements (Topic 808): Clarifying the interaction between Topic 808 and Topic 606</w:t>
      </w:r>
      <w:r>
        <w:rPr>
          <w:rFonts w:ascii="Times New Roman" w:cs="Times New Roman" w:eastAsia="Times New Roman" w:hAnsi="Times New Roman"/>
          <w:sz w:val="17"/>
          <w:szCs w:val="17"/>
          <w:color w:val="auto"/>
        </w:rPr>
        <w:t>. The amendments in this ASU targeted improvements to generally accepted accounting principles for collaborative arrangements by clarifying that certain transactions 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In addition, unit-of-account guidance in Topic 808 was aligned with the guidance in Topic 606 (that is, a distinct good or service) when an entity is assessing whether the collaborative arrangement or a part of the arrangement is within the scope of Topic 606. The ASU is effective for the Company on January 1, 2020, and interim periods within those fiscal years. Early adoption is permitted. The Company is currently evaluating the impact of this new guidance.</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Net Loss Per Share Attributable to Common Stockholders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for the period. Diluted net loss per share attributable to common stockholders is calculated using the weighted-average number of common shares outstanding, plus potential dilutive common stock during the period. Diluted net loss per share attributable to common stockholders is the same as basic net loss per share attributable to common stockholders since the effect of the potentially dilutive securities is anti-dilutive.</w:t>
      </w:r>
    </w:p>
    <w:p>
      <w:pPr>
        <w:spacing w:after="0" w:line="19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The following weighted-average outstanding shares of potentially dilutive securities were excluded from the computation of diluted net loss per share as their effect would have been anti-dilutive:</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48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480" w:type="dxa"/>
            <w:vAlign w:val="bottom"/>
          </w:tcPr>
          <w:p>
            <w:pPr>
              <w:spacing w:after="0"/>
              <w:rPr>
                <w:sz w:val="12"/>
                <w:szCs w:val="12"/>
                <w:color w:val="auto"/>
              </w:rPr>
            </w:pPr>
          </w:p>
        </w:tc>
        <w:tc>
          <w:tcPr>
            <w:tcW w:w="1360" w:type="dxa"/>
            <w:vAlign w:val="bottom"/>
          </w:tcPr>
          <w:p>
            <w:pPr>
              <w:jc w:val="right"/>
              <w:ind w:right="485"/>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600" w:type="dxa"/>
            <w:vAlign w:val="bottom"/>
            <w:gridSpan w:val="2"/>
          </w:tcPr>
          <w:p>
            <w:pPr>
              <w:jc w:val="right"/>
              <w:ind w:right="477"/>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240" w:type="dxa"/>
            <w:vAlign w:val="bottom"/>
          </w:tcPr>
          <w:p>
            <w:pPr>
              <w:spacing w:after="0"/>
              <w:rPr>
                <w:sz w:val="12"/>
                <w:szCs w:val="12"/>
                <w:color w:val="auto"/>
              </w:rPr>
            </w:pPr>
          </w:p>
        </w:tc>
        <w:tc>
          <w:tcPr>
            <w:tcW w:w="1360" w:type="dxa"/>
            <w:vAlign w:val="bottom"/>
          </w:tcPr>
          <w:p>
            <w:pPr>
              <w:jc w:val="right"/>
              <w:ind w:right="485"/>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Pr>
          <w:p>
            <w:pPr>
              <w:spacing w:after="0"/>
              <w:rPr>
                <w:sz w:val="12"/>
                <w:szCs w:val="12"/>
                <w:color w:val="auto"/>
              </w:rPr>
            </w:pPr>
          </w:p>
        </w:tc>
      </w:tr>
      <w:tr>
        <w:trPr>
          <w:trHeight w:val="204"/>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7,478,755</w:t>
            </w:r>
          </w:p>
        </w:tc>
        <w:tc>
          <w:tcPr>
            <w:tcW w:w="24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6,891,123</w:t>
            </w:r>
          </w:p>
        </w:tc>
        <w:tc>
          <w:tcPr>
            <w:tcW w:w="24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6,086,939</w:t>
            </w:r>
          </w:p>
        </w:tc>
        <w:tc>
          <w:tcPr>
            <w:tcW w:w="100" w:type="dxa"/>
            <w:vAlign w:val="bottom"/>
            <w:tcBorders>
              <w:top w:val="single" w:sz="8" w:color="CFF0FC"/>
            </w:tcBorders>
            <w:shd w:val="clear" w:color="auto" w:fill="CFF0FC"/>
          </w:tcPr>
          <w:p>
            <w:pPr>
              <w:spacing w:after="0"/>
              <w:rPr>
                <w:sz w:val="17"/>
                <w:szCs w:val="17"/>
                <w:color w:val="auto"/>
              </w:rPr>
            </w:pP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Measurements and Short-Term Investments</w:t>
      </w:r>
    </w:p>
    <w:p>
      <w:pPr>
        <w:spacing w:after="0" w:line="10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6"/>
          <w:szCs w:val="16"/>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37" w:lineRule="exact"/>
        <w:rPr>
          <w:sz w:val="20"/>
          <w:szCs w:val="20"/>
          <w:color w:val="auto"/>
        </w:rPr>
      </w:pPr>
    </w:p>
    <w:p>
      <w:pPr>
        <w:ind w:left="1020" w:hanging="511"/>
        <w:spacing w:after="0"/>
        <w:tabs>
          <w:tab w:leader="none" w:pos="10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 Inputs which include quoted prices in active markets for identical assets and liabilities.</w:t>
      </w:r>
    </w:p>
    <w:p>
      <w:pPr>
        <w:spacing w:after="0" w:line="102" w:lineRule="exact"/>
        <w:rPr>
          <w:rFonts w:ascii="Times New Roman" w:cs="Times New Roman" w:eastAsia="Times New Roman" w:hAnsi="Times New Roman"/>
          <w:sz w:val="17"/>
          <w:szCs w:val="17"/>
          <w:color w:val="auto"/>
        </w:rPr>
      </w:pPr>
    </w:p>
    <w:p>
      <w:pPr>
        <w:ind w:left="1020" w:right="160" w:hanging="511"/>
        <w:spacing w:after="0" w:line="256" w:lineRule="auto"/>
        <w:tabs>
          <w:tab w:leader="none" w:pos="10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Unobservable inputs that are supported by little or no market activity and that are significant to the fair value of the assets or liabilities.</w:t>
      </w:r>
    </w:p>
    <w:p>
      <w:pPr>
        <w:spacing w:after="0" w:line="20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7"/>
          <w:szCs w:val="17"/>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and II assets. Level I assets consist primarily of highly liquid money market funds, some of which is included in restricted cash and U.S. government bonds that are included in short-term investments.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38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The following tables set forth the fair value of the Company’s financial instruments subject to fair value measurements on a recurring basis and the level of inputs used in such measurements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7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1"/>
              <w:spacing w:after="0" w:line="119"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60" w:type="dxa"/>
            <w:vAlign w:val="bottom"/>
          </w:tcPr>
          <w:p>
            <w:pPr>
              <w:spacing w:after="0"/>
              <w:rPr>
                <w:sz w:val="10"/>
                <w:szCs w:val="10"/>
                <w:color w:val="auto"/>
              </w:rPr>
            </w:pPr>
          </w:p>
        </w:tc>
        <w:tc>
          <w:tcPr>
            <w:tcW w:w="560" w:type="dxa"/>
            <w:vAlign w:val="bottom"/>
            <w:gridSpan w:val="2"/>
          </w:tcPr>
          <w:p>
            <w:pPr>
              <w:jc w:val="center"/>
              <w:ind w:left="171"/>
              <w:spacing w:after="0" w:line="119"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
              <w:spacing w:after="0" w:line="137"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rPr>
                <w:sz w:val="11"/>
                <w:szCs w:val="11"/>
                <w:color w:val="auto"/>
              </w:rPr>
            </w:pPr>
          </w:p>
        </w:tc>
        <w:tc>
          <w:tcPr>
            <w:tcW w:w="920" w:type="dxa"/>
            <w:vAlign w:val="bottom"/>
            <w:gridSpan w:val="5"/>
          </w:tcPr>
          <w:p>
            <w:pPr>
              <w:jc w:val="center"/>
              <w:ind w:right="120"/>
              <w:spacing w:after="0" w:line="137"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
              <w:spacing w:after="0" w:line="137" w:lineRule="exact"/>
              <w:rPr>
                <w:sz w:val="20"/>
                <w:szCs w:val="20"/>
                <w:color w:val="auto"/>
              </w:rPr>
            </w:pPr>
            <w:r>
              <w:rPr>
                <w:rFonts w:ascii="Times New Roman" w:cs="Times New Roman" w:eastAsia="Times New Roman" w:hAnsi="Times New Roman"/>
                <w:sz w:val="13"/>
                <w:szCs w:val="13"/>
                <w:b w:val="1"/>
                <w:bCs w:val="1"/>
                <w:color w:val="auto"/>
              </w:rPr>
              <w:t>Holding</w:t>
            </w:r>
          </w:p>
        </w:tc>
        <w:tc>
          <w:tcPr>
            <w:tcW w:w="160" w:type="dxa"/>
            <w:vAlign w:val="bottom"/>
          </w:tcPr>
          <w:p>
            <w:pPr>
              <w:spacing w:after="0"/>
              <w:rPr>
                <w:sz w:val="11"/>
                <w:szCs w:val="11"/>
                <w:color w:val="auto"/>
              </w:rPr>
            </w:pPr>
          </w:p>
        </w:tc>
        <w:tc>
          <w:tcPr>
            <w:tcW w:w="920" w:type="dxa"/>
            <w:vAlign w:val="bottom"/>
            <w:gridSpan w:val="5"/>
          </w:tcPr>
          <w:p>
            <w:pPr>
              <w:jc w:val="center"/>
              <w:ind w:right="120"/>
              <w:spacing w:after="0" w:line="137" w:lineRule="exact"/>
              <w:rPr>
                <w:sz w:val="20"/>
                <w:szCs w:val="20"/>
                <w:color w:val="auto"/>
              </w:rPr>
            </w:pPr>
            <w:r>
              <w:rPr>
                <w:rFonts w:ascii="Times New Roman" w:cs="Times New Roman" w:eastAsia="Times New Roman" w:hAnsi="Times New Roman"/>
                <w:sz w:val="13"/>
                <w:szCs w:val="13"/>
                <w:b w:val="1"/>
                <w:bCs w:val="1"/>
                <w:color w:val="auto"/>
                <w:w w:val="98"/>
              </w:rPr>
              <w:t>Holding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Hierarchy</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60" w:type="dxa"/>
            <w:vAlign w:val="bottom"/>
          </w:tcPr>
          <w:p>
            <w:pPr>
              <w:spacing w:after="0"/>
              <w:rPr>
                <w:sz w:val="13"/>
                <w:szCs w:val="13"/>
                <w:color w:val="auto"/>
              </w:rPr>
            </w:pPr>
          </w:p>
        </w:tc>
        <w:tc>
          <w:tcPr>
            <w:tcW w:w="9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Money market funds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Level I</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226,979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27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226,979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Restricted cash (money</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8"/>
              </w:rPr>
              <w:t>Level I</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market funds)</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917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U.S. Government bonds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Level I</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w w:val="98"/>
              </w:rPr>
              <w:t>(66)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188,550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Total Securities</w:t>
            </w:r>
          </w:p>
        </w:tc>
        <w:tc>
          <w:tcPr>
            <w:tcW w:w="10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416,512</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ind w:right="271"/>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7"/>
              </w:rPr>
              <w:t>(66)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416,446</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2017</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7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1"/>
              <w:spacing w:after="0" w:line="119"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60" w:type="dxa"/>
            <w:vAlign w:val="bottom"/>
          </w:tcPr>
          <w:p>
            <w:pPr>
              <w:spacing w:after="0"/>
              <w:rPr>
                <w:sz w:val="10"/>
                <w:szCs w:val="10"/>
                <w:color w:val="auto"/>
              </w:rPr>
            </w:pPr>
          </w:p>
        </w:tc>
        <w:tc>
          <w:tcPr>
            <w:tcW w:w="560" w:type="dxa"/>
            <w:vAlign w:val="bottom"/>
            <w:gridSpan w:val="2"/>
          </w:tcPr>
          <w:p>
            <w:pPr>
              <w:jc w:val="center"/>
              <w:ind w:left="171"/>
              <w:spacing w:after="0" w:line="119"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
              <w:spacing w:after="0" w:line="137"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rPr>
                <w:sz w:val="11"/>
                <w:szCs w:val="11"/>
                <w:color w:val="auto"/>
              </w:rPr>
            </w:pPr>
          </w:p>
        </w:tc>
        <w:tc>
          <w:tcPr>
            <w:tcW w:w="920" w:type="dxa"/>
            <w:vAlign w:val="bottom"/>
            <w:gridSpan w:val="5"/>
          </w:tcPr>
          <w:p>
            <w:pPr>
              <w:jc w:val="center"/>
              <w:ind w:right="120"/>
              <w:spacing w:after="0" w:line="137"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
              <w:spacing w:after="0" w:line="137" w:lineRule="exact"/>
              <w:rPr>
                <w:sz w:val="20"/>
                <w:szCs w:val="20"/>
                <w:color w:val="auto"/>
              </w:rPr>
            </w:pPr>
            <w:r>
              <w:rPr>
                <w:rFonts w:ascii="Times New Roman" w:cs="Times New Roman" w:eastAsia="Times New Roman" w:hAnsi="Times New Roman"/>
                <w:sz w:val="13"/>
                <w:szCs w:val="13"/>
                <w:b w:val="1"/>
                <w:bCs w:val="1"/>
                <w:color w:val="auto"/>
              </w:rPr>
              <w:t>Holding</w:t>
            </w:r>
          </w:p>
        </w:tc>
        <w:tc>
          <w:tcPr>
            <w:tcW w:w="160" w:type="dxa"/>
            <w:vAlign w:val="bottom"/>
          </w:tcPr>
          <w:p>
            <w:pPr>
              <w:spacing w:after="0"/>
              <w:rPr>
                <w:sz w:val="11"/>
                <w:szCs w:val="11"/>
                <w:color w:val="auto"/>
              </w:rPr>
            </w:pPr>
          </w:p>
        </w:tc>
        <w:tc>
          <w:tcPr>
            <w:tcW w:w="920" w:type="dxa"/>
            <w:vAlign w:val="bottom"/>
            <w:gridSpan w:val="5"/>
          </w:tcPr>
          <w:p>
            <w:pPr>
              <w:jc w:val="center"/>
              <w:ind w:right="120"/>
              <w:spacing w:after="0" w:line="137" w:lineRule="exact"/>
              <w:rPr>
                <w:sz w:val="20"/>
                <w:szCs w:val="20"/>
                <w:color w:val="auto"/>
              </w:rPr>
            </w:pPr>
            <w:r>
              <w:rPr>
                <w:rFonts w:ascii="Times New Roman" w:cs="Times New Roman" w:eastAsia="Times New Roman" w:hAnsi="Times New Roman"/>
                <w:sz w:val="13"/>
                <w:szCs w:val="13"/>
                <w:b w:val="1"/>
                <w:bCs w:val="1"/>
                <w:color w:val="auto"/>
                <w:w w:val="98"/>
              </w:rPr>
              <w:t>Holding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center"/>
              <w:ind w:right="160"/>
              <w:spacing w:after="0" w:line="137"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Hierarchy</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60" w:type="dxa"/>
            <w:vAlign w:val="bottom"/>
          </w:tcPr>
          <w:p>
            <w:pPr>
              <w:spacing w:after="0"/>
              <w:rPr>
                <w:sz w:val="13"/>
                <w:szCs w:val="13"/>
                <w:color w:val="auto"/>
              </w:rPr>
            </w:pPr>
          </w:p>
        </w:tc>
        <w:tc>
          <w:tcPr>
            <w:tcW w:w="9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Money market funds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Level I</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164,440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27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164,440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Restricted cash (money market funds)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8"/>
              </w:rPr>
              <w:t>Level I</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917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U.S. Government bonds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Level I</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196,629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w w:val="98"/>
              </w:rPr>
              <w:t>(67)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196,562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Total Securities</w:t>
            </w:r>
          </w:p>
        </w:tc>
        <w:tc>
          <w:tcPr>
            <w:tcW w:w="10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361,986</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ind w:right="271"/>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7"/>
              </w:rPr>
              <w:t>(67)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361,919</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No securities have contractual maturities of longer than one year.</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4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6. Property and Equipment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 net consisted of the following (in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160" w:type="dxa"/>
            <w:vAlign w:val="bottom"/>
            <w:tcBorders>
              <w:bottom w:val="single" w:sz="8" w:color="CFF0FC"/>
            </w:tcBorders>
          </w:tcPr>
          <w:p>
            <w:pPr>
              <w:spacing w:after="0"/>
              <w:rPr>
                <w:sz w:val="12"/>
                <w:szCs w:val="12"/>
                <w:color w:val="auto"/>
              </w:rPr>
            </w:pPr>
          </w:p>
        </w:tc>
        <w:tc>
          <w:tcPr>
            <w:tcW w:w="10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0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gridSpan w:val="2"/>
          </w:tcPr>
          <w:p>
            <w:pPr>
              <w:ind w:left="4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2018</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Machinery and equipment</w:t>
            </w: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10,498</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7,162</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13,880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1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(6,946)</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(5,208)</w:t>
            </w: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6,934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and amortization expense was $1.7 million, $1.5 million and $1.7 million for the years ended December 31, 2018, 2017 and 2016, respectively.</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Goodwill and Intangible Assets</w:t>
      </w:r>
    </w:p>
    <w:p>
      <w:pPr>
        <w:spacing w:after="0" w:line="1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Goodwill and in-process research and development assets resulted from a series of integrated financing transactions in 2010 that was accounted for as a business combination. The in-process research and development relates to the Company’s proprietary Probody Platform and was accounted for as an indefinite-lived intangible asset until the underlying project was completed or abandoned. In connection with the collaboration agreements, the Company began amortizing the intangible asset in 2017. The intangible asset is being amortized over the estimated lives of the patents which average 12 years. The amortization for the year ended December 31, 2018 and 2017 was $0.1 million and $0.1 million, respectively.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12" w:name="page113"/>
    <w:bookmarkEnd w:id="11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and intangible assets consisted of the following (in thousands):</w:t>
      </w:r>
    </w:p>
    <w:p>
      <w:pPr>
        <w:spacing w:after="0" w:line="20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54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16"/>
        </w:trPr>
        <w:tc>
          <w:tcPr>
            <w:tcW w:w="548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2018</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2017</w:t>
            </w:r>
          </w:p>
        </w:tc>
        <w:tc>
          <w:tcPr>
            <w:tcW w:w="80" w:type="dxa"/>
            <w:vAlign w:val="bottom"/>
            <w:tcBorders>
              <w:bottom w:val="single" w:sz="8" w:color="CFF0FC"/>
            </w:tcBorders>
          </w:tcPr>
          <w:p>
            <w:pPr>
              <w:spacing w:after="0"/>
              <w:rPr>
                <w:sz w:val="18"/>
                <w:szCs w:val="18"/>
                <w:color w:val="auto"/>
              </w:rPr>
            </w:pPr>
          </w:p>
        </w:tc>
      </w:tr>
      <w:tr>
        <w:trPr>
          <w:trHeight w:val="216"/>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760" w:type="dxa"/>
            <w:vAlign w:val="bottom"/>
            <w:shd w:val="clear" w:color="auto" w:fill="CFF0FC"/>
          </w:tcPr>
          <w:p>
            <w:pPr>
              <w:jc w:val="right"/>
              <w:ind w:right="60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80" w:type="dxa"/>
            <w:vAlign w:val="bottom"/>
            <w:shd w:val="clear" w:color="auto" w:fill="CFF0FC"/>
          </w:tcPr>
          <w:p>
            <w:pPr>
              <w:spacing w:after="0"/>
              <w:rPr>
                <w:sz w:val="18"/>
                <w:szCs w:val="18"/>
                <w:color w:val="auto"/>
              </w:rPr>
            </w:pPr>
          </w:p>
        </w:tc>
      </w:tr>
    </w:tbl>
    <w:p>
      <w:pPr>
        <w:spacing w:after="0" w:line="19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2018</w:t>
            </w: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2017</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2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1,750</w:t>
            </w:r>
          </w:p>
        </w:tc>
        <w:tc>
          <w:tcPr>
            <w:tcW w:w="1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1,458</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8. Accrued Liabilities</w:t>
            </w: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64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liabilities consisted of the following (in thousands):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7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720" w:type="dxa"/>
            <w:vAlign w:val="bottom"/>
          </w:tcPr>
          <w:p>
            <w:pPr>
              <w:spacing w:after="0"/>
              <w:rPr>
                <w:sz w:val="12"/>
                <w:szCs w:val="12"/>
                <w:color w:val="auto"/>
              </w:rPr>
            </w:pPr>
          </w:p>
        </w:tc>
        <w:tc>
          <w:tcPr>
            <w:tcW w:w="470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Research and clinical expenses</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18,520</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10,068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Payroll and related expenses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Legal and professional expenses</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 accrued expenses</w:t>
            </w:r>
          </w:p>
        </w:tc>
        <w:tc>
          <w:tcPr>
            <w:tcW w:w="22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7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26,724</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16,382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9. Research and Collaboration Agreements</w:t>
            </w: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64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the revenue by collaboration partner (in thousands):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7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7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AbbVie</w:t>
            </w: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18,997</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19,434</w:t>
            </w:r>
          </w:p>
        </w:tc>
        <w:tc>
          <w:tcPr>
            <w:tcW w:w="180" w:type="dxa"/>
            <w:vAlign w:val="bottom"/>
            <w:gridSpan w:val="2"/>
            <w:shd w:val="clear" w:color="auto" w:fill="CFF0FC"/>
          </w:tcPr>
          <w:p>
            <w:pPr>
              <w:spacing w:after="0"/>
              <w:rPr>
                <w:sz w:val="17"/>
                <w:szCs w:val="17"/>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Amgen</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BMS</w:t>
            </w:r>
          </w:p>
        </w:tc>
        <w:tc>
          <w:tcPr>
            <w:tcW w:w="2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32,780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36,492</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ImmunoGen</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Pfizer</w:t>
            </w: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1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59,502</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71,623</w:t>
            </w:r>
          </w:p>
        </w:tc>
        <w:tc>
          <w:tcPr>
            <w:tcW w:w="180" w:type="dxa"/>
            <w:vAlign w:val="bottom"/>
            <w:gridSpan w:val="2"/>
          </w:tcPr>
          <w:p>
            <w:pPr>
              <w:spacing w:after="0"/>
              <w:rPr>
                <w:sz w:val="17"/>
                <w:szCs w:val="17"/>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AbbVie Ireland Unlimited Company</w:t>
      </w:r>
    </w:p>
    <w:p>
      <w:pPr>
        <w:spacing w:after="0" w:line="10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 April 2016, the Company and AbbVie entered into two agreements, a CD71 Co-Development and Licensing Agreement (the “CD71 Agreement”) and a Discovery Collaboration and Licensing Agreement (the “Discovery Agreement” and together with the CD71 Agreement the “AbbVie Agreements”). Under the terms of the CD71 Agreement, the Company and AbbVie will co-develop a Probody Drug Conjugates (“PDC”)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unless it opts-out. If the Company opts-out from participation of co-development of the CD71 PDC, AbbVie will have sole right and responsibility for the further development, manufacturing and commercialization of such CD71 PDC.</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80"/>
          </w:cols>
          <w:pgMar w:left="240" w:top="119" w:right="27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8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Under the CD71 Agreement, the Company received an upfront payment of $20.0 million in April 2016, and is eligible to receive up to $470.0 million in development, regulatory and commercial milestone payments, a 35% profit split on U.S. sales, and royalties on ex-U.S. sales in the high teens to low twenties if the Company participates in the co-development of the CD71 Licensed Product subject to a reversion to a royalty on U.S. sales, and reduction in royalties on ex-U.S. sales, if the Company opts-out from the co-development of the CD71 PDC. The Company’s share of later stage co-development costs for each CD71 PDC are capped, provided that AbbVie may offset the Company’s co-development cost above the capped amounts from future payments such as milestone payments and royalties. In July 2017, the Company received a milestone payment of $14.0 million (net of payment of an associated sublicense fee of $1.0 million to SGEN under the Seattle Genetics Agreement) from AbbVie for achieving certain milestones required to be met to begin GLP toxicology studies under the CD71 Agreement. In May 2018, the United States Food and Drug Administration (“FDA”) cleared the IND application for CX-2029, the PDC targeting CD71. As a result, the Company achieved the IND success criteria under the CD71 Agreement and received a $21.0 million milestone payment (net of the payment of an associated sublicense fee of $4.0 million to SGEN). The Company commenced enrollment of our Phase 1/2 clinical trial and dosed the first patient in a clinical trial at the end of the second quarter of 2018.</w:t>
      </w:r>
    </w:p>
    <w:p>
      <w:pPr>
        <w:spacing w:after="0" w:line="20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Under the terms of the Discovery Agreement, AbbVie receives exclusive worldwide rights to develop and commercialize PDCs against up to two targets, one of which was selected in March 2017. The Company shall perform research services to discover the Probody therapeutics and create PDCs for the nominated collaboration targets. From that point, AbbVie shall have sole right and responsibility for development and commercialization of products comprising or containing such PDCs (“Discovery Licensed Products”).</w:t>
      </w:r>
    </w:p>
    <w:p>
      <w:pPr>
        <w:spacing w:after="0" w:line="198"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7"/>
          <w:szCs w:val="17"/>
          <w:color w:val="auto"/>
        </w:rPr>
        <w:t>Under the Discovery Agreement, the Company received an upfront payment of $10.0 million in April 2016 and may receive an additional payment upon the selection by AbbVie of the second target and the satisfaction of certain success criteria under the CD71 Agreement. AbbVie has not selected the second target, but the success criteria under the CD71 Agreement were met in September 2016. The Company is also eligible to receive up to $275.0 million in target nomination, development, regulatory and commercial milestone payments and royalties in the high single to low teens from commercial sales of any resulting PDCs.</w:t>
      </w:r>
    </w:p>
    <w:p>
      <w:pPr>
        <w:spacing w:after="0" w:line="19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7"/>
          <w:szCs w:val="17"/>
          <w:color w:val="auto"/>
        </w:rPr>
        <w:t>The Company has determined that the CD71 and Discovery Agreements with AbbVie should be combined and evaluated as a single arrangement in determining revenue recognition, because both agreements were concurrently negotiated and executed.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identified the following performance obligations at the inception of the AbbVie Agreements:</w:t>
      </w:r>
    </w:p>
    <w:p>
      <w:pPr>
        <w:spacing w:after="0" w:line="227" w:lineRule="exact"/>
        <w:rPr>
          <w:sz w:val="20"/>
          <w:szCs w:val="20"/>
          <w:color w:val="auto"/>
        </w:rPr>
      </w:pPr>
    </w:p>
    <w:p>
      <w:pPr>
        <w:ind w:left="760" w:hanging="242"/>
        <w:spacing w:after="0"/>
        <w:tabs>
          <w:tab w:leader="none" w:pos="7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development and commercialization license for CD71 Probody therapeutic,</w:t>
      </w:r>
    </w:p>
    <w:p>
      <w:pPr>
        <w:spacing w:after="0" w:line="20" w:lineRule="exact"/>
        <w:rPr>
          <w:rFonts w:ascii="Times New Roman" w:cs="Times New Roman" w:eastAsia="Times New Roman" w:hAnsi="Times New Roman"/>
          <w:sz w:val="17"/>
          <w:szCs w:val="17"/>
          <w:color w:val="auto"/>
        </w:rPr>
      </w:pPr>
    </w:p>
    <w:p>
      <w:pPr>
        <w:ind w:left="760" w:hanging="242"/>
        <w:spacing w:after="0"/>
        <w:tabs>
          <w:tab w:leader="none" w:pos="7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services related to CD71 Probody therapeutic,</w:t>
      </w:r>
    </w:p>
    <w:p>
      <w:pPr>
        <w:spacing w:after="0" w:line="3" w:lineRule="exact"/>
        <w:rPr>
          <w:rFonts w:ascii="Times New Roman" w:cs="Times New Roman" w:eastAsia="Times New Roman" w:hAnsi="Times New Roman"/>
          <w:sz w:val="17"/>
          <w:szCs w:val="17"/>
          <w:color w:val="auto"/>
        </w:rPr>
      </w:pPr>
    </w:p>
    <w:p>
      <w:pPr>
        <w:ind w:left="760" w:hanging="242"/>
        <w:spacing w:after="0"/>
        <w:tabs>
          <w:tab w:leader="none" w:pos="7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to participate in the CD71 Agreement joint research committee,</w:t>
      </w:r>
    </w:p>
    <w:p>
      <w:pPr>
        <w:spacing w:after="0" w:line="3" w:lineRule="exact"/>
        <w:rPr>
          <w:rFonts w:ascii="Times New Roman" w:cs="Times New Roman" w:eastAsia="Times New Roman" w:hAnsi="Times New Roman"/>
          <w:sz w:val="17"/>
          <w:szCs w:val="17"/>
          <w:color w:val="auto"/>
        </w:rPr>
      </w:pPr>
    </w:p>
    <w:p>
      <w:pPr>
        <w:ind w:left="760" w:hanging="242"/>
        <w:spacing w:after="0"/>
        <w:tabs>
          <w:tab w:leader="none" w:pos="7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services related to the first discovery target</w:t>
      </w:r>
    </w:p>
    <w:p>
      <w:pPr>
        <w:spacing w:after="0" w:line="3" w:lineRule="exact"/>
        <w:rPr>
          <w:rFonts w:ascii="Times New Roman" w:cs="Times New Roman" w:eastAsia="Times New Roman" w:hAnsi="Times New Roman"/>
          <w:sz w:val="17"/>
          <w:szCs w:val="17"/>
          <w:color w:val="auto"/>
        </w:rPr>
      </w:pPr>
    </w:p>
    <w:p>
      <w:pPr>
        <w:ind w:left="760" w:hanging="242"/>
        <w:spacing w:after="0"/>
        <w:tabs>
          <w:tab w:leader="none" w:pos="7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development and commercialization license for the first discovery target, and</w:t>
      </w:r>
    </w:p>
    <w:p>
      <w:pPr>
        <w:spacing w:after="0" w:line="3" w:lineRule="exact"/>
        <w:rPr>
          <w:rFonts w:ascii="Times New Roman" w:cs="Times New Roman" w:eastAsia="Times New Roman" w:hAnsi="Times New Roman"/>
          <w:sz w:val="17"/>
          <w:szCs w:val="17"/>
          <w:color w:val="auto"/>
        </w:rPr>
      </w:pPr>
    </w:p>
    <w:p>
      <w:pPr>
        <w:ind w:left="760" w:hanging="242"/>
        <w:spacing w:after="0"/>
        <w:tabs>
          <w:tab w:leader="none" w:pos="7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to participate in the Discovery Agreement joint research committee.</w:t>
      </w:r>
    </w:p>
    <w:p>
      <w:pPr>
        <w:spacing w:after="0" w:line="22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The Company concluded that, at the inception of the agreement, AbbVie’s option for the second discovery target is not a material right and is therefore not a performance obligation.</w:t>
      </w:r>
    </w:p>
    <w:p>
      <w:pPr>
        <w:spacing w:after="0" w:line="18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The Company determined that the research, development and commercialization licenses for CD71 and discovery targets are not distinct from the Company’s respective research services and expertise. The Company considered factors such as novelty of the Probody therapeutic and PDC technology and lack of other parties’ expertise in this space, the Company’s rights to technology relating to a proprietary platform to enable the Probody therapeutic development and AbbVie’s contractual obligation to use the Company’s research services. The Company determined that the CD71 Agreement research, development and commercialization license, related research service and participation in the joint research committee were a combined performance obligation and were distinct from the Discovery Agreement research, development and commercialization license, related research service and participation in the joint research committee. Therefore, the Company concluded that there are two distinct performance obligations:</w:t>
      </w:r>
    </w:p>
    <w:p>
      <w:pPr>
        <w:spacing w:after="0" w:line="213" w:lineRule="exact"/>
        <w:rPr>
          <w:sz w:val="20"/>
          <w:szCs w:val="20"/>
          <w:color w:val="auto"/>
        </w:rPr>
      </w:pPr>
    </w:p>
    <w:p>
      <w:pPr>
        <w:ind w:left="1020" w:right="320" w:hanging="511"/>
        <w:spacing w:after="0" w:line="268" w:lineRule="auto"/>
        <w:tabs>
          <w:tab w:leader="none" w:pos="10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CD71 Agreement performance obligation consisting of the CD71 Agreement research, development and commercialization license, related research service and participation in the joint research committee, and</w:t>
      </w:r>
    </w:p>
    <w:p>
      <w:pPr>
        <w:spacing w:after="0" w:line="60" w:lineRule="exact"/>
        <w:rPr>
          <w:rFonts w:ascii="Times New Roman" w:cs="Times New Roman" w:eastAsia="Times New Roman" w:hAnsi="Times New Roman"/>
          <w:sz w:val="17"/>
          <w:szCs w:val="17"/>
          <w:color w:val="auto"/>
        </w:rPr>
      </w:pPr>
    </w:p>
    <w:p>
      <w:pPr>
        <w:ind w:left="1020" w:right="340" w:hanging="511"/>
        <w:spacing w:after="0" w:line="268" w:lineRule="auto"/>
        <w:tabs>
          <w:tab w:leader="none" w:pos="10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Discovery Agreement performance obligation consisting of the Discovery Agreement research, development and commercialization license, related research service and participation in the joint research committee.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119" w:right="25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38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The total transaction price upon adoption of ASC 606 on January 1, 2018 of $39.8 million consists of $30.0 million in upfront payments, $14.0 million milestone payment received (net of the payment of an associated sublicense fee of $1.0 million to SGEN) less $4.2 million of estimated sublicense fees. The upfront payments under the AbbVie Agreements are allocated between the two performance obligations based on the estimated relative standalone selling prices. The $30.0 million of upfront payments is allocated $20.0 million to the CD71 Agreement, with the remaining $10.0 million allocated to the Discovery Agreement. The $14.0 million milestone payment received (net of the payment of an associated sublicense fee of $1.0 million to SGEN) and estimated sublicense fees are allocated to the CD71 Agreement performance obligation as they are directly related to the development of the CD71 Probody therapeutic.</w:t>
      </w:r>
    </w:p>
    <w:p>
      <w:pPr>
        <w:spacing w:after="0" w:line="17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In May 2018, the Company earned a $21.0 million milestone payment (net of the payment of an associated sublicense fee of $4.0 million to SGEN). The $21.0 million milestone payment was included as part of the transaction price in May 2018 and a revenue adjustment of $9.9 million was recognized in the second quarter of 2018 reflecting the percentage completed to-date on the project related to this milestone. The Company determined that the remaining potential milestone payments are probable of significant revenue reversal as their achievement is highly dependent on factors outside the Company’s control. Therefore, these payments have been fully constrained and were not included in the transaction price as of December 31, 2018.</w:t>
      </w:r>
    </w:p>
    <w:p>
      <w:pPr>
        <w:spacing w:after="0" w:line="17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Under the UCSB Agreement, the Company is obligated to make royalty payments to UCSB equal to 5% of certain sublicense revenue payments owed to or received by the Company. As of December 31, 2018 and December 31, 2017, the Company accrued sublicense fees of $1.1 million and $0.5 million, respectively, under the CD71 Agreement.</w:t>
      </w:r>
    </w:p>
    <w:p>
      <w:pPr>
        <w:spacing w:after="0" w:line="1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Company recognized the initial transaction price upon adoption of ASC 606 on January 1, 2018 of $29.8 million allocated to the CD71 Agreement performance obligation using a cost-based input measure. In applying the cost-based input method, revenue is recognized based on actual full time employee (“FTE”) hours incurred as a percentage of total estimated FTE hours as the Company completes its combined performance obligation over the five-year service period.</w:t>
      </w:r>
    </w:p>
    <w:p>
      <w:pPr>
        <w:spacing w:after="0" w:line="1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As the Discovery Agreement performance obligation represents an obligation to continuously make the Company’s Probody therapeutic technology platform available to AbbVie, the initial transaction price of $10.0 million allocated to this performance obligation is recognized over the common measure of progress for the entire performance obligation over the estimated research service period of five years.</w:t>
      </w:r>
    </w:p>
    <w:p>
      <w:pPr>
        <w:spacing w:after="0" w:line="17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7"/>
          <w:szCs w:val="17"/>
          <w:color w:val="auto"/>
        </w:rPr>
        <w:t>The Company recognized revenue of $19.0 million, $19.4 million and $3.3 million for 2018, 2017 and 2016, respectively, related to the AbbVie Agreements. As of December 31, 2018 and 2017, deferred revenue related to the CD71 Agreement performance obligation was $23.2 million and $11.2 million, respectively, and deferred revenue related to the Discovery Agreement performance obligation was $4.7 million and $6.8 million, respectively. As of both December 31, 2018 and 2017, no amount was due from AbbVie under the CD71 and Discovery Agreements.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Amgen, Inc.</w:t>
      </w:r>
    </w:p>
    <w:p>
      <w:pPr>
        <w:spacing w:after="0" w:line="11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On September 29, 2017, the Company and Amgen, Inc. (“Amgen”) entered into a Collaboration and License Agreement (the “Amgen Agreement”). Pursuant to the Amgen Agreement, the Company received an upfront payment of $40.0 million in October 2017. Concurrent with the entry into the Amgen Agreement, the Company and Amgen entered into a Share Purchase Agreement (the “Purchase Agreement”) pursuant to which Amgen purchased 1,156,069 shares of the Company’s common stock at a price of $17.30 per share (calculated based on a 20-day volume-weighted average price), for total proceeds of $20.0 million, which the Company received on October 6, 2017, the closing date of the transaction. The Company estimated a premium on the stock sold to Amgen of $0.5 million, which takes into account a discount due to the lack of marketability resulting from the six-month lockup period.</w:t>
      </w:r>
    </w:p>
    <w:p>
      <w:pPr>
        <w:spacing w:after="0" w:line="21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Under the terms of the Amgen Agreement, the Company and Amgen will co-develop a Probody T-cell engaging bi-specific therapeutic targeting EGFR (“EGFR Products”). The Company is responsible for early-stage development of EGFR Products and all related costs up to certain pre-set costs and certain limits based on clinical study size. Amgen will be responsible for late-stage development, commercialization, and all related costs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eligible to receive up to $455.0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U.S. and royalties in the low-double-digit to mid-teen percentage of commercial sales outside of the U.S.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spacing w:after="0" w:line="22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Amgen also has the right to select a total of up to three targets, including the two additional targets discussed below. The Company and Amgen collaborate in the research and development of Probody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20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7"/>
          <w:szCs w:val="17"/>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Probody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 The Company identified the following performance obligations at the inception of the Amgen Agreement:</w:t>
      </w:r>
    </w:p>
    <w:p>
      <w:pPr>
        <w:spacing w:after="0" w:line="207" w:lineRule="exact"/>
        <w:rPr>
          <w:sz w:val="20"/>
          <w:szCs w:val="20"/>
          <w:color w:val="auto"/>
        </w:rPr>
      </w:pPr>
    </w:p>
    <w:p>
      <w:pPr>
        <w:ind w:left="760" w:hanging="242"/>
        <w:spacing w:after="0"/>
        <w:tabs>
          <w:tab w:leader="none" w:pos="7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development and commercialization license,</w:t>
      </w:r>
    </w:p>
    <w:p>
      <w:pPr>
        <w:spacing w:after="0" w:line="28" w:lineRule="exact"/>
        <w:rPr>
          <w:rFonts w:ascii="Times New Roman" w:cs="Times New Roman" w:eastAsia="Times New Roman" w:hAnsi="Times New Roman"/>
          <w:sz w:val="17"/>
          <w:szCs w:val="17"/>
          <w:color w:val="auto"/>
        </w:rPr>
      </w:pPr>
    </w:p>
    <w:p>
      <w:pPr>
        <w:ind w:left="760" w:hanging="242"/>
        <w:spacing w:after="0"/>
        <w:tabs>
          <w:tab w:leader="none" w:pos="7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and development services for the EGFR Products and the Amgen Other Product, and</w:t>
      </w:r>
    </w:p>
    <w:p>
      <w:pPr>
        <w:spacing w:after="0" w:line="40" w:lineRule="exact"/>
        <w:rPr>
          <w:rFonts w:ascii="Times New Roman" w:cs="Times New Roman" w:eastAsia="Times New Roman" w:hAnsi="Times New Roman"/>
          <w:sz w:val="17"/>
          <w:szCs w:val="17"/>
          <w:color w:val="auto"/>
        </w:rPr>
      </w:pPr>
    </w:p>
    <w:p>
      <w:pPr>
        <w:ind w:left="760" w:hanging="242"/>
        <w:spacing w:after="0"/>
        <w:tabs>
          <w:tab w:leader="none" w:pos="7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to participate in the joint steering committee (“JSC”) and the joint research committee (“JRC”).</w:t>
      </w:r>
    </w:p>
    <w:p>
      <w:pPr>
        <w:spacing w:after="0" w:line="2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The Company determined that research, development and commercialization license and the participation in the JSC and JRC are not distinct from the research and development services and therefore those performance obligations were combined into one combined performance obligation. The Amgen Other Products are accounted for as a separate performance obligation from the EGFR Products as the nature of the services being performed is not the same and the value that Amgen can derive from one program is not dependent on the success of the other.</w:t>
      </w:r>
    </w:p>
    <w:p>
      <w:pPr>
        <w:spacing w:after="0" w:line="19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Concurrent with the execution of the Amgen Agreement, the Company entered into a sublicense agreement whereby the Company granted Amgen a sublicense of its rights to one patent family that it co-owns with the Regents of the University of California, acting through its Santa Barbara campus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T-cell engaging bispecific Probody molecules that were developed and owned by the Company and licensed to Amgen. Under the UCSB Agreement, the Company is obligated to make a royalty payment to UCSB equal to 15% of certain sublicense revenue payments owed to or received by the Company. The Company determined that the calculation of the sublicense fee is not specifically addressed in the sublicense agreement when the Company simultaneously licenses the UCSB technology along with the technology the Company has developed internally. As of December 31, 2017, the Company recorded a liability of $2.1 million, which represents the Company’s best estimate of the amount to be remitted to UCSB. As of December 31, 2018, the Company determined that the estimated liability of $2.1 million was still appropriate.</w:t>
      </w:r>
    </w:p>
    <w:p>
      <w:pPr>
        <w:spacing w:after="0" w:line="21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probable of significant revenue reversal as their achievement was highly dependent on factors outside the Company’s control. As a result, these payments were fully constrained and were not included in the transaction price as of December 31, 2018. The Company recognizes the transaction price of $46.4 million allocated to the EGFR Products performance obligation using a cost-based input measure. In applying the cost-based input method of revenue recognition, the Company uses actual FTE hours incurred relative to estimated FTE hours expected to be incurred for the combined performance obligation. Revenue is recognized based on actual FTE hours incurred as a percentage of total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estimated FTE hours as the Company completes its performance obligation over the research service period. In the fourth quarter of 2018, the JSC officially terminated any further work on two molecules due to unacceptable test results. The current plan is to evaluate other molecules as part of the candidate identification phase of the EGFR project, and as a result, there has been a change in estimate of the projected costs and research service period to seven years.</w:t>
      </w:r>
    </w:p>
    <w:p>
      <w:pPr>
        <w:spacing w:after="0" w:line="194"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7"/>
          <w:szCs w:val="17"/>
          <w:color w:val="auto"/>
        </w:rPr>
        <w:t>As the Amgen Other Product performance obligation represents an obligation to continuously make the Probody therapeutic technology platform available to Amgen, the initial transaction price of $4.8 million allocated to this performance obligation is recognized over the common measure of progress for the entire performance obligation over the estimated research service period of six years.</w:t>
      </w:r>
    </w:p>
    <w:p>
      <w:pPr>
        <w:spacing w:after="0" w:line="20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7"/>
          <w:szCs w:val="17"/>
          <w:color w:val="auto"/>
        </w:rPr>
        <w:t>The Company recognized revenue of $4.9 million and $1.3 million for the years ended December 31, 2018 and 2017, respectively, related to the Amgen Agreement. There was no revenue recognized for the year ended December 31, 2016 because the Company entered into the agreement in 2017. As of December 31, 2018 and December 31, 2017, deferred revenue related to the EGFR Products performance obligation was $40.7 million and $45.3 million, respectively. As of December 31, 2018 and 2017, deferred revenue related to the Amgen Other Products performance obligation was $3.8 million and $4.6 million, respectively. As of December 31, 2018 and 2017, no amount was due from Amgen under the Amgen Agreement.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Bristol-Myers Squibb Company</w:t>
      </w:r>
    </w:p>
    <w:p>
      <w:pPr>
        <w:spacing w:after="0" w:line="1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On May 23, 2014, the Company and Bristol-Myers Squibb Company (“BMS”)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232"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7"/>
          <w:szCs w:val="17"/>
          <w:color w:val="auto"/>
        </w:rPr>
        <w:t>Under the terms of the BMS Agreement, the Company granted BMS exclusive worldwide rights to develop and commercialize Probody therapeutics for up to four oncology targets. BMS had additional rights to substitute up to two collaboration targets within three years of the effective date of the BMS Agreement. These rights expired in May 2017. Each collaboration target has a two-year research term and the two additional targets must be nominated by BMS within five years of the effective date of the BMS Agreement. The research term for each collaboration target can be extended in one year increments up to three times.</w:t>
      </w:r>
    </w:p>
    <w:p>
      <w:pPr>
        <w:spacing w:after="0" w:line="198"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Pursuant to the BMS Agreement, the financial consideration from BMS was comprised of an upfront payment of $50.0 million and the Company was initially entitled to receive contingent payments of up to an aggregate of $1,217.0 million as follows: (i) up to $25.0 million for additional targets; (ii) up to $114.0 million in development milestone payments per research target program or up to $456.0 million if the maximum of four research targets are selected; (iii) up to $124.0 million in milestone payments for the first commercial sale in various territories for up to three indications per research target program or up to $496.0 million if the maximum of four research targets are selected, and (iv) up to $60.0 million in sales milestones payments per research target program or up to $240.0 million if maximum of four research targets are selected. The Company is entitled to royalty payments in the mid-single digits to low double-digit percentages from potential future sales. The Company also receives research and development service fees based on a prescribed FTE rate that is capped.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identified the following performance obligations at the inception of the BMS Agreement:</w:t>
      </w:r>
    </w:p>
    <w:p>
      <w:pPr>
        <w:spacing w:after="0" w:line="202" w:lineRule="exact"/>
        <w:rPr>
          <w:sz w:val="20"/>
          <w:szCs w:val="20"/>
          <w:color w:val="auto"/>
        </w:rPr>
      </w:pPr>
    </w:p>
    <w:p>
      <w:pPr>
        <w:ind w:left="760" w:hanging="242"/>
        <w:spacing w:after="0"/>
        <w:tabs>
          <w:tab w:leader="none" w:pos="7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exclusive research, development and commercialization license,</w:t>
      </w:r>
    </w:p>
    <w:p>
      <w:pPr>
        <w:spacing w:after="0" w:line="20" w:lineRule="exact"/>
        <w:rPr>
          <w:rFonts w:ascii="Times New Roman" w:cs="Times New Roman" w:eastAsia="Times New Roman" w:hAnsi="Times New Roman"/>
          <w:sz w:val="17"/>
          <w:szCs w:val="17"/>
          <w:color w:val="auto"/>
        </w:rPr>
      </w:pPr>
    </w:p>
    <w:p>
      <w:pPr>
        <w:ind w:left="760" w:hanging="242"/>
        <w:spacing w:after="0"/>
        <w:tabs>
          <w:tab w:leader="none" w:pos="7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and development services and</w:t>
      </w:r>
    </w:p>
    <w:p>
      <w:pPr>
        <w:spacing w:after="0" w:line="3" w:lineRule="exact"/>
        <w:rPr>
          <w:rFonts w:ascii="Times New Roman" w:cs="Times New Roman" w:eastAsia="Times New Roman" w:hAnsi="Times New Roman"/>
          <w:sz w:val="17"/>
          <w:szCs w:val="17"/>
          <w:color w:val="auto"/>
        </w:rPr>
      </w:pPr>
    </w:p>
    <w:p>
      <w:pPr>
        <w:ind w:left="760" w:hanging="242"/>
        <w:spacing w:after="0"/>
        <w:tabs>
          <w:tab w:leader="none" w:pos="7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to participate in the joint research committee.</w:t>
      </w:r>
    </w:p>
    <w:p>
      <w:pPr>
        <w:spacing w:after="0" w:line="22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The Company determined that the license, the Company’s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BMS’ options for the third and fourth targets were not material rights and not performance obligations. As such, each option was accounted for as a separate arrangement upon exercise. Additionally, the Company considered whether the services performed for each target should be considered separate performance obligations and concluded that all targets should be accounted for as one combined performance obligation.</w:t>
      </w:r>
    </w:p>
    <w:p>
      <w:pPr>
        <w:spacing w:after="0" w:line="19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The Company received an upfront payment of $50.0 million from BMS in July 2014. In January and December 2016, BMS selected the third and fourth targets, respectively, and paid the Company $10.0 million and $15.0 million, respectively, pursuant to the terms of the BMS Agreement. In December 2016, BMS selected a clinical candidate pursuant to the BMS Agreement, which triggered a $2.0 million pre-clinical milestone payment to the Company. In November 2017, the Company recognized a $10.0 million milestone payment from BMS upon approval of the investigational new drug application for the CTLA-4-directed Probody therapeutic.</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2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6"/>
          <w:szCs w:val="16"/>
          <w:color w:val="auto"/>
        </w:rPr>
        <w:t>On March 17, 2017, the Company and BMS entered into Amendment Number 1 to Extend Collaboration and License Agreement (the “Amendment”). The Amendment grants BMS exclusive worldwide rights to develop and commercialize Probody therapeutics for up to six additional oncology targets and two non-oncology targets. The effective date of the Amendment was April 25, 2017 (“Amendment Effective Date”). Under the terms of the Amendment, the Company continues to collaborate with BMS to discover and conduct preclinical development of Probody therapeutics against targets selected by BMS under the terms of the Amendment.</w:t>
      </w:r>
    </w:p>
    <w:p>
      <w:pPr>
        <w:spacing w:after="0" w:line="18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7"/>
          <w:szCs w:val="17"/>
          <w:color w:val="auto"/>
        </w:rPr>
        <w:t>Pursuant to the Amendment, the financial consideration from BMS is comprised of an upfront payment of $200.0 million and the Company is eligible to receive up to an aggregate of $3,586.0 million as follows:</w:t>
      </w:r>
    </w:p>
    <w:p>
      <w:pPr>
        <w:spacing w:after="0" w:line="160" w:lineRule="exact"/>
        <w:rPr>
          <w:sz w:val="20"/>
          <w:szCs w:val="20"/>
          <w:color w:val="auto"/>
        </w:rPr>
      </w:pPr>
    </w:p>
    <w:p>
      <w:pPr>
        <w:ind w:left="1020" w:right="100" w:hanging="511"/>
        <w:spacing w:after="0" w:line="268" w:lineRule="auto"/>
        <w:tabs>
          <w:tab w:leader="none" w:pos="10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$116.0 million in development milestone payments per target or up to $928.0 million if the maximum of eight targets are selected for the first product modality;</w:t>
      </w:r>
    </w:p>
    <w:p>
      <w:pPr>
        <w:spacing w:after="0" w:line="60" w:lineRule="exact"/>
        <w:rPr>
          <w:rFonts w:ascii="Times New Roman" w:cs="Times New Roman" w:eastAsia="Times New Roman" w:hAnsi="Times New Roman"/>
          <w:sz w:val="17"/>
          <w:szCs w:val="17"/>
          <w:color w:val="auto"/>
        </w:rPr>
      </w:pPr>
    </w:p>
    <w:p>
      <w:pPr>
        <w:ind w:left="1020" w:right="160" w:hanging="511"/>
        <w:spacing w:after="0" w:line="268" w:lineRule="auto"/>
        <w:tabs>
          <w:tab w:leader="none" w:pos="10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$124.0 million in milestone payments for the first commercial sale in various territories for up to three indications per target program or up to $992.0 million if the maximum of eight targets are selected for the first product modality;</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 to $60.0 million in sales milestone payments per target or up to $480.0 million if maximum of eight targets are selected for the first product modality; and</w:t>
      </w:r>
    </w:p>
    <w:p>
      <w:pPr>
        <w:spacing w:after="0" w:line="114" w:lineRule="exact"/>
        <w:rPr>
          <w:rFonts w:ascii="Times New Roman" w:cs="Times New Roman" w:eastAsia="Times New Roman" w:hAnsi="Times New Roman"/>
          <w:sz w:val="16"/>
          <w:szCs w:val="16"/>
          <w:color w:val="auto"/>
        </w:rPr>
      </w:pPr>
    </w:p>
    <w:p>
      <w:pPr>
        <w:ind w:left="1020" w:right="660" w:hanging="511"/>
        <w:spacing w:after="0" w:line="268" w:lineRule="auto"/>
        <w:tabs>
          <w:tab w:leader="none" w:pos="10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$56.3 million in development milestone payments or up to $450.0 million if the maximum of eight targets are selected for the second product modality;</w:t>
      </w:r>
    </w:p>
    <w:p>
      <w:pPr>
        <w:spacing w:after="0" w:line="60" w:lineRule="exact"/>
        <w:rPr>
          <w:rFonts w:ascii="Times New Roman" w:cs="Times New Roman" w:eastAsia="Times New Roman" w:hAnsi="Times New Roman"/>
          <w:sz w:val="17"/>
          <w:szCs w:val="17"/>
          <w:color w:val="auto"/>
        </w:rPr>
      </w:pPr>
    </w:p>
    <w:p>
      <w:pPr>
        <w:ind w:left="1020" w:right="240" w:hanging="511"/>
        <w:spacing w:after="0" w:line="268" w:lineRule="auto"/>
        <w:tabs>
          <w:tab w:leader="none" w:pos="10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$62.0 million in milestone payments for the first commercial sale in various territories for up to three indications per target program or up to $496.0 million if the maximum of eight targets are selected for the second product modality;</w:t>
      </w:r>
    </w:p>
    <w:p>
      <w:pPr>
        <w:spacing w:after="0" w:line="60"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 to $30.0 million in sales milestone payments per target or up to $240.0 million if maximum of eight targets are selected for the second product modality.</w:t>
      </w:r>
    </w:p>
    <w:p>
      <w:pPr>
        <w:spacing w:after="0" w:line="238" w:lineRule="exact"/>
        <w:rPr>
          <w:sz w:val="20"/>
          <w:szCs w:val="20"/>
          <w:color w:val="auto"/>
        </w:rPr>
      </w:pPr>
    </w:p>
    <w:p>
      <w:pPr>
        <w:ind w:left="380" w:right="80"/>
        <w:spacing w:after="0" w:line="252" w:lineRule="auto"/>
        <w:rPr>
          <w:sz w:val="20"/>
          <w:szCs w:val="20"/>
          <w:color w:val="auto"/>
        </w:rPr>
      </w:pPr>
      <w:r>
        <w:rPr>
          <w:rFonts w:ascii="Times New Roman" w:cs="Times New Roman" w:eastAsia="Times New Roman" w:hAnsi="Times New Roman"/>
          <w:sz w:val="17"/>
          <w:szCs w:val="17"/>
          <w:color w:val="auto"/>
        </w:rPr>
        <w:t>The Company is also entitled to tiered mid-single to low double-digit percentage royalties from potential future sales. The Amendment does not change the term of the BMS’s royalty obligation under the BMS Agreement. BMS’s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210"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7"/>
          <w:szCs w:val="17"/>
          <w:color w:val="auto"/>
        </w:rPr>
        <w:t>The initial transaction price is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as of December 31, 2018. The BMS Agreement represents an obligation to continuously make the Probody therapeutic technology platform available to BMS. Therefore, the initial transaction price is recognized over the estimated research service period, which ends on April 25, 2023.</w:t>
      </w:r>
    </w:p>
    <w:p>
      <w:pPr>
        <w:spacing w:after="0" w:line="21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The Company recognized revenue of $32.8 million, $36.5 million and $9.6 million for the years ended December 31, 2018, 2017 and 2016, respectively. As of December 31, 2018 and 2017, deferred revenue related to the BMS Agreement was $205.6 million and $235.0 million, respectively. The amount due from BMS under the BMS Agreement was $0.1 million and $10.1 million as of December 31, 2018 and 2017, respectively.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ImmunoGen, Inc.</w:t>
      </w:r>
    </w:p>
    <w:p>
      <w:pPr>
        <w:spacing w:after="0" w:line="10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PDC directed at one specified target under a research license, and to subsequently obtain an exclusive, worldwide development and commercialization license to use ImmunoGen’s ADC technology to develop and commercialize such PDCs. The Company made no upfront cash payment in connection with the execution of the agreement. Instead, the Company provided ImmunoGen with the rights to CytomX’s Probody therapeutic technology to create PDCs directed at two targets under the ImmunoGen Research Agreement and to subsequently obtain exclusive, worldwide development and commercialization licenses to develop and commercialize such PDCs. In February 2016, the Company exercised its option to obtain a development and commercialization license for CX-2009 pursuant to the terms of the ImmunoGen Research Agreement (the “CX-2009 License”). In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85"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6"/>
          <w:szCs w:val="16"/>
          <w:color w:val="auto"/>
        </w:rPr>
        <w:t>February 2017, ImmunoGen exercised its first option to obtain a development and commercialization license for one of the two targets. Substitution rights for this first target selection program terminated in February 2017 and ImmunoGen discontinued the program in July 2017. The Company recognized the remaining deferred revenue related to the discontinued program upon the termination of the program. ImmunoGen exercised its second option to obtain a development and commercialization license pursuant to the ImmunoGen Research Agreement (the “ImmunoGen 2017 License”) for a target in December 2017 and continues research work on this program.</w:t>
      </w:r>
    </w:p>
    <w:p>
      <w:pPr>
        <w:spacing w:after="0" w:line="15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6"/>
          <w:szCs w:val="16"/>
          <w:color w:val="auto"/>
        </w:rPr>
        <w:t>Under the terms of the ImmunoGen Research Agreement, both the Company and ImmunoGen performed research activities on behalf of the other party for no monetary consideration through January 2018 and the arrangement was extended to June 2018, as discussed below. Each party is solely responsible for the development, manufacturing and commercialization of any products resulting from the exclusive development and commercialization license obtained by such party under the agreement.</w:t>
      </w:r>
    </w:p>
    <w:p>
      <w:pPr>
        <w:spacing w:after="0" w:line="19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In consideration for the ImmunoGen 2017 License, the Company is entitled to receive up to $30.0 million in development and regulatory milestone payments, up to $50.0 million in sales milestone payments and royalties in the mid-single digits percentage on the commercial sales of any resulting product. For the CX-2009 License, the Company is obligated to pay ImmunoGen up to $60.0 million in development and regulatory milestone payments and up to $100.0 million in sales milestone payments and royalties in the mid to high single digits percentage on the commercial sales of any resulting product. In August 2017, the Company made a milestone payment of $1.0 million to ImmunoGen for the first patient dosing with CX-2009. No milestone payments have been accrued to the Company under the ImmunoGen 2017 License.</w:t>
      </w:r>
    </w:p>
    <w:p>
      <w:pPr>
        <w:spacing w:after="0" w:line="162"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7"/>
          <w:szCs w:val="17"/>
          <w:color w:val="auto"/>
        </w:rPr>
        <w:t>The Company accounted for the ImmunoGen Research Agreement based on the fair value of the assets and services exchanged. The Company identified the following performance obligations at the inception of the ImmunoGen Research Agreement:</w:t>
      </w:r>
    </w:p>
    <w:p>
      <w:pPr>
        <w:spacing w:after="0" w:line="222" w:lineRule="exact"/>
        <w:rPr>
          <w:sz w:val="20"/>
          <w:szCs w:val="20"/>
          <w:color w:val="auto"/>
        </w:rPr>
      </w:pPr>
    </w:p>
    <w:p>
      <w:pPr>
        <w:ind w:left="760" w:hanging="242"/>
        <w:spacing w:after="0"/>
        <w:tabs>
          <w:tab w:leader="none" w:pos="7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license,</w:t>
      </w:r>
    </w:p>
    <w:p>
      <w:pPr>
        <w:spacing w:after="0" w:line="40" w:lineRule="exact"/>
        <w:rPr>
          <w:rFonts w:ascii="Times New Roman" w:cs="Times New Roman" w:eastAsia="Times New Roman" w:hAnsi="Times New Roman"/>
          <w:sz w:val="17"/>
          <w:szCs w:val="17"/>
          <w:color w:val="auto"/>
        </w:rPr>
      </w:pPr>
    </w:p>
    <w:p>
      <w:pPr>
        <w:ind w:left="760" w:hanging="242"/>
        <w:spacing w:after="0"/>
        <w:tabs>
          <w:tab w:leader="none" w:pos="7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services,</w:t>
      </w:r>
    </w:p>
    <w:p>
      <w:pPr>
        <w:spacing w:after="0" w:line="28" w:lineRule="exact"/>
        <w:rPr>
          <w:rFonts w:ascii="Times New Roman" w:cs="Times New Roman" w:eastAsia="Times New Roman" w:hAnsi="Times New Roman"/>
          <w:sz w:val="17"/>
          <w:szCs w:val="17"/>
          <w:color w:val="auto"/>
        </w:rPr>
      </w:pPr>
    </w:p>
    <w:p>
      <w:pPr>
        <w:ind w:left="760" w:hanging="242"/>
        <w:spacing w:after="0"/>
        <w:tabs>
          <w:tab w:leader="none" w:pos="7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to participate in the joint research committee,</w:t>
      </w:r>
    </w:p>
    <w:p>
      <w:pPr>
        <w:spacing w:after="0" w:line="40" w:lineRule="exact"/>
        <w:rPr>
          <w:rFonts w:ascii="Times New Roman" w:cs="Times New Roman" w:eastAsia="Times New Roman" w:hAnsi="Times New Roman"/>
          <w:sz w:val="17"/>
          <w:szCs w:val="17"/>
          <w:color w:val="auto"/>
        </w:rPr>
      </w:pPr>
    </w:p>
    <w:p>
      <w:pPr>
        <w:ind w:left="760" w:hanging="242"/>
        <w:spacing w:after="0"/>
        <w:tabs>
          <w:tab w:leader="none" w:pos="7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exclusive research, development and commercialization license and</w:t>
      </w:r>
    </w:p>
    <w:p>
      <w:pPr>
        <w:spacing w:after="0" w:line="40" w:lineRule="exact"/>
        <w:rPr>
          <w:rFonts w:ascii="Times New Roman" w:cs="Times New Roman" w:eastAsia="Times New Roman" w:hAnsi="Times New Roman"/>
          <w:sz w:val="17"/>
          <w:szCs w:val="17"/>
          <w:color w:val="auto"/>
        </w:rPr>
      </w:pPr>
    </w:p>
    <w:p>
      <w:pPr>
        <w:ind w:left="760" w:hanging="242"/>
        <w:spacing w:after="0"/>
        <w:tabs>
          <w:tab w:leader="none" w:pos="7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to provide future technology improvements, when available.</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The Company determined that the research license, the research services, the participation in the joint steering committee, and the technology improvements are not distinct from the development and commercialization license and therefore those performance obligations were combined into one combined performance obligation. The Company considered factors such as the limited economic benefits to ImmunoGen if the development and commercialization license was not obtained and the lack of sublicensing rights in the research license.</w:t>
      </w:r>
    </w:p>
    <w:p>
      <w:pPr>
        <w:spacing w:after="0" w:line="2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The estimated total fair value of the consideration of $13.2 million was recorded as deferred revenue at the inception of the ImmunoGen Research Agreement. In December 2017, the Company entered into the ImmunoGen 2017 License arrangement and extended the Company’s obligation to provide research services under the ImmunoGen Research Agreement to June 30, 2018. The fair value of the consideration for the combined performance obligation was recognized as revenue over the research period that ended on June 30, 2018. As of December 31, 2018, neither company has further research obligations under the ImmunoGen Research Agreement.</w:t>
      </w:r>
    </w:p>
    <w:p>
      <w:pPr>
        <w:spacing w:after="0" w:line="21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7"/>
          <w:szCs w:val="17"/>
          <w:color w:val="auto"/>
        </w:rPr>
        <w:t>The estimated total fair value of assets and services received was also $13.2 million, of which $12.7 million was allocated to the licenses received and was charged to research and development expense, with the remaining amount of $0.5 million allocated to the research services, joint research committee participation and technology improvements, which was expensed over the period of services provided.</w:t>
      </w:r>
    </w:p>
    <w:p>
      <w:pPr>
        <w:spacing w:after="0" w:line="1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Company recognized revenue of $1.5 million and $12.5 million for the year ended December 31, 2018 and 2017, respectively. There was no revenue recognized for the year ended December 31, 2016. As of December 31, 2018 and 2017, deferred revenue relating to the ImmunoGen Research Agreement was $0 and $0.7 million, respectively. As of both December 31, 2018 and 2017, no amount was due from ImmunoGen under the ImmunoGen Research Agreement.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MD Anderson</w:t>
      </w:r>
    </w:p>
    <w:p>
      <w:pPr>
        <w:spacing w:after="0" w:line="10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7"/>
          <w:szCs w:val="17"/>
          <w:color w:val="auto"/>
        </w:rPr>
        <w:t>In November 2015, the Company entered into a research collaboration agreement with MD Anderson to research Probody-enabled chimeric antigen receptor killer (CAR-NK) cell therapies, known as ProCAR-NK cell therapies. Under this collaboration, MD Anderson will use the Company’s Probody technology to conduct research of ProCAR-NK cell therapies against certain targets selected by the Company in cancer immunotherapy. Under the research collaboration agreement, the Company had the right to exercise an option, during the option period expiring on November 2, 2019 and upon payment of an option exercise fee, to negotiate and acquire a worldwide, exclusive, sublicensable license from MD Anderson for development and commercialization of products directed against any of the selected targets. The research collaboration agreement continued in effect until the earlier of (i) the date that the Company exercises the option to acquire the license from MD Anderson and (ii) the expiration of the option period. The expenses related to this agreement were not material to the financial statements for the years ended December 31, 2018 and 2017. The Company decided not to exercise the option to extend the agreement and allowed it to expire on November 1, 2018.</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Pfizer Inc.</w:t>
      </w:r>
    </w:p>
    <w:p>
      <w:pPr>
        <w:spacing w:after="0" w:line="1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In May 2013, the Company and Pfizer Inc. (“Pfizer”) entered into a Research Collaboration, Option and License Agreement (the “Pfizer Agreement”) to collaborate on the discovery and preclinical research activities related to Probody therapeutics, and PDCs for research project targets nominated by Pfizer. Pfizer nominated two research targets in 2013 and, pursuant to the Pfizer Agreement, had the option of nominating two additional research targets. In December 2014, Pfizer selected an additional research target and paid the Company $1.5 million. The option to select a fourth target lapsed in May 2016. Pfizer discontinued the epidermal growth factor receptor (“EGFR”) program and decided to terminate the remaining two targets in February and March 2018. In March 2018, Pfizer terminated the Pfizer Agreement. As such, the Company had no further performance obligations under this agreement following the termination of the Pfizer Agreement and recognized the remaining deferred revenue of $1.1 million during the first quarter of 2018.</w:t>
      </w:r>
    </w:p>
    <w:p>
      <w:pPr>
        <w:spacing w:after="0" w:line="17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Pursuant to the Pfizer Agreement, the Company received an upfront payment of $6.0 million and research and development service fees based on a prescribed FTE rate per year that is capped. The Company identified the following performance obligations at the inception of the Pfizer Agreement: (1) the research license, (2) the research services and (3) the obligation to participate in the joint research committee. The Company determined that the research license was not distinct from the research services and participation in the joint research committee due to the specialized nature of the research services to be provided by the Company, and accordingly, this deliverable was combined with the research services and participation in the joint research committee as a combined performance obligation. The Company concluded that, at the inception of the agreement, Pfizer’s options to obtain an exclusive development and commercialization license for each research project target did not represent a material right and were not performance obligations.</w:t>
      </w:r>
    </w:p>
    <w:p>
      <w:pPr>
        <w:spacing w:after="0" w:line="17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7"/>
          <w:szCs w:val="17"/>
          <w:color w:val="auto"/>
        </w:rPr>
        <w:t>As the combined performance obligation represented an obligation to continuously make the Probody therapeutic technology platform available to Pfizer, the initial transaction price was recognized over the common measure of progress for the entire performance obligation over the estimated research service period of five and a half years.</w:t>
      </w:r>
    </w:p>
    <w:p>
      <w:pPr>
        <w:spacing w:after="0" w:line="17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The Company recognized revenue of $1.4 million, $1.9 million and $2.2 million for the years ended December 31, 2018, 2017 and 2016, respectively. As of December 31, 2018 and 2017, deferred revenue relating to the Pfizer Agreement was $0 and $1.6 million, respectively. The amount due from Pfizer under the Pfizer Agreement was $0 and $13,000 as of December 31, 2018 and 2017, respectively.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changes in the Company’s total contract liabilities for the year ended December 31, 2018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10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Deductions</w:t>
            </w:r>
          </w:p>
        </w:tc>
        <w:tc>
          <w:tcPr>
            <w:tcW w:w="10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00" w:type="dxa"/>
            <w:vAlign w:val="bottom"/>
          </w:tcPr>
          <w:p>
            <w:pPr>
              <w:spacing w:after="0"/>
              <w:rPr>
                <w:sz w:val="10"/>
                <w:szCs w:val="10"/>
                <w:color w:val="auto"/>
              </w:rPr>
            </w:pPr>
          </w:p>
        </w:tc>
        <w:tc>
          <w:tcPr>
            <w:tcW w:w="1080" w:type="dxa"/>
            <w:vAlign w:val="bottom"/>
          </w:tcPr>
          <w:p>
            <w:pPr>
              <w:jc w:val="center"/>
              <w:ind w:right="132"/>
              <w:spacing w:after="0" w:line="119" w:lineRule="exact"/>
              <w:rPr>
                <w:sz w:val="20"/>
                <w:szCs w:val="20"/>
                <w:color w:val="auto"/>
              </w:rPr>
            </w:pPr>
            <w:r>
              <w:rPr>
                <w:rFonts w:ascii="Times New Roman" w:cs="Times New Roman" w:eastAsia="Times New Roman" w:hAnsi="Times New Roman"/>
                <w:sz w:val="13"/>
                <w:szCs w:val="13"/>
                <w:b w:val="1"/>
                <w:bCs w:val="1"/>
                <w:color w:val="auto"/>
              </w:rPr>
              <w:t>Revenue</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Adjustment to</w:t>
            </w: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420"/>
              <w:spacing w:after="0" w:line="137"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200" w:type="dxa"/>
            <w:vAlign w:val="bottom"/>
          </w:tcPr>
          <w:p>
            <w:pPr>
              <w:spacing w:after="0"/>
              <w:rPr>
                <w:sz w:val="11"/>
                <w:szCs w:val="11"/>
                <w:color w:val="auto"/>
              </w:rPr>
            </w:pPr>
          </w:p>
        </w:tc>
        <w:tc>
          <w:tcPr>
            <w:tcW w:w="134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3"/>
                <w:szCs w:val="13"/>
                <w:b w:val="1"/>
                <w:bCs w:val="1"/>
                <w:color w:val="auto"/>
              </w:rPr>
              <w:t>from Amounts</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440"/>
              <w:spacing w:after="0" w:line="137"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160" w:type="dxa"/>
            <w:vAlign w:val="bottom"/>
          </w:tcPr>
          <w:p>
            <w:pPr>
              <w:spacing w:after="0"/>
              <w:rPr>
                <w:sz w:val="11"/>
                <w:szCs w:val="11"/>
                <w:color w:val="auto"/>
              </w:rPr>
            </w:pPr>
          </w:p>
        </w:tc>
        <w:tc>
          <w:tcPr>
            <w:tcW w:w="1360" w:type="dxa"/>
            <w:vAlign w:val="bottom"/>
            <w:gridSpan w:val="2"/>
          </w:tcPr>
          <w:p>
            <w:pPr>
              <w:jc w:val="center"/>
              <w:ind w:right="420"/>
              <w:spacing w:after="0" w:line="137" w:lineRule="exact"/>
              <w:rPr>
                <w:sz w:val="20"/>
                <w:szCs w:val="20"/>
                <w:color w:val="auto"/>
              </w:rPr>
            </w:pPr>
            <w:r>
              <w:rPr>
                <w:rFonts w:ascii="Times New Roman" w:cs="Times New Roman" w:eastAsia="Times New Roman" w:hAnsi="Times New Roman"/>
                <w:sz w:val="13"/>
                <w:szCs w:val="13"/>
                <w:b w:val="1"/>
                <w:bCs w:val="1"/>
                <w:color w:val="auto"/>
              </w:rPr>
              <w:t>from an</w:t>
            </w:r>
          </w:p>
        </w:tc>
        <w:tc>
          <w:tcPr>
            <w:tcW w:w="200" w:type="dxa"/>
            <w:vAlign w:val="bottom"/>
          </w:tcPr>
          <w:p>
            <w:pPr>
              <w:spacing w:after="0"/>
              <w:rPr>
                <w:sz w:val="11"/>
                <w:szCs w:val="11"/>
                <w:color w:val="auto"/>
              </w:rPr>
            </w:pPr>
          </w:p>
        </w:tc>
        <w:tc>
          <w:tcPr>
            <w:tcW w:w="134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3"/>
                <w:szCs w:val="13"/>
                <w:b w:val="1"/>
                <w:bCs w:val="1"/>
                <w:color w:val="auto"/>
              </w:rPr>
              <w:t>Included in</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ASC 606</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440"/>
              <w:spacing w:after="0" w:line="137" w:lineRule="exact"/>
              <w:rPr>
                <w:sz w:val="20"/>
                <w:szCs w:val="20"/>
                <w:color w:val="auto"/>
              </w:rPr>
            </w:pPr>
            <w:r>
              <w:rPr>
                <w:rFonts w:ascii="Times New Roman" w:cs="Times New Roman" w:eastAsia="Times New Roman" w:hAnsi="Times New Roman"/>
                <w:sz w:val="13"/>
                <w:szCs w:val="13"/>
                <w:b w:val="1"/>
                <w:bCs w:val="1"/>
                <w:color w:val="auto"/>
              </w:rPr>
              <w:t>Price from</w:t>
            </w:r>
          </w:p>
        </w:tc>
        <w:tc>
          <w:tcPr>
            <w:tcW w:w="160" w:type="dxa"/>
            <w:vAlign w:val="bottom"/>
          </w:tcPr>
          <w:p>
            <w:pPr>
              <w:spacing w:after="0"/>
              <w:rPr>
                <w:sz w:val="11"/>
                <w:szCs w:val="11"/>
                <w:color w:val="auto"/>
              </w:rPr>
            </w:pPr>
          </w:p>
        </w:tc>
        <w:tc>
          <w:tcPr>
            <w:tcW w:w="1360" w:type="dxa"/>
            <w:vAlign w:val="bottom"/>
            <w:gridSpan w:val="2"/>
          </w:tcPr>
          <w:p>
            <w:pPr>
              <w:jc w:val="center"/>
              <w:ind w:right="420"/>
              <w:spacing w:after="0" w:line="137" w:lineRule="exact"/>
              <w:rPr>
                <w:sz w:val="20"/>
                <w:szCs w:val="20"/>
                <w:color w:val="auto"/>
              </w:rPr>
            </w:pPr>
            <w:r>
              <w:rPr>
                <w:rFonts w:ascii="Times New Roman" w:cs="Times New Roman" w:eastAsia="Times New Roman" w:hAnsi="Times New Roman"/>
                <w:sz w:val="13"/>
                <w:szCs w:val="13"/>
                <w:b w:val="1"/>
                <w:bCs w:val="1"/>
                <w:color w:val="auto"/>
              </w:rPr>
              <w:t>Adjustment to</w:t>
            </w:r>
          </w:p>
        </w:tc>
        <w:tc>
          <w:tcPr>
            <w:tcW w:w="200" w:type="dxa"/>
            <w:vAlign w:val="bottom"/>
          </w:tcPr>
          <w:p>
            <w:pPr>
              <w:spacing w:after="0"/>
              <w:rPr>
                <w:sz w:val="11"/>
                <w:szCs w:val="11"/>
                <w:color w:val="auto"/>
              </w:rPr>
            </w:pPr>
          </w:p>
        </w:tc>
        <w:tc>
          <w:tcPr>
            <w:tcW w:w="134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3"/>
                <w:szCs w:val="13"/>
                <w:b w:val="1"/>
                <w:bCs w:val="1"/>
                <w:color w:val="auto"/>
              </w:rPr>
              <w:t>Contract</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Balance at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440"/>
              <w:spacing w:after="0" w:line="137"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160" w:type="dxa"/>
            <w:vAlign w:val="bottom"/>
          </w:tcPr>
          <w:p>
            <w:pPr>
              <w:spacing w:after="0"/>
              <w:rPr>
                <w:sz w:val="11"/>
                <w:szCs w:val="11"/>
                <w:color w:val="auto"/>
              </w:rPr>
            </w:pPr>
          </w:p>
        </w:tc>
        <w:tc>
          <w:tcPr>
            <w:tcW w:w="1360" w:type="dxa"/>
            <w:vAlign w:val="bottom"/>
            <w:gridSpan w:val="2"/>
          </w:tcPr>
          <w:p>
            <w:pPr>
              <w:jc w:val="center"/>
              <w:ind w:right="420"/>
              <w:spacing w:after="0" w:line="137"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200" w:type="dxa"/>
            <w:vAlign w:val="bottom"/>
          </w:tcPr>
          <w:p>
            <w:pPr>
              <w:spacing w:after="0"/>
              <w:rPr>
                <w:sz w:val="11"/>
                <w:szCs w:val="11"/>
                <w:color w:val="auto"/>
              </w:rPr>
            </w:pPr>
          </w:p>
        </w:tc>
        <w:tc>
          <w:tcPr>
            <w:tcW w:w="134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3"/>
                <w:szCs w:val="13"/>
                <w:b w:val="1"/>
                <w:bCs w:val="1"/>
                <w:color w:val="auto"/>
              </w:rPr>
              <w:t>Liability at the</w:t>
            </w:r>
          </w:p>
        </w:tc>
        <w:tc>
          <w:tcPr>
            <w:tcW w:w="200" w:type="dxa"/>
            <w:vAlign w:val="bottom"/>
          </w:tcPr>
          <w:p>
            <w:pPr>
              <w:spacing w:after="0"/>
              <w:rPr>
                <w:sz w:val="11"/>
                <w:szCs w:val="11"/>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Balance at</w:t>
            </w: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50"/>
              <w:spacing w:after="0" w:line="137" w:lineRule="exact"/>
              <w:rPr>
                <w:sz w:val="20"/>
                <w:szCs w:val="20"/>
                <w:color w:val="auto"/>
              </w:rPr>
            </w:pPr>
            <w:r>
              <w:rPr>
                <w:rFonts w:ascii="Times New Roman" w:cs="Times New Roman" w:eastAsia="Times New Roman" w:hAnsi="Times New Roman"/>
                <w:sz w:val="13"/>
                <w:szCs w:val="13"/>
                <w:b w:val="1"/>
                <w:bCs w:val="1"/>
                <w:color w:val="auto"/>
              </w:rPr>
              <w:t>Adoption</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3"/>
                <w:szCs w:val="13"/>
                <w:b w:val="1"/>
                <w:bCs w:val="1"/>
                <w:color w:val="auto"/>
              </w:rPr>
              <w:t>Obligation</w:t>
            </w:r>
          </w:p>
        </w:tc>
        <w:tc>
          <w:tcPr>
            <w:tcW w:w="160" w:type="dxa"/>
            <w:vAlign w:val="bottom"/>
          </w:tcPr>
          <w:p>
            <w:pPr>
              <w:spacing w:after="0"/>
              <w:rPr>
                <w:sz w:val="11"/>
                <w:szCs w:val="11"/>
                <w:color w:val="auto"/>
              </w:rPr>
            </w:pPr>
          </w:p>
        </w:tc>
        <w:tc>
          <w:tcPr>
            <w:tcW w:w="1360" w:type="dxa"/>
            <w:vAlign w:val="bottom"/>
            <w:gridSpan w:val="2"/>
          </w:tcPr>
          <w:p>
            <w:pPr>
              <w:jc w:val="center"/>
              <w:ind w:right="420"/>
              <w:spacing w:after="0" w:line="137" w:lineRule="exact"/>
              <w:rPr>
                <w:sz w:val="20"/>
                <w:szCs w:val="20"/>
                <w:color w:val="auto"/>
              </w:rPr>
            </w:pPr>
            <w:r>
              <w:rPr>
                <w:rFonts w:ascii="Times New Roman" w:cs="Times New Roman" w:eastAsia="Times New Roman" w:hAnsi="Times New Roman"/>
                <w:sz w:val="13"/>
                <w:szCs w:val="13"/>
                <w:b w:val="1"/>
                <w:bCs w:val="1"/>
                <w:color w:val="auto"/>
              </w:rPr>
              <w:t>Price During</w:t>
            </w:r>
          </w:p>
        </w:tc>
        <w:tc>
          <w:tcPr>
            <w:tcW w:w="200" w:type="dxa"/>
            <w:vAlign w:val="bottom"/>
          </w:tcPr>
          <w:p>
            <w:pPr>
              <w:spacing w:after="0"/>
              <w:rPr>
                <w:sz w:val="11"/>
                <w:szCs w:val="11"/>
                <w:color w:val="auto"/>
              </w:rPr>
            </w:pPr>
          </w:p>
        </w:tc>
        <w:tc>
          <w:tcPr>
            <w:tcW w:w="134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3"/>
                <w:szCs w:val="13"/>
                <w:b w:val="1"/>
                <w:bCs w:val="1"/>
                <w:color w:val="auto"/>
              </w:rPr>
              <w:t>Beginning of</w:t>
            </w: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12/31/2017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Satisfied</w:t>
            </w:r>
          </w:p>
        </w:tc>
        <w:tc>
          <w:tcPr>
            <w:tcW w:w="16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the Period</w:t>
            </w:r>
          </w:p>
        </w:tc>
        <w:tc>
          <w:tcPr>
            <w:tcW w:w="200" w:type="dxa"/>
            <w:vAlign w:val="bottom"/>
          </w:tcPr>
          <w:p>
            <w:pPr>
              <w:spacing w:after="0"/>
              <w:rPr>
                <w:sz w:val="13"/>
                <w:szCs w:val="13"/>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the Period</w:t>
            </w:r>
          </w:p>
        </w:tc>
        <w:tc>
          <w:tcPr>
            <w:tcW w:w="200" w:type="dxa"/>
            <w:vAlign w:val="bottom"/>
          </w:tcPr>
          <w:p>
            <w:pPr>
              <w:spacing w:after="0"/>
              <w:rPr>
                <w:sz w:val="13"/>
                <w:szCs w:val="13"/>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12/31/2018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00" w:type="dxa"/>
            <w:vAlign w:val="bottom"/>
            <w:tcBorders>
              <w:top w:val="single" w:sz="8" w:color="CFF0FC"/>
            </w:tcBorders>
            <w:shd w:val="clear" w:color="auto" w:fill="CFF0FC"/>
          </w:tcPr>
          <w:p>
            <w:pPr>
              <w:jc w:val="center"/>
              <w:ind w:right="437"/>
              <w:spacing w:after="0"/>
              <w:rPr>
                <w:sz w:val="20"/>
                <w:szCs w:val="20"/>
                <w:color w:val="auto"/>
              </w:rPr>
            </w:pPr>
            <w:r>
              <w:rPr>
                <w:rFonts w:ascii="Times New Roman" w:cs="Times New Roman" w:eastAsia="Times New Roman" w:hAnsi="Times New Roman"/>
                <w:sz w:val="17"/>
                <w:szCs w:val="17"/>
                <w:b w:val="1"/>
                <w:bCs w:val="1"/>
                <w:color w:val="auto"/>
                <w:w w:val="97"/>
              </w:rPr>
              <w:t>Contract liabilities:</w:t>
            </w:r>
          </w:p>
        </w:tc>
        <w:tc>
          <w:tcPr>
            <w:tcW w:w="5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437"/>
              <w:spacing w:after="0"/>
              <w:rPr>
                <w:sz w:val="20"/>
                <w:szCs w:val="20"/>
                <w:color w:val="auto"/>
              </w:rPr>
            </w:pPr>
            <w:r>
              <w:rPr>
                <w:rFonts w:ascii="Times New Roman" w:cs="Times New Roman" w:eastAsia="Times New Roman" w:hAnsi="Times New Roman"/>
                <w:sz w:val="17"/>
                <w:szCs w:val="17"/>
                <w:color w:val="auto"/>
                <w:w w:val="96"/>
              </w:rPr>
              <w:t>Deferred revenue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305,263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(11,718)</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(47,477)</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20" w:name="page121"/>
    <w:bookmarkEnd w:id="12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23" w:lineRule="exact"/>
        <w:rPr>
          <w:sz w:val="20"/>
          <w:szCs w:val="20"/>
          <w:color w:val="auto"/>
        </w:rPr>
      </w:pPr>
    </w:p>
    <w:p>
      <w:pPr>
        <w:ind w:left="1" w:right="200"/>
        <w:spacing w:after="0" w:line="250" w:lineRule="auto"/>
        <w:rPr>
          <w:sz w:val="20"/>
          <w:szCs w:val="20"/>
          <w:color w:val="auto"/>
        </w:rPr>
      </w:pPr>
      <w:r>
        <w:rPr>
          <w:rFonts w:ascii="Times New Roman" w:cs="Times New Roman" w:eastAsia="Times New Roman" w:hAnsi="Times New Roman"/>
          <w:sz w:val="17"/>
          <w:szCs w:val="17"/>
          <w:color w:val="auto"/>
        </w:rPr>
        <w:t>Additions of $31.9 million consists of the ASC 606 adoption adjustment of $10.9 million and $21.0 million earned (net of the payment of an associated sublicense fee of $4.0 million to SGEN) resulting from the achievement of the IND milestone under the CD71 Agreement. The $21.0 million milestone payment is included in the transaction price in May 2018 and is being recognized over the research period of the CD71 Agreement. Of the $21.0 million, $11.7 million was recognized as revenue during the year ended December 2018 based on the estimated percentage completed to-date of the CD71 project. Deductions also includes $47.5 million of revenue recognized during the year ended December 31, 2018 that was included in the contract liability balance at the beginning of the period.</w:t>
      </w:r>
    </w:p>
    <w:p>
      <w:pPr>
        <w:spacing w:after="0" w:line="199" w:lineRule="exact"/>
        <w:rPr>
          <w:sz w:val="20"/>
          <w:szCs w:val="20"/>
          <w:color w:val="auto"/>
        </w:rPr>
      </w:pPr>
    </w:p>
    <w:p>
      <w:pPr>
        <w:ind w:left="1" w:right="160"/>
        <w:spacing w:after="0" w:line="279" w:lineRule="auto"/>
        <w:rPr>
          <w:sz w:val="20"/>
          <w:szCs w:val="20"/>
          <w:color w:val="auto"/>
        </w:rPr>
      </w:pPr>
      <w:r>
        <w:rPr>
          <w:rFonts w:ascii="Times New Roman" w:cs="Times New Roman" w:eastAsia="Times New Roman" w:hAnsi="Times New Roman"/>
          <w:sz w:val="16"/>
          <w:szCs w:val="16"/>
          <w:color w:val="auto"/>
        </w:rPr>
        <w:t>The Company estimates that the $278.0 million of deferred revenue related to the following contracts as of December 31, 2018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66" w:lineRule="exact"/>
        <w:rPr>
          <w:sz w:val="20"/>
          <w:szCs w:val="20"/>
          <w:color w:val="auto"/>
        </w:rPr>
      </w:pPr>
    </w:p>
    <w:p>
      <w:pPr>
        <w:ind w:left="1021" w:right="40" w:hanging="511"/>
        <w:spacing w:after="0" w:line="268" w:lineRule="auto"/>
        <w:tabs>
          <w:tab w:leader="none" w:pos="102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$23.2 million of deferred revenue related to the CD71 Agreement as of December 31, 2018 is expected to be recognized based on actual FTE effort and program progress until approximately April 2021.</w:t>
      </w:r>
    </w:p>
    <w:p>
      <w:pPr>
        <w:spacing w:after="0" w:line="60" w:lineRule="exact"/>
        <w:rPr>
          <w:rFonts w:ascii="Times New Roman" w:cs="Times New Roman" w:eastAsia="Times New Roman" w:hAnsi="Times New Roman"/>
          <w:sz w:val="17"/>
          <w:szCs w:val="17"/>
          <w:color w:val="auto"/>
        </w:rPr>
      </w:pPr>
    </w:p>
    <w:p>
      <w:pPr>
        <w:ind w:left="1021" w:right="60" w:hanging="511"/>
        <w:spacing w:after="0" w:line="268" w:lineRule="auto"/>
        <w:tabs>
          <w:tab w:leader="none" w:pos="102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$4.7 million of deferred revenue related to the Discovery Agreement as of December 31, 2018 is expected to be recognized ratably until approximately April 2021.</w:t>
      </w:r>
    </w:p>
    <w:p>
      <w:pPr>
        <w:spacing w:after="0" w:line="60" w:lineRule="exact"/>
        <w:rPr>
          <w:rFonts w:ascii="Times New Roman" w:cs="Times New Roman" w:eastAsia="Times New Roman" w:hAnsi="Times New Roman"/>
          <w:sz w:val="17"/>
          <w:szCs w:val="17"/>
          <w:color w:val="auto"/>
        </w:rPr>
      </w:pPr>
    </w:p>
    <w:p>
      <w:pPr>
        <w:ind w:left="1021" w:right="320" w:hanging="511"/>
        <w:spacing w:after="0" w:line="268" w:lineRule="auto"/>
        <w:tabs>
          <w:tab w:leader="none" w:pos="102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$40.7 million of deferred revenue related to the Amgen EGFR Products as of December 31, 2018 is expected to be recognized based on actual FTE effort and program progress until approximately September 2024.</w:t>
      </w:r>
    </w:p>
    <w:p>
      <w:pPr>
        <w:spacing w:after="0" w:line="60" w:lineRule="exact"/>
        <w:rPr>
          <w:rFonts w:ascii="Times New Roman" w:cs="Times New Roman" w:eastAsia="Times New Roman" w:hAnsi="Times New Roman"/>
          <w:sz w:val="17"/>
          <w:szCs w:val="17"/>
          <w:color w:val="auto"/>
        </w:rPr>
      </w:pPr>
    </w:p>
    <w:p>
      <w:pPr>
        <w:ind w:left="1021" w:hanging="511"/>
        <w:spacing w:after="0" w:line="268" w:lineRule="auto"/>
        <w:tabs>
          <w:tab w:leader="none" w:pos="102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$3.8 million of deferred revenue related to the Amgen Other Products as of December 31, 2018 is expected to be recognized ratably until approximately September 2023.</w:t>
      </w:r>
    </w:p>
    <w:p>
      <w:pPr>
        <w:spacing w:after="0" w:line="60" w:lineRule="exact"/>
        <w:rPr>
          <w:rFonts w:ascii="Times New Roman" w:cs="Times New Roman" w:eastAsia="Times New Roman" w:hAnsi="Times New Roman"/>
          <w:sz w:val="17"/>
          <w:szCs w:val="17"/>
          <w:color w:val="auto"/>
        </w:rPr>
      </w:pPr>
    </w:p>
    <w:p>
      <w:pPr>
        <w:ind w:left="1021" w:right="240" w:hanging="511"/>
        <w:spacing w:after="0" w:line="268" w:lineRule="auto"/>
        <w:tabs>
          <w:tab w:leader="none" w:pos="102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$205.6 million of deferred revenue related to the BMS Agreement as of December 31, 2018 is expected to be recognized ratably until approximately April 2025.</w:t>
      </w:r>
    </w:p>
    <w:p>
      <w:pPr>
        <w:spacing w:after="0" w:line="342" w:lineRule="exact"/>
        <w:rPr>
          <w:rFonts w:ascii="Times New Roman" w:cs="Times New Roman" w:eastAsia="Times New Roman" w:hAnsi="Times New Roman"/>
          <w:sz w:val="17"/>
          <w:szCs w:val="17"/>
          <w:color w:val="auto"/>
        </w:rPr>
      </w:pPr>
    </w:p>
    <w:p>
      <w:pPr>
        <w:ind w:left="241" w:hanging="241"/>
        <w:spacing w:after="0"/>
        <w:tabs>
          <w:tab w:leader="none" w:pos="241"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License Agreement</w:t>
      </w:r>
    </w:p>
    <w:p>
      <w:pPr>
        <w:spacing w:after="0" w:line="107" w:lineRule="exact"/>
        <w:rPr>
          <w:sz w:val="20"/>
          <w:szCs w:val="20"/>
          <w:color w:val="auto"/>
        </w:rPr>
      </w:pPr>
    </w:p>
    <w:p>
      <w:pPr>
        <w:ind w:left="1"/>
        <w:spacing w:after="0" w:line="300" w:lineRule="auto"/>
        <w:rPr>
          <w:sz w:val="20"/>
          <w:szCs w:val="20"/>
          <w:color w:val="auto"/>
        </w:rPr>
      </w:pPr>
      <w:r>
        <w:rPr>
          <w:rFonts w:ascii="Times New Roman" w:cs="Times New Roman" w:eastAsia="Times New Roman" w:hAnsi="Times New Roman"/>
          <w:sz w:val="16"/>
          <w:szCs w:val="16"/>
          <w:color w:val="auto"/>
        </w:rPr>
        <w:t>The Company has an exclusive, worldwide license agreement (the “UCSB Agreement”) with UCSB, relating to the use of certain patents and technology relating to its core technology, including its therapeutic antibodies, and to certain patent rights the Company co-owns with UCSB covering Probody antibodies and other pro-proteins.</w:t>
      </w:r>
    </w:p>
    <w:p>
      <w:pPr>
        <w:spacing w:after="0" w:line="161" w:lineRule="exact"/>
        <w:rPr>
          <w:sz w:val="20"/>
          <w:szCs w:val="20"/>
          <w:color w:val="auto"/>
        </w:rPr>
      </w:pPr>
    </w:p>
    <w:p>
      <w:pPr>
        <w:ind w:left="1"/>
        <w:spacing w:after="0" w:line="250" w:lineRule="auto"/>
        <w:rPr>
          <w:sz w:val="20"/>
          <w:szCs w:val="20"/>
          <w:color w:val="auto"/>
        </w:rPr>
      </w:pPr>
      <w:r>
        <w:rPr>
          <w:rFonts w:ascii="Times New Roman" w:cs="Times New Roman" w:eastAsia="Times New Roman" w:hAnsi="Times New Roman"/>
          <w:sz w:val="17"/>
          <w:szCs w:val="17"/>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w:t>
      </w:r>
    </w:p>
    <w:p>
      <w:pPr>
        <w:spacing w:after="0" w:line="174" w:lineRule="exact"/>
        <w:rPr>
          <w:sz w:val="20"/>
          <w:szCs w:val="20"/>
          <w:color w:val="auto"/>
        </w:rPr>
      </w:pPr>
    </w:p>
    <w:p>
      <w:pPr>
        <w:ind w:left="1" w:right="40"/>
        <w:spacing w:after="0" w:line="256" w:lineRule="auto"/>
        <w:rPr>
          <w:sz w:val="20"/>
          <w:szCs w:val="20"/>
          <w:color w:val="auto"/>
        </w:rPr>
      </w:pPr>
      <w:r>
        <w:rPr>
          <w:rFonts w:ascii="Times New Roman" w:cs="Times New Roman" w:eastAsia="Times New Roman" w:hAnsi="Times New Roman"/>
          <w:sz w:val="17"/>
          <w:szCs w:val="17"/>
          <w:color w:val="auto"/>
        </w:rPr>
        <w:t>In 2013, the Company amended the UCSB Agreement to reduce certain amounts due to UCSB upon receipt by the Company of upfront payments, milestone payments and royalties from sublicensees. In exchange for this amendment, the Company issued to UCSB 157,332 shares of common stock. The UCSB Agreement, as amended, will remain in effect until the expiration or abandonment of the last to expire of the licensed patents.</w:t>
      </w:r>
    </w:p>
    <w:p>
      <w:pPr>
        <w:spacing w:after="0" w:line="170" w:lineRule="exact"/>
        <w:rPr>
          <w:sz w:val="20"/>
          <w:szCs w:val="20"/>
          <w:color w:val="auto"/>
        </w:rPr>
      </w:pPr>
    </w:p>
    <w:p>
      <w:pPr>
        <w:ind w:left="1" w:right="40"/>
        <w:spacing w:after="0" w:line="256" w:lineRule="auto"/>
        <w:rPr>
          <w:sz w:val="20"/>
          <w:szCs w:val="20"/>
          <w:color w:val="auto"/>
        </w:rPr>
      </w:pPr>
      <w:r>
        <w:rPr>
          <w:rFonts w:ascii="Times New Roman" w:cs="Times New Roman" w:eastAsia="Times New Roman" w:hAnsi="Times New Roman"/>
          <w:sz w:val="17"/>
          <w:szCs w:val="17"/>
          <w:color w:val="auto"/>
        </w:rPr>
        <w:t>In the years ended December 31, 2018, 2017 and 2016, the Company incurred expenses of $0.6 million, $13.5 million and $2.1 million respectively, to UCSB under the provisions of the UCSB Agreement. As of December 31, 2018 and 2017, the related accrued amounts included in the current liabilities were $3.2 million and $2.6 million, respectively. These balances are estimates based on the latest discussion with UCSB on proposed revision to the terms of the sublicense fee calculation.</w:t>
      </w:r>
    </w:p>
    <w:p>
      <w:pPr>
        <w:spacing w:after="0" w:line="2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Royalty obligations</w:t>
      </w:r>
    </w:p>
    <w:p>
      <w:pPr>
        <w:spacing w:after="0" w:line="107" w:lineRule="exact"/>
        <w:rPr>
          <w:sz w:val="20"/>
          <w:szCs w:val="20"/>
          <w:color w:val="auto"/>
        </w:rPr>
      </w:pPr>
    </w:p>
    <w:p>
      <w:pPr>
        <w:ind w:left="1" w:right="100"/>
        <w:spacing w:after="0" w:line="268" w:lineRule="auto"/>
        <w:rPr>
          <w:sz w:val="20"/>
          <w:szCs w:val="20"/>
          <w:color w:val="auto"/>
        </w:rPr>
      </w:pPr>
      <w:r>
        <w:rPr>
          <w:rFonts w:ascii="Times New Roman" w:cs="Times New Roman" w:eastAsia="Times New Roman" w:hAnsi="Times New Roman"/>
          <w:sz w:val="17"/>
          <w:szCs w:val="17"/>
          <w:color w:val="auto"/>
        </w:rPr>
        <w:t>The Company has annual minimum royalty obligations of $150,000 under the terms of certain exclusive licensed patent rights. The royalty obligations are cancellable any time by giving notice to the licensor, with the termination being effective 60 days after giving notice.</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98690"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1"/>
          </w:cols>
          <w:pgMar w:left="239" w:top="119" w:right="25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Commitments and Contingencies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w:t>
      </w:r>
    </w:p>
    <w:p>
      <w:pPr>
        <w:spacing w:after="0" w:line="10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On December 10, 2015, the Company entered into a lease (the “Lease”) with HCP Oyster Point III LLC (the “Landlord”) to lease approximately 76,000 rentable square feet of office and laboratory space located in South San Francisco, California for the Company’s new corporate headquarters.</w:t>
      </w:r>
    </w:p>
    <w:p>
      <w:pPr>
        <w:spacing w:after="0" w:line="16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7"/>
          <w:szCs w:val="17"/>
          <w:color w:val="auto"/>
        </w:rPr>
        <w:t>The term of the Lease commenced on October 1, 2016. The 2016 Lease has an initial term of ten years from the commencement date, and the Company has an option to extend the initial term for an additional five years at the then fair rental value as determined pursuant to the 2016 Lease.</w:t>
      </w:r>
    </w:p>
    <w:p>
      <w:pPr>
        <w:spacing w:after="0" w:line="160"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7"/>
          <w:szCs w:val="17"/>
          <w:color w:val="auto"/>
        </w:rPr>
        <w:t>The Lease provides for annual base rent of approximately $3.1 million in the first year of the lease term. The annual base rent for the second twelve months will be approximately $4.3 million, which will increase on an annual basis beginning from the 25</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month to approximately $5.5 million for the tenth year of the lease. The Company utilized the full amount of the one-time improvement allowance of $12.6 million, of which $2.3 million is recoverable by the landlord through an increase rent which continues through the expiration of the initial lease term.</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has recorded the $0.9 million Letter of Credit in restricted cash as non-current on its balance sheet at December 31, 2018 and 2017.</w:t>
      </w:r>
    </w:p>
    <w:p>
      <w:pPr>
        <w:spacing w:after="0" w:line="170"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7"/>
          <w:szCs w:val="17"/>
          <w:color w:val="auto"/>
        </w:rPr>
        <w:t>Rent expense is recognized on a straight-line basis over the term of the lease and accordingly the Company records the difference between cash rent payments and the recognition of rent expense as a deferred rent liability.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future minimum lease payments for all of the Company’s facility leases are as follows (in thousands):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0"/>
        </w:trPr>
        <w:tc>
          <w:tcPr>
            <w:tcW w:w="7900" w:type="dxa"/>
            <w:vAlign w:val="bottom"/>
            <w:gridSpan w:val="2"/>
          </w:tcPr>
          <w:p>
            <w:pPr>
              <w:ind w:left="2280"/>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2280" w:type="dxa"/>
            <w:vAlign w:val="bottom"/>
          </w:tcPr>
          <w:p>
            <w:pPr>
              <w:spacing w:after="0"/>
              <w:rPr>
                <w:sz w:val="18"/>
                <w:szCs w:val="18"/>
                <w:color w:val="auto"/>
              </w:rPr>
            </w:pPr>
          </w:p>
        </w:tc>
        <w:tc>
          <w:tcPr>
            <w:tcW w:w="5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2019</w:t>
            </w:r>
          </w:p>
        </w:tc>
        <w:tc>
          <w:tcPr>
            <w:tcW w:w="400" w:type="dxa"/>
            <w:vAlign w:val="bottom"/>
            <w:gridSpan w:val="2"/>
            <w:shd w:val="clear" w:color="auto" w:fill="CFF0FC"/>
          </w:tcPr>
          <w:p>
            <w:pPr>
              <w:jc w:val="right"/>
              <w:ind w:right="26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4,854</w:t>
            </w:r>
          </w:p>
        </w:tc>
        <w:tc>
          <w:tcPr>
            <w:tcW w:w="60" w:type="dxa"/>
            <w:vAlign w:val="bottom"/>
            <w:shd w:val="clear" w:color="auto" w:fill="CFF0FC"/>
          </w:tcPr>
          <w:p>
            <w:pPr>
              <w:spacing w:after="0"/>
              <w:rPr>
                <w:sz w:val="18"/>
                <w:szCs w:val="18"/>
                <w:color w:val="auto"/>
              </w:rPr>
            </w:pPr>
          </w:p>
        </w:tc>
      </w:tr>
      <w:tr>
        <w:trPr>
          <w:trHeight w:val="211"/>
        </w:trPr>
        <w:tc>
          <w:tcPr>
            <w:tcW w:w="228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2020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4,990</w:t>
            </w:r>
          </w:p>
        </w:tc>
        <w:tc>
          <w:tcPr>
            <w:tcW w:w="60" w:type="dxa"/>
            <w:vAlign w:val="bottom"/>
          </w:tcPr>
          <w:p>
            <w:pPr>
              <w:spacing w:after="0"/>
              <w:rPr>
                <w:sz w:val="18"/>
                <w:szCs w:val="18"/>
                <w:color w:val="auto"/>
              </w:rPr>
            </w:pPr>
          </w:p>
        </w:tc>
      </w:tr>
      <w:tr>
        <w:trPr>
          <w:trHeight w:val="211"/>
        </w:trPr>
        <w:tc>
          <w:tcPr>
            <w:tcW w:w="2280" w:type="dxa"/>
            <w:vAlign w:val="bottom"/>
          </w:tcPr>
          <w:p>
            <w:pPr>
              <w:spacing w:after="0"/>
              <w:rPr>
                <w:sz w:val="18"/>
                <w:szCs w:val="18"/>
                <w:color w:val="auto"/>
              </w:rPr>
            </w:pPr>
          </w:p>
        </w:tc>
        <w:tc>
          <w:tcPr>
            <w:tcW w:w="5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2021</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5,129</w:t>
            </w:r>
          </w:p>
        </w:tc>
        <w:tc>
          <w:tcPr>
            <w:tcW w:w="60" w:type="dxa"/>
            <w:vAlign w:val="bottom"/>
            <w:shd w:val="clear" w:color="auto" w:fill="CFF0FC"/>
          </w:tcPr>
          <w:p>
            <w:pPr>
              <w:spacing w:after="0"/>
              <w:rPr>
                <w:sz w:val="18"/>
                <w:szCs w:val="18"/>
                <w:color w:val="auto"/>
              </w:rPr>
            </w:pPr>
          </w:p>
        </w:tc>
      </w:tr>
      <w:tr>
        <w:trPr>
          <w:trHeight w:val="211"/>
        </w:trPr>
        <w:tc>
          <w:tcPr>
            <w:tcW w:w="228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2022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5,273</w:t>
            </w:r>
          </w:p>
        </w:tc>
        <w:tc>
          <w:tcPr>
            <w:tcW w:w="60" w:type="dxa"/>
            <w:vAlign w:val="bottom"/>
          </w:tcPr>
          <w:p>
            <w:pPr>
              <w:spacing w:after="0"/>
              <w:rPr>
                <w:sz w:val="18"/>
                <w:szCs w:val="18"/>
                <w:color w:val="auto"/>
              </w:rPr>
            </w:pPr>
          </w:p>
        </w:tc>
      </w:tr>
      <w:tr>
        <w:trPr>
          <w:trHeight w:val="211"/>
        </w:trPr>
        <w:tc>
          <w:tcPr>
            <w:tcW w:w="2280" w:type="dxa"/>
            <w:vAlign w:val="bottom"/>
          </w:tcPr>
          <w:p>
            <w:pPr>
              <w:spacing w:after="0"/>
              <w:rPr>
                <w:sz w:val="18"/>
                <w:szCs w:val="18"/>
                <w:color w:val="auto"/>
              </w:rPr>
            </w:pPr>
          </w:p>
        </w:tc>
        <w:tc>
          <w:tcPr>
            <w:tcW w:w="5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2023 and beyond</w:t>
            </w:r>
          </w:p>
        </w:tc>
        <w:tc>
          <w:tcPr>
            <w:tcW w:w="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21,109</w:t>
            </w:r>
          </w:p>
        </w:tc>
        <w:tc>
          <w:tcPr>
            <w:tcW w:w="60" w:type="dxa"/>
            <w:vAlign w:val="bottom"/>
            <w:shd w:val="clear" w:color="auto" w:fill="CFF0FC"/>
          </w:tcPr>
          <w:p>
            <w:pPr>
              <w:spacing w:after="0"/>
              <w:rPr>
                <w:sz w:val="18"/>
                <w:szCs w:val="18"/>
                <w:color w:val="auto"/>
              </w:rPr>
            </w:pPr>
          </w:p>
        </w:tc>
      </w:tr>
      <w:tr>
        <w:trPr>
          <w:trHeight w:val="204"/>
        </w:trPr>
        <w:tc>
          <w:tcPr>
            <w:tcW w:w="2280" w:type="dxa"/>
            <w:vAlign w:val="bottom"/>
          </w:tcPr>
          <w:p>
            <w:pPr>
              <w:spacing w:after="0"/>
              <w:rPr>
                <w:sz w:val="17"/>
                <w:szCs w:val="17"/>
                <w:color w:val="auto"/>
              </w:rPr>
            </w:pPr>
          </w:p>
        </w:tc>
        <w:tc>
          <w:tcPr>
            <w:tcW w:w="56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41,355</w:t>
            </w:r>
          </w:p>
        </w:tc>
        <w:tc>
          <w:tcPr>
            <w:tcW w:w="60" w:type="dxa"/>
            <w:vAlign w:val="bottom"/>
          </w:tcPr>
          <w:p>
            <w:pPr>
              <w:spacing w:after="0"/>
              <w:rPr>
                <w:sz w:val="17"/>
                <w:szCs w:val="17"/>
                <w:color w:val="auto"/>
              </w:rPr>
            </w:pPr>
          </w:p>
        </w:tc>
      </w:tr>
      <w:tr>
        <w:trPr>
          <w:trHeight w:val="20"/>
        </w:trPr>
        <w:tc>
          <w:tcPr>
            <w:tcW w:w="22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 expense during the years ended December 31, 2018, 2017 and 2016 was $4.2 million, $4.2 million and $1.8 million, respectively.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07" w:lineRule="exact"/>
        <w:rPr>
          <w:sz w:val="20"/>
          <w:szCs w:val="20"/>
          <w:color w:val="auto"/>
        </w:rPr>
      </w:pPr>
    </w:p>
    <w:p>
      <w:pPr>
        <w:ind w:right="660"/>
        <w:spacing w:after="0" w:line="268" w:lineRule="auto"/>
        <w:rPr>
          <w:sz w:val="20"/>
          <w:szCs w:val="20"/>
          <w:color w:val="auto"/>
        </w:rPr>
      </w:pPr>
      <w:r>
        <w:rPr>
          <w:rFonts w:ascii="Times New Roman" w:cs="Times New Roman" w:eastAsia="Times New Roman" w:hAnsi="Times New Roman"/>
          <w:sz w:val="17"/>
          <w:szCs w:val="17"/>
          <w:color w:val="auto"/>
        </w:rPr>
        <w:t>The Company is subject to claims and assessments from time to time in the ordinary course of business but is not aware of any such matters, individually or in the aggregate, that will have a material adverse effect on the Company’s financial position, results of operations or cash flows.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ordinary course of business, the Company enters into agreements that may include indemnification provisions.</w:t>
      </w:r>
    </w:p>
    <w:p>
      <w:pPr>
        <w:spacing w:after="0" w:line="20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22" w:name="page123"/>
    <w:bookmarkEnd w:id="122"/>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Common Stock</w:t>
      </w:r>
    </w:p>
    <w:p>
      <w:pPr>
        <w:spacing w:after="0" w:line="10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In October 2015, the Company’s board of directors and stockholders approved the amended and restatement of the Company’s certificate of incorporation. The Amended and Restated Certificate of Incorporation was effective as of October 14, 2015, which provides for 75,000,000 authorized shares of common stock with par value of $0.00001 per share and 10,000,000 shares of preferred stock with a par value of $0.00001 per share.</w:t>
      </w:r>
    </w:p>
    <w:p>
      <w:pPr>
        <w:spacing w:after="0" w:line="17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Common stockholders are entitled to dividends if and when declared by the Board of Directors subject to the prior rights of the preferred stockholders. As of December 31, 2018 and 2017, no dividends on common stock had been declared by the Board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had reserved shares of common stock for issuance, as follows:</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5500" w:type="dxa"/>
            <w:vAlign w:val="bottom"/>
          </w:tcPr>
          <w:p>
            <w:pPr>
              <w:spacing w:after="0"/>
              <w:rPr>
                <w:sz w:val="13"/>
                <w:szCs w:val="13"/>
                <w:color w:val="auto"/>
              </w:rPr>
            </w:pPr>
          </w:p>
        </w:tc>
        <w:tc>
          <w:tcPr>
            <w:tcW w:w="16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50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right"/>
              <w:ind w:right="343"/>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Borders>
              <w:bottom w:val="single" w:sz="8" w:color="CFF0FC"/>
            </w:tcBorders>
          </w:tcPr>
          <w:p>
            <w:pPr>
              <w:spacing w:after="0"/>
              <w:rPr>
                <w:sz w:val="12"/>
                <w:szCs w:val="12"/>
                <w:color w:val="auto"/>
              </w:rPr>
            </w:pPr>
          </w:p>
        </w:tc>
      </w:tr>
      <w:tr>
        <w:trPr>
          <w:trHeight w:val="204"/>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Options issued and outstanding</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7,803,773</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6,503,458</w:t>
            </w:r>
          </w:p>
        </w:tc>
        <w:tc>
          <w:tcPr>
            <w:tcW w:w="100" w:type="dxa"/>
            <w:vAlign w:val="bottom"/>
            <w:shd w:val="clear" w:color="auto" w:fill="CFF0FC"/>
          </w:tcPr>
          <w:p>
            <w:pPr>
              <w:spacing w:after="0"/>
              <w:rPr>
                <w:sz w:val="17"/>
                <w:szCs w:val="17"/>
                <w:color w:val="auto"/>
              </w:rPr>
            </w:pPr>
          </w:p>
        </w:tc>
      </w:tr>
      <w:tr>
        <w:trPr>
          <w:trHeight w:val="211"/>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Shares available for future stock option grants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1,884,494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2,324,793</w:t>
            </w:r>
          </w:p>
        </w:tc>
        <w:tc>
          <w:tcPr>
            <w:tcW w:w="100" w:type="dxa"/>
            <w:vAlign w:val="bottom"/>
          </w:tcPr>
          <w:p>
            <w:pPr>
              <w:spacing w:after="0"/>
              <w:rPr>
                <w:sz w:val="18"/>
                <w:szCs w:val="18"/>
                <w:color w:val="auto"/>
              </w:rPr>
            </w:pPr>
          </w:p>
        </w:tc>
      </w:tr>
      <w:tr>
        <w:trPr>
          <w:trHeight w:val="211"/>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Shares available for future employee stock purchase plan</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1,301,254</w:t>
            </w:r>
          </w:p>
        </w:tc>
        <w:tc>
          <w:tcPr>
            <w:tcW w:w="2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980,389</w:t>
            </w:r>
          </w:p>
        </w:tc>
        <w:tc>
          <w:tcPr>
            <w:tcW w:w="100" w:type="dxa"/>
            <w:vAlign w:val="bottom"/>
            <w:shd w:val="clear" w:color="auto" w:fill="CFF0FC"/>
          </w:tcPr>
          <w:p>
            <w:pPr>
              <w:spacing w:after="0"/>
              <w:rPr>
                <w:sz w:val="18"/>
                <w:szCs w:val="18"/>
                <w:color w:val="auto"/>
              </w:rPr>
            </w:pPr>
          </w:p>
        </w:tc>
      </w:tr>
      <w:tr>
        <w:trPr>
          <w:trHeight w:val="204"/>
        </w:trPr>
        <w:tc>
          <w:tcPr>
            <w:tcW w:w="5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10,989,521</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9,808,640</w:t>
            </w:r>
          </w:p>
        </w:tc>
        <w:tc>
          <w:tcPr>
            <w:tcW w:w="10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Plan</w:t>
      </w:r>
    </w:p>
    <w:p>
      <w:pPr>
        <w:spacing w:after="0" w:line="10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In 2010, the Company adopted its 2010 Stock Incentive Plan (the “2010 Plan”) which provided for the granting of stock options to employees, directors and consultants of the Company. Options granted under the 2010 Plan were either incentive stock options (“ISOs”) or nonqualified stock options (“NSOs”).</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 February 2012, the Company adopted its 2011 Stock Incentive Plan (the “2011 Plan”). The 2011 Plan is divided into two separate equity programs, an option and stock appreciation rights grant program and a stock award program. In conjunction with adopting the 2011 Plan, the Company discontinued the 2010 Plan and released the shares reserved and still available under that plan.</w:t>
      </w:r>
    </w:p>
    <w:p>
      <w:pPr>
        <w:spacing w:after="0" w:line="170"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7"/>
          <w:szCs w:val="17"/>
          <w:color w:val="auto"/>
        </w:rPr>
        <w:t>In connection with the consummation of the IPO in October 2015, the board of directors adopted the Company’s 2015 Equity Incentive Plan (the “2015 Plan” and collectively with the 2010 Plan and 2011 Plan, the “Plans”). In conjunction with adopting the 2015 Plan, the Company discontinued the 2011 Plan with respect to new equity awards.</w:t>
      </w:r>
    </w:p>
    <w:p>
      <w:pPr>
        <w:spacing w:after="0" w:line="17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7"/>
          <w:szCs w:val="17"/>
          <w:color w:val="auto"/>
        </w:rPr>
        <w:t>The initial number of shares of common stock available for future issuance under the 2015 Plan was 2,444,735. Beginning on January 1, 2016 and continuing until the expiration of the 2015 Plan, the total number of shares of common stock available for issuance under the 2015 Plan will automatically increase annually on January 1 by 4% of the total number of issued and outstanding shares of common stock as of January 1 of the same year. As of December 31, 2018, 1,884,494 shares of common stock were available for future issuance under the 2015 Plan.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 under the 2015 Plan may be granted for periods of up to ten years. All options issued to date have had a 10-year life.</w:t>
      </w:r>
    </w:p>
    <w:p>
      <w:pPr>
        <w:spacing w:after="0" w:line="202"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17"/>
          <w:szCs w:val="17"/>
          <w:color w:val="auto"/>
        </w:rPr>
        <w:t>Under the terms of the 2015 Plan, options may be granted at an exercise price not less than the estimated fair value of the shares on the date of grant, as determined by the Company’s board of directors. For employees holding more than 10% of the voting rights of all classes of stock, the exercise price of ISOs and NSOs may not be less than 110% of the estimated fair value of the shares on the date of grant, as determined by the board of directors. To date, options granted generally vest over four years and vest at a rate of 25% upon the first anniversary of the issuance date and 1/48th per month thereafter.</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80"/>
          </w:cols>
          <w:pgMar w:left="240" w:top="119" w:right="27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under the Company’s stock option plans is set forth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Options Outstanding</w:t>
            </w: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5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29"/>
              <w:spacing w:after="0" w:line="119"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04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29"/>
              <w:spacing w:after="0" w:line="137"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220" w:type="dxa"/>
            <w:vAlign w:val="bottom"/>
          </w:tcPr>
          <w:p>
            <w:pPr>
              <w:spacing w:after="0"/>
              <w:rPr>
                <w:sz w:val="11"/>
                <w:szCs w:val="11"/>
                <w:color w:val="auto"/>
              </w:rPr>
            </w:pPr>
          </w:p>
        </w:tc>
        <w:tc>
          <w:tcPr>
            <w:tcW w:w="104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7"/>
        </w:trPr>
        <w:tc>
          <w:tcPr>
            <w:tcW w:w="15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1"/>
                <w:szCs w:val="11"/>
                <w:color w:val="auto"/>
              </w:rPr>
            </w:pPr>
          </w:p>
        </w:tc>
        <w:tc>
          <w:tcPr>
            <w:tcW w:w="960" w:type="dxa"/>
            <w:vAlign w:val="bottom"/>
          </w:tcPr>
          <w:p>
            <w:pPr>
              <w:jc w:val="center"/>
              <w:ind w:right="9"/>
              <w:spacing w:after="0" w:line="137"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220" w:type="dxa"/>
            <w:vAlign w:val="bottom"/>
          </w:tcPr>
          <w:p>
            <w:pPr>
              <w:spacing w:after="0"/>
              <w:rPr>
                <w:sz w:val="11"/>
                <w:szCs w:val="11"/>
                <w:color w:val="auto"/>
              </w:rPr>
            </w:pPr>
          </w:p>
        </w:tc>
        <w:tc>
          <w:tcPr>
            <w:tcW w:w="104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3"/>
                <w:szCs w:val="13"/>
                <w:b w:val="1"/>
                <w:bCs w:val="1"/>
                <w:color w:val="auto"/>
              </w:rPr>
              <w:t>Available</w:t>
            </w:r>
          </w:p>
        </w:tc>
        <w:tc>
          <w:tcPr>
            <w:tcW w:w="14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9"/>
              <w:spacing w:after="0" w:line="137"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220" w:type="dxa"/>
            <w:vAlign w:val="bottom"/>
          </w:tcPr>
          <w:p>
            <w:pPr>
              <w:spacing w:after="0"/>
              <w:rPr>
                <w:sz w:val="11"/>
                <w:szCs w:val="11"/>
                <w:color w:val="auto"/>
              </w:rPr>
            </w:pPr>
          </w:p>
        </w:tc>
        <w:tc>
          <w:tcPr>
            <w:tcW w:w="104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center"/>
              <w:ind w:right="240"/>
              <w:spacing w:after="0" w:line="137"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59"/>
        </w:trPr>
        <w:tc>
          <w:tcPr>
            <w:tcW w:w="15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for Grant</w:t>
            </w:r>
          </w:p>
        </w:tc>
        <w:tc>
          <w:tcPr>
            <w:tcW w:w="140" w:type="dxa"/>
            <w:vAlign w:val="bottom"/>
          </w:tcPr>
          <w:p>
            <w:pPr>
              <w:spacing w:after="0"/>
              <w:rPr>
                <w:sz w:val="13"/>
                <w:szCs w:val="13"/>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80" w:type="dxa"/>
            <w:vAlign w:val="bottom"/>
          </w:tcPr>
          <w:p>
            <w:pPr>
              <w:spacing w:after="0"/>
              <w:rPr>
                <w:sz w:val="13"/>
                <w:szCs w:val="13"/>
                <w:color w:val="auto"/>
              </w:rPr>
            </w:pPr>
          </w:p>
        </w:tc>
        <w:tc>
          <w:tcPr>
            <w:tcW w:w="9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220" w:type="dxa"/>
            <w:vAlign w:val="bottom"/>
          </w:tcPr>
          <w:p>
            <w:pPr>
              <w:spacing w:after="0"/>
              <w:rPr>
                <w:sz w:val="13"/>
                <w:szCs w:val="13"/>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42"/>
        </w:trPr>
        <w:tc>
          <w:tcPr>
            <w:tcW w:w="1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8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Balances at December 31, 2015</w:t>
            </w: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2,401,406</w:t>
            </w:r>
          </w:p>
        </w:tc>
        <w:tc>
          <w:tcPr>
            <w:tcW w:w="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5,270,751</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8"/>
              </w:rPr>
              <w:t>Options authorized</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1,441,328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Options granted</w:t>
            </w: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(1,367,546)</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1,356,546</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13.234</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Options exercised</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(414,396)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Options forfeited</w:t>
            </w: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18,000</w:t>
            </w:r>
          </w:p>
        </w:tc>
        <w:tc>
          <w:tcPr>
            <w:tcW w:w="80" w:type="dxa"/>
            <w:vAlign w:val="bottom"/>
            <w:shd w:val="clear" w:color="auto" w:fill="CFF0FC"/>
          </w:tcPr>
          <w:p>
            <w:pPr>
              <w:spacing w:after="0"/>
              <w:rPr>
                <w:sz w:val="18"/>
                <w:szCs w:val="18"/>
                <w:color w:val="auto"/>
              </w:rPr>
            </w:pPr>
          </w:p>
        </w:tc>
        <w:tc>
          <w:tcPr>
            <w:tcW w:w="13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(54,155)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4.578</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Balances at December 31, 2016</w:t>
            </w:r>
          </w:p>
        </w:tc>
        <w:tc>
          <w:tcPr>
            <w:tcW w:w="1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2,493,188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6,158,746</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3.694</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w w:val="98"/>
              </w:rPr>
              <w:t>Options authorized</w:t>
            </w: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1,459,606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Options granted</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(2,138,620)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2,138,620</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13.566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Options exercised</w:t>
            </w: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(764,576)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4.140</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Options forfeited</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510,619</w:t>
            </w:r>
          </w:p>
        </w:tc>
        <w:tc>
          <w:tcPr>
            <w:tcW w:w="80" w:type="dxa"/>
            <w:vAlign w:val="bottom"/>
          </w:tcPr>
          <w:p>
            <w:pPr>
              <w:spacing w:after="0"/>
              <w:rPr>
                <w:sz w:val="18"/>
                <w:szCs w:val="18"/>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(1,029,332)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9.118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Balances at December 31, 2017</w:t>
            </w:r>
          </w:p>
        </w:tc>
        <w:tc>
          <w:tcPr>
            <w:tcW w:w="13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2,324,793</w:t>
            </w: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6,503,458</w:t>
            </w: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8.157</w:t>
            </w:r>
          </w:p>
        </w:tc>
        <w:tc>
          <w:tcPr>
            <w:tcW w:w="22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8"/>
              </w:rPr>
              <w:t>Options authorized</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1,539,142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Options granted</w:t>
            </w: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(2,127,400)</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2,127,400</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24.654</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Options exercised</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(673,382)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6.172</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Options forfeited</w:t>
            </w: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147,959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(153,703)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14.293</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17"/>
                <w:szCs w:val="17"/>
                <w:b w:val="1"/>
                <w:bCs w:val="1"/>
                <w:color w:val="auto"/>
              </w:rPr>
              <w:t>Balances at December 31, 2018</w:t>
            </w:r>
          </w:p>
        </w:tc>
        <w:tc>
          <w:tcPr>
            <w:tcW w:w="138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1,884,494</w:t>
            </w: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7,803,773</w:t>
            </w:r>
          </w:p>
        </w:tc>
        <w:tc>
          <w:tcPr>
            <w:tcW w:w="22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12.622</w:t>
            </w:r>
          </w:p>
        </w:tc>
        <w:tc>
          <w:tcPr>
            <w:tcW w:w="220" w:type="dxa"/>
            <w:vAlign w:val="bottom"/>
            <w:tcBorders>
              <w:bottom w:val="single" w:sz="8" w:color="CFF0FC"/>
            </w:tcBorders>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52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34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40,901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800" w:type="dxa"/>
            <w:vAlign w:val="bottom"/>
            <w:tcBorders>
              <w:bottom w:val="single" w:sz="8" w:color="CFF0FC"/>
            </w:tcBorders>
            <w:gridSpan w:val="4"/>
            <w:shd w:val="clear" w:color="auto" w:fill="CFF0FC"/>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Options Exercisable—December 31, 2018</w:t>
            </w:r>
          </w:p>
        </w:tc>
        <w:tc>
          <w:tcPr>
            <w:tcW w:w="13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rPr>
              <w:t>4,520,806</w:t>
            </w:r>
          </w:p>
        </w:tc>
        <w:tc>
          <w:tcPr>
            <w:tcW w:w="2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rPr>
              <w:t>7.853</w:t>
            </w:r>
          </w:p>
        </w:tc>
        <w:tc>
          <w:tcPr>
            <w:tcW w:w="2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rPr>
              <w:t>6.3</w:t>
            </w:r>
          </w:p>
        </w:tc>
        <w:tc>
          <w:tcPr>
            <w:tcW w:w="340" w:type="dxa"/>
            <w:vAlign w:val="bottom"/>
            <w:tcBorders>
              <w:bottom w:val="single" w:sz="8" w:color="CFF0FC"/>
            </w:tcBorders>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FF0FC"/>
            </w:tcBorders>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rPr>
              <w:t>36,017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Options vested and expected to vest—December 31,</w:t>
            </w: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800" w:type="dxa"/>
            <w:vAlign w:val="bottom"/>
            <w:gridSpan w:val="4"/>
            <w:vMerge w:val="continue"/>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5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2018</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7,803,773</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12.622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8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Information with respect to stock options outstanding and exercisable as of December 31, 2018 is as follows: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0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Options Outstanding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5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5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0"/>
                <w:szCs w:val="10"/>
                <w:color w:val="auto"/>
              </w:rPr>
            </w:pPr>
          </w:p>
        </w:tc>
        <w:tc>
          <w:tcPr>
            <w:tcW w:w="2040" w:type="dxa"/>
            <w:vAlign w:val="bottom"/>
            <w:gridSpan w:val="4"/>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2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3"/>
            <w:vMerge w:val="restart"/>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0"/>
                <w:szCs w:val="10"/>
                <w:color w:val="auto"/>
              </w:rPr>
            </w:pPr>
          </w:p>
        </w:tc>
        <w:tc>
          <w:tcPr>
            <w:tcW w:w="184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37"/>
        </w:trPr>
        <w:tc>
          <w:tcPr>
            <w:tcW w:w="3800" w:type="dxa"/>
            <w:vAlign w:val="bottom"/>
            <w:gridSpan w:val="4"/>
            <w:vMerge w:val="restart"/>
          </w:tcPr>
          <w:p>
            <w:pPr>
              <w:ind w:left="880"/>
              <w:spacing w:after="0"/>
              <w:rPr>
                <w:sz w:val="20"/>
                <w:szCs w:val="20"/>
                <w:color w:val="auto"/>
              </w:rPr>
            </w:pPr>
            <w:r>
              <w:rPr>
                <w:rFonts w:ascii="Times New Roman" w:cs="Times New Roman" w:eastAsia="Times New Roman" w:hAnsi="Times New Roman"/>
                <w:sz w:val="13"/>
                <w:szCs w:val="13"/>
                <w:b w:val="1"/>
                <w:bCs w:val="1"/>
                <w:color w:val="auto"/>
              </w:rPr>
              <w:t>Range of Exercise Price</w:t>
            </w:r>
          </w:p>
        </w:tc>
        <w:tc>
          <w:tcPr>
            <w:tcW w:w="14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6"/>
          </w:tcPr>
          <w:p>
            <w:pPr>
              <w:jc w:val="center"/>
              <w:ind w:right="280"/>
              <w:spacing w:after="0" w:line="137"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8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00" w:type="dxa"/>
            <w:vAlign w:val="bottom"/>
            <w:gridSpan w:val="4"/>
            <w:vMerge w:val="continue"/>
          </w:tcPr>
          <w:p>
            <w:pPr>
              <w:spacing w:after="0"/>
              <w:rPr>
                <w:sz w:val="13"/>
                <w:szCs w:val="13"/>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3"/>
                <w:szCs w:val="13"/>
                <w:color w:val="auto"/>
              </w:rPr>
            </w:pPr>
          </w:p>
        </w:tc>
        <w:tc>
          <w:tcPr>
            <w:tcW w:w="2300" w:type="dxa"/>
            <w:vAlign w:val="bottom"/>
            <w:gridSpan w:val="6"/>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Contractual Life (Years)</w:t>
            </w:r>
          </w:p>
        </w:tc>
        <w:tc>
          <w:tcPr>
            <w:tcW w:w="80" w:type="dxa"/>
            <w:vAlign w:val="bottom"/>
          </w:tcPr>
          <w:p>
            <w:pPr>
              <w:spacing w:after="0"/>
              <w:rPr>
                <w:sz w:val="13"/>
                <w:szCs w:val="13"/>
                <w:color w:val="auto"/>
              </w:rPr>
            </w:pPr>
          </w:p>
        </w:tc>
        <w:tc>
          <w:tcPr>
            <w:tcW w:w="1700" w:type="dxa"/>
            <w:vAlign w:val="bottom"/>
            <w:gridSpan w:val="3"/>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gridSpan w:val="5"/>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0" w:type="dxa"/>
            <w:vAlign w:val="bottom"/>
          </w:tcPr>
          <w:p>
            <w:pPr>
              <w:spacing w:after="0"/>
              <w:rPr>
                <w:sz w:val="1"/>
                <w:szCs w:val="1"/>
                <w:color w:val="auto"/>
              </w:rPr>
            </w:pPr>
          </w:p>
        </w:tc>
      </w:tr>
      <w:tr>
        <w:trPr>
          <w:trHeight w:val="204"/>
        </w:trPr>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$0.945</w:t>
            </w:r>
          </w:p>
        </w:tc>
        <w:tc>
          <w:tcPr>
            <w:tcW w:w="16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$1.386</w:t>
            </w:r>
          </w:p>
        </w:tc>
        <w:tc>
          <w:tcPr>
            <w:tcW w:w="28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820,235</w:t>
            </w:r>
          </w:p>
        </w:tc>
        <w:tc>
          <w:tcPr>
            <w:tcW w:w="1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gridSpan w:val="2"/>
            <w:shd w:val="clear" w:color="auto" w:fill="CFF0FC"/>
          </w:tcPr>
          <w:p>
            <w:pPr>
              <w:jc w:val="right"/>
              <w:ind w:right="781"/>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820,235</w:t>
            </w:r>
          </w:p>
        </w:tc>
        <w:tc>
          <w:tcPr>
            <w:tcW w:w="12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1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$1.575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920,347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781"/>
              <w:spacing w:after="0"/>
              <w:rPr>
                <w:sz w:val="20"/>
                <w:szCs w:val="20"/>
                <w:color w:val="auto"/>
              </w:rPr>
            </w:pPr>
            <w:r>
              <w:rPr>
                <w:rFonts w:ascii="Times New Roman" w:cs="Times New Roman" w:eastAsia="Times New Roman" w:hAnsi="Times New Roman"/>
                <w:sz w:val="17"/>
                <w:szCs w:val="17"/>
                <w:color w:val="auto"/>
              </w:rPr>
              <w:t>5.9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915,120</w:t>
            </w:r>
          </w:p>
        </w:tc>
        <w:tc>
          <w:tcPr>
            <w:tcW w:w="52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$4.473</w:t>
            </w:r>
          </w:p>
        </w:tc>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$4.473</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119,531</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781"/>
              <w:spacing w:after="0"/>
              <w:rPr>
                <w:sz w:val="20"/>
                <w:szCs w:val="20"/>
                <w:color w:val="auto"/>
              </w:rPr>
            </w:pPr>
            <w:r>
              <w:rPr>
                <w:rFonts w:ascii="Times New Roman" w:cs="Times New Roman" w:eastAsia="Times New Roman" w:hAnsi="Times New Roman"/>
                <w:sz w:val="17"/>
                <w:szCs w:val="17"/>
                <w:color w:val="auto"/>
              </w:rPr>
              <w:t>6.4</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119,531</w:t>
            </w:r>
          </w:p>
        </w:tc>
        <w:tc>
          <w:tcPr>
            <w:tcW w:w="520" w:type="dxa"/>
            <w:vAlign w:val="bottom"/>
            <w:gridSpan w:val="2"/>
            <w:shd w:val="clear" w:color="auto" w:fill="CFF0FC"/>
          </w:tcPr>
          <w:p>
            <w:pPr>
              <w:jc w:val="right"/>
              <w:ind w:right="24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4.473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$6.615</w:t>
            </w:r>
          </w:p>
        </w:tc>
        <w:tc>
          <w:tcPr>
            <w:tcW w:w="1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$6.615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1,171,404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781"/>
              <w:spacing w:after="0"/>
              <w:rPr>
                <w:sz w:val="20"/>
                <w:szCs w:val="20"/>
                <w:color w:val="auto"/>
              </w:rPr>
            </w:pPr>
            <w:r>
              <w:rPr>
                <w:rFonts w:ascii="Times New Roman" w:cs="Times New Roman" w:eastAsia="Times New Roman" w:hAnsi="Times New Roman"/>
                <w:sz w:val="17"/>
                <w:szCs w:val="17"/>
                <w:color w:val="auto"/>
              </w:rPr>
              <w:t>6.6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910,002</w:t>
            </w:r>
          </w:p>
        </w:tc>
        <w:tc>
          <w:tcPr>
            <w:tcW w:w="52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2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7"/>
                <w:szCs w:val="17"/>
                <w:color w:val="auto"/>
              </w:rPr>
              <w:t>$10.170 - $11.640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497,541</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781"/>
              <w:spacing w:after="0"/>
              <w:rPr>
                <w:sz w:val="20"/>
                <w:szCs w:val="20"/>
                <w:color w:val="auto"/>
              </w:rPr>
            </w:pPr>
            <w:r>
              <w:rPr>
                <w:rFonts w:ascii="Times New Roman" w:cs="Times New Roman" w:eastAsia="Times New Roman" w:hAnsi="Times New Roman"/>
                <w:sz w:val="17"/>
                <w:szCs w:val="17"/>
                <w:color w:val="auto"/>
              </w:rPr>
              <w:t>7.7</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298,494</w:t>
            </w:r>
          </w:p>
        </w:tc>
        <w:tc>
          <w:tcPr>
            <w:tcW w:w="520" w:type="dxa"/>
            <w:vAlign w:val="bottom"/>
            <w:gridSpan w:val="2"/>
            <w:shd w:val="clear" w:color="auto" w:fill="CFF0FC"/>
          </w:tcPr>
          <w:p>
            <w:pPr>
              <w:jc w:val="right"/>
              <w:ind w:right="24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10.715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$11.940</w:t>
            </w:r>
          </w:p>
        </w:tc>
        <w:tc>
          <w:tcPr>
            <w:tcW w:w="1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$11.940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842,500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781"/>
              <w:spacing w:after="0"/>
              <w:rPr>
                <w:sz w:val="20"/>
                <w:szCs w:val="20"/>
                <w:color w:val="auto"/>
              </w:rPr>
            </w:pPr>
            <w:r>
              <w:rPr>
                <w:rFonts w:ascii="Times New Roman" w:cs="Times New Roman" w:eastAsia="Times New Roman" w:hAnsi="Times New Roman"/>
                <w:sz w:val="17"/>
                <w:szCs w:val="17"/>
                <w:color w:val="auto"/>
              </w:rPr>
              <w:t>8.1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403,695</w:t>
            </w:r>
          </w:p>
        </w:tc>
        <w:tc>
          <w:tcPr>
            <w:tcW w:w="52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$14.460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1,073,581</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781"/>
              <w:spacing w:after="0"/>
              <w:rPr>
                <w:sz w:val="20"/>
                <w:szCs w:val="20"/>
                <w:color w:val="auto"/>
              </w:rPr>
            </w:pPr>
            <w:r>
              <w:rPr>
                <w:rFonts w:ascii="Times New Roman" w:cs="Times New Roman" w:eastAsia="Times New Roman" w:hAnsi="Times New Roman"/>
                <w:sz w:val="17"/>
                <w:szCs w:val="17"/>
                <w:color w:val="auto"/>
              </w:rPr>
              <w:t>7.5</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648,933</w:t>
            </w:r>
          </w:p>
        </w:tc>
        <w:tc>
          <w:tcPr>
            <w:tcW w:w="520" w:type="dxa"/>
            <w:vAlign w:val="bottom"/>
            <w:gridSpan w:val="2"/>
            <w:shd w:val="clear" w:color="auto" w:fill="CFF0FC"/>
          </w:tcPr>
          <w:p>
            <w:pPr>
              <w:jc w:val="right"/>
              <w:ind w:right="24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14.172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$14.620</w:t>
            </w:r>
          </w:p>
        </w:tc>
        <w:tc>
          <w:tcPr>
            <w:tcW w:w="1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$25.670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846,434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781"/>
              <w:spacing w:after="0"/>
              <w:rPr>
                <w:sz w:val="20"/>
                <w:szCs w:val="20"/>
                <w:color w:val="auto"/>
              </w:rPr>
            </w:pPr>
            <w:r>
              <w:rPr>
                <w:rFonts w:ascii="Times New Roman" w:cs="Times New Roman" w:eastAsia="Times New Roman" w:hAnsi="Times New Roman"/>
                <w:sz w:val="17"/>
                <w:szCs w:val="17"/>
                <w:color w:val="auto"/>
              </w:rPr>
              <w:t>9.1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157,099</w:t>
            </w:r>
          </w:p>
        </w:tc>
        <w:tc>
          <w:tcPr>
            <w:tcW w:w="52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$25.820</w:t>
            </w:r>
          </w:p>
        </w:tc>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$25.820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885,000</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781"/>
              <w:spacing w:after="0"/>
              <w:rPr>
                <w:sz w:val="20"/>
                <w:szCs w:val="20"/>
                <w:color w:val="auto"/>
              </w:rPr>
            </w:pPr>
            <w:r>
              <w:rPr>
                <w:rFonts w:ascii="Times New Roman" w:cs="Times New Roman" w:eastAsia="Times New Roman" w:hAnsi="Times New Roman"/>
                <w:sz w:val="17"/>
                <w:szCs w:val="17"/>
                <w:color w:val="auto"/>
              </w:rPr>
              <w:t>9.1</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202,809</w:t>
            </w:r>
          </w:p>
        </w:tc>
        <w:tc>
          <w:tcPr>
            <w:tcW w:w="520" w:type="dxa"/>
            <w:vAlign w:val="bottom"/>
            <w:gridSpan w:val="2"/>
            <w:shd w:val="clear" w:color="auto" w:fill="CFF0FC"/>
          </w:tcPr>
          <w:p>
            <w:pPr>
              <w:jc w:val="right"/>
              <w:ind w:right="24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25.820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$26.300</w:t>
            </w:r>
          </w:p>
        </w:tc>
        <w:tc>
          <w:tcPr>
            <w:tcW w:w="16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 $29.710</w:t>
            </w:r>
          </w:p>
        </w:tc>
        <w:tc>
          <w:tcPr>
            <w:tcW w:w="2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627,200</w:t>
            </w: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gridSpan w:val="2"/>
          </w:tcPr>
          <w:p>
            <w:pPr>
              <w:jc w:val="right"/>
              <w:ind w:right="781"/>
              <w:spacing w:after="0"/>
              <w:rPr>
                <w:sz w:val="20"/>
                <w:szCs w:val="20"/>
                <w:color w:val="auto"/>
              </w:rPr>
            </w:pPr>
            <w:r>
              <w:rPr>
                <w:rFonts w:ascii="Times New Roman" w:cs="Times New Roman" w:eastAsia="Times New Roman" w:hAnsi="Times New Roman"/>
                <w:sz w:val="17"/>
                <w:szCs w:val="17"/>
                <w:color w:val="auto"/>
              </w:rPr>
              <w:t>9.0</w:t>
            </w:r>
          </w:p>
        </w:tc>
        <w:tc>
          <w:tcPr>
            <w:tcW w:w="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44,888</w:t>
            </w:r>
          </w:p>
        </w:tc>
        <w:tc>
          <w:tcPr>
            <w:tcW w:w="520" w:type="dxa"/>
            <w:vAlign w:val="bottom"/>
            <w:tcBorders>
              <w:bottom w:val="single" w:sz="8" w:color="CFF0FC"/>
            </w:tcBorders>
            <w:gridSpan w:val="2"/>
          </w:tcPr>
          <w:p>
            <w:pPr>
              <w:jc w:val="right"/>
              <w:ind w:right="24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26.740</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2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7,803,773</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gridSpan w:val="2"/>
            <w:shd w:val="clear" w:color="auto" w:fill="CFF0FC"/>
          </w:tcPr>
          <w:p>
            <w:pPr>
              <w:jc w:val="right"/>
              <w:ind w:right="781"/>
              <w:spacing w:after="0"/>
              <w:rPr>
                <w:sz w:val="20"/>
                <w:szCs w:val="20"/>
                <w:color w:val="auto"/>
              </w:rPr>
            </w:pPr>
            <w:r>
              <w:rPr>
                <w:rFonts w:ascii="Times New Roman" w:cs="Times New Roman" w:eastAsia="Times New Roman" w:hAnsi="Times New Roman"/>
                <w:sz w:val="17"/>
                <w:szCs w:val="17"/>
                <w:color w:val="auto"/>
              </w:rPr>
              <w:t>7.3</w:t>
            </w:r>
          </w:p>
        </w:tc>
        <w:tc>
          <w:tcPr>
            <w:tcW w:w="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4,520,806</w:t>
            </w:r>
          </w:p>
        </w:tc>
        <w:tc>
          <w:tcPr>
            <w:tcW w:w="520" w:type="dxa"/>
            <w:vAlign w:val="bottom"/>
            <w:tcBorders>
              <w:bottom w:val="single" w:sz="8" w:color="CFF0FC"/>
            </w:tcBorders>
            <w:gridSpan w:val="2"/>
            <w:shd w:val="clear" w:color="auto" w:fill="CFF0FC"/>
          </w:tcPr>
          <w:p>
            <w:pPr>
              <w:jc w:val="right"/>
              <w:ind w:right="24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7.853</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7"/>
          <w:szCs w:val="17"/>
          <w:color w:val="auto"/>
        </w:rPr>
        <w:t>The aggregate intrinsic values of options outstanding, exercisable, vested and expected to vest were calculated as the difference between the exercise price of the options and the estimated fair value of the underlying common stock as of December 31, 2018, 2017 and 2016, respectively.</w:t>
      </w:r>
    </w:p>
    <w:p>
      <w:pPr>
        <w:spacing w:after="0" w:line="160"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17"/>
          <w:szCs w:val="17"/>
          <w:color w:val="auto"/>
        </w:rPr>
        <w:t>The aggregate intrinsic value of stock options exercised in the years ended December 31, 2018, 2017 and 2016 was $14.6 million, $10.5 million and $4.6 million, respectively.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23" w:lineRule="exact"/>
        <w:rPr>
          <w:sz w:val="20"/>
          <w:szCs w:val="20"/>
          <w:color w:val="auto"/>
        </w:rPr>
      </w:pPr>
    </w:p>
    <w:p>
      <w:pPr>
        <w:jc w:val="both"/>
        <w:ind w:right="580"/>
        <w:spacing w:after="0" w:line="256" w:lineRule="auto"/>
        <w:rPr>
          <w:sz w:val="20"/>
          <w:szCs w:val="20"/>
          <w:color w:val="auto"/>
        </w:rPr>
      </w:pPr>
      <w:r>
        <w:rPr>
          <w:rFonts w:ascii="Times New Roman" w:cs="Times New Roman" w:eastAsia="Times New Roman" w:hAnsi="Times New Roman"/>
          <w:sz w:val="17"/>
          <w:szCs w:val="17"/>
          <w:color w:val="auto"/>
        </w:rPr>
        <w:t>The options granted in the years ended December 31, 2018, 2017 and 2016 had a weighted-average per share grant-date fair value of $14.205, $8.207, and $8.936, respectively. At December 31, 2018, the unrecognized compensation expense with respect to options granted to employees was $34.6 million, and is expected to be recognized over 2.4 years.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Early Exercise of Employee Options</w:t>
      </w:r>
    </w:p>
    <w:p>
      <w:pPr>
        <w:spacing w:after="0" w:line="10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Certain stock options granted under the Plans provide option holders the right to elect to exercise unvested options in exchange for restricted common stock. Such unvested restricted shares are subject to a repurchase right held by the Company at the original issuance price in the event the optionee’s service to the Company is terminated either voluntarily or involuntarily. The right usually lapses 25% on the first anniversary of the vesting start date and in 36 equal monthly amounts thereafter. These repurchase terms are considered to be a forfeiture provision. The cash or full recourse notes received from employees for exercise of unvested options is treated as a refundable deposit and is classified as a liability on the balance sheets.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Concurrent with the completion of the IPO in October 2015, the Company’s Employee Stock Purchase Plan (“ESPP”) became effective. The ESPP allows eligible employees to purchase shares of the Company’s common stock at a discount through payroll deductions of up to 15% of their eligible compensation, subject to any plan limitations. The ESPP generally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Company issued 63,920 shares and 67,746 shares of common stock under the ESPP in 2018 and 2017, respectively.</w:t>
      </w:r>
    </w:p>
    <w:p>
      <w:pPr>
        <w:spacing w:after="0" w:line="17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Shares available for future purchase under the ESPP were 1,301,254 at December 31, 2018. The compensation expense related to the ESPP was $0.5 million, $0.2 million and $0.1 million for the years ended December 31, 2018, 2017 and 2016, respectively. As of December 31, 2018 and 2017, there was $0.3 million and $0.1 million, respectively, of unrecognized compensation cost related to the ESPP, which the Company expects to recognize over 5 months.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Based Compensation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stock-based compensation recorded related to options granted to employees and non-employees and employee stock purchase plan was as follows (in thousands):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3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860" w:type="dxa"/>
            <w:vAlign w:val="bottom"/>
            <w:tcBorders>
              <w:bottom w:val="single" w:sz="8" w:color="CFF0FC"/>
            </w:tcBorders>
          </w:tcPr>
          <w:p>
            <w:pPr>
              <w:spacing w:after="0"/>
              <w:rPr>
                <w:sz w:val="12"/>
                <w:szCs w:val="12"/>
                <w:color w:val="auto"/>
              </w:rPr>
            </w:pPr>
          </w:p>
        </w:tc>
        <w:tc>
          <w:tcPr>
            <w:tcW w:w="9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1"/>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1"/>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Borders>
              <w:bottom w:val="single" w:sz="8" w:color="CFF0FC"/>
            </w:tcBorders>
          </w:tcPr>
          <w:p>
            <w:pPr>
              <w:spacing w:after="0"/>
              <w:rPr>
                <w:sz w:val="12"/>
                <w:szCs w:val="12"/>
                <w:color w:val="auto"/>
              </w:rPr>
            </w:pPr>
          </w:p>
        </w:tc>
      </w:tr>
      <w:tr>
        <w:trPr>
          <w:trHeight w:val="20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9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2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8,313</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5,161</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4,925</w:t>
            </w:r>
          </w:p>
        </w:tc>
        <w:tc>
          <w:tcPr>
            <w:tcW w:w="100" w:type="dxa"/>
            <w:vAlign w:val="bottom"/>
            <w:shd w:val="clear" w:color="auto" w:fill="CFF0FC"/>
          </w:tcPr>
          <w:p>
            <w:pPr>
              <w:spacing w:after="0"/>
              <w:rPr>
                <w:sz w:val="17"/>
                <w:szCs w:val="17"/>
                <w:color w:val="auto"/>
              </w:rPr>
            </w:pPr>
          </w:p>
        </w:tc>
      </w:tr>
      <w:tr>
        <w:trPr>
          <w:trHeight w:val="211"/>
        </w:trPr>
        <w:tc>
          <w:tcPr>
            <w:tcW w:w="3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8,565</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6,126</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5,170</w:t>
            </w:r>
          </w:p>
        </w:tc>
        <w:tc>
          <w:tcPr>
            <w:tcW w:w="100" w:type="dxa"/>
            <w:vAlign w:val="bottom"/>
            <w:tcBorders>
              <w:bottom w:val="single" w:sz="8" w:color="CFF0FC"/>
            </w:tcBorders>
          </w:tcPr>
          <w:p>
            <w:pPr>
              <w:spacing w:after="0"/>
              <w:rPr>
                <w:sz w:val="18"/>
                <w:szCs w:val="18"/>
                <w:color w:val="auto"/>
              </w:rPr>
            </w:pPr>
          </w:p>
        </w:tc>
      </w:tr>
      <w:tr>
        <w:trPr>
          <w:trHeight w:val="204"/>
        </w:trPr>
        <w:tc>
          <w:tcPr>
            <w:tcW w:w="38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9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62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16,878</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11,287</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10,095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 expense for employees was $16.7 million, $11.0 million and $9.4 million for the years ended December 31, 2018, 2017 and 2016, respectively.</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Stock-based compensation expense related to stock options granted to non-employees is recognized as the stock options are earned. The Company determined that the estimated fair value of the stock options is more readily measurable than the fair value of the services received. The fair value of stock options granted to non-employees is calculated at each grant date and re-measured at each reporting date using the Black-Scholes option pricing model. The stock-based compensation expense related to a grant will fluctuate as the estimated fair value of the common stock fluctuates over the period from the grant date to the vesting date.</w:t>
      </w:r>
    </w:p>
    <w:p>
      <w:pPr>
        <w:spacing w:after="0" w:line="173" w:lineRule="exact"/>
        <w:rPr>
          <w:sz w:val="20"/>
          <w:szCs w:val="20"/>
          <w:color w:val="auto"/>
        </w:rPr>
      </w:pPr>
    </w:p>
    <w:p>
      <w:pPr>
        <w:ind w:right="860"/>
        <w:spacing w:after="0" w:line="268" w:lineRule="auto"/>
        <w:rPr>
          <w:sz w:val="20"/>
          <w:szCs w:val="20"/>
          <w:color w:val="auto"/>
        </w:rPr>
      </w:pPr>
      <w:r>
        <w:rPr>
          <w:rFonts w:ascii="Times New Roman" w:cs="Times New Roman" w:eastAsia="Times New Roman" w:hAnsi="Times New Roman"/>
          <w:sz w:val="17"/>
          <w:szCs w:val="17"/>
          <w:color w:val="auto"/>
        </w:rPr>
        <w:t>Stock-based compensation expense for non-employees was $0.2 million, $0.3 million and $0.9 million for the years ended December 31, 2018, 2017 and 2016, respectively.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25" w:name="page126"/>
    <w:bookmarkEnd w:id="12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384" w:lineRule="exact"/>
        <w:rPr>
          <w:sz w:val="20"/>
          <w:szCs w:val="20"/>
          <w:color w:val="auto"/>
        </w:rPr>
      </w:pPr>
    </w:p>
    <w:p>
      <w:pPr>
        <w:ind w:right="680"/>
        <w:spacing w:after="0" w:line="268" w:lineRule="auto"/>
        <w:rPr>
          <w:sz w:val="20"/>
          <w:szCs w:val="20"/>
          <w:color w:val="auto"/>
        </w:rPr>
      </w:pPr>
      <w:r>
        <w:rPr>
          <w:rFonts w:ascii="Times New Roman" w:cs="Times New Roman" w:eastAsia="Times New Roman" w:hAnsi="Times New Roman"/>
          <w:sz w:val="17"/>
          <w:szCs w:val="17"/>
          <w:color w:val="auto"/>
        </w:rPr>
        <w:t>The Company estimated the fair value of employee stock options and ESPP using the Black-Scholes valuation model based on the date of grant with the following assumptions: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2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ESPP</w:t>
            </w:r>
          </w:p>
        </w:tc>
        <w:tc>
          <w:tcPr>
            <w:tcW w:w="6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42"/>
        </w:trPr>
        <w:tc>
          <w:tcPr>
            <w:tcW w:w="202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center"/>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center"/>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r>
      <w:tr>
        <w:trPr>
          <w:trHeight w:val="142"/>
        </w:trPr>
        <w:tc>
          <w:tcPr>
            <w:tcW w:w="202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2018</w:t>
            </w:r>
          </w:p>
        </w:tc>
        <w:tc>
          <w:tcPr>
            <w:tcW w:w="1600" w:type="dxa"/>
            <w:vAlign w:val="bottom"/>
            <w:gridSpan w:val="2"/>
          </w:tcPr>
          <w:p>
            <w:pPr>
              <w:jc w:val="center"/>
              <w:ind w:left="45"/>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20" w:type="dxa"/>
            <w:vAlign w:val="bottom"/>
          </w:tcPr>
          <w:p>
            <w:pPr>
              <w:spacing w:after="0"/>
              <w:rPr>
                <w:sz w:val="12"/>
                <w:szCs w:val="12"/>
                <w:color w:val="auto"/>
              </w:rPr>
            </w:pPr>
          </w:p>
        </w:tc>
        <w:tc>
          <w:tcPr>
            <w:tcW w:w="1480" w:type="dxa"/>
            <w:vAlign w:val="bottom"/>
            <w:gridSpan w:val="2"/>
          </w:tcPr>
          <w:p>
            <w:pPr>
              <w:jc w:val="right"/>
              <w:ind w:right="537"/>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600" w:type="dxa"/>
            <w:vAlign w:val="bottom"/>
            <w:gridSpan w:val="2"/>
          </w:tcPr>
          <w:p>
            <w:pPr>
              <w:jc w:val="center"/>
              <w:ind w:left="25"/>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100" w:type="dxa"/>
            <w:vAlign w:val="bottom"/>
          </w:tcPr>
          <w:p>
            <w:pPr>
              <w:spacing w:after="0"/>
              <w:rPr>
                <w:sz w:val="12"/>
                <w:szCs w:val="12"/>
                <w:color w:val="auto"/>
              </w:rPr>
            </w:pPr>
          </w:p>
        </w:tc>
        <w:tc>
          <w:tcPr>
            <w:tcW w:w="14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r>
      <w:tr>
        <w:trPr>
          <w:trHeight w:val="204"/>
        </w:trPr>
        <w:tc>
          <w:tcPr>
            <w:tcW w:w="2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6"/>
              </w:rPr>
              <w:t>65.6%-69.3%</w:t>
            </w:r>
          </w:p>
        </w:tc>
        <w:tc>
          <w:tcPr>
            <w:tcW w:w="12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8"/>
              </w:rPr>
              <w:t>69.1%-72.4%</w:t>
            </w:r>
          </w:p>
        </w:tc>
        <w:tc>
          <w:tcPr>
            <w:tcW w:w="12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83.5%</w:t>
            </w:r>
          </w:p>
        </w:tc>
        <w:tc>
          <w:tcPr>
            <w:tcW w:w="10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8"/>
              </w:rPr>
              <w:t>46.4%-70.5%</w:t>
            </w:r>
          </w:p>
        </w:tc>
        <w:tc>
          <w:tcPr>
            <w:tcW w:w="12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6"/>
              </w:rPr>
              <w:t>52.3%-63.8%</w:t>
            </w:r>
          </w:p>
        </w:tc>
        <w:tc>
          <w:tcPr>
            <w:tcW w:w="1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7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75.6%</w:t>
            </w:r>
          </w:p>
        </w:tc>
      </w:tr>
      <w:tr>
        <w:trPr>
          <w:trHeight w:val="211"/>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2.5%-3.0%</w:t>
            </w:r>
          </w:p>
        </w:tc>
        <w:tc>
          <w:tcPr>
            <w:tcW w:w="1600" w:type="dxa"/>
            <w:vAlign w:val="bottom"/>
            <w:gridSpan w:val="2"/>
          </w:tcPr>
          <w:p>
            <w:pPr>
              <w:jc w:val="center"/>
              <w:ind w:left="45"/>
              <w:spacing w:after="0"/>
              <w:rPr>
                <w:sz w:val="20"/>
                <w:szCs w:val="20"/>
                <w:color w:val="auto"/>
              </w:rPr>
            </w:pPr>
            <w:r>
              <w:rPr>
                <w:rFonts w:ascii="Times New Roman" w:cs="Times New Roman" w:eastAsia="Times New Roman" w:hAnsi="Times New Roman"/>
                <w:sz w:val="17"/>
                <w:szCs w:val="17"/>
                <w:color w:val="auto"/>
                <w:w w:val="99"/>
              </w:rPr>
              <w:t>1.7%-2.2%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2.1%</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2.1%-2.6%</w:t>
            </w:r>
          </w:p>
        </w:tc>
        <w:tc>
          <w:tcPr>
            <w:tcW w:w="1600" w:type="dxa"/>
            <w:vAlign w:val="bottom"/>
            <w:gridSpan w:val="2"/>
          </w:tcPr>
          <w:p>
            <w:pPr>
              <w:jc w:val="center"/>
              <w:ind w:left="25"/>
              <w:spacing w:after="0"/>
              <w:rPr>
                <w:sz w:val="20"/>
                <w:szCs w:val="20"/>
                <w:color w:val="auto"/>
              </w:rPr>
            </w:pPr>
            <w:r>
              <w:rPr>
                <w:rFonts w:ascii="Times New Roman" w:cs="Times New Roman" w:eastAsia="Times New Roman" w:hAnsi="Times New Roman"/>
                <w:sz w:val="17"/>
                <w:szCs w:val="17"/>
                <w:color w:val="auto"/>
                <w:w w:val="96"/>
              </w:rPr>
              <w:t>1.1%-1.5%</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0.6%</w:t>
            </w:r>
          </w:p>
        </w:tc>
      </w:tr>
      <w:tr>
        <w:trPr>
          <w:trHeight w:val="211"/>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5"/>
              </w:rPr>
              <w:t>— %</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gridSpan w:val="3"/>
            <w:shd w:val="clear" w:color="auto" w:fill="CFF0FC"/>
          </w:tcPr>
          <w:p>
            <w:pPr>
              <w:jc w:val="center"/>
              <w:ind w:right="120"/>
              <w:spacing w:after="0"/>
              <w:rPr>
                <w:sz w:val="20"/>
                <w:szCs w:val="20"/>
                <w:color w:val="auto"/>
              </w:rPr>
            </w:pPr>
            <w:r>
              <w:rPr>
                <w:rFonts w:ascii="Times New Roman" w:cs="Times New Roman" w:eastAsia="Times New Roman" w:hAnsi="Times New Roman"/>
                <w:sz w:val="17"/>
                <w:szCs w:val="17"/>
                <w:color w:val="auto"/>
                <w:w w:val="95"/>
              </w:rPr>
              <w:t>— %</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7"/>
                <w:szCs w:val="17"/>
                <w:color w:val="auto"/>
                <w:w w:val="95"/>
              </w:rPr>
              <w:t>— %</w:t>
            </w:r>
          </w:p>
        </w:tc>
        <w:tc>
          <w:tcPr>
            <w:tcW w:w="14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 %</w:t>
            </w:r>
          </w:p>
        </w:tc>
      </w:tr>
      <w:tr>
        <w:trPr>
          <w:trHeight w:val="195"/>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6"/>
        </w:trPr>
        <w:tc>
          <w:tcPr>
            <w:tcW w:w="2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4.7-4.9</w:t>
            </w:r>
          </w:p>
        </w:tc>
        <w:tc>
          <w:tcPr>
            <w:tcW w:w="1600" w:type="dxa"/>
            <w:vAlign w:val="bottom"/>
            <w:gridSpan w:val="2"/>
          </w:tcPr>
          <w:p>
            <w:pPr>
              <w:jc w:val="center"/>
              <w:ind w:left="45"/>
              <w:spacing w:after="0"/>
              <w:rPr>
                <w:sz w:val="20"/>
                <w:szCs w:val="20"/>
                <w:color w:val="auto"/>
              </w:rPr>
            </w:pPr>
            <w:r>
              <w:rPr>
                <w:rFonts w:ascii="Times New Roman" w:cs="Times New Roman" w:eastAsia="Times New Roman" w:hAnsi="Times New Roman"/>
                <w:sz w:val="17"/>
                <w:szCs w:val="17"/>
                <w:color w:val="auto"/>
                <w:w w:val="99"/>
              </w:rPr>
              <w:t>4.9-5.3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5.9</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0.5</w:t>
            </w:r>
          </w:p>
        </w:tc>
        <w:tc>
          <w:tcPr>
            <w:tcW w:w="1600" w:type="dxa"/>
            <w:vAlign w:val="bottom"/>
            <w:gridSpan w:val="2"/>
          </w:tcPr>
          <w:p>
            <w:pPr>
              <w:jc w:val="center"/>
              <w:ind w:left="25"/>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0.5</w:t>
            </w:r>
          </w:p>
        </w:tc>
      </w:tr>
    </w:tbl>
    <w:p>
      <w:pPr>
        <w:spacing w:after="0" w:line="21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 The expected term of stock options represents the period that the stock options are expected to remain outstanding and is based on vesting terms,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 and contractual lives of the options. The expected term of the ESPP shares is equal to the six-month look-back period.</w:t>
      </w:r>
    </w:p>
    <w:p>
      <w:pPr>
        <w:spacing w:after="0" w:line="155"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7"/>
          <w:szCs w:val="17"/>
          <w:i w:val="1"/>
          <w:iCs w:val="1"/>
          <w:color w:val="auto"/>
        </w:rPr>
        <w:t>Expected Volatility</w:t>
      </w:r>
      <w:r>
        <w:rPr>
          <w:rFonts w:ascii="Times New Roman" w:cs="Times New Roman" w:eastAsia="Times New Roman" w:hAnsi="Times New Roman"/>
          <w:sz w:val="17"/>
          <w:szCs w:val="17"/>
          <w:color w:val="auto"/>
        </w:rPr>
        <w:t>. The expected stock price volatility for the Company’s stock options was derived from the average historical volatilities of the Company’s stock price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stock price of several comparable publicly traded companies within the biotechnology and pharmaceutical industry. The Company will continue to apply this process until a sufficient amount of historical information on the Company’s own stock price becomes available. Volatility for ESPP shares is equal to our historical volatility over the six-month look-back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 The risk-free interest rate is based on the U.S. Treasury whose term was consistent with expected term of the Company’s stock options.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Rate</w:t>
      </w:r>
      <w:r>
        <w:rPr>
          <w:rFonts w:ascii="Times New Roman" w:cs="Times New Roman" w:eastAsia="Times New Roman" w:hAnsi="Times New Roman"/>
          <w:sz w:val="17"/>
          <w:szCs w:val="17"/>
          <w:color w:val="auto"/>
        </w:rPr>
        <w:t>. The expected dividend was assumed to be zero as the Company has never paid dividends and has no current plans to do so.</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Income Taxes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derives its income only from the United States. The components of the provision for (benefit from) income taxes are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6"/>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3820" w:type="dxa"/>
            <w:vAlign w:val="bottom"/>
            <w:tcBorders>
              <w:bottom w:val="single" w:sz="8" w:color="CFF0FC"/>
            </w:tcBorders>
          </w:tcPr>
          <w:p>
            <w:pPr>
              <w:spacing w:after="0"/>
              <w:rPr>
                <w:sz w:val="12"/>
                <w:szCs w:val="12"/>
                <w:color w:val="auto"/>
              </w:rPr>
            </w:pPr>
          </w:p>
        </w:tc>
        <w:tc>
          <w:tcPr>
            <w:tcW w:w="15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2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80" w:type="dxa"/>
            <w:vAlign w:val="bottom"/>
            <w:tcBorders>
              <w:bottom w:val="single" w:sz="8" w:color="CFF0FC"/>
            </w:tcBorders>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w:t>
            </w:r>
          </w:p>
        </w:tc>
        <w:tc>
          <w:tcPr>
            <w:tcW w:w="1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Federal</w:t>
            </w:r>
          </w:p>
        </w:tc>
        <w:tc>
          <w:tcPr>
            <w:tcW w:w="18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14,302</w:t>
            </w:r>
          </w:p>
        </w:tc>
        <w:tc>
          <w:tcPr>
            <w:tcW w:w="200" w:type="dxa"/>
            <w:vAlign w:val="bottom"/>
          </w:tcPr>
          <w:p>
            <w:pPr>
              <w:spacing w:after="0"/>
              <w:rPr>
                <w:sz w:val="18"/>
                <w:szCs w:val="18"/>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15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current</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Federal</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(514)</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82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7"/>
                <w:szCs w:val="17"/>
                <w:color w:val="auto"/>
              </w:rPr>
              <w:t>Total deferred</w:t>
            </w:r>
          </w:p>
        </w:tc>
        <w:tc>
          <w:tcPr>
            <w:tcW w:w="158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22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FF0FC"/>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82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5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14,303</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FF0FC"/>
            </w:tcBorders>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80" w:type="dxa"/>
            <w:vAlign w:val="bottom"/>
            <w:vMerge w:val="restart"/>
          </w:tcPr>
          <w:p>
            <w:pPr>
              <w:jc w:val="right"/>
              <w:ind w:right="617"/>
              <w:spacing w:after="0"/>
              <w:rPr>
                <w:sz w:val="20"/>
                <w:szCs w:val="20"/>
                <w:color w:val="auto"/>
              </w:rPr>
            </w:pPr>
            <w:r>
              <w:rPr>
                <w:rFonts w:ascii="Times New Roman" w:cs="Times New Roman" w:eastAsia="Times New Roman" w:hAnsi="Times New Roman"/>
                <w:sz w:val="17"/>
                <w:szCs w:val="17"/>
                <w:color w:val="auto"/>
              </w:rPr>
              <w:t>124</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14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19" w:right="199" w:bottom="1440" w:gutter="0" w:footer="0" w:header="0"/>
        </w:sectPr>
      </w:pPr>
    </w:p>
    <w:bookmarkStart w:id="126" w:name="page127"/>
    <w:bookmarkEnd w:id="126"/>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Company’s effective tax rate to the statutory U.S. federal rate is as follows:</w:t>
      </w:r>
    </w:p>
    <w:p>
      <w:pPr>
        <w:spacing w:after="0" w:line="27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3"/>
          <w:szCs w:val="13"/>
          <w:b w:val="1"/>
          <w:bCs w:val="1"/>
          <w:color w:val="auto"/>
        </w:rPr>
        <w:t>Years Ended December 31,</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516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340" w:type="dxa"/>
            <w:vAlign w:val="bottom"/>
            <w:tcBorders>
              <w:top w:val="single" w:sz="8" w:color="auto"/>
              <w:bottom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2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U.S. federal taxes at statutory rate</w:t>
            </w:r>
          </w:p>
        </w:tc>
        <w:tc>
          <w:tcPr>
            <w:tcW w:w="6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21.0%</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34.0%</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34.0%</w:t>
            </w:r>
          </w:p>
        </w:tc>
        <w:tc>
          <w:tcPr>
            <w:tcW w:w="0" w:type="dxa"/>
            <w:vAlign w:val="bottom"/>
          </w:tcPr>
          <w:p>
            <w:pPr>
              <w:spacing w:after="0"/>
              <w:rPr>
                <w:sz w:val="1"/>
                <w:szCs w:val="1"/>
                <w:color w:val="auto"/>
              </w:rPr>
            </w:pPr>
          </w:p>
        </w:tc>
      </w:tr>
      <w:tr>
        <w:trPr>
          <w:trHeight w:val="211"/>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 tax, net of federal benefit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0.7%</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11"/>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 compensation</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1.7%</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2.3%</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1"/>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attributes subject to 382 limitation</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11"/>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Tax credits</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6.2%</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2.7%</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1"/>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(49.5)%</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(9.3)%</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(35.6)%</w:t>
            </w:r>
          </w:p>
        </w:tc>
        <w:tc>
          <w:tcPr>
            <w:tcW w:w="0" w:type="dxa"/>
            <w:vAlign w:val="bottom"/>
          </w:tcPr>
          <w:p>
            <w:pPr>
              <w:spacing w:after="0"/>
              <w:rPr>
                <w:sz w:val="1"/>
                <w:szCs w:val="1"/>
                <w:color w:val="auto"/>
              </w:rPr>
            </w:pPr>
          </w:p>
        </w:tc>
      </w:tr>
      <w:tr>
        <w:trPr>
          <w:trHeight w:val="211"/>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 in deferreds due to rate change</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0.0%</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(58.6)%</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11"/>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6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(0.5)%</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(20.4)%</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1.2%</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types of temporary differences that give rise to significant portions of the Company’s deferred income tax liabilities are set out below (in thousands):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4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2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Borders>
              <w:bottom w:val="single" w:sz="8" w:color="CFF0FC"/>
            </w:tcBorders>
          </w:tcPr>
          <w:p>
            <w:pPr>
              <w:spacing w:after="0"/>
              <w:rPr>
                <w:sz w:val="12"/>
                <w:szCs w:val="12"/>
                <w:color w:val="auto"/>
              </w:rPr>
            </w:pPr>
          </w:p>
        </w:tc>
      </w:tr>
      <w:tr>
        <w:trPr>
          <w:trHeight w:val="204"/>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15,468</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24,682</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24,528</w:t>
            </w:r>
          </w:p>
        </w:tc>
        <w:tc>
          <w:tcPr>
            <w:tcW w:w="100" w:type="dxa"/>
            <w:vAlign w:val="bottom"/>
            <w:shd w:val="clear" w:color="auto" w:fill="CFF0FC"/>
          </w:tcPr>
          <w:p>
            <w:pPr>
              <w:spacing w:after="0"/>
              <w:rPr>
                <w:sz w:val="17"/>
                <w:szCs w:val="17"/>
                <w:color w:val="auto"/>
              </w:rPr>
            </w:pP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2,683</w:t>
            </w:r>
          </w:p>
        </w:tc>
        <w:tc>
          <w:tcPr>
            <w:tcW w:w="100" w:type="dxa"/>
            <w:vAlign w:val="bottom"/>
          </w:tcPr>
          <w:p>
            <w:pPr>
              <w:spacing w:after="0"/>
              <w:rPr>
                <w:sz w:val="18"/>
                <w:szCs w:val="18"/>
                <w:color w:val="auto"/>
              </w:rPr>
            </w:pPr>
          </w:p>
        </w:tc>
      </w:tr>
      <w:tr>
        <w:trPr>
          <w:trHeight w:val="21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Intangible—in-process R&amp;D</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FF0FC"/>
          </w:tcPr>
          <w:p>
            <w:pPr>
              <w:spacing w:after="0"/>
              <w:rPr>
                <w:sz w:val="18"/>
                <w:szCs w:val="18"/>
                <w:color w:val="auto"/>
              </w:rPr>
            </w:pP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13,857</w:t>
            </w:r>
          </w:p>
        </w:tc>
        <w:tc>
          <w:tcPr>
            <w:tcW w:w="100" w:type="dxa"/>
            <w:vAlign w:val="bottom"/>
          </w:tcPr>
          <w:p>
            <w:pPr>
              <w:spacing w:after="0"/>
              <w:rPr>
                <w:sz w:val="18"/>
                <w:szCs w:val="18"/>
                <w:color w:val="auto"/>
              </w:rPr>
            </w:pPr>
          </w:p>
        </w:tc>
      </w:tr>
      <w:tr>
        <w:trPr>
          <w:trHeight w:val="21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Accruals and deferred rent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100" w:type="dxa"/>
            <w:vAlign w:val="bottom"/>
            <w:shd w:val="clear" w:color="auto" w:fill="CFF0FC"/>
          </w:tcPr>
          <w:p>
            <w:pPr>
              <w:spacing w:after="0"/>
              <w:rPr>
                <w:sz w:val="18"/>
                <w:szCs w:val="18"/>
                <w:color w:val="auto"/>
              </w:rPr>
            </w:pP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3,963</w:t>
            </w:r>
          </w:p>
        </w:tc>
        <w:tc>
          <w:tcPr>
            <w:tcW w:w="100" w:type="dxa"/>
            <w:vAlign w:val="bottom"/>
          </w:tcPr>
          <w:p>
            <w:pPr>
              <w:spacing w:after="0"/>
              <w:rPr>
                <w:sz w:val="18"/>
                <w:szCs w:val="18"/>
                <w:color w:val="auto"/>
              </w:rPr>
            </w:pPr>
          </w:p>
        </w:tc>
      </w:tr>
      <w:tr>
        <w:trPr>
          <w:trHeight w:val="21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8"/>
                <w:szCs w:val="18"/>
                <w:color w:val="auto"/>
              </w:rPr>
            </w:pPr>
          </w:p>
        </w:tc>
      </w:tr>
      <w:tr>
        <w:trPr>
          <w:trHeight w:val="204"/>
        </w:trPr>
        <w:tc>
          <w:tcPr>
            <w:tcW w:w="5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gross deferred income tax assets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87,603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51,189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46,448</w:t>
            </w:r>
          </w:p>
        </w:tc>
        <w:tc>
          <w:tcPr>
            <w:tcW w:w="100" w:type="dxa"/>
            <w:vAlign w:val="bottom"/>
          </w:tcPr>
          <w:p>
            <w:pPr>
              <w:spacing w:after="0"/>
              <w:rPr>
                <w:sz w:val="17"/>
                <w:szCs w:val="17"/>
                <w:color w:val="auto"/>
              </w:rPr>
            </w:pPr>
          </w:p>
        </w:tc>
      </w:tr>
      <w:tr>
        <w:trPr>
          <w:trHeight w:val="211"/>
        </w:trPr>
        <w:tc>
          <w:tcPr>
            <w:tcW w:w="5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rPr>
              <w:t>(86,466)</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(50,791)</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(46,137)</w:t>
            </w:r>
          </w:p>
        </w:tc>
      </w:tr>
      <w:tr>
        <w:trPr>
          <w:trHeight w:val="204"/>
        </w:trPr>
        <w:tc>
          <w:tcPr>
            <w:tcW w:w="54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Deferred tax assets, net of valuation allowance</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7"/>
                <w:szCs w:val="17"/>
                <w:color w:val="auto"/>
              </w:rPr>
            </w:pPr>
          </w:p>
        </w:tc>
      </w:tr>
      <w:tr>
        <w:trPr>
          <w:trHeight w:val="21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Fixed assets</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rPr>
              <w:t>(854)</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(282)</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(229)</w:t>
            </w: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In-process R&amp;D</w:t>
            </w:r>
          </w:p>
        </w:tc>
        <w:tc>
          <w:tcPr>
            <w:tcW w:w="240" w:type="dxa"/>
            <w:vAlign w:val="bottom"/>
          </w:tcPr>
          <w:p>
            <w:pPr>
              <w:spacing w:after="0"/>
              <w:rPr>
                <w:sz w:val="18"/>
                <w:szCs w:val="18"/>
                <w:color w:val="auto"/>
              </w:rPr>
            </w:pPr>
          </w:p>
        </w:tc>
        <w:tc>
          <w:tcPr>
            <w:tcW w:w="10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(595)</w:t>
            </w:r>
          </w:p>
        </w:tc>
      </w:tr>
      <w:tr>
        <w:trPr>
          <w:trHeight w:val="21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rPr>
              <w:t>(108)</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240" w:type="dxa"/>
            <w:vAlign w:val="bottom"/>
          </w:tcPr>
          <w:p>
            <w:pPr>
              <w:spacing w:after="0"/>
              <w:rPr>
                <w:sz w:val="18"/>
                <w:szCs w:val="18"/>
                <w:color w:val="auto"/>
              </w:rPr>
            </w:pPr>
          </w:p>
        </w:tc>
        <w:tc>
          <w:tcPr>
            <w:tcW w:w="10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(175)</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5400" w:type="dxa"/>
            <w:vAlign w:val="bottom"/>
            <w:tcBorders>
              <w:top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Deferred tax liabilities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00" w:type="dxa"/>
            <w:vAlign w:val="bottom"/>
            <w:tcBorders>
              <w:top w:val="single" w:sz="8" w:color="CFF0FC"/>
            </w:tcBorders>
            <w:shd w:val="clear" w:color="auto" w:fill="CFF0FC"/>
          </w:tcPr>
          <w:p>
            <w:pPr>
              <w:spacing w:after="0"/>
              <w:rPr>
                <w:sz w:val="17"/>
                <w:szCs w:val="17"/>
                <w:color w:val="auto"/>
              </w:rPr>
            </w:pPr>
          </w:p>
        </w:tc>
      </w:tr>
      <w:tr>
        <w:trPr>
          <w:trHeight w:val="204"/>
        </w:trPr>
        <w:tc>
          <w:tcPr>
            <w:tcW w:w="54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Net deferred income tax liabilities</w:t>
            </w: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6"/>
          <w:szCs w:val="16"/>
          <w:color w:val="auto"/>
        </w:rPr>
        <w:t>The Company has established a valuation allowance against all of its net deferred tax assets. Management considered all available evidence, both positive and negative, including but not limited to our historical operating results, income or loss in recent periods, cumulative losses in recent years, forecasted earnings, future taxable income, and significant risk and uncertainty related to forecasts, and concluded the deferred tax assets are not more likely than not to be realized. The net change in the total valuation allowance for the years ended December 31, 2018, 2017 and 2016 was an increase of $35.7 million, $4.7 million and $21.1 million, respectively.</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Company had net operating loss carryforwards for federal and state income tax purposes of approximately $65.6 million and $24.2 million, respectively, as of December 31, 2018, available to reduce future taxable income. The federal and state net operating loss carryforwards will begin to expire in 2034 and 2033, respectively, if not utilized.</w:t>
      </w:r>
    </w:p>
    <w:p>
      <w:pPr>
        <w:spacing w:after="0" w:line="17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The Company also has federal and state research and development tax credits carryforwards of $5.7 million and $5.5 million, respectively, as of December 31, 2018 available to reduce future income taxes. The federal research and development tax credits will begin to expire in 2031 if not utilized. The state research and development tax credits have no expiration date.</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40"/>
          </w:cols>
          <w:pgMar w:left="240" w:top="119" w:right="31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38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In December 2017, the Tax Cuts and Jobs Act (“Tax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Under the Staff Accounting Bulletin No. 118, Income Tax Accounting Implications of the Tax Cuts and Jobs Act (“SAB 118”) issued by the SEC staff in December 2017, it allowed the Company to record provisional amounts during a measurement period not to extend beyond one year of the enactment date. The Company had calculated its best estimate of the impact of the Tax Act in accordance with its understanding of the Tax Act and guidance available at the time. The tax rate decrease resulted in a reduction of $25.7 million in its deferred tax assets, and a corresponding decrease of the same amount in the valuation allowance against these deferred tax assets as at December 31, 2017, as substantially all of its U.S. deferred tax assets, net of deferred tax liabilities, are subject to a full valuation allowance. The deferred tax asset remeasurement as at December 31, 2017 was provisional because the Company continued to evaluate the impact of various domestic provisions of the Act as well as the impact of additional guidance that may be provided. In the fourth quarter of 2018, the Company completed its related analysis to determine the effect of the Tax Act. No material adjustments were recorded based on completion of the related analysis as of December 31, 2018</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2018, the Company adopted ASC 606 under the modified retrospective transition method and recorded a net transition adjustment of $10.9 million to accumulated deficit associated with the change in timing of income recognition for the Company’s collaboration agreements. The transition adjustment also resulted in a change to the deferred revenue related deferred tax balance, offset by an adjustment to the valuation allowance.</w:t>
      </w:r>
    </w:p>
    <w:p>
      <w:pPr>
        <w:spacing w:after="0" w:line="17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Internal Revenue Code section 382 (“IRC Section 382”) places a limitation (the “Section 382 Limitation”) on the amount of taxable income that can be offset by net operating loss (“NOL”) carryforwards after a change in control (generally greater than 50% change in ownership) of a loss corporation. California has similar rules. The Company has performed an IRC Section 382 analysis and determined there was an ownership change in 2017 that resulted in 382 limitations. When an ownership change occurs, IRC Section 382 limits the use of NOLs and credits in subsequent periods based on the annual 382 limitations. The annual 382 limitations may limit the full use of available tax attributes in one year but the identified ownership changes may not result in expiration of tax attributes for use prior to expiration of their respective carryforward periods. Accordingly, none of the tax attributes have been reduced but limited the full use in 2018. There may be further ownership changes after December 31, 2017. The Company has determined that, while an ownership change has occurred, the applicable limits would not impair the value or anticipated use of the Company’s federal and state net operating losses. Although realization is not assured, management believes it is more likely than not that any limitation under IRC Section 382 will not impair the realizability of the deferred income tax assets related to federal and state net operating loss carryforwards.</w:t>
      </w:r>
    </w:p>
    <w:p>
      <w:pPr>
        <w:spacing w:after="0" w:line="177"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7"/>
          <w:szCs w:val="17"/>
          <w:color w:val="auto"/>
        </w:rPr>
        <w:t>The Company had approximately $3.8 million and $4.3 million of unrecognized tax benefits as of December 31, 2018 and 2017, respectively, and approximately $1.0 million and $0, respectively, would affect the Company’s effective tax rate if recognized.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beginning and ending unrecognized tax benefit amount is as follows (in thousands):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7"/>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54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1"/>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60" w:type="dxa"/>
            <w:vAlign w:val="bottom"/>
            <w:tcBorders>
              <w:bottom w:val="single" w:sz="8" w:color="CFF0FC"/>
            </w:tcBorders>
          </w:tcPr>
          <w:p>
            <w:pPr>
              <w:spacing w:after="0"/>
              <w:rPr>
                <w:sz w:val="12"/>
                <w:szCs w:val="12"/>
                <w:color w:val="auto"/>
              </w:rPr>
            </w:pPr>
          </w:p>
        </w:tc>
      </w:tr>
      <w:tr>
        <w:trPr>
          <w:trHeight w:val="204"/>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the beginning of the year</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60" w:type="dxa"/>
            <w:vAlign w:val="bottom"/>
            <w:shd w:val="clear" w:color="auto" w:fill="CFF0FC"/>
          </w:tcPr>
          <w:p>
            <w:pPr>
              <w:spacing w:after="0"/>
              <w:rPr>
                <w:sz w:val="17"/>
                <w:szCs w:val="17"/>
                <w:color w:val="auto"/>
              </w:rPr>
            </w:pPr>
          </w:p>
        </w:tc>
      </w:tr>
      <w:tr>
        <w:trPr>
          <w:trHeight w:val="211"/>
        </w:trPr>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based on tax positions related to current year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60" w:type="dxa"/>
            <w:vAlign w:val="bottom"/>
          </w:tcPr>
          <w:p>
            <w:pPr>
              <w:spacing w:after="0"/>
              <w:rPr>
                <w:sz w:val="18"/>
                <w:szCs w:val="18"/>
                <w:color w:val="auto"/>
              </w:rPr>
            </w:pPr>
          </w:p>
        </w:tc>
      </w:tr>
      <w:tr>
        <w:trPr>
          <w:trHeight w:val="211"/>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Adjustment based on tax positions related to prior years</w:t>
            </w:r>
          </w:p>
        </w:tc>
        <w:tc>
          <w:tcPr>
            <w:tcW w:w="24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(1,730)</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2,617</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60" w:type="dxa"/>
            <w:vAlign w:val="bottom"/>
            <w:shd w:val="clear" w:color="auto" w:fill="CFF0FC"/>
          </w:tcPr>
          <w:p>
            <w:pPr>
              <w:spacing w:after="0"/>
              <w:rPr>
                <w:sz w:val="18"/>
                <w:szCs w:val="18"/>
                <w:color w:val="auto"/>
              </w:rPr>
            </w:pPr>
          </w:p>
        </w:tc>
      </w:tr>
      <w:tr>
        <w:trPr>
          <w:trHeight w:val="204"/>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Balance at end of the year</w:t>
            </w: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3,756</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60" w:type="dxa"/>
            <w:vAlign w:val="bottom"/>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The Company recognizes interest and penalties related to uncertain tax positions in income tax expense. To the extent accrued interest and penalties do not ultimately become payable, amounts accrued will be reduced and reflected as a reduction of the provision for income taxes in the period that such determination is made. Interest and penalties have not been accrued for 2018, 2017 and 2016.</w:t>
      </w:r>
    </w:p>
    <w:p>
      <w:pPr>
        <w:spacing w:after="0" w:line="170" w:lineRule="exact"/>
        <w:rPr>
          <w:sz w:val="20"/>
          <w:szCs w:val="20"/>
          <w:color w:val="auto"/>
        </w:rPr>
      </w:pPr>
    </w:p>
    <w:p>
      <w:pPr>
        <w:jc w:val="both"/>
        <w:ind w:right="520"/>
        <w:spacing w:after="0" w:line="256" w:lineRule="auto"/>
        <w:rPr>
          <w:sz w:val="20"/>
          <w:szCs w:val="20"/>
          <w:color w:val="auto"/>
        </w:rPr>
      </w:pPr>
      <w:r>
        <w:rPr>
          <w:rFonts w:ascii="Times New Roman" w:cs="Times New Roman" w:eastAsia="Times New Roman" w:hAnsi="Times New Roman"/>
          <w:sz w:val="17"/>
          <w:szCs w:val="17"/>
          <w:color w:val="auto"/>
        </w:rPr>
        <w:t>The Company files income tax returns in the United States, including California state jurisdiction. The tax years 2010 to 2018 remains open to U.S. federal and state examination to the extent of the utilization of net operating loss and credit carryovers. As of December 31, 2018, the Company is not under examination by the Internal Revenue Service or any state or foreign tax jurisdiction.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7"/>
          <w:szCs w:val="17"/>
          <w:b w:val="1"/>
          <w:bCs w:val="1"/>
          <w:color w:val="auto"/>
        </w:rPr>
        <w:t>CytomX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Related Party Transactions</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One of the Company’s board members was affiliated with Third Rock Ventures, a greater than 10% stockholder of the Company in 2017. General and administrative expenses for board service fees incurred were $35,000 and $48,000 for the years ended December 31, 2017 and 2016, respectively. The amounts outstanding and included in accounts payable were $0 and $12,000 as of December 31, 2017 and December 31, 2016, respectively. This board member resigned in December 2017.</w:t>
      </w:r>
    </w:p>
    <w:p>
      <w:pPr>
        <w:spacing w:after="0" w:line="19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7"/>
          <w:szCs w:val="17"/>
          <w:color w:val="auto"/>
        </w:rPr>
        <w:t>Revenues from related parties refer to the collaboration agreement with Pfizer, one of the Company’s stockholders. The Company recognized revenue of $2.2 million for the year ended December 31, 2016. As of December 31, 2016, deferred revenue relating to the Pfizer Agreement was $3.4 million. The amount due from Pfizer under the agreement was $0.1 million as of December 31, 2016. As of and during the year ended December 31, 2017, Pfizer owned less than 10% of the Company’s outstanding common stock and was no longer a related party for purposes of disclosure.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Defined Contribution Plan</w:t>
      </w:r>
    </w:p>
    <w:p>
      <w:pPr>
        <w:spacing w:after="0" w:line="10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7"/>
          <w:szCs w:val="17"/>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During the years ended December 31, 2018, 2017 and 2016, the Company made contributions to the plan of $590,000, $255,000 and $201,000, respectively.</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Supplementary Data – Quarterly Financial Data (Unaudited)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represents certain unaudited financial information for each of the quarters ended December 31, 2018 and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8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thousands, except per share data)</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tcPr>
          <w:p>
            <w:pPr>
              <w:jc w:val="center"/>
              <w:ind w:right="300"/>
              <w:spacing w:after="0" w:line="11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3"/>
          </w:tcPr>
          <w:p>
            <w:pPr>
              <w:jc w:val="center"/>
              <w:ind w:right="360"/>
              <w:spacing w:after="0" w:line="119"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gridSpan w:val="3"/>
          </w:tcPr>
          <w:p>
            <w:pPr>
              <w:jc w:val="center"/>
              <w:ind w:right="600"/>
              <w:spacing w:after="0" w:line="119" w:lineRule="exact"/>
              <w:rPr>
                <w:sz w:val="20"/>
                <w:szCs w:val="20"/>
                <w:color w:val="auto"/>
              </w:rPr>
            </w:pPr>
            <w:r>
              <w:rPr>
                <w:rFonts w:ascii="Times New Roman" w:cs="Times New Roman" w:eastAsia="Times New Roman" w:hAnsi="Times New Roman"/>
                <w:sz w:val="13"/>
                <w:szCs w:val="13"/>
                <w:b w:val="1"/>
                <w:bCs w:val="1"/>
                <w:color w:val="auto"/>
                <w:w w:val="99"/>
              </w:rPr>
              <w:t>June 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104"/>
              <w:spacing w:after="0" w:line="119"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88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84"/>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Revenue</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11,471</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12,509</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21,338</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14,184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(32,233)</w:t>
            </w: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(23,431)</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(13,447)</w:t>
            </w:r>
          </w:p>
        </w:tc>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(15,493)</w:t>
            </w:r>
          </w:p>
        </w:tc>
        <w:tc>
          <w:tcPr>
            <w:tcW w:w="0" w:type="dxa"/>
            <w:vAlign w:val="bottom"/>
          </w:tcPr>
          <w:p>
            <w:pPr>
              <w:spacing w:after="0"/>
              <w:rPr>
                <w:sz w:val="1"/>
                <w:szCs w:val="1"/>
                <w:color w:val="auto"/>
              </w:rPr>
            </w:pPr>
          </w:p>
        </w:tc>
      </w:tr>
      <w:tr>
        <w:trPr>
          <w:trHeight w:val="195"/>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 per share attributable to common stockholders,</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(0.72)</w:t>
            </w:r>
          </w:p>
        </w:tc>
        <w:tc>
          <w:tcPr>
            <w:tcW w:w="2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(0.53)</w:t>
            </w:r>
          </w:p>
        </w:tc>
        <w:tc>
          <w:tcPr>
            <w:tcW w:w="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(0.35)</w:t>
            </w: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(0.40)</w:t>
            </w:r>
          </w:p>
        </w:tc>
        <w:tc>
          <w:tcPr>
            <w:tcW w:w="0" w:type="dxa"/>
            <w:vAlign w:val="bottom"/>
          </w:tcPr>
          <w:p>
            <w:pPr>
              <w:spacing w:after="0"/>
              <w:rPr>
                <w:sz w:val="1"/>
                <w:szCs w:val="1"/>
                <w:color w:val="auto"/>
              </w:rPr>
            </w:pPr>
          </w:p>
        </w:tc>
      </w:tr>
      <w:tr>
        <w:trPr>
          <w:trHeight w:val="348"/>
        </w:trPr>
        <w:tc>
          <w:tcPr>
            <w:tcW w:w="5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thousands, except per share data)</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3"/>
          </w:tcPr>
          <w:p>
            <w:pPr>
              <w:jc w:val="center"/>
              <w:ind w:right="380"/>
              <w:spacing w:after="0" w:line="119"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gridSpan w:val="3"/>
          </w:tcPr>
          <w:p>
            <w:pPr>
              <w:jc w:val="center"/>
              <w:ind w:right="640"/>
              <w:spacing w:after="0" w:line="119" w:lineRule="exact"/>
              <w:rPr>
                <w:sz w:val="20"/>
                <w:szCs w:val="20"/>
                <w:color w:val="auto"/>
              </w:rPr>
            </w:pPr>
            <w:r>
              <w:rPr>
                <w:rFonts w:ascii="Times New Roman" w:cs="Times New Roman" w:eastAsia="Times New Roman" w:hAnsi="Times New Roman"/>
                <w:sz w:val="13"/>
                <w:szCs w:val="13"/>
                <w:b w:val="1"/>
                <w:bCs w:val="1"/>
                <w:color w:val="auto"/>
                <w:w w:val="99"/>
              </w:rPr>
              <w:t>June 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104"/>
              <w:spacing w:after="0" w:line="119"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88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9"/>
              </w:rPr>
              <w:t>2017</w:t>
            </w: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w w:val="99"/>
              </w:rPr>
              <w:t>2017</w:t>
            </w: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24"/>
              <w:spacing w:after="0"/>
              <w:rPr>
                <w:sz w:val="20"/>
                <w:szCs w:val="20"/>
                <w:color w:val="auto"/>
              </w:rPr>
            </w:pPr>
            <w:r>
              <w:rPr>
                <w:rFonts w:ascii="Times New Roman" w:cs="Times New Roman" w:eastAsia="Times New Roman" w:hAnsi="Times New Roman"/>
                <w:sz w:val="13"/>
                <w:szCs w:val="13"/>
                <w:b w:val="1"/>
                <w:bCs w:val="1"/>
                <w:color w:val="auto"/>
                <w:w w:val="99"/>
              </w:rPr>
              <w:t>2017</w:t>
            </w: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9"/>
              </w:rPr>
              <w:t>2017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Revenue</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27,074</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24,144</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8,752</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11,653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(10,247)</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(25,216)</w:t>
            </w:r>
          </w:p>
        </w:tc>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(8,257)</w:t>
            </w:r>
          </w:p>
        </w:tc>
        <w:tc>
          <w:tcPr>
            <w:tcW w:w="0" w:type="dxa"/>
            <w:vAlign w:val="bottom"/>
          </w:tcPr>
          <w:p>
            <w:pPr>
              <w:spacing w:after="0"/>
              <w:rPr>
                <w:sz w:val="1"/>
                <w:szCs w:val="1"/>
                <w:color w:val="auto"/>
              </w:rPr>
            </w:pPr>
          </w:p>
        </w:tc>
      </w:tr>
      <w:tr>
        <w:trPr>
          <w:trHeight w:val="195"/>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 per share attributable to common stockholders,</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(0.28)</w:t>
            </w:r>
          </w:p>
        </w:tc>
        <w:tc>
          <w:tcPr>
            <w:tcW w:w="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(0.69)</w:t>
            </w: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(0.23)</w:t>
            </w: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Subsequent Event</w:t>
      </w:r>
    </w:p>
    <w:p>
      <w:pPr>
        <w:spacing w:after="0" w:line="11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7"/>
          <w:szCs w:val="17"/>
          <w:color w:val="auto"/>
        </w:rPr>
        <w:t>On January 31, 2019, BMS notified the Company that it was terminating certain targets in the BMS Agreement. Such termination will become effective 60 days after the notification. As a result of such termination, the Company is no longer eligible to receive any further proceeds from milestones, royalties or research and development fees for these targets, and will accelerate revenue recognition for these targets. The termination of these targets does not affect the BMS-986249 or the Amendment, which remains in full force and effect. The Company is still in the process of evaluating the financial impact of these terminated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29" w:name="page130"/>
    <w:bookmarkEnd w:id="129"/>
    <w:p>
      <w:pPr>
        <w:spacing w:after="0"/>
        <w:tabs>
          <w:tab w:leader="none" w:pos="112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9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0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77"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7"/>
          <w:szCs w:val="17"/>
          <w:color w:val="auto"/>
        </w:rPr>
        <w:t xml:space="preserve">Our management, with the participation of our Chief Executive Officer and Chief Financial Officer, has evaluated the effectiveness of our disclosure controls and procedures as of December 31, 2018, the end of the period covered by this Annual Report on Form 10-K. Management’s assessment of internal control over financial reporting was conducted using the criteria defined in the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Based upon such evaluation, our Chief Executive Officer and Chief Financial Officer have concluded that our disclosure controls and procedures were effective at the reasonable assurance level as of such date.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Annual Report on Internal Control over Financial Reporting</w:t>
      </w:r>
    </w:p>
    <w:p>
      <w:pPr>
        <w:spacing w:after="0" w:line="1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Management is responsible for establishing and maintaining adequate internal control over financial reporting, as such term is defined in Exchange Act Rules 13a-15(f) and 15(d)-15(f).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the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7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7"/>
          <w:szCs w:val="17"/>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 xml:space="preserve">Our management, with the participation of our principal executive officer and principal financial officer, conducted an evaluation of the effectiveness of our internal control over financial reporting based on the framework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Based on our evaluation under the framework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management concluded that our internal control over financial reporting was effective as of December 31, 2018.</w:t>
      </w:r>
    </w:p>
    <w:p>
      <w:pPr>
        <w:spacing w:after="0" w:line="17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2018 has also been audited by Ernst &amp; Young LLP, an independent registered public accounting firm, as stated in its report included in this Annual Report on Form 10-K.</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0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13a-15(f) and 15d-15(f) under the Exchange Act) that occurred during our fiscal quarter ended December 31, 2018 that has materially affected, or is reasonably likely to materially affect, our internal control over financial reporting.</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318" w:right="259" w:bottom="1440" w:gutter="0" w:footer="0" w:header="0"/>
        </w:sectPr>
      </w:pPr>
    </w:p>
    <w:bookmarkStart w:id="130" w:name="page131"/>
    <w:bookmarkEnd w:id="130"/>
    <w:p>
      <w:pPr>
        <w:spacing w:after="0"/>
        <w:tabs>
          <w:tab w:leader="none" w:pos="112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1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We entered into a consulting agreement (“the “Consulting Agreement”) with Dr. Hoyoung Huh effective December 30, 2018, pursuant to which Dr. Huh will serve as an advisor to the chief executive officer, providing consulting services on corporate governance, strategy and development and on scientific matters of the Company from time to time as requested but not to exceed 15 hours in any given month. As compensation for his service, we agreed to pay Dr. Huh a rate of $500 per hour. In addition, we agreed to reimburse Dr. Huh for reasonable expenses incurred for the performance of his services. The Consulting Agreement will expire on December 30, 2020 unless extended by mutual agreement between the parties.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80"/>
          </w:cols>
          <w:pgMar w:left="240" w:top="616" w:right="279" w:bottom="1440" w:gutter="0" w:footer="0" w:header="0"/>
        </w:sectPr>
      </w:pPr>
    </w:p>
    <w:bookmarkStart w:id="131" w:name="page132"/>
    <w:bookmarkEnd w:id="131"/>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0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6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6"/>
          <w:szCs w:val="16"/>
          <w:color w:val="auto"/>
        </w:rPr>
        <w:t>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www.cytomx.com.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25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0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5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0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5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0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5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0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180"/>
          </w:cols>
          <w:pgMar w:left="240" w:top="318" w:right="479" w:bottom="1440" w:gutter="0" w:footer="0" w:header="0"/>
        </w:sectPr>
      </w:pPr>
    </w:p>
    <w:bookmarkStart w:id="132" w:name="page133"/>
    <w:bookmarkEnd w:id="132"/>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Exhibits and Financial Statement Schedules</w:t>
      </w:r>
    </w:p>
    <w:p>
      <w:pPr>
        <w:spacing w:after="0" w:line="105" w:lineRule="exact"/>
        <w:rPr>
          <w:sz w:val="20"/>
          <w:szCs w:val="20"/>
          <w:color w:val="auto"/>
        </w:rPr>
      </w:pPr>
    </w:p>
    <w:p>
      <w:pPr>
        <w:ind w:left="1020" w:hanging="511"/>
        <w:spacing w:after="0"/>
        <w:tabs>
          <w:tab w:leader="none" w:pos="10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financial statements required by Item 15(a) are filed as part of this Annual Report on Form 10-K under Item 8 “Financial Statements and Supplementary Data.”</w:t>
      </w:r>
    </w:p>
    <w:p>
      <w:pPr>
        <w:spacing w:after="0" w:line="101" w:lineRule="exact"/>
        <w:rPr>
          <w:sz w:val="20"/>
          <w:szCs w:val="20"/>
          <w:color w:val="auto"/>
        </w:rPr>
      </w:pPr>
    </w:p>
    <w:p>
      <w:pPr>
        <w:ind w:left="1020" w:hanging="511"/>
        <w:spacing w:after="0"/>
        <w:tabs>
          <w:tab w:leader="none" w:pos="10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Statement Schedules</w:t>
      </w:r>
    </w:p>
    <w:p>
      <w:pPr>
        <w:spacing w:after="0" w:line="2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58" w:lineRule="exact"/>
        <w:rPr>
          <w:sz w:val="20"/>
          <w:szCs w:val="20"/>
          <w:color w:val="auto"/>
        </w:rPr>
      </w:pPr>
    </w:p>
    <w:p>
      <w:pPr>
        <w:ind w:left="1020" w:hanging="511"/>
        <w:spacing w:after="0"/>
        <w:tabs>
          <w:tab w:leader="none" w:pos="10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Exhibits.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1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860" w:type="dxa"/>
            <w:vAlign w:val="bottom"/>
            <w:vMerge w:val="restart"/>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3700" w:type="dxa"/>
            <w:vAlign w:val="bottom"/>
            <w:vMerge w:val="restart"/>
          </w:tcPr>
          <w:p>
            <w:pPr>
              <w:ind w:left="150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92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32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7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860" w:type="dxa"/>
            <w:vAlign w:val="bottom"/>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-8255</wp:posOffset>
            </wp:positionV>
            <wp:extent cx="717867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675" cy="7620"/>
                    </a:xfrm>
                    <a:prstGeom prst="rect">
                      <a:avLst/>
                    </a:prstGeom>
                    <a:noFill/>
                  </pic:spPr>
                </pic:pic>
              </a:graphicData>
            </a:graphic>
          </wp:anchor>
        </w:drawing>
      </w:r>
    </w:p>
    <w:p>
      <w:pPr>
        <w:sectPr>
          <w:pgSz w:w="11900" w:h="16838" w:orient="portrait"/>
          <w:cols w:equalWidth="0" w:num="1">
            <w:col w:w="11200"/>
          </w:cols>
          <w:pgMar w:left="240" w:top="318" w:right="459" w:bottom="1440" w:gutter="0" w:footer="0" w:header="0"/>
        </w:sectPr>
      </w:pPr>
    </w:p>
    <w:tbl>
      <w:tblPr>
        <w:tblLayout w:type="fixed"/>
        <w:tblInd w:w="260" w:type="dxa"/>
        <w:tblCellMar>
          <w:top w:w="0" w:type="dxa"/>
          <w:left w:w="0" w:type="dxa"/>
          <w:bottom w:w="0" w:type="dxa"/>
          <w:right w:w="0" w:type="dxa"/>
        </w:tblCellMar>
      </w:tblPr>
      <w:tr>
        <w:trPr>
          <w:trHeight w:val="160"/>
        </w:trPr>
        <w:tc>
          <w:tcPr>
            <w:tcW w:w="1440" w:type="dxa"/>
            <w:vAlign w:val="bottom"/>
          </w:tcPr>
          <w:p>
            <w:pPr>
              <w:jc w:val="right"/>
              <w:ind w:right="1137"/>
              <w:spacing w:after="0" w:line="160" w:lineRule="exact"/>
              <w:rPr>
                <w:sz w:val="20"/>
                <w:szCs w:val="20"/>
                <w:color w:val="auto"/>
              </w:rPr>
            </w:pPr>
            <w:r>
              <w:rPr>
                <w:rFonts w:ascii="Times New Roman" w:cs="Times New Roman" w:eastAsia="Times New Roman" w:hAnsi="Times New Roman"/>
                <w:sz w:val="17"/>
                <w:szCs w:val="17"/>
                <w:color w:val="auto"/>
                <w:w w:val="93"/>
              </w:rPr>
              <w:t>3.1</w:t>
            </w:r>
          </w:p>
        </w:tc>
        <w:tc>
          <w:tcPr>
            <w:tcW w:w="4320" w:type="dxa"/>
            <w:vAlign w:val="bottom"/>
            <w:gridSpan w:val="6"/>
          </w:tcPr>
          <w:p>
            <w:pPr>
              <w:spacing w:after="0" w:line="160" w:lineRule="exact"/>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Amended and Restated Certificate of Incorporation.</w:t>
              </w:r>
            </w:hyperlink>
          </w:p>
        </w:tc>
      </w:tr>
      <w:tr>
        <w:trPr>
          <w:trHeight w:val="291"/>
        </w:trPr>
        <w:tc>
          <w:tcPr>
            <w:tcW w:w="1440" w:type="dxa"/>
            <w:vAlign w:val="bottom"/>
          </w:tcPr>
          <w:p>
            <w:pPr>
              <w:jc w:val="right"/>
              <w:ind w:right="1137"/>
              <w:spacing w:after="0"/>
              <w:rPr>
                <w:sz w:val="20"/>
                <w:szCs w:val="20"/>
                <w:color w:val="auto"/>
              </w:rPr>
            </w:pPr>
            <w:r>
              <w:rPr>
                <w:rFonts w:ascii="Times New Roman" w:cs="Times New Roman" w:eastAsia="Times New Roman" w:hAnsi="Times New Roman"/>
                <w:sz w:val="17"/>
                <w:szCs w:val="17"/>
                <w:color w:val="auto"/>
                <w:w w:val="93"/>
              </w:rPr>
              <w:t>3.2</w:t>
            </w:r>
          </w:p>
        </w:tc>
        <w:tc>
          <w:tcPr>
            <w:tcW w:w="21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7"/>
                <w:szCs w:val="17"/>
                <w:color w:val="0000EE"/>
                <w:w w:val="96"/>
              </w:rPr>
            </w:pPr>
            <w:hyperlink r:id="rId180">
              <w:r>
                <w:rPr>
                  <w:rFonts w:ascii="Times New Roman" w:cs="Times New Roman" w:eastAsia="Times New Roman" w:hAnsi="Times New Roman"/>
                  <w:sz w:val="17"/>
                  <w:szCs w:val="17"/>
                  <w:color w:val="0000EE"/>
                  <w:w w:val="96"/>
                </w:rPr>
                <w:t>Amended and Restated Bylaws.</w:t>
              </w:r>
            </w:hyperlink>
          </w:p>
        </w:tc>
        <w:tc>
          <w:tcPr>
            <w:tcW w:w="1320" w:type="dxa"/>
            <w:vAlign w:val="bottom"/>
            <w:tcBorders>
              <w:top w:val="single" w:sz="8" w:color="0000EE"/>
            </w:tcBorders>
            <w:gridSpan w:val="2"/>
          </w:tcPr>
          <w:p>
            <w:pPr>
              <w:spacing w:after="0"/>
              <w:rPr>
                <w:sz w:val="24"/>
                <w:szCs w:val="24"/>
                <w:color w:val="auto"/>
              </w:rPr>
            </w:pPr>
          </w:p>
        </w:tc>
        <w:tc>
          <w:tcPr>
            <w:tcW w:w="880" w:type="dxa"/>
            <w:vAlign w:val="bottom"/>
            <w:gridSpan w:val="2"/>
          </w:tcPr>
          <w:p>
            <w:pPr>
              <w:spacing w:after="0"/>
              <w:rPr>
                <w:sz w:val="24"/>
                <w:szCs w:val="24"/>
                <w:color w:val="auto"/>
              </w:rPr>
            </w:pPr>
          </w:p>
        </w:tc>
      </w:tr>
      <w:tr>
        <w:trPr>
          <w:trHeight w:val="390"/>
        </w:trPr>
        <w:tc>
          <w:tcPr>
            <w:tcW w:w="1440" w:type="dxa"/>
            <w:vAlign w:val="bottom"/>
          </w:tcPr>
          <w:p>
            <w:pPr>
              <w:jc w:val="right"/>
              <w:ind w:right="1137"/>
              <w:spacing w:after="0"/>
              <w:rPr>
                <w:sz w:val="20"/>
                <w:szCs w:val="20"/>
                <w:color w:val="auto"/>
              </w:rPr>
            </w:pPr>
            <w:r>
              <w:rPr>
                <w:rFonts w:ascii="Times New Roman" w:cs="Times New Roman" w:eastAsia="Times New Roman" w:hAnsi="Times New Roman"/>
                <w:sz w:val="17"/>
                <w:szCs w:val="17"/>
                <w:color w:val="auto"/>
                <w:w w:val="93"/>
              </w:rPr>
              <w:t>4.1</w:t>
            </w:r>
          </w:p>
        </w:tc>
        <w:tc>
          <w:tcPr>
            <w:tcW w:w="43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Reference is made to exhibits 3.1 through 3.2.</w:t>
            </w:r>
          </w:p>
        </w:tc>
      </w:tr>
      <w:tr>
        <w:trPr>
          <w:trHeight w:val="273"/>
        </w:trPr>
        <w:tc>
          <w:tcPr>
            <w:tcW w:w="1440" w:type="dxa"/>
            <w:vAlign w:val="bottom"/>
          </w:tcPr>
          <w:p>
            <w:pPr>
              <w:jc w:val="right"/>
              <w:ind w:right="1137"/>
              <w:spacing w:after="0"/>
              <w:rPr>
                <w:sz w:val="20"/>
                <w:szCs w:val="20"/>
                <w:color w:val="auto"/>
              </w:rPr>
            </w:pPr>
            <w:r>
              <w:rPr>
                <w:rFonts w:ascii="Times New Roman" w:cs="Times New Roman" w:eastAsia="Times New Roman" w:hAnsi="Times New Roman"/>
                <w:sz w:val="17"/>
                <w:szCs w:val="17"/>
                <w:color w:val="auto"/>
                <w:w w:val="93"/>
              </w:rPr>
              <w:t>4.2</w:t>
            </w:r>
          </w:p>
        </w:tc>
        <w:tc>
          <w:tcPr>
            <w:tcW w:w="2520" w:type="dxa"/>
            <w:vAlign w:val="bottom"/>
            <w:tcBorders>
              <w:bottom w:val="single" w:sz="8" w:color="0000EE"/>
            </w:tcBorders>
            <w:gridSpan w:val="3"/>
          </w:tcPr>
          <w:p>
            <w:pPr>
              <w:spacing w:after="0"/>
              <w:rPr>
                <w:rFonts w:ascii="Times New Roman" w:cs="Times New Roman" w:eastAsia="Times New Roman" w:hAnsi="Times New Roman"/>
                <w:sz w:val="17"/>
                <w:szCs w:val="17"/>
                <w:color w:val="0000EE"/>
                <w:w w:val="96"/>
              </w:rPr>
            </w:pPr>
            <w:hyperlink r:id="rId181">
              <w:r>
                <w:rPr>
                  <w:rFonts w:ascii="Times New Roman" w:cs="Times New Roman" w:eastAsia="Times New Roman" w:hAnsi="Times New Roman"/>
                  <w:sz w:val="17"/>
                  <w:szCs w:val="17"/>
                  <w:color w:val="0000EE"/>
                  <w:w w:val="96"/>
                </w:rPr>
                <w:t>Specimen Common Stock Certificate.</w:t>
              </w:r>
            </w:hyperlink>
          </w:p>
        </w:tc>
        <w:tc>
          <w:tcPr>
            <w:tcW w:w="1800" w:type="dxa"/>
            <w:vAlign w:val="bottom"/>
            <w:gridSpan w:val="3"/>
          </w:tcPr>
          <w:p>
            <w:pPr>
              <w:spacing w:after="0"/>
              <w:rPr>
                <w:sz w:val="23"/>
                <w:szCs w:val="23"/>
                <w:color w:val="auto"/>
              </w:rPr>
            </w:pPr>
          </w:p>
        </w:tc>
      </w:tr>
      <w:tr>
        <w:trPr>
          <w:trHeight w:val="340"/>
        </w:trPr>
        <w:tc>
          <w:tcPr>
            <w:tcW w:w="1440" w:type="dxa"/>
            <w:vAlign w:val="bottom"/>
          </w:tcPr>
          <w:p>
            <w:pPr>
              <w:jc w:val="right"/>
              <w:ind w:right="1137"/>
              <w:spacing w:after="0"/>
              <w:rPr>
                <w:sz w:val="20"/>
                <w:szCs w:val="20"/>
                <w:color w:val="auto"/>
              </w:rPr>
            </w:pPr>
            <w:r>
              <w:rPr>
                <w:rFonts w:ascii="Times New Roman" w:cs="Times New Roman" w:eastAsia="Times New Roman" w:hAnsi="Times New Roman"/>
                <w:sz w:val="17"/>
                <w:szCs w:val="17"/>
                <w:color w:val="auto"/>
                <w:w w:val="93"/>
              </w:rPr>
              <w:t>4.3</w:t>
            </w:r>
          </w:p>
        </w:tc>
        <w:tc>
          <w:tcPr>
            <w:tcW w:w="4260" w:type="dxa"/>
            <w:vAlign w:val="bottom"/>
            <w:tcBorders>
              <w:bottom w:val="single" w:sz="8" w:color="0000EE"/>
            </w:tcBorders>
            <w:gridSpan w:val="5"/>
          </w:tcPr>
          <w:p>
            <w:pPr>
              <w:spacing w:after="0"/>
              <w:rPr>
                <w:rFonts w:ascii="Times New Roman" w:cs="Times New Roman" w:eastAsia="Times New Roman" w:hAnsi="Times New Roman"/>
                <w:sz w:val="17"/>
                <w:szCs w:val="17"/>
                <w:color w:val="0000EE"/>
                <w:w w:val="97"/>
              </w:rPr>
            </w:pPr>
            <w:hyperlink r:id="rId182">
              <w:r>
                <w:rPr>
                  <w:rFonts w:ascii="Times New Roman" w:cs="Times New Roman" w:eastAsia="Times New Roman" w:hAnsi="Times New Roman"/>
                  <w:sz w:val="17"/>
                  <w:szCs w:val="17"/>
                  <w:color w:val="0000EE"/>
                  <w:w w:val="97"/>
                </w:rPr>
                <w:t>Amended and Restated Investors’ Rights Agreement dated as of</w:t>
              </w:r>
            </w:hyperlink>
          </w:p>
        </w:tc>
        <w:tc>
          <w:tcPr>
            <w:tcW w:w="60" w:type="dxa"/>
            <w:vAlign w:val="bottom"/>
          </w:tcPr>
          <w:p>
            <w:pPr>
              <w:spacing w:after="0"/>
              <w:rPr>
                <w:sz w:val="24"/>
                <w:szCs w:val="24"/>
                <w:color w:val="auto"/>
              </w:rPr>
            </w:pPr>
          </w:p>
        </w:tc>
      </w:tr>
      <w:tr>
        <w:trPr>
          <w:trHeight w:val="179"/>
        </w:trPr>
        <w:tc>
          <w:tcPr>
            <w:tcW w:w="1440" w:type="dxa"/>
            <w:vAlign w:val="bottom"/>
          </w:tcPr>
          <w:p>
            <w:pPr>
              <w:spacing w:after="0"/>
              <w:rPr>
                <w:sz w:val="15"/>
                <w:szCs w:val="15"/>
                <w:color w:val="auto"/>
              </w:rPr>
            </w:pPr>
          </w:p>
        </w:tc>
        <w:tc>
          <w:tcPr>
            <w:tcW w:w="4320" w:type="dxa"/>
            <w:vAlign w:val="bottom"/>
            <w:tcBorders>
              <w:bottom w:val="single" w:sz="8" w:color="0000EE"/>
            </w:tcBorders>
            <w:gridSpan w:val="6"/>
          </w:tcPr>
          <w:p>
            <w:pPr>
              <w:spacing w:after="0" w:line="179" w:lineRule="exact"/>
              <w:rPr>
                <w:rFonts w:ascii="Times New Roman" w:cs="Times New Roman" w:eastAsia="Times New Roman" w:hAnsi="Times New Roman"/>
                <w:sz w:val="17"/>
                <w:szCs w:val="17"/>
                <w:color w:val="0000EE"/>
                <w:w w:val="97"/>
              </w:rPr>
            </w:pPr>
            <w:hyperlink r:id="rId182">
              <w:r>
                <w:rPr>
                  <w:rFonts w:ascii="Times New Roman" w:cs="Times New Roman" w:eastAsia="Times New Roman" w:hAnsi="Times New Roman"/>
                  <w:sz w:val="17"/>
                  <w:szCs w:val="17"/>
                  <w:color w:val="0000EE"/>
                  <w:w w:val="97"/>
                </w:rPr>
                <w:t>June 12, 2015, by and among CytomX Therapeutics, Inc. and the</w:t>
              </w:r>
            </w:hyperlink>
          </w:p>
        </w:tc>
      </w:tr>
      <w:tr>
        <w:trPr>
          <w:trHeight w:val="179"/>
        </w:trPr>
        <w:tc>
          <w:tcPr>
            <w:tcW w:w="1440" w:type="dxa"/>
            <w:vAlign w:val="bottom"/>
          </w:tcPr>
          <w:p>
            <w:pPr>
              <w:spacing w:after="0"/>
              <w:rPr>
                <w:sz w:val="15"/>
                <w:szCs w:val="15"/>
                <w:color w:val="auto"/>
              </w:rPr>
            </w:pPr>
          </w:p>
        </w:tc>
        <w:tc>
          <w:tcPr>
            <w:tcW w:w="4320" w:type="dxa"/>
            <w:vAlign w:val="bottom"/>
            <w:gridSpan w:val="6"/>
          </w:tcPr>
          <w:p>
            <w:pPr>
              <w:spacing w:after="0" w:line="179"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investors named therein.</w:t>
              </w:r>
            </w:hyperlink>
          </w:p>
        </w:tc>
      </w:tr>
      <w:tr>
        <w:trPr>
          <w:trHeight w:val="20"/>
        </w:trPr>
        <w:tc>
          <w:tcPr>
            <w:tcW w:w="14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8-K</w:t>
            </w:r>
          </w:p>
        </w:tc>
        <w:tc>
          <w:tcPr>
            <w:tcW w:w="158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8"/>
              </w:rPr>
              <w:t>10/19/2015</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348"/>
        </w:trPr>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8-K</w:t>
            </w:r>
          </w:p>
        </w:tc>
        <w:tc>
          <w:tcPr>
            <w:tcW w:w="158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8"/>
              </w:rPr>
              <w:t>10/19/2015</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671"/>
        </w:trPr>
        <w:tc>
          <w:tcPr>
            <w:tcW w:w="760" w:type="dxa"/>
            <w:vAlign w:val="bottom"/>
          </w:tcPr>
          <w:p>
            <w:pPr>
              <w:jc w:val="center"/>
              <w:ind w:right="277"/>
              <w:spacing w:after="0"/>
              <w:rPr>
                <w:sz w:val="20"/>
                <w:szCs w:val="20"/>
                <w:color w:val="auto"/>
              </w:rPr>
            </w:pPr>
            <w:r>
              <w:rPr>
                <w:rFonts w:ascii="Times New Roman" w:cs="Times New Roman" w:eastAsia="Times New Roman" w:hAnsi="Times New Roman"/>
                <w:sz w:val="17"/>
                <w:szCs w:val="17"/>
                <w:color w:val="auto"/>
                <w:w w:val="98"/>
              </w:rPr>
              <w:t>S-1/A</w:t>
            </w:r>
          </w:p>
        </w:tc>
        <w:tc>
          <w:tcPr>
            <w:tcW w:w="158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8"/>
              </w:rPr>
              <w:t>9/28/2015</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485"/>
        </w:trPr>
        <w:tc>
          <w:tcPr>
            <w:tcW w:w="760" w:type="dxa"/>
            <w:vAlign w:val="bottom"/>
          </w:tcPr>
          <w:p>
            <w:pPr>
              <w:jc w:val="center"/>
              <w:ind w:right="257"/>
              <w:spacing w:after="0"/>
              <w:rPr>
                <w:sz w:val="20"/>
                <w:szCs w:val="20"/>
                <w:color w:val="auto"/>
              </w:rPr>
            </w:pPr>
            <w:r>
              <w:rPr>
                <w:rFonts w:ascii="Times New Roman" w:cs="Times New Roman" w:eastAsia="Times New Roman" w:hAnsi="Times New Roman"/>
                <w:sz w:val="17"/>
                <w:szCs w:val="17"/>
                <w:color w:val="auto"/>
                <w:w w:val="92"/>
              </w:rPr>
              <w:t>S-1</w:t>
            </w:r>
          </w:p>
        </w:tc>
        <w:tc>
          <w:tcPr>
            <w:tcW w:w="158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8"/>
              </w:rPr>
              <w:t>8/28/2015</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bl>
    <w:p>
      <w:pPr>
        <w:spacing w:after="0" w:line="276" w:lineRule="exact"/>
        <w:rPr>
          <w:sz w:val="20"/>
          <w:szCs w:val="20"/>
          <w:color w:val="auto"/>
        </w:rPr>
      </w:pPr>
    </w:p>
    <w:p>
      <w:pPr>
        <w:sectPr>
          <w:pgSz w:w="11900" w:h="16838" w:orient="portrait"/>
          <w:cols w:equalWidth="0" w:num="2">
            <w:col w:w="6120" w:space="720"/>
            <w:col w:w="4360"/>
          </w:cols>
          <w:pgMar w:left="240" w:top="318" w:right="459" w:bottom="1440" w:gutter="0" w:footer="0" w:header="0"/>
          <w:type w:val="continuous"/>
        </w:sectPr>
      </w:pPr>
    </w:p>
    <w:tbl>
      <w:tblPr>
        <w:tblLayout w:type="fixed"/>
        <w:tblInd w:w="180" w:type="dxa"/>
        <w:tblCellMar>
          <w:top w:w="0" w:type="dxa"/>
          <w:left w:w="0" w:type="dxa"/>
          <w:bottom w:w="0" w:type="dxa"/>
          <w:right w:w="0" w:type="dxa"/>
        </w:tblCellMar>
      </w:tblPr>
      <w:tr>
        <w:trPr>
          <w:trHeight w:val="195"/>
        </w:trPr>
        <w:tc>
          <w:tcPr>
            <w:tcW w:w="1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4.4</w:t>
            </w:r>
          </w:p>
        </w:tc>
        <w:tc>
          <w:tcPr>
            <w:tcW w:w="440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w w:val="97"/>
              </w:rPr>
            </w:pPr>
            <w:hyperlink r:id="rId183">
              <w:r>
                <w:rPr>
                  <w:rFonts w:ascii="Times New Roman" w:cs="Times New Roman" w:eastAsia="Times New Roman" w:hAnsi="Times New Roman"/>
                  <w:sz w:val="17"/>
                  <w:szCs w:val="17"/>
                  <w:color w:val="0000EE"/>
                  <w:w w:val="97"/>
                </w:rPr>
                <w:t>Registration Rights Agreement dated as of September 29, 2017 by</w:t>
              </w:r>
            </w:hyperlink>
          </w:p>
        </w:tc>
        <w:tc>
          <w:tcPr>
            <w:tcW w:w="200" w:type="dxa"/>
            <w:vAlign w:val="bottom"/>
            <w:gridSpan w:val="3"/>
          </w:tcPr>
          <w:p>
            <w:pPr>
              <w:spacing w:after="0"/>
              <w:rPr>
                <w:sz w:val="17"/>
                <w:szCs w:val="17"/>
                <w:color w:val="auto"/>
              </w:rPr>
            </w:pPr>
          </w:p>
        </w:tc>
      </w:tr>
      <w:tr>
        <w:trPr>
          <w:trHeight w:val="179"/>
        </w:trPr>
        <w:tc>
          <w:tcPr>
            <w:tcW w:w="1520" w:type="dxa"/>
            <w:vAlign w:val="bottom"/>
          </w:tcPr>
          <w:p>
            <w:pPr>
              <w:spacing w:after="0"/>
              <w:rPr>
                <w:sz w:val="15"/>
                <w:szCs w:val="15"/>
                <w:color w:val="auto"/>
              </w:rPr>
            </w:pPr>
          </w:p>
        </w:tc>
        <w:tc>
          <w:tcPr>
            <w:tcW w:w="4600" w:type="dxa"/>
            <w:vAlign w:val="bottom"/>
            <w:gridSpan w:val="14"/>
          </w:tcPr>
          <w:p>
            <w:pPr>
              <w:spacing w:after="0" w:line="179"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and between CytomX Therapeutics, Inc. and Amgen, Inc.</w:t>
              </w:r>
            </w:hyperlink>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5"/>
        </w:trPr>
        <w:tc>
          <w:tcPr>
            <w:tcW w:w="1520" w:type="dxa"/>
            <w:vAlign w:val="bottom"/>
          </w:tcPr>
          <w:p>
            <w:pPr>
              <w:spacing w:after="0"/>
              <w:rPr>
                <w:sz w:val="24"/>
                <w:szCs w:val="24"/>
                <w:color w:val="auto"/>
              </w:rPr>
            </w:pPr>
          </w:p>
        </w:tc>
        <w:tc>
          <w:tcPr>
            <w:tcW w:w="4600" w:type="dxa"/>
            <w:vAlign w:val="bottom"/>
            <w:gridSpan w:val="14"/>
          </w:tcPr>
          <w:p>
            <w:pPr>
              <w:spacing w:after="0"/>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2010 Stock Incentive Plan adopted on September 21, 2010 (“2010</w:t>
              </w:r>
            </w:hyperlink>
          </w:p>
        </w:tc>
      </w:tr>
      <w:tr>
        <w:trPr>
          <w:trHeight w:val="179"/>
        </w:trPr>
        <w:tc>
          <w:tcPr>
            <w:tcW w:w="152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10.1(a)#</w:t>
            </w:r>
          </w:p>
        </w:tc>
        <w:tc>
          <w:tcPr>
            <w:tcW w:w="4380" w:type="dxa"/>
            <w:vAlign w:val="bottom"/>
            <w:tcBorders>
              <w:top w:val="single" w:sz="8" w:color="0000EE"/>
            </w:tcBorders>
            <w:gridSpan w:val="10"/>
          </w:tcPr>
          <w:p>
            <w:pPr>
              <w:spacing w:after="0" w:line="179" w:lineRule="exact"/>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Plan”).</w:t>
              </w:r>
            </w:hyperlink>
          </w:p>
        </w:tc>
        <w:tc>
          <w:tcPr>
            <w:tcW w:w="220" w:type="dxa"/>
            <w:vAlign w:val="bottom"/>
            <w:gridSpan w:val="4"/>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10.1(b)#</w:t>
            </w:r>
          </w:p>
        </w:tc>
        <w:tc>
          <w:tcPr>
            <w:tcW w:w="4600" w:type="dxa"/>
            <w:vAlign w:val="bottom"/>
            <w:gridSpan w:val="14"/>
          </w:tcPr>
          <w:p>
            <w:pPr>
              <w:spacing w:after="0"/>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Form of Stock Option Agreement under the 2010 Plan.</w:t>
              </w:r>
            </w:hyperlink>
          </w:p>
        </w:tc>
      </w:tr>
      <w:tr>
        <w:trPr>
          <w:trHeight w:val="20"/>
        </w:trPr>
        <w:tc>
          <w:tcPr>
            <w:tcW w:w="15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20" w:type="dxa"/>
            <w:vAlign w:val="bottom"/>
          </w:tcPr>
          <w:p>
            <w:pPr>
              <w:spacing w:after="0"/>
              <w:rPr>
                <w:sz w:val="24"/>
                <w:szCs w:val="24"/>
                <w:color w:val="auto"/>
              </w:rPr>
            </w:pPr>
          </w:p>
        </w:tc>
        <w:tc>
          <w:tcPr>
            <w:tcW w:w="4600" w:type="dxa"/>
            <w:vAlign w:val="bottom"/>
            <w:gridSpan w:val="14"/>
          </w:tcPr>
          <w:p>
            <w:pPr>
              <w:spacing w:after="0"/>
              <w:rPr>
                <w:rFonts w:ascii="Times New Roman" w:cs="Times New Roman" w:eastAsia="Times New Roman" w:hAnsi="Times New Roman"/>
                <w:sz w:val="17"/>
                <w:szCs w:val="17"/>
                <w:color w:val="0000EE"/>
                <w:w w:val="97"/>
              </w:rPr>
            </w:pPr>
            <w:hyperlink r:id="rId186">
              <w:r>
                <w:rPr>
                  <w:rFonts w:ascii="Times New Roman" w:cs="Times New Roman" w:eastAsia="Times New Roman" w:hAnsi="Times New Roman"/>
                  <w:sz w:val="17"/>
                  <w:szCs w:val="17"/>
                  <w:color w:val="0000EE"/>
                  <w:w w:val="97"/>
                </w:rPr>
                <w:t>2011 Stock Incentive Plan, adopted on February 7, 2012, as amended</w:t>
              </w:r>
            </w:hyperlink>
          </w:p>
        </w:tc>
      </w:tr>
      <w:tr>
        <w:trPr>
          <w:trHeight w:val="179"/>
        </w:trPr>
        <w:tc>
          <w:tcPr>
            <w:tcW w:w="152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10.2(a)#</w:t>
            </w:r>
          </w:p>
        </w:tc>
        <w:tc>
          <w:tcPr>
            <w:tcW w:w="4580" w:type="dxa"/>
            <w:vAlign w:val="bottom"/>
            <w:tcBorders>
              <w:top w:val="single" w:sz="8" w:color="0000EE"/>
            </w:tcBorders>
            <w:gridSpan w:val="13"/>
          </w:tcPr>
          <w:p>
            <w:pPr>
              <w:spacing w:after="0" w:line="179"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(“2011 Plan”).</w:t>
              </w:r>
            </w:hyperlink>
          </w:p>
        </w:tc>
        <w:tc>
          <w:tcPr>
            <w:tcW w:w="20" w:type="dxa"/>
            <w:vAlign w:val="bottom"/>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10.2(b)#</w:t>
            </w:r>
          </w:p>
        </w:tc>
        <w:tc>
          <w:tcPr>
            <w:tcW w:w="432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w w:val="96"/>
              </w:rPr>
            </w:pPr>
            <w:hyperlink r:id="rId187">
              <w:r>
                <w:rPr>
                  <w:rFonts w:ascii="Times New Roman" w:cs="Times New Roman" w:eastAsia="Times New Roman" w:hAnsi="Times New Roman"/>
                  <w:sz w:val="17"/>
                  <w:szCs w:val="17"/>
                  <w:color w:val="0000EE"/>
                  <w:w w:val="96"/>
                </w:rPr>
                <w:t>Form of Restricted Stock Award Agreement and Option Exercise</w:t>
              </w:r>
            </w:hyperlink>
          </w:p>
        </w:tc>
        <w:tc>
          <w:tcPr>
            <w:tcW w:w="280" w:type="dxa"/>
            <w:vAlign w:val="bottom"/>
            <w:gridSpan w:val="5"/>
          </w:tcPr>
          <w:p>
            <w:pPr>
              <w:spacing w:after="0"/>
              <w:rPr>
                <w:sz w:val="24"/>
                <w:szCs w:val="24"/>
                <w:color w:val="auto"/>
              </w:rPr>
            </w:pPr>
          </w:p>
        </w:tc>
      </w:tr>
      <w:tr>
        <w:trPr>
          <w:trHeight w:val="179"/>
        </w:trPr>
        <w:tc>
          <w:tcPr>
            <w:tcW w:w="1520" w:type="dxa"/>
            <w:vAlign w:val="bottom"/>
          </w:tcPr>
          <w:p>
            <w:pPr>
              <w:spacing w:after="0"/>
              <w:rPr>
                <w:sz w:val="15"/>
                <w:szCs w:val="15"/>
                <w:color w:val="auto"/>
              </w:rPr>
            </w:pPr>
          </w:p>
        </w:tc>
        <w:tc>
          <w:tcPr>
            <w:tcW w:w="4600" w:type="dxa"/>
            <w:vAlign w:val="bottom"/>
            <w:gridSpan w:val="14"/>
          </w:tcPr>
          <w:p>
            <w:pPr>
              <w:spacing w:after="0" w:line="179" w:lineRule="exact"/>
              <w:rPr>
                <w:rFonts w:ascii="Times New Roman" w:cs="Times New Roman" w:eastAsia="Times New Roman" w:hAnsi="Times New Roman"/>
                <w:sz w:val="17"/>
                <w:szCs w:val="17"/>
                <w:color w:val="0000EE"/>
              </w:rPr>
            </w:pPr>
            <w:hyperlink r:id="rId187">
              <w:r>
                <w:rPr>
                  <w:rFonts w:ascii="Times New Roman" w:cs="Times New Roman" w:eastAsia="Times New Roman" w:hAnsi="Times New Roman"/>
                  <w:sz w:val="17"/>
                  <w:szCs w:val="17"/>
                  <w:color w:val="0000EE"/>
                </w:rPr>
                <w:t>Agreement under the 2011 Plan.</w:t>
              </w:r>
            </w:hyperlink>
          </w:p>
        </w:tc>
      </w:tr>
      <w:tr>
        <w:trPr>
          <w:trHeight w:val="20"/>
        </w:trPr>
        <w:tc>
          <w:tcPr>
            <w:tcW w:w="152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10.3(a)#</w:t>
            </w:r>
          </w:p>
        </w:tc>
        <w:tc>
          <w:tcPr>
            <w:tcW w:w="282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6"/>
              </w:rPr>
            </w:pPr>
            <w:hyperlink r:id="rId188">
              <w:r>
                <w:rPr>
                  <w:rFonts w:ascii="Times New Roman" w:cs="Times New Roman" w:eastAsia="Times New Roman" w:hAnsi="Times New Roman"/>
                  <w:sz w:val="17"/>
                  <w:szCs w:val="17"/>
                  <w:color w:val="0000EE"/>
                  <w:w w:val="96"/>
                </w:rPr>
                <w:t>2015 Equity Incentive Plan (“2015 Plan”).</w:t>
              </w:r>
            </w:hyperlink>
          </w:p>
        </w:tc>
        <w:tc>
          <w:tcPr>
            <w:tcW w:w="1780" w:type="dxa"/>
            <w:vAlign w:val="bottom"/>
            <w:gridSpan w:val="10"/>
          </w:tcPr>
          <w:p>
            <w:pPr>
              <w:spacing w:after="0"/>
              <w:rPr>
                <w:sz w:val="24"/>
                <w:szCs w:val="24"/>
                <w:color w:val="auto"/>
              </w:rPr>
            </w:pPr>
          </w:p>
        </w:tc>
      </w:tr>
      <w:tr>
        <w:trPr>
          <w:trHeight w:val="378"/>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10.3(b)#</w:t>
            </w:r>
          </w:p>
        </w:tc>
        <w:tc>
          <w:tcPr>
            <w:tcW w:w="394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6"/>
              </w:rPr>
            </w:pPr>
            <w:hyperlink r:id="rId189">
              <w:r>
                <w:rPr>
                  <w:rFonts w:ascii="Times New Roman" w:cs="Times New Roman" w:eastAsia="Times New Roman" w:hAnsi="Times New Roman"/>
                  <w:sz w:val="17"/>
                  <w:szCs w:val="17"/>
                  <w:color w:val="0000EE"/>
                  <w:w w:val="96"/>
                </w:rPr>
                <w:t>Form of 2015 Plan Option Agreement under the 2015 Plan.</w:t>
              </w:r>
            </w:hyperlink>
          </w:p>
        </w:tc>
        <w:tc>
          <w:tcPr>
            <w:tcW w:w="660" w:type="dxa"/>
            <w:vAlign w:val="bottom"/>
            <w:gridSpan w:val="6"/>
          </w:tcPr>
          <w:p>
            <w:pPr>
              <w:spacing w:after="0"/>
              <w:rPr>
                <w:sz w:val="24"/>
                <w:szCs w:val="24"/>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10.3(c)#</w:t>
            </w:r>
          </w:p>
        </w:tc>
        <w:tc>
          <w:tcPr>
            <w:tcW w:w="3540" w:type="dxa"/>
            <w:vAlign w:val="bottom"/>
            <w:tcBorders>
              <w:bottom w:val="single" w:sz="8" w:color="0000EE"/>
            </w:tcBorders>
            <w:gridSpan w:val="5"/>
          </w:tcPr>
          <w:p>
            <w:pPr>
              <w:spacing w:after="0"/>
              <w:rPr>
                <w:rFonts w:ascii="Times New Roman" w:cs="Times New Roman" w:eastAsia="Times New Roman" w:hAnsi="Times New Roman"/>
                <w:sz w:val="17"/>
                <w:szCs w:val="17"/>
                <w:color w:val="0000EE"/>
                <w:w w:val="96"/>
              </w:rPr>
            </w:pPr>
            <w:hyperlink r:id="rId190">
              <w:r>
                <w:rPr>
                  <w:rFonts w:ascii="Times New Roman" w:cs="Times New Roman" w:eastAsia="Times New Roman" w:hAnsi="Times New Roman"/>
                  <w:sz w:val="17"/>
                  <w:szCs w:val="17"/>
                  <w:color w:val="0000EE"/>
                  <w:w w:val="96"/>
                </w:rPr>
                <w:t>Form of 2015 Plan Early Exercise Option Agreement</w:t>
              </w:r>
            </w:hyperlink>
          </w:p>
        </w:tc>
        <w:tc>
          <w:tcPr>
            <w:tcW w:w="1060" w:type="dxa"/>
            <w:vAlign w:val="bottom"/>
            <w:gridSpan w:val="9"/>
          </w:tcPr>
          <w:p>
            <w:pPr>
              <w:spacing w:after="0"/>
              <w:rPr>
                <w:sz w:val="24"/>
                <w:szCs w:val="24"/>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4600" w:type="dxa"/>
            <w:vAlign w:val="bottom"/>
            <w:gridSpan w:val="14"/>
          </w:tcPr>
          <w:p>
            <w:pPr>
              <w:spacing w:after="0"/>
              <w:rPr>
                <w:rFonts w:ascii="Times New Roman" w:cs="Times New Roman" w:eastAsia="Times New Roman" w:hAnsi="Times New Roman"/>
                <w:sz w:val="17"/>
                <w:szCs w:val="17"/>
                <w:color w:val="0000EE"/>
              </w:rPr>
            </w:pPr>
            <w:hyperlink r:id="rId191">
              <w:r>
                <w:rPr>
                  <w:rFonts w:ascii="Times New Roman" w:cs="Times New Roman" w:eastAsia="Times New Roman" w:hAnsi="Times New Roman"/>
                  <w:sz w:val="17"/>
                  <w:szCs w:val="17"/>
                  <w:color w:val="0000EE"/>
                </w:rPr>
                <w:t>2015 CytomX Therapeutics, Inc. Employee Stock Purchase Plan.</w:t>
              </w:r>
            </w:hyperlink>
          </w:p>
        </w:tc>
      </w:tr>
      <w:tr>
        <w:trPr>
          <w:trHeight w:val="20"/>
        </w:trPr>
        <w:tc>
          <w:tcPr>
            <w:tcW w:w="1520" w:type="dxa"/>
            <w:vAlign w:val="bottom"/>
          </w:tcPr>
          <w:p>
            <w:pPr>
              <w:spacing w:after="0" w:line="20" w:lineRule="exact"/>
              <w:rPr>
                <w:sz w:val="1"/>
                <w:szCs w:val="1"/>
                <w:color w:val="auto"/>
              </w:rPr>
            </w:pPr>
          </w:p>
        </w:tc>
        <w:tc>
          <w:tcPr>
            <w:tcW w:w="432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10.5(a)#</w:t>
            </w:r>
          </w:p>
        </w:tc>
        <w:tc>
          <w:tcPr>
            <w:tcW w:w="460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w w:val="96"/>
              </w:rPr>
            </w:pPr>
            <w:hyperlink r:id="rId192">
              <w:r>
                <w:rPr>
                  <w:rFonts w:ascii="Times New Roman" w:cs="Times New Roman" w:eastAsia="Times New Roman" w:hAnsi="Times New Roman"/>
                  <w:sz w:val="17"/>
                  <w:szCs w:val="17"/>
                  <w:color w:val="0000EE"/>
                  <w:w w:val="96"/>
                </w:rPr>
                <w:t>Employment Offer Letter Agreement between CytomX Therapeutics,</w:t>
              </w:r>
            </w:hyperlink>
          </w:p>
        </w:tc>
      </w:tr>
      <w:tr>
        <w:trPr>
          <w:trHeight w:val="179"/>
        </w:trPr>
        <w:tc>
          <w:tcPr>
            <w:tcW w:w="1520" w:type="dxa"/>
            <w:vAlign w:val="bottom"/>
          </w:tcPr>
          <w:p>
            <w:pPr>
              <w:spacing w:after="0"/>
              <w:rPr>
                <w:sz w:val="15"/>
                <w:szCs w:val="15"/>
                <w:color w:val="auto"/>
              </w:rPr>
            </w:pPr>
          </w:p>
        </w:tc>
        <w:tc>
          <w:tcPr>
            <w:tcW w:w="45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6"/>
              </w:rPr>
            </w:pPr>
            <w:hyperlink r:id="rId192">
              <w:r>
                <w:rPr>
                  <w:rFonts w:ascii="Times New Roman" w:cs="Times New Roman" w:eastAsia="Times New Roman" w:hAnsi="Times New Roman"/>
                  <w:sz w:val="17"/>
                  <w:szCs w:val="17"/>
                  <w:color w:val="0000EE"/>
                  <w:w w:val="96"/>
                </w:rPr>
                <w:t>Inc. and Sean A. McCarthy, D. Phil, dated as of December 15, 2010.</w:t>
              </w:r>
            </w:hyperlink>
          </w:p>
        </w:tc>
        <w:tc>
          <w:tcPr>
            <w:tcW w:w="60" w:type="dxa"/>
            <w:vAlign w:val="bottom"/>
            <w:gridSpan w:val="2"/>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center"/>
              <w:ind w:right="257"/>
              <w:spacing w:after="0"/>
              <w:rPr>
                <w:sz w:val="20"/>
                <w:szCs w:val="20"/>
                <w:color w:val="auto"/>
              </w:rPr>
            </w:pPr>
            <w:r>
              <w:rPr>
                <w:rFonts w:ascii="Times New Roman" w:cs="Times New Roman" w:eastAsia="Times New Roman" w:hAnsi="Times New Roman"/>
                <w:sz w:val="17"/>
                <w:szCs w:val="17"/>
                <w:color w:val="auto"/>
                <w:w w:val="97"/>
              </w:rPr>
              <w:t>10-Q</w:t>
            </w:r>
          </w:p>
        </w:tc>
        <w:tc>
          <w:tcPr>
            <w:tcW w:w="1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11/7/2017</w:t>
            </w:r>
          </w:p>
        </w:tc>
        <w:tc>
          <w:tcPr>
            <w:tcW w:w="600" w:type="dxa"/>
            <w:vAlign w:val="bottom"/>
          </w:tcPr>
          <w:p>
            <w:pPr>
              <w:jc w:val="center"/>
              <w:ind w:left="237"/>
              <w:spacing w:after="0"/>
              <w:rPr>
                <w:sz w:val="20"/>
                <w:szCs w:val="20"/>
                <w:color w:val="auto"/>
              </w:rPr>
            </w:pPr>
            <w:r>
              <w:rPr>
                <w:rFonts w:ascii="Times New Roman" w:cs="Times New Roman" w:eastAsia="Times New Roman" w:hAnsi="Times New Roman"/>
                <w:sz w:val="17"/>
                <w:szCs w:val="17"/>
                <w:color w:val="auto"/>
                <w:w w:val="93"/>
              </w:rPr>
              <w:t>4.4</w:t>
            </w:r>
          </w:p>
        </w:tc>
      </w:tr>
      <w:tr>
        <w:trPr>
          <w:trHeight w:val="733"/>
        </w:trPr>
        <w:tc>
          <w:tcPr>
            <w:tcW w:w="720" w:type="dxa"/>
            <w:vAlign w:val="bottom"/>
          </w:tcPr>
          <w:p>
            <w:pPr>
              <w:jc w:val="center"/>
              <w:ind w:right="217"/>
              <w:spacing w:after="0"/>
              <w:rPr>
                <w:sz w:val="20"/>
                <w:szCs w:val="20"/>
                <w:color w:val="auto"/>
              </w:rPr>
            </w:pPr>
            <w:r>
              <w:rPr>
                <w:rFonts w:ascii="Times New Roman" w:cs="Times New Roman" w:eastAsia="Times New Roman" w:hAnsi="Times New Roman"/>
                <w:sz w:val="17"/>
                <w:szCs w:val="17"/>
                <w:color w:val="auto"/>
                <w:w w:val="92"/>
              </w:rPr>
              <w:t>S-1</w:t>
            </w:r>
          </w:p>
        </w:tc>
        <w:tc>
          <w:tcPr>
            <w:tcW w:w="1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8/28/2015</w:t>
            </w:r>
          </w:p>
        </w:tc>
        <w:tc>
          <w:tcPr>
            <w:tcW w:w="60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rPr>
              <w:t>10.3</w:t>
            </w:r>
          </w:p>
        </w:tc>
      </w:tr>
      <w:tr>
        <w:trPr>
          <w:trHeight w:val="311"/>
        </w:trPr>
        <w:tc>
          <w:tcPr>
            <w:tcW w:w="720" w:type="dxa"/>
            <w:vAlign w:val="bottom"/>
          </w:tcPr>
          <w:p>
            <w:pPr>
              <w:jc w:val="center"/>
              <w:ind w:right="217"/>
              <w:spacing w:after="0"/>
              <w:rPr>
                <w:sz w:val="20"/>
                <w:szCs w:val="20"/>
                <w:color w:val="auto"/>
              </w:rPr>
            </w:pPr>
            <w:r>
              <w:rPr>
                <w:rFonts w:ascii="Times New Roman" w:cs="Times New Roman" w:eastAsia="Times New Roman" w:hAnsi="Times New Roman"/>
                <w:sz w:val="17"/>
                <w:szCs w:val="17"/>
                <w:color w:val="auto"/>
                <w:w w:val="92"/>
              </w:rPr>
              <w:t>S-1</w:t>
            </w:r>
          </w:p>
        </w:tc>
        <w:tc>
          <w:tcPr>
            <w:tcW w:w="1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8/28/2015</w:t>
            </w:r>
          </w:p>
        </w:tc>
        <w:tc>
          <w:tcPr>
            <w:tcW w:w="60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rPr>
              <w:t>10.4</w:t>
            </w:r>
          </w:p>
        </w:tc>
      </w:tr>
      <w:tr>
        <w:trPr>
          <w:trHeight w:val="509"/>
        </w:trPr>
        <w:tc>
          <w:tcPr>
            <w:tcW w:w="720" w:type="dxa"/>
            <w:vAlign w:val="bottom"/>
          </w:tcPr>
          <w:p>
            <w:pPr>
              <w:jc w:val="center"/>
              <w:ind w:right="217"/>
              <w:spacing w:after="0"/>
              <w:rPr>
                <w:sz w:val="20"/>
                <w:szCs w:val="20"/>
                <w:color w:val="auto"/>
              </w:rPr>
            </w:pPr>
            <w:r>
              <w:rPr>
                <w:rFonts w:ascii="Times New Roman" w:cs="Times New Roman" w:eastAsia="Times New Roman" w:hAnsi="Times New Roman"/>
                <w:sz w:val="17"/>
                <w:szCs w:val="17"/>
                <w:color w:val="auto"/>
                <w:w w:val="92"/>
              </w:rPr>
              <w:t>S-1</w:t>
            </w:r>
          </w:p>
        </w:tc>
        <w:tc>
          <w:tcPr>
            <w:tcW w:w="1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8/28/2015</w:t>
            </w:r>
          </w:p>
        </w:tc>
        <w:tc>
          <w:tcPr>
            <w:tcW w:w="60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rPr>
              <w:t>10.1</w:t>
            </w:r>
          </w:p>
        </w:tc>
      </w:tr>
      <w:tr>
        <w:trPr>
          <w:trHeight w:val="410"/>
        </w:trPr>
        <w:tc>
          <w:tcPr>
            <w:tcW w:w="720" w:type="dxa"/>
            <w:vAlign w:val="bottom"/>
          </w:tcPr>
          <w:p>
            <w:pPr>
              <w:jc w:val="center"/>
              <w:ind w:right="257"/>
              <w:spacing w:after="0"/>
              <w:rPr>
                <w:sz w:val="20"/>
                <w:szCs w:val="20"/>
                <w:color w:val="auto"/>
              </w:rPr>
            </w:pPr>
            <w:r>
              <w:rPr>
                <w:rFonts w:ascii="Times New Roman" w:cs="Times New Roman" w:eastAsia="Times New Roman" w:hAnsi="Times New Roman"/>
                <w:sz w:val="17"/>
                <w:szCs w:val="17"/>
                <w:color w:val="auto"/>
                <w:w w:val="92"/>
              </w:rPr>
              <w:t>S-1</w:t>
            </w:r>
          </w:p>
        </w:tc>
        <w:tc>
          <w:tcPr>
            <w:tcW w:w="17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8/28/2015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410"/>
        </w:trPr>
        <w:tc>
          <w:tcPr>
            <w:tcW w:w="720" w:type="dxa"/>
            <w:vAlign w:val="bottom"/>
          </w:tcPr>
          <w:p>
            <w:pPr>
              <w:jc w:val="center"/>
              <w:ind w:right="257"/>
              <w:spacing w:after="0"/>
              <w:rPr>
                <w:sz w:val="20"/>
                <w:szCs w:val="20"/>
                <w:color w:val="auto"/>
              </w:rPr>
            </w:pPr>
            <w:r>
              <w:rPr>
                <w:rFonts w:ascii="Times New Roman" w:cs="Times New Roman" w:eastAsia="Times New Roman" w:hAnsi="Times New Roman"/>
                <w:sz w:val="17"/>
                <w:szCs w:val="17"/>
                <w:color w:val="auto"/>
                <w:w w:val="93"/>
              </w:rPr>
              <w:t>S-1/A</w:t>
            </w:r>
          </w:p>
        </w:tc>
        <w:tc>
          <w:tcPr>
            <w:tcW w:w="170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8"/>
              </w:rPr>
              <w:t>10/6/2015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398"/>
        </w:trPr>
        <w:tc>
          <w:tcPr>
            <w:tcW w:w="720" w:type="dxa"/>
            <w:vAlign w:val="bottom"/>
          </w:tcPr>
          <w:p>
            <w:pPr>
              <w:jc w:val="center"/>
              <w:ind w:right="257"/>
              <w:spacing w:after="0"/>
              <w:rPr>
                <w:sz w:val="20"/>
                <w:szCs w:val="20"/>
                <w:color w:val="auto"/>
              </w:rPr>
            </w:pPr>
            <w:r>
              <w:rPr>
                <w:rFonts w:ascii="Times New Roman" w:cs="Times New Roman" w:eastAsia="Times New Roman" w:hAnsi="Times New Roman"/>
                <w:sz w:val="17"/>
                <w:szCs w:val="17"/>
                <w:color w:val="auto"/>
                <w:w w:val="97"/>
              </w:rPr>
              <w:t>10-Q</w:t>
            </w:r>
          </w:p>
        </w:tc>
        <w:tc>
          <w:tcPr>
            <w:tcW w:w="1700" w:type="dxa"/>
            <w:vAlign w:val="bottom"/>
          </w:tcPr>
          <w:p>
            <w:pPr>
              <w:jc w:val="center"/>
              <w:ind w:right="157"/>
              <w:spacing w:after="0"/>
              <w:rPr>
                <w:sz w:val="20"/>
                <w:szCs w:val="20"/>
                <w:color w:val="auto"/>
              </w:rPr>
            </w:pPr>
            <w:r>
              <w:rPr>
                <w:rFonts w:ascii="Times New Roman" w:cs="Times New Roman" w:eastAsia="Times New Roman" w:hAnsi="Times New Roman"/>
                <w:sz w:val="17"/>
                <w:szCs w:val="17"/>
                <w:color w:val="auto"/>
                <w:w w:val="95"/>
              </w:rPr>
              <w:t>11/23/2015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311"/>
        </w:trPr>
        <w:tc>
          <w:tcPr>
            <w:tcW w:w="720" w:type="dxa"/>
            <w:vAlign w:val="bottom"/>
          </w:tcPr>
          <w:p>
            <w:pPr>
              <w:jc w:val="center"/>
              <w:ind w:right="257"/>
              <w:spacing w:after="0"/>
              <w:rPr>
                <w:sz w:val="20"/>
                <w:szCs w:val="20"/>
                <w:color w:val="auto"/>
              </w:rPr>
            </w:pPr>
            <w:r>
              <w:rPr>
                <w:rFonts w:ascii="Times New Roman" w:cs="Times New Roman" w:eastAsia="Times New Roman" w:hAnsi="Times New Roman"/>
                <w:sz w:val="17"/>
                <w:szCs w:val="17"/>
                <w:color w:val="auto"/>
                <w:w w:val="97"/>
              </w:rPr>
              <w:t>10-Q</w:t>
            </w:r>
          </w:p>
        </w:tc>
        <w:tc>
          <w:tcPr>
            <w:tcW w:w="1700" w:type="dxa"/>
            <w:vAlign w:val="bottom"/>
          </w:tcPr>
          <w:p>
            <w:pPr>
              <w:jc w:val="center"/>
              <w:ind w:right="157"/>
              <w:spacing w:after="0"/>
              <w:rPr>
                <w:sz w:val="20"/>
                <w:szCs w:val="20"/>
                <w:color w:val="auto"/>
              </w:rPr>
            </w:pPr>
            <w:r>
              <w:rPr>
                <w:rFonts w:ascii="Times New Roman" w:cs="Times New Roman" w:eastAsia="Times New Roman" w:hAnsi="Times New Roman"/>
                <w:sz w:val="17"/>
                <w:szCs w:val="17"/>
                <w:color w:val="auto"/>
                <w:w w:val="95"/>
              </w:rPr>
              <w:t>11/23/2015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311"/>
        </w:trPr>
        <w:tc>
          <w:tcPr>
            <w:tcW w:w="720" w:type="dxa"/>
            <w:vAlign w:val="bottom"/>
          </w:tcPr>
          <w:p>
            <w:pPr>
              <w:jc w:val="center"/>
              <w:ind w:right="257"/>
              <w:spacing w:after="0"/>
              <w:rPr>
                <w:sz w:val="20"/>
                <w:szCs w:val="20"/>
                <w:color w:val="auto"/>
              </w:rPr>
            </w:pPr>
            <w:r>
              <w:rPr>
                <w:rFonts w:ascii="Times New Roman" w:cs="Times New Roman" w:eastAsia="Times New Roman" w:hAnsi="Times New Roman"/>
                <w:sz w:val="17"/>
                <w:szCs w:val="17"/>
                <w:color w:val="auto"/>
                <w:w w:val="93"/>
              </w:rPr>
              <w:t>S-1/A</w:t>
            </w:r>
          </w:p>
        </w:tc>
        <w:tc>
          <w:tcPr>
            <w:tcW w:w="170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8"/>
              </w:rPr>
              <w:t>9/28/2015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410"/>
        </w:trPr>
        <w:tc>
          <w:tcPr>
            <w:tcW w:w="720" w:type="dxa"/>
            <w:vAlign w:val="bottom"/>
          </w:tcPr>
          <w:p>
            <w:pPr>
              <w:jc w:val="center"/>
              <w:ind w:right="257"/>
              <w:spacing w:after="0"/>
              <w:rPr>
                <w:sz w:val="20"/>
                <w:szCs w:val="20"/>
                <w:color w:val="auto"/>
              </w:rPr>
            </w:pPr>
            <w:r>
              <w:rPr>
                <w:rFonts w:ascii="Times New Roman" w:cs="Times New Roman" w:eastAsia="Times New Roman" w:hAnsi="Times New Roman"/>
                <w:sz w:val="17"/>
                <w:szCs w:val="17"/>
                <w:color w:val="auto"/>
                <w:w w:val="92"/>
              </w:rPr>
              <w:t>S-1</w:t>
            </w:r>
          </w:p>
        </w:tc>
        <w:tc>
          <w:tcPr>
            <w:tcW w:w="170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8"/>
              </w:rPr>
              <w:t>8/28/2015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bl>
    <w:p>
      <w:pPr>
        <w:spacing w:after="0" w:line="274" w:lineRule="exact"/>
        <w:rPr>
          <w:sz w:val="20"/>
          <w:szCs w:val="20"/>
          <w:color w:val="auto"/>
        </w:rPr>
      </w:pPr>
    </w:p>
    <w:p>
      <w:pPr>
        <w:sectPr>
          <w:pgSz w:w="11900" w:h="16838" w:orient="portrait"/>
          <w:cols w:equalWidth="0" w:num="2">
            <w:col w:w="6300" w:space="540"/>
            <w:col w:w="4360"/>
          </w:cols>
          <w:pgMar w:left="240" w:top="318" w:right="459" w:bottom="1440" w:gutter="0" w:footer="0" w:header="0"/>
          <w:type w:val="continuous"/>
        </w:sectPr>
      </w:pP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7298690"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00"/>
          </w:cols>
          <w:pgMar w:left="240" w:top="318" w:right="45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174"/>
        </w:trPr>
        <w:tc>
          <w:tcPr>
            <w:tcW w:w="1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860" w:type="dxa"/>
            <w:vAlign w:val="bottom"/>
            <w:vMerge w:val="restart"/>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3700" w:type="dxa"/>
            <w:vAlign w:val="bottom"/>
            <w:vMerge w:val="restart"/>
          </w:tcPr>
          <w:p>
            <w:pPr>
              <w:ind w:left="150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92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32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7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860" w:type="dxa"/>
            <w:vAlign w:val="bottom"/>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717867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78675" cy="7620"/>
                    </a:xfrm>
                    <a:prstGeom prst="rect">
                      <a:avLst/>
                    </a:prstGeom>
                    <a:noFill/>
                  </pic:spPr>
                </pic:pic>
              </a:graphicData>
            </a:graphic>
          </wp:anchor>
        </w:drawing>
      </w:r>
    </w:p>
    <w:p>
      <w:pPr>
        <w:sectPr>
          <w:pgSz w:w="11900" w:h="16838" w:orient="portrait"/>
          <w:cols w:equalWidth="0" w:num="1">
            <w:col w:w="11040"/>
          </w:cols>
          <w:pgMar w:left="300" w:top="316" w:right="559" w:bottom="1440" w:gutter="0" w:footer="0" w:header="0"/>
        </w:sectPr>
      </w:pPr>
    </w:p>
    <w:tbl>
      <w:tblPr>
        <w:tblLayout w:type="fixed"/>
        <w:tblInd w:w="120" w:type="dxa"/>
        <w:tblCellMar>
          <w:top w:w="0" w:type="dxa"/>
          <w:left w:w="0" w:type="dxa"/>
          <w:bottom w:w="0" w:type="dxa"/>
          <w:right w:w="0" w:type="dxa"/>
        </w:tblCellMar>
      </w:tblPr>
      <w:tr>
        <w:trPr>
          <w:trHeight w:val="160"/>
        </w:trPr>
        <w:tc>
          <w:tcPr>
            <w:tcW w:w="1520" w:type="dxa"/>
            <w:vAlign w:val="bottom"/>
          </w:tcPr>
          <w:p>
            <w:pPr>
              <w:spacing w:after="0" w:line="160" w:lineRule="exact"/>
              <w:rPr>
                <w:sz w:val="20"/>
                <w:szCs w:val="20"/>
                <w:color w:val="auto"/>
              </w:rPr>
            </w:pPr>
            <w:r>
              <w:rPr>
                <w:rFonts w:ascii="Times New Roman" w:cs="Times New Roman" w:eastAsia="Times New Roman" w:hAnsi="Times New Roman"/>
                <w:sz w:val="17"/>
                <w:szCs w:val="17"/>
                <w:color w:val="auto"/>
              </w:rPr>
              <w:t>10.5(b)#</w:t>
            </w:r>
          </w:p>
        </w:tc>
        <w:tc>
          <w:tcPr>
            <w:tcW w:w="4660" w:type="dxa"/>
            <w:vAlign w:val="bottom"/>
            <w:gridSpan w:val="8"/>
          </w:tcPr>
          <w:p>
            <w:pPr>
              <w:spacing w:after="0" w:line="160" w:lineRule="exact"/>
              <w:rPr>
                <w:rFonts w:ascii="Times New Roman" w:cs="Times New Roman" w:eastAsia="Times New Roman" w:hAnsi="Times New Roman"/>
                <w:sz w:val="17"/>
                <w:szCs w:val="17"/>
                <w:color w:val="0000EE"/>
                <w:w w:val="98"/>
              </w:rPr>
            </w:pPr>
            <w:hyperlink r:id="rId195">
              <w:r>
                <w:rPr>
                  <w:rFonts w:ascii="Times New Roman" w:cs="Times New Roman" w:eastAsia="Times New Roman" w:hAnsi="Times New Roman"/>
                  <w:sz w:val="17"/>
                  <w:szCs w:val="17"/>
                  <w:color w:val="0000EE"/>
                  <w:w w:val="98"/>
                </w:rPr>
                <w:t>Amended and Restated Severance and Change of Control Agreement</w:t>
              </w:r>
            </w:hyperlink>
          </w:p>
        </w:tc>
      </w:tr>
      <w:tr>
        <w:trPr>
          <w:trHeight w:val="179"/>
        </w:trPr>
        <w:tc>
          <w:tcPr>
            <w:tcW w:w="1520" w:type="dxa"/>
            <w:vAlign w:val="bottom"/>
          </w:tcPr>
          <w:p>
            <w:pPr>
              <w:spacing w:after="0"/>
              <w:rPr>
                <w:sz w:val="15"/>
                <w:szCs w:val="15"/>
                <w:color w:val="auto"/>
              </w:rPr>
            </w:pPr>
          </w:p>
        </w:tc>
        <w:tc>
          <w:tcPr>
            <w:tcW w:w="4580" w:type="dxa"/>
            <w:vAlign w:val="bottom"/>
            <w:tcBorders>
              <w:top w:val="single" w:sz="8" w:color="0000EE"/>
            </w:tcBorders>
            <w:gridSpan w:val="7"/>
          </w:tcPr>
          <w:p>
            <w:pPr>
              <w:spacing w:after="0" w:line="179"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effective as of October 3, 2016, by and between CytomX</w:t>
              </w:r>
            </w:hyperlink>
          </w:p>
        </w:tc>
        <w:tc>
          <w:tcPr>
            <w:tcW w:w="80" w:type="dxa"/>
            <w:vAlign w:val="bottom"/>
          </w:tcPr>
          <w:p>
            <w:pPr>
              <w:spacing w:after="0"/>
              <w:rPr>
                <w:sz w:val="15"/>
                <w:szCs w:val="15"/>
                <w:color w:val="auto"/>
              </w:rPr>
            </w:pPr>
          </w:p>
        </w:tc>
      </w:tr>
      <w:tr>
        <w:trPr>
          <w:trHeight w:val="179"/>
        </w:trPr>
        <w:tc>
          <w:tcPr>
            <w:tcW w:w="1520" w:type="dxa"/>
            <w:vAlign w:val="bottom"/>
          </w:tcPr>
          <w:p>
            <w:pPr>
              <w:spacing w:after="0"/>
              <w:rPr>
                <w:sz w:val="15"/>
                <w:szCs w:val="15"/>
                <w:color w:val="auto"/>
              </w:rPr>
            </w:pPr>
          </w:p>
        </w:tc>
        <w:tc>
          <w:tcPr>
            <w:tcW w:w="3140" w:type="dxa"/>
            <w:vAlign w:val="bottom"/>
            <w:tcBorders>
              <w:top w:val="single" w:sz="8" w:color="0000EE"/>
              <w:bottom w:val="single" w:sz="8" w:color="0000EE"/>
            </w:tcBorders>
            <w:gridSpan w:val="3"/>
          </w:tcPr>
          <w:p>
            <w:pPr>
              <w:spacing w:after="0" w:line="179" w:lineRule="exact"/>
              <w:rPr>
                <w:rFonts w:ascii="Times New Roman" w:cs="Times New Roman" w:eastAsia="Times New Roman" w:hAnsi="Times New Roman"/>
                <w:sz w:val="17"/>
                <w:szCs w:val="17"/>
                <w:color w:val="0000EE"/>
                <w:w w:val="96"/>
              </w:rPr>
            </w:pPr>
            <w:hyperlink r:id="rId195">
              <w:r>
                <w:rPr>
                  <w:rFonts w:ascii="Times New Roman" w:cs="Times New Roman" w:eastAsia="Times New Roman" w:hAnsi="Times New Roman"/>
                  <w:sz w:val="17"/>
                  <w:szCs w:val="17"/>
                  <w:color w:val="0000EE"/>
                  <w:w w:val="96"/>
                </w:rPr>
                <w:t>Therapeutics, Inc. and Sean McCarthy, D. Phil.</w:t>
              </w:r>
            </w:hyperlink>
          </w:p>
        </w:tc>
        <w:tc>
          <w:tcPr>
            <w:tcW w:w="640" w:type="dxa"/>
            <w:vAlign w:val="bottom"/>
            <w:tcBorders>
              <w:top w:val="single" w:sz="8" w:color="0000EE"/>
            </w:tcBorders>
          </w:tcPr>
          <w:p>
            <w:pPr>
              <w:spacing w:after="0"/>
              <w:rPr>
                <w:sz w:val="15"/>
                <w:szCs w:val="15"/>
                <w:color w:val="auto"/>
              </w:rPr>
            </w:pPr>
          </w:p>
        </w:tc>
        <w:tc>
          <w:tcPr>
            <w:tcW w:w="880" w:type="dxa"/>
            <w:vAlign w:val="bottom"/>
            <w:gridSpan w:val="4"/>
          </w:tcPr>
          <w:p>
            <w:pPr>
              <w:spacing w:after="0"/>
              <w:rPr>
                <w:sz w:val="15"/>
                <w:szCs w:val="15"/>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10.6#</w:t>
            </w:r>
          </w:p>
        </w:tc>
        <w:tc>
          <w:tcPr>
            <w:tcW w:w="446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w w:val="97"/>
              </w:rPr>
            </w:pPr>
            <w:hyperlink r:id="rId196">
              <w:r>
                <w:rPr>
                  <w:rFonts w:ascii="Times New Roman" w:cs="Times New Roman" w:eastAsia="Times New Roman" w:hAnsi="Times New Roman"/>
                  <w:sz w:val="17"/>
                  <w:szCs w:val="17"/>
                  <w:color w:val="0000EE"/>
                  <w:w w:val="97"/>
                </w:rPr>
                <w:t>Separation Agreement, by and between CytomX Therapeutics, Inc.</w:t>
              </w:r>
            </w:hyperlink>
          </w:p>
        </w:tc>
        <w:tc>
          <w:tcPr>
            <w:tcW w:w="200" w:type="dxa"/>
            <w:vAlign w:val="bottom"/>
            <w:gridSpan w:val="2"/>
          </w:tcPr>
          <w:p>
            <w:pPr>
              <w:spacing w:after="0"/>
              <w:rPr>
                <w:sz w:val="24"/>
                <w:szCs w:val="24"/>
                <w:color w:val="auto"/>
              </w:rPr>
            </w:pPr>
          </w:p>
        </w:tc>
      </w:tr>
      <w:tr>
        <w:trPr>
          <w:trHeight w:val="179"/>
        </w:trPr>
        <w:tc>
          <w:tcPr>
            <w:tcW w:w="1520" w:type="dxa"/>
            <w:vAlign w:val="bottom"/>
          </w:tcPr>
          <w:p>
            <w:pPr>
              <w:spacing w:after="0"/>
              <w:rPr>
                <w:sz w:val="15"/>
                <w:szCs w:val="15"/>
                <w:color w:val="auto"/>
              </w:rPr>
            </w:pPr>
          </w:p>
        </w:tc>
        <w:tc>
          <w:tcPr>
            <w:tcW w:w="304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96"/>
              </w:rPr>
            </w:pPr>
            <w:hyperlink r:id="rId196">
              <w:r>
                <w:rPr>
                  <w:rFonts w:ascii="Times New Roman" w:cs="Times New Roman" w:eastAsia="Times New Roman" w:hAnsi="Times New Roman"/>
                  <w:sz w:val="17"/>
                  <w:szCs w:val="17"/>
                  <w:color w:val="0000EE"/>
                  <w:w w:val="96"/>
                </w:rPr>
                <w:t>and Robert C. Goeltz, dated as May 15, 2017.</w:t>
              </w:r>
            </w:hyperlink>
          </w:p>
        </w:tc>
        <w:tc>
          <w:tcPr>
            <w:tcW w:w="1620" w:type="dxa"/>
            <w:vAlign w:val="bottom"/>
            <w:gridSpan w:val="6"/>
          </w:tcPr>
          <w:p>
            <w:pPr>
              <w:spacing w:after="0"/>
              <w:rPr>
                <w:sz w:val="15"/>
                <w:szCs w:val="15"/>
                <w:color w:val="auto"/>
              </w:rPr>
            </w:pPr>
          </w:p>
        </w:tc>
      </w:tr>
      <w:tr>
        <w:trPr>
          <w:trHeight w:val="378"/>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466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6"/>
              </w:rPr>
            </w:pPr>
            <w:hyperlink r:id="rId197">
              <w:r>
                <w:rPr>
                  <w:rFonts w:ascii="Times New Roman" w:cs="Times New Roman" w:eastAsia="Times New Roman" w:hAnsi="Times New Roman"/>
                  <w:sz w:val="17"/>
                  <w:szCs w:val="17"/>
                  <w:color w:val="0000EE"/>
                  <w:w w:val="96"/>
                </w:rPr>
                <w:t>Severance and Change of Control Agreement and First Amendment to</w:t>
              </w:r>
            </w:hyperlink>
          </w:p>
        </w:tc>
      </w:tr>
      <w:tr>
        <w:trPr>
          <w:trHeight w:val="179"/>
        </w:trPr>
        <w:tc>
          <w:tcPr>
            <w:tcW w:w="1520" w:type="dxa"/>
            <w:vAlign w:val="bottom"/>
          </w:tcPr>
          <w:p>
            <w:pPr>
              <w:spacing w:after="0"/>
              <w:rPr>
                <w:sz w:val="15"/>
                <w:szCs w:val="15"/>
                <w:color w:val="auto"/>
              </w:rPr>
            </w:pPr>
          </w:p>
        </w:tc>
        <w:tc>
          <w:tcPr>
            <w:tcW w:w="4660" w:type="dxa"/>
            <w:vAlign w:val="bottom"/>
            <w:gridSpan w:val="8"/>
          </w:tcPr>
          <w:p>
            <w:pPr>
              <w:spacing w:after="0" w:line="179" w:lineRule="exact"/>
              <w:rPr>
                <w:rFonts w:ascii="Times New Roman" w:cs="Times New Roman" w:eastAsia="Times New Roman" w:hAnsi="Times New Roman"/>
                <w:sz w:val="17"/>
                <w:szCs w:val="17"/>
                <w:color w:val="0000EE"/>
              </w:rPr>
            </w:pPr>
            <w:hyperlink r:id="rId197">
              <w:r>
                <w:rPr>
                  <w:rFonts w:ascii="Times New Roman" w:cs="Times New Roman" w:eastAsia="Times New Roman" w:hAnsi="Times New Roman"/>
                  <w:sz w:val="17"/>
                  <w:szCs w:val="17"/>
                  <w:color w:val="0000EE"/>
                </w:rPr>
                <w:t>Severance and Change of Control Agreement effective as of March</w:t>
              </w:r>
            </w:hyperlink>
          </w:p>
        </w:tc>
      </w:tr>
      <w:tr>
        <w:trPr>
          <w:trHeight w:val="179"/>
        </w:trPr>
        <w:tc>
          <w:tcPr>
            <w:tcW w:w="152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5"/>
          </w:tcPr>
          <w:p>
            <w:pPr>
              <w:spacing w:after="0" w:line="179" w:lineRule="exact"/>
              <w:rPr>
                <w:rFonts w:ascii="Times New Roman" w:cs="Times New Roman" w:eastAsia="Times New Roman" w:hAnsi="Times New Roman"/>
                <w:sz w:val="17"/>
                <w:szCs w:val="17"/>
                <w:color w:val="0000EE"/>
                <w:w w:val="97"/>
              </w:rPr>
            </w:pPr>
            <w:hyperlink r:id="rId197">
              <w:r>
                <w:rPr>
                  <w:rFonts w:ascii="Times New Roman" w:cs="Times New Roman" w:eastAsia="Times New Roman" w:hAnsi="Times New Roman"/>
                  <w:sz w:val="17"/>
                  <w:szCs w:val="17"/>
                  <w:color w:val="0000EE"/>
                  <w:w w:val="97"/>
                </w:rPr>
                <w:t>23, 2016, by and between CytomX Therapeutics, Inc. and Michael</w:t>
              </w:r>
            </w:hyperlink>
          </w:p>
        </w:tc>
        <w:tc>
          <w:tcPr>
            <w:tcW w:w="40" w:type="dxa"/>
            <w:vAlign w:val="bottom"/>
            <w:tcBorders>
              <w:top w:val="single" w:sz="8" w:color="0000EE"/>
            </w:tcBorders>
          </w:tcPr>
          <w:p>
            <w:pPr>
              <w:spacing w:after="0"/>
              <w:rPr>
                <w:sz w:val="15"/>
                <w:szCs w:val="15"/>
                <w:color w:val="auto"/>
              </w:rPr>
            </w:pPr>
          </w:p>
        </w:tc>
        <w:tc>
          <w:tcPr>
            <w:tcW w:w="200" w:type="dxa"/>
            <w:vAlign w:val="bottom"/>
            <w:gridSpan w:val="2"/>
          </w:tcPr>
          <w:p>
            <w:pPr>
              <w:spacing w:after="0"/>
              <w:rPr>
                <w:sz w:val="15"/>
                <w:szCs w:val="15"/>
                <w:color w:val="auto"/>
              </w:rPr>
            </w:pPr>
          </w:p>
        </w:tc>
      </w:tr>
      <w:tr>
        <w:trPr>
          <w:trHeight w:val="179"/>
        </w:trPr>
        <w:tc>
          <w:tcPr>
            <w:tcW w:w="1520" w:type="dxa"/>
            <w:vAlign w:val="bottom"/>
          </w:tcPr>
          <w:p>
            <w:pPr>
              <w:spacing w:after="0"/>
              <w:rPr>
                <w:sz w:val="15"/>
                <w:szCs w:val="15"/>
                <w:color w:val="auto"/>
              </w:rPr>
            </w:pPr>
          </w:p>
        </w:tc>
        <w:tc>
          <w:tcPr>
            <w:tcW w:w="4660" w:type="dxa"/>
            <w:vAlign w:val="bottom"/>
            <w:gridSpan w:val="8"/>
          </w:tcPr>
          <w:p>
            <w:pPr>
              <w:spacing w:after="0" w:line="179" w:lineRule="exact"/>
              <w:rPr>
                <w:rFonts w:ascii="Times New Roman" w:cs="Times New Roman" w:eastAsia="Times New Roman" w:hAnsi="Times New Roman"/>
                <w:sz w:val="17"/>
                <w:szCs w:val="17"/>
                <w:color w:val="0000EE"/>
              </w:rPr>
            </w:pPr>
            <w:hyperlink r:id="rId197">
              <w:r>
                <w:rPr>
                  <w:rFonts w:ascii="Times New Roman" w:cs="Times New Roman" w:eastAsia="Times New Roman" w:hAnsi="Times New Roman"/>
                  <w:sz w:val="17"/>
                  <w:szCs w:val="17"/>
                  <w:color w:val="0000EE"/>
                </w:rPr>
                <w:t>Kavanaugh, M.D.</w:t>
              </w:r>
            </w:hyperlink>
          </w:p>
        </w:tc>
      </w:tr>
      <w:tr>
        <w:trPr>
          <w:trHeight w:val="20"/>
        </w:trPr>
        <w:tc>
          <w:tcPr>
            <w:tcW w:w="15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10-K</w:t>
            </w:r>
          </w:p>
        </w:tc>
        <w:tc>
          <w:tcPr>
            <w:tcW w:w="1420" w:type="dxa"/>
            <w:vAlign w:val="bottom"/>
          </w:tcPr>
          <w:p>
            <w:pPr>
              <w:jc w:val="right"/>
              <w:ind w:right="357"/>
              <w:spacing w:after="0"/>
              <w:rPr>
                <w:sz w:val="20"/>
                <w:szCs w:val="20"/>
                <w:color w:val="auto"/>
              </w:rPr>
            </w:pPr>
            <w:r>
              <w:rPr>
                <w:rFonts w:ascii="Times New Roman" w:cs="Times New Roman" w:eastAsia="Times New Roman" w:hAnsi="Times New Roman"/>
                <w:sz w:val="17"/>
                <w:szCs w:val="17"/>
                <w:color w:val="auto"/>
              </w:rPr>
              <w:t>3/2/2017</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10.5(c)</w:t>
            </w:r>
          </w:p>
        </w:tc>
      </w:tr>
      <w:tr>
        <w:trPr>
          <w:trHeight w:val="609"/>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10-Q</w:t>
            </w:r>
          </w:p>
        </w:tc>
        <w:tc>
          <w:tcPr>
            <w:tcW w:w="1420" w:type="dxa"/>
            <w:vAlign w:val="bottom"/>
          </w:tcPr>
          <w:p>
            <w:pPr>
              <w:jc w:val="right"/>
              <w:ind w:right="357"/>
              <w:spacing w:after="0"/>
              <w:rPr>
                <w:sz w:val="20"/>
                <w:szCs w:val="20"/>
                <w:color w:val="auto"/>
              </w:rPr>
            </w:pPr>
            <w:r>
              <w:rPr>
                <w:rFonts w:ascii="Times New Roman" w:cs="Times New Roman" w:eastAsia="Times New Roman" w:hAnsi="Times New Roman"/>
                <w:sz w:val="17"/>
                <w:szCs w:val="17"/>
                <w:color w:val="auto"/>
              </w:rPr>
              <w:t>8/7/2017</w:t>
            </w: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10.1</w:t>
            </w:r>
          </w:p>
        </w:tc>
      </w:tr>
      <w:tr>
        <w:trPr>
          <w:trHeight w:val="795"/>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10-K</w:t>
            </w:r>
          </w:p>
        </w:tc>
        <w:tc>
          <w:tcPr>
            <w:tcW w:w="1420" w:type="dxa"/>
            <w:vAlign w:val="bottom"/>
          </w:tcPr>
          <w:p>
            <w:pPr>
              <w:jc w:val="right"/>
              <w:ind w:right="357"/>
              <w:spacing w:after="0"/>
              <w:rPr>
                <w:sz w:val="20"/>
                <w:szCs w:val="20"/>
                <w:color w:val="auto"/>
              </w:rPr>
            </w:pPr>
            <w:r>
              <w:rPr>
                <w:rFonts w:ascii="Times New Roman" w:cs="Times New Roman" w:eastAsia="Times New Roman" w:hAnsi="Times New Roman"/>
                <w:sz w:val="17"/>
                <w:szCs w:val="17"/>
                <w:color w:val="auto"/>
              </w:rPr>
              <w:t>3/2/2017</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10.7(c)</w:t>
            </w:r>
          </w:p>
        </w:tc>
      </w:tr>
    </w:tbl>
    <w:p>
      <w:pPr>
        <w:spacing w:after="0" w:line="462" w:lineRule="exact"/>
        <w:rPr>
          <w:sz w:val="20"/>
          <w:szCs w:val="20"/>
          <w:color w:val="auto"/>
        </w:rPr>
      </w:pPr>
    </w:p>
    <w:p>
      <w:pPr>
        <w:sectPr>
          <w:pgSz w:w="11900" w:h="16838" w:orient="portrait"/>
          <w:cols w:equalWidth="0" w:num="2">
            <w:col w:w="6300" w:space="500"/>
            <w:col w:w="4240"/>
          </w:cols>
          <w:pgMar w:left="300" w:top="316" w:right="559" w:bottom="1440" w:gutter="0" w:footer="0" w:header="0"/>
          <w:type w:val="continuous"/>
        </w:sectPr>
      </w:pPr>
    </w:p>
    <w:tbl>
      <w:tblPr>
        <w:tblLayout w:type="fixed"/>
        <w:tblInd w:w="120" w:type="dxa"/>
        <w:tblCellMar>
          <w:top w:w="0" w:type="dxa"/>
          <w:left w:w="0" w:type="dxa"/>
          <w:bottom w:w="0" w:type="dxa"/>
          <w:right w:w="0" w:type="dxa"/>
        </w:tblCellMar>
      </w:tblPr>
      <w:tr>
        <w:trPr>
          <w:trHeight w:val="195"/>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10.8#</w:t>
            </w:r>
          </w:p>
        </w:tc>
        <w:tc>
          <w:tcPr>
            <w:tcW w:w="466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w w:val="96"/>
              </w:rPr>
            </w:pPr>
            <w:hyperlink r:id="rId198">
              <w:r>
                <w:rPr>
                  <w:rFonts w:ascii="Times New Roman" w:cs="Times New Roman" w:eastAsia="Times New Roman" w:hAnsi="Times New Roman"/>
                  <w:sz w:val="17"/>
                  <w:szCs w:val="17"/>
                  <w:color w:val="0000EE"/>
                  <w:w w:val="96"/>
                </w:rPr>
                <w:t>Severance and Change of Control Agreement and First Amendment to</w:t>
              </w:r>
            </w:hyperlink>
          </w:p>
        </w:tc>
      </w:tr>
      <w:tr>
        <w:trPr>
          <w:trHeight w:val="179"/>
        </w:trPr>
        <w:tc>
          <w:tcPr>
            <w:tcW w:w="1520" w:type="dxa"/>
            <w:vAlign w:val="bottom"/>
          </w:tcPr>
          <w:p>
            <w:pPr>
              <w:spacing w:after="0"/>
              <w:rPr>
                <w:sz w:val="15"/>
                <w:szCs w:val="15"/>
                <w:color w:val="auto"/>
              </w:rPr>
            </w:pPr>
          </w:p>
        </w:tc>
        <w:tc>
          <w:tcPr>
            <w:tcW w:w="4480" w:type="dxa"/>
            <w:vAlign w:val="bottom"/>
            <w:tcBorders>
              <w:bottom w:val="single" w:sz="8" w:color="0000EE"/>
            </w:tcBorders>
            <w:gridSpan w:val="14"/>
          </w:tcPr>
          <w:p>
            <w:pPr>
              <w:spacing w:after="0" w:line="179" w:lineRule="exact"/>
              <w:rPr>
                <w:rFonts w:ascii="Times New Roman" w:cs="Times New Roman" w:eastAsia="Times New Roman" w:hAnsi="Times New Roman"/>
                <w:sz w:val="17"/>
                <w:szCs w:val="17"/>
                <w:color w:val="0000EE"/>
                <w:w w:val="97"/>
              </w:rPr>
            </w:pPr>
            <w:hyperlink r:id="rId198">
              <w:r>
                <w:rPr>
                  <w:rFonts w:ascii="Times New Roman" w:cs="Times New Roman" w:eastAsia="Times New Roman" w:hAnsi="Times New Roman"/>
                  <w:sz w:val="17"/>
                  <w:szCs w:val="17"/>
                  <w:color w:val="0000EE"/>
                  <w:w w:val="97"/>
                </w:rPr>
                <w:t>Severance and Change of Control Agreement effective as of March</w:t>
              </w:r>
            </w:hyperlink>
          </w:p>
        </w:tc>
        <w:tc>
          <w:tcPr>
            <w:tcW w:w="180" w:type="dxa"/>
            <w:vAlign w:val="bottom"/>
            <w:gridSpan w:val="7"/>
          </w:tcPr>
          <w:p>
            <w:pPr>
              <w:spacing w:after="0"/>
              <w:rPr>
                <w:sz w:val="15"/>
                <w:szCs w:val="15"/>
                <w:color w:val="auto"/>
              </w:rPr>
            </w:pPr>
          </w:p>
        </w:tc>
      </w:tr>
      <w:tr>
        <w:trPr>
          <w:trHeight w:val="179"/>
        </w:trPr>
        <w:tc>
          <w:tcPr>
            <w:tcW w:w="1520" w:type="dxa"/>
            <w:vAlign w:val="bottom"/>
          </w:tcPr>
          <w:p>
            <w:pPr>
              <w:spacing w:after="0"/>
              <w:rPr>
                <w:sz w:val="15"/>
                <w:szCs w:val="15"/>
                <w:color w:val="auto"/>
              </w:rPr>
            </w:pPr>
          </w:p>
        </w:tc>
        <w:tc>
          <w:tcPr>
            <w:tcW w:w="4560" w:type="dxa"/>
            <w:vAlign w:val="bottom"/>
            <w:tcBorders>
              <w:bottom w:val="single" w:sz="8" w:color="0000EE"/>
            </w:tcBorders>
            <w:gridSpan w:val="16"/>
          </w:tcPr>
          <w:p>
            <w:pPr>
              <w:spacing w:after="0" w:line="179" w:lineRule="exact"/>
              <w:rPr>
                <w:rFonts w:ascii="Times New Roman" w:cs="Times New Roman" w:eastAsia="Times New Roman" w:hAnsi="Times New Roman"/>
                <w:sz w:val="17"/>
                <w:szCs w:val="17"/>
                <w:color w:val="0000EE"/>
                <w:w w:val="96"/>
              </w:rPr>
            </w:pPr>
            <w:hyperlink r:id="rId198">
              <w:r>
                <w:rPr>
                  <w:rFonts w:ascii="Times New Roman" w:cs="Times New Roman" w:eastAsia="Times New Roman" w:hAnsi="Times New Roman"/>
                  <w:sz w:val="17"/>
                  <w:szCs w:val="17"/>
                  <w:color w:val="0000EE"/>
                  <w:w w:val="96"/>
                </w:rPr>
                <w:t>23, 2016, by and between CytomX Therapeutics, Inc. and Rachel W.</w:t>
              </w:r>
            </w:hyperlink>
          </w:p>
        </w:tc>
        <w:tc>
          <w:tcPr>
            <w:tcW w:w="100" w:type="dxa"/>
            <w:vAlign w:val="bottom"/>
            <w:gridSpan w:val="5"/>
          </w:tcPr>
          <w:p>
            <w:pPr>
              <w:spacing w:after="0"/>
              <w:rPr>
                <w:sz w:val="15"/>
                <w:szCs w:val="15"/>
                <w:color w:val="auto"/>
              </w:rPr>
            </w:pPr>
          </w:p>
        </w:tc>
      </w:tr>
      <w:tr>
        <w:trPr>
          <w:trHeight w:val="179"/>
        </w:trPr>
        <w:tc>
          <w:tcPr>
            <w:tcW w:w="1520" w:type="dxa"/>
            <w:vAlign w:val="bottom"/>
          </w:tcPr>
          <w:p>
            <w:pPr>
              <w:spacing w:after="0"/>
              <w:rPr>
                <w:sz w:val="15"/>
                <w:szCs w:val="15"/>
                <w:color w:val="auto"/>
              </w:rPr>
            </w:pPr>
          </w:p>
        </w:tc>
        <w:tc>
          <w:tcPr>
            <w:tcW w:w="1140" w:type="dxa"/>
            <w:vAlign w:val="bottom"/>
            <w:tcBorders>
              <w:bottom w:val="single" w:sz="8" w:color="0000EE"/>
            </w:tcBorders>
            <w:gridSpan w:val="3"/>
          </w:tcPr>
          <w:p>
            <w:pPr>
              <w:spacing w:after="0" w:line="179" w:lineRule="exact"/>
              <w:rPr>
                <w:rFonts w:ascii="Times New Roman" w:cs="Times New Roman" w:eastAsia="Times New Roman" w:hAnsi="Times New Roman"/>
                <w:sz w:val="17"/>
                <w:szCs w:val="17"/>
                <w:color w:val="0000EE"/>
                <w:w w:val="95"/>
              </w:rPr>
            </w:pPr>
            <w:hyperlink r:id="rId198">
              <w:r>
                <w:rPr>
                  <w:rFonts w:ascii="Times New Roman" w:cs="Times New Roman" w:eastAsia="Times New Roman" w:hAnsi="Times New Roman"/>
                  <w:sz w:val="17"/>
                  <w:szCs w:val="17"/>
                  <w:color w:val="0000EE"/>
                  <w:w w:val="95"/>
                </w:rPr>
                <w:t>Humphrey, M.D.</w:t>
              </w:r>
            </w:hyperlink>
          </w:p>
        </w:tc>
        <w:tc>
          <w:tcPr>
            <w:tcW w:w="3520" w:type="dxa"/>
            <w:vAlign w:val="bottom"/>
            <w:gridSpan w:val="18"/>
          </w:tcPr>
          <w:p>
            <w:pPr>
              <w:spacing w:after="0"/>
              <w:rPr>
                <w:sz w:val="15"/>
                <w:szCs w:val="15"/>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10.9#</w:t>
            </w:r>
          </w:p>
        </w:tc>
        <w:tc>
          <w:tcPr>
            <w:tcW w:w="466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w w:val="96"/>
              </w:rPr>
            </w:pPr>
            <w:hyperlink r:id="rId199">
              <w:r>
                <w:rPr>
                  <w:rFonts w:ascii="Times New Roman" w:cs="Times New Roman" w:eastAsia="Times New Roman" w:hAnsi="Times New Roman"/>
                  <w:sz w:val="17"/>
                  <w:szCs w:val="17"/>
                  <w:color w:val="0000EE"/>
                  <w:w w:val="96"/>
                </w:rPr>
                <w:t>Severance and Change of Control Agreement and First Amendment to</w:t>
              </w:r>
            </w:hyperlink>
          </w:p>
        </w:tc>
      </w:tr>
      <w:tr>
        <w:trPr>
          <w:trHeight w:val="179"/>
        </w:trPr>
        <w:tc>
          <w:tcPr>
            <w:tcW w:w="1520" w:type="dxa"/>
            <w:vAlign w:val="bottom"/>
          </w:tcPr>
          <w:p>
            <w:pPr>
              <w:spacing w:after="0"/>
              <w:rPr>
                <w:sz w:val="15"/>
                <w:szCs w:val="15"/>
                <w:color w:val="auto"/>
              </w:rPr>
            </w:pPr>
          </w:p>
        </w:tc>
        <w:tc>
          <w:tcPr>
            <w:tcW w:w="4660" w:type="dxa"/>
            <w:vAlign w:val="bottom"/>
            <w:gridSpan w:val="21"/>
          </w:tcPr>
          <w:p>
            <w:pPr>
              <w:spacing w:after="0" w:line="179" w:lineRule="exact"/>
              <w:rPr>
                <w:rFonts w:ascii="Times New Roman" w:cs="Times New Roman" w:eastAsia="Times New Roman" w:hAnsi="Times New Roman"/>
                <w:sz w:val="17"/>
                <w:szCs w:val="17"/>
                <w:color w:val="0000EE"/>
                <w:w w:val="98"/>
              </w:rPr>
            </w:pPr>
            <w:hyperlink r:id="rId199">
              <w:r>
                <w:rPr>
                  <w:rFonts w:ascii="Times New Roman" w:cs="Times New Roman" w:eastAsia="Times New Roman" w:hAnsi="Times New Roman"/>
                  <w:sz w:val="17"/>
                  <w:szCs w:val="17"/>
                  <w:color w:val="0000EE"/>
                  <w:w w:val="98"/>
                </w:rPr>
                <w:t>Severance and Change of Control Agreement effective as of May 15,</w:t>
              </w:r>
            </w:hyperlink>
          </w:p>
        </w:tc>
      </w:tr>
      <w:tr>
        <w:trPr>
          <w:trHeight w:val="20"/>
        </w:trPr>
        <w:tc>
          <w:tcPr>
            <w:tcW w:w="152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520" w:type="dxa"/>
            <w:vAlign w:val="bottom"/>
          </w:tcPr>
          <w:p>
            <w:pPr>
              <w:spacing w:after="0"/>
              <w:rPr>
                <w:sz w:val="15"/>
                <w:szCs w:val="15"/>
                <w:color w:val="auto"/>
              </w:rPr>
            </w:pPr>
          </w:p>
        </w:tc>
        <w:tc>
          <w:tcPr>
            <w:tcW w:w="4600" w:type="dxa"/>
            <w:vAlign w:val="bottom"/>
            <w:tcBorders>
              <w:bottom w:val="single" w:sz="8" w:color="0000EE"/>
            </w:tcBorders>
            <w:gridSpan w:val="18"/>
          </w:tcPr>
          <w:p>
            <w:pPr>
              <w:spacing w:after="0" w:line="179" w:lineRule="exact"/>
              <w:rPr>
                <w:rFonts w:ascii="Times New Roman" w:cs="Times New Roman" w:eastAsia="Times New Roman" w:hAnsi="Times New Roman"/>
                <w:sz w:val="17"/>
                <w:szCs w:val="17"/>
                <w:color w:val="0000EE"/>
                <w:w w:val="96"/>
              </w:rPr>
            </w:pPr>
            <w:hyperlink r:id="rId199">
              <w:r>
                <w:rPr>
                  <w:rFonts w:ascii="Times New Roman" w:cs="Times New Roman" w:eastAsia="Times New Roman" w:hAnsi="Times New Roman"/>
                  <w:sz w:val="17"/>
                  <w:szCs w:val="17"/>
                  <w:color w:val="0000EE"/>
                  <w:w w:val="96"/>
                </w:rPr>
                <w:t>2017, by and between CytomX Therapeutics, Inc. and Debanjan Ray.</w:t>
              </w:r>
            </w:hyperlink>
          </w:p>
        </w:tc>
        <w:tc>
          <w:tcPr>
            <w:tcW w:w="60" w:type="dxa"/>
            <w:vAlign w:val="bottom"/>
            <w:gridSpan w:val="3"/>
          </w:tcPr>
          <w:p>
            <w:pPr>
              <w:spacing w:after="0"/>
              <w:rPr>
                <w:sz w:val="15"/>
                <w:szCs w:val="15"/>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10.10#</w:t>
            </w:r>
          </w:p>
        </w:tc>
        <w:tc>
          <w:tcPr>
            <w:tcW w:w="420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7"/>
              </w:rPr>
            </w:pPr>
            <w:hyperlink r:id="rId200">
              <w:r>
                <w:rPr>
                  <w:rFonts w:ascii="Times New Roman" w:cs="Times New Roman" w:eastAsia="Times New Roman" w:hAnsi="Times New Roman"/>
                  <w:sz w:val="17"/>
                  <w:szCs w:val="17"/>
                  <w:color w:val="0000EE"/>
                  <w:w w:val="97"/>
                </w:rPr>
                <w:t>Form of First Amendment to Severance and Change of Control</w:t>
              </w:r>
            </w:hyperlink>
          </w:p>
        </w:tc>
        <w:tc>
          <w:tcPr>
            <w:tcW w:w="460" w:type="dxa"/>
            <w:vAlign w:val="bottom"/>
            <w:gridSpan w:val="13"/>
          </w:tcPr>
          <w:p>
            <w:pPr>
              <w:spacing w:after="0"/>
              <w:rPr>
                <w:sz w:val="24"/>
                <w:szCs w:val="24"/>
                <w:color w:val="auto"/>
              </w:rPr>
            </w:pPr>
          </w:p>
        </w:tc>
      </w:tr>
      <w:tr>
        <w:trPr>
          <w:trHeight w:val="179"/>
        </w:trPr>
        <w:tc>
          <w:tcPr>
            <w:tcW w:w="1520" w:type="dxa"/>
            <w:vAlign w:val="bottom"/>
          </w:tcPr>
          <w:p>
            <w:pPr>
              <w:spacing w:after="0"/>
              <w:rPr>
                <w:sz w:val="15"/>
                <w:szCs w:val="15"/>
                <w:color w:val="auto"/>
              </w:rPr>
            </w:pPr>
          </w:p>
        </w:tc>
        <w:tc>
          <w:tcPr>
            <w:tcW w:w="4620" w:type="dxa"/>
            <w:vAlign w:val="bottom"/>
            <w:tcBorders>
              <w:bottom w:val="single" w:sz="8" w:color="0000EE"/>
            </w:tcBorders>
            <w:gridSpan w:val="19"/>
          </w:tcPr>
          <w:p>
            <w:pPr>
              <w:spacing w:after="0" w:line="179" w:lineRule="exact"/>
              <w:rPr>
                <w:rFonts w:ascii="Times New Roman" w:cs="Times New Roman" w:eastAsia="Times New Roman" w:hAnsi="Times New Roman"/>
                <w:sz w:val="17"/>
                <w:szCs w:val="17"/>
                <w:color w:val="0000EE"/>
                <w:w w:val="97"/>
              </w:rPr>
            </w:pPr>
            <w:hyperlink r:id="rId200">
              <w:r>
                <w:rPr>
                  <w:rFonts w:ascii="Times New Roman" w:cs="Times New Roman" w:eastAsia="Times New Roman" w:hAnsi="Times New Roman"/>
                  <w:sz w:val="17"/>
                  <w:szCs w:val="17"/>
                  <w:color w:val="0000EE"/>
                  <w:w w:val="97"/>
                </w:rPr>
                <w:t>Agreement by and between CytomX Therapeutics, Inc. and certain of</w:t>
              </w:r>
            </w:hyperlink>
          </w:p>
        </w:tc>
        <w:tc>
          <w:tcPr>
            <w:tcW w:w="40" w:type="dxa"/>
            <w:vAlign w:val="bottom"/>
            <w:gridSpan w:val="2"/>
          </w:tcPr>
          <w:p>
            <w:pPr>
              <w:spacing w:after="0"/>
              <w:rPr>
                <w:sz w:val="15"/>
                <w:szCs w:val="15"/>
                <w:color w:val="auto"/>
              </w:rPr>
            </w:pPr>
          </w:p>
        </w:tc>
      </w:tr>
      <w:tr>
        <w:trPr>
          <w:trHeight w:val="179"/>
        </w:trPr>
        <w:tc>
          <w:tcPr>
            <w:tcW w:w="1520" w:type="dxa"/>
            <w:vAlign w:val="bottom"/>
          </w:tcPr>
          <w:p>
            <w:pPr>
              <w:spacing w:after="0"/>
              <w:rPr>
                <w:sz w:val="15"/>
                <w:szCs w:val="15"/>
                <w:color w:val="auto"/>
              </w:rPr>
            </w:pPr>
          </w:p>
        </w:tc>
        <w:tc>
          <w:tcPr>
            <w:tcW w:w="4660" w:type="dxa"/>
            <w:vAlign w:val="bottom"/>
            <w:gridSpan w:val="21"/>
          </w:tcPr>
          <w:p>
            <w:pPr>
              <w:spacing w:after="0" w:line="179"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its officers.</w:t>
              </w:r>
            </w:hyperlink>
          </w:p>
        </w:tc>
      </w:tr>
      <w:tr>
        <w:trPr>
          <w:trHeight w:val="20"/>
        </w:trPr>
        <w:tc>
          <w:tcPr>
            <w:tcW w:w="152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10.11#</w:t>
            </w:r>
          </w:p>
        </w:tc>
        <w:tc>
          <w:tcPr>
            <w:tcW w:w="4660" w:type="dxa"/>
            <w:vAlign w:val="bottom"/>
            <w:gridSpan w:val="21"/>
          </w:tcPr>
          <w:p>
            <w:pPr>
              <w:spacing w:after="0"/>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Form of Indemnification Agreement by and between CytomX</w:t>
              </w:r>
            </w:hyperlink>
          </w:p>
        </w:tc>
      </w:tr>
      <w:tr>
        <w:trPr>
          <w:trHeight w:val="20"/>
        </w:trPr>
        <w:tc>
          <w:tcPr>
            <w:tcW w:w="152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520" w:type="dxa"/>
            <w:vAlign w:val="bottom"/>
          </w:tcPr>
          <w:p>
            <w:pPr>
              <w:spacing w:after="0"/>
              <w:rPr>
                <w:sz w:val="15"/>
                <w:szCs w:val="15"/>
                <w:color w:val="auto"/>
              </w:rPr>
            </w:pPr>
          </w:p>
        </w:tc>
        <w:tc>
          <w:tcPr>
            <w:tcW w:w="4500" w:type="dxa"/>
            <w:vAlign w:val="bottom"/>
            <w:tcBorders>
              <w:bottom w:val="single" w:sz="8" w:color="0000EE"/>
            </w:tcBorders>
            <w:gridSpan w:val="15"/>
          </w:tcPr>
          <w:p>
            <w:pPr>
              <w:spacing w:after="0" w:line="179" w:lineRule="exact"/>
              <w:rPr>
                <w:rFonts w:ascii="Times New Roman" w:cs="Times New Roman" w:eastAsia="Times New Roman" w:hAnsi="Times New Roman"/>
                <w:sz w:val="17"/>
                <w:szCs w:val="17"/>
                <w:color w:val="0000EE"/>
                <w:w w:val="97"/>
              </w:rPr>
            </w:pPr>
            <w:hyperlink r:id="rId201">
              <w:r>
                <w:rPr>
                  <w:rFonts w:ascii="Times New Roman" w:cs="Times New Roman" w:eastAsia="Times New Roman" w:hAnsi="Times New Roman"/>
                  <w:sz w:val="17"/>
                  <w:szCs w:val="17"/>
                  <w:color w:val="0000EE"/>
                  <w:w w:val="97"/>
                </w:rPr>
                <w:t>Therapeutics, Inc. and each of its directors and each of its executive</w:t>
              </w:r>
            </w:hyperlink>
          </w:p>
        </w:tc>
        <w:tc>
          <w:tcPr>
            <w:tcW w:w="160" w:type="dxa"/>
            <w:vAlign w:val="bottom"/>
            <w:gridSpan w:val="6"/>
          </w:tcPr>
          <w:p>
            <w:pPr>
              <w:spacing w:after="0"/>
              <w:rPr>
                <w:sz w:val="15"/>
                <w:szCs w:val="15"/>
                <w:color w:val="auto"/>
              </w:rPr>
            </w:pPr>
          </w:p>
        </w:tc>
      </w:tr>
      <w:tr>
        <w:trPr>
          <w:trHeight w:val="179"/>
        </w:trPr>
        <w:tc>
          <w:tcPr>
            <w:tcW w:w="1520" w:type="dxa"/>
            <w:vAlign w:val="bottom"/>
          </w:tcPr>
          <w:p>
            <w:pPr>
              <w:spacing w:after="0"/>
              <w:rPr>
                <w:sz w:val="15"/>
                <w:szCs w:val="15"/>
                <w:color w:val="auto"/>
              </w:rPr>
            </w:pPr>
          </w:p>
        </w:tc>
        <w:tc>
          <w:tcPr>
            <w:tcW w:w="4660" w:type="dxa"/>
            <w:vAlign w:val="bottom"/>
            <w:gridSpan w:val="21"/>
          </w:tcPr>
          <w:p>
            <w:pPr>
              <w:spacing w:after="0" w:line="179"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officers.</w:t>
              </w:r>
            </w:hyperlink>
          </w:p>
        </w:tc>
      </w:tr>
      <w:tr>
        <w:trPr>
          <w:trHeight w:val="20"/>
        </w:trPr>
        <w:tc>
          <w:tcPr>
            <w:tcW w:w="152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10.12†</w:t>
            </w:r>
          </w:p>
        </w:tc>
        <w:tc>
          <w:tcPr>
            <w:tcW w:w="444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w w:val="97"/>
              </w:rPr>
            </w:pPr>
            <w:hyperlink r:id="rId202">
              <w:r>
                <w:rPr>
                  <w:rFonts w:ascii="Times New Roman" w:cs="Times New Roman" w:eastAsia="Times New Roman" w:hAnsi="Times New Roman"/>
                  <w:sz w:val="17"/>
                  <w:szCs w:val="17"/>
                  <w:color w:val="0000EE"/>
                  <w:w w:val="97"/>
                </w:rPr>
                <w:t>Research Collaboration Agreement dated as of January 8, 2014, by</w:t>
              </w:r>
            </w:hyperlink>
          </w:p>
        </w:tc>
        <w:tc>
          <w:tcPr>
            <w:tcW w:w="220" w:type="dxa"/>
            <w:vAlign w:val="bottom"/>
            <w:gridSpan w:val="9"/>
          </w:tcPr>
          <w:p>
            <w:pPr>
              <w:spacing w:after="0"/>
              <w:rPr>
                <w:sz w:val="24"/>
                <w:szCs w:val="24"/>
                <w:color w:val="auto"/>
              </w:rPr>
            </w:pPr>
          </w:p>
        </w:tc>
      </w:tr>
      <w:tr>
        <w:trPr>
          <w:trHeight w:val="179"/>
        </w:trPr>
        <w:tc>
          <w:tcPr>
            <w:tcW w:w="1520" w:type="dxa"/>
            <w:vAlign w:val="bottom"/>
          </w:tcPr>
          <w:p>
            <w:pPr>
              <w:spacing w:after="0"/>
              <w:rPr>
                <w:sz w:val="15"/>
                <w:szCs w:val="15"/>
                <w:color w:val="auto"/>
              </w:rPr>
            </w:pPr>
          </w:p>
        </w:tc>
        <w:tc>
          <w:tcPr>
            <w:tcW w:w="4400" w:type="dxa"/>
            <w:vAlign w:val="bottom"/>
            <w:tcBorders>
              <w:bottom w:val="single" w:sz="8" w:color="0000EE"/>
            </w:tcBorders>
            <w:gridSpan w:val="11"/>
          </w:tcPr>
          <w:p>
            <w:pPr>
              <w:spacing w:after="0" w:line="179" w:lineRule="exact"/>
              <w:rPr>
                <w:rFonts w:ascii="Times New Roman" w:cs="Times New Roman" w:eastAsia="Times New Roman" w:hAnsi="Times New Roman"/>
                <w:sz w:val="17"/>
                <w:szCs w:val="17"/>
                <w:color w:val="0000EE"/>
                <w:w w:val="97"/>
              </w:rPr>
            </w:pPr>
            <w:hyperlink r:id="rId202">
              <w:r>
                <w:rPr>
                  <w:rFonts w:ascii="Times New Roman" w:cs="Times New Roman" w:eastAsia="Times New Roman" w:hAnsi="Times New Roman"/>
                  <w:sz w:val="17"/>
                  <w:szCs w:val="17"/>
                  <w:color w:val="0000EE"/>
                  <w:w w:val="97"/>
                </w:rPr>
                <w:t>and between ImmunoGen, Inc. and CytomX Therapeutics, Inc., as</w:t>
              </w:r>
            </w:hyperlink>
          </w:p>
        </w:tc>
        <w:tc>
          <w:tcPr>
            <w:tcW w:w="260" w:type="dxa"/>
            <w:vAlign w:val="bottom"/>
            <w:gridSpan w:val="10"/>
          </w:tcPr>
          <w:p>
            <w:pPr>
              <w:spacing w:after="0"/>
              <w:rPr>
                <w:sz w:val="15"/>
                <w:szCs w:val="15"/>
                <w:color w:val="auto"/>
              </w:rPr>
            </w:pPr>
          </w:p>
        </w:tc>
      </w:tr>
      <w:tr>
        <w:trPr>
          <w:trHeight w:val="179"/>
        </w:trPr>
        <w:tc>
          <w:tcPr>
            <w:tcW w:w="1520" w:type="dxa"/>
            <w:vAlign w:val="bottom"/>
          </w:tcPr>
          <w:p>
            <w:pPr>
              <w:spacing w:after="0"/>
              <w:rPr>
                <w:sz w:val="15"/>
                <w:szCs w:val="15"/>
                <w:color w:val="auto"/>
              </w:rPr>
            </w:pPr>
          </w:p>
        </w:tc>
        <w:tc>
          <w:tcPr>
            <w:tcW w:w="4100" w:type="dxa"/>
            <w:vAlign w:val="bottom"/>
            <w:tcBorders>
              <w:bottom w:val="single" w:sz="8" w:color="0000EE"/>
            </w:tcBorders>
            <w:gridSpan w:val="7"/>
          </w:tcPr>
          <w:p>
            <w:pPr>
              <w:spacing w:after="0" w:line="179" w:lineRule="exact"/>
              <w:rPr>
                <w:rFonts w:ascii="Times New Roman" w:cs="Times New Roman" w:eastAsia="Times New Roman" w:hAnsi="Times New Roman"/>
                <w:sz w:val="17"/>
                <w:szCs w:val="17"/>
                <w:color w:val="0000EE"/>
                <w:w w:val="98"/>
              </w:rPr>
            </w:pPr>
            <w:hyperlink r:id="rId202">
              <w:r>
                <w:rPr>
                  <w:rFonts w:ascii="Times New Roman" w:cs="Times New Roman" w:eastAsia="Times New Roman" w:hAnsi="Times New Roman"/>
                  <w:sz w:val="17"/>
                  <w:szCs w:val="17"/>
                  <w:color w:val="0000EE"/>
                  <w:w w:val="98"/>
                </w:rPr>
                <w:t>amended by the First Amendment to Research Collaboration</w:t>
              </w:r>
            </w:hyperlink>
          </w:p>
        </w:tc>
        <w:tc>
          <w:tcPr>
            <w:tcW w:w="560" w:type="dxa"/>
            <w:vAlign w:val="bottom"/>
            <w:gridSpan w:val="14"/>
          </w:tcPr>
          <w:p>
            <w:pPr>
              <w:spacing w:after="0"/>
              <w:rPr>
                <w:sz w:val="15"/>
                <w:szCs w:val="15"/>
                <w:color w:val="auto"/>
              </w:rPr>
            </w:pPr>
          </w:p>
        </w:tc>
      </w:tr>
      <w:tr>
        <w:trPr>
          <w:trHeight w:val="179"/>
        </w:trPr>
        <w:tc>
          <w:tcPr>
            <w:tcW w:w="1520" w:type="dxa"/>
            <w:vAlign w:val="bottom"/>
          </w:tcPr>
          <w:p>
            <w:pPr>
              <w:spacing w:after="0"/>
              <w:rPr>
                <w:sz w:val="15"/>
                <w:szCs w:val="15"/>
                <w:color w:val="auto"/>
              </w:rPr>
            </w:pPr>
          </w:p>
        </w:tc>
        <w:tc>
          <w:tcPr>
            <w:tcW w:w="4660" w:type="dxa"/>
            <w:vAlign w:val="bottom"/>
            <w:gridSpan w:val="21"/>
          </w:tcPr>
          <w:p>
            <w:pPr>
              <w:spacing w:after="0" w:line="179" w:lineRule="exact"/>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Agreement effective as of April 3, 2015.</w:t>
              </w:r>
            </w:hyperlink>
          </w:p>
        </w:tc>
      </w:tr>
      <w:tr>
        <w:trPr>
          <w:trHeight w:val="20"/>
        </w:trPr>
        <w:tc>
          <w:tcPr>
            <w:tcW w:w="152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10.13†</w:t>
            </w:r>
          </w:p>
        </w:tc>
        <w:tc>
          <w:tcPr>
            <w:tcW w:w="450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w w:val="97"/>
              </w:rPr>
            </w:pPr>
            <w:hyperlink r:id="rId203">
              <w:r>
                <w:rPr>
                  <w:rFonts w:ascii="Times New Roman" w:cs="Times New Roman" w:eastAsia="Times New Roman" w:hAnsi="Times New Roman"/>
                  <w:sz w:val="17"/>
                  <w:szCs w:val="17"/>
                  <w:color w:val="0000EE"/>
                  <w:w w:val="97"/>
                </w:rPr>
                <w:t>Collaboration and License Agreement dated as of May 23, 2014, by</w:t>
              </w:r>
            </w:hyperlink>
          </w:p>
        </w:tc>
        <w:tc>
          <w:tcPr>
            <w:tcW w:w="160" w:type="dxa"/>
            <w:vAlign w:val="bottom"/>
            <w:gridSpan w:val="6"/>
          </w:tcPr>
          <w:p>
            <w:pPr>
              <w:spacing w:after="0"/>
              <w:rPr>
                <w:sz w:val="24"/>
                <w:szCs w:val="24"/>
                <w:color w:val="auto"/>
              </w:rPr>
            </w:pPr>
          </w:p>
        </w:tc>
      </w:tr>
      <w:tr>
        <w:trPr>
          <w:trHeight w:val="179"/>
        </w:trPr>
        <w:tc>
          <w:tcPr>
            <w:tcW w:w="1520" w:type="dxa"/>
            <w:vAlign w:val="bottom"/>
          </w:tcPr>
          <w:p>
            <w:pPr>
              <w:spacing w:after="0"/>
              <w:rPr>
                <w:sz w:val="15"/>
                <w:szCs w:val="15"/>
                <w:color w:val="auto"/>
              </w:rPr>
            </w:pPr>
          </w:p>
        </w:tc>
        <w:tc>
          <w:tcPr>
            <w:tcW w:w="44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6"/>
              </w:rPr>
            </w:pPr>
            <w:hyperlink r:id="rId203">
              <w:r>
                <w:rPr>
                  <w:rFonts w:ascii="Times New Roman" w:cs="Times New Roman" w:eastAsia="Times New Roman" w:hAnsi="Times New Roman"/>
                  <w:sz w:val="17"/>
                  <w:szCs w:val="17"/>
                  <w:color w:val="0000EE"/>
                  <w:w w:val="96"/>
                </w:rPr>
                <w:t>and between CytomX Therapeutics, Inc. and Bristol-Myers Squibb</w:t>
              </w:r>
            </w:hyperlink>
          </w:p>
        </w:tc>
        <w:tc>
          <w:tcPr>
            <w:tcW w:w="220" w:type="dxa"/>
            <w:vAlign w:val="bottom"/>
            <w:gridSpan w:val="9"/>
          </w:tcPr>
          <w:p>
            <w:pPr>
              <w:spacing w:after="0"/>
              <w:rPr>
                <w:sz w:val="15"/>
                <w:szCs w:val="15"/>
                <w:color w:val="auto"/>
              </w:rPr>
            </w:pPr>
          </w:p>
        </w:tc>
      </w:tr>
      <w:tr>
        <w:trPr>
          <w:trHeight w:val="179"/>
        </w:trPr>
        <w:tc>
          <w:tcPr>
            <w:tcW w:w="1520" w:type="dxa"/>
            <w:vAlign w:val="bottom"/>
          </w:tcPr>
          <w:p>
            <w:pPr>
              <w:spacing w:after="0"/>
              <w:rPr>
                <w:sz w:val="15"/>
                <w:szCs w:val="15"/>
                <w:color w:val="auto"/>
              </w:rPr>
            </w:pPr>
          </w:p>
        </w:tc>
        <w:tc>
          <w:tcPr>
            <w:tcW w:w="74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99"/>
              </w:rPr>
            </w:pPr>
            <w:hyperlink r:id="rId203">
              <w:r>
                <w:rPr>
                  <w:rFonts w:ascii="Times New Roman" w:cs="Times New Roman" w:eastAsia="Times New Roman" w:hAnsi="Times New Roman"/>
                  <w:sz w:val="17"/>
                  <w:szCs w:val="17"/>
                  <w:color w:val="0000EE"/>
                  <w:w w:val="99"/>
                </w:rPr>
                <w:t>Company.</w:t>
              </w:r>
            </w:hyperlink>
          </w:p>
        </w:tc>
        <w:tc>
          <w:tcPr>
            <w:tcW w:w="3920" w:type="dxa"/>
            <w:vAlign w:val="bottom"/>
            <w:gridSpan w:val="19"/>
          </w:tcPr>
          <w:p>
            <w:pPr>
              <w:spacing w:after="0"/>
              <w:rPr>
                <w:sz w:val="15"/>
                <w:szCs w:val="15"/>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4660" w:type="dxa"/>
            <w:vAlign w:val="bottom"/>
            <w:gridSpan w:val="21"/>
          </w:tcPr>
          <w:p>
            <w:pPr>
              <w:spacing w:after="0"/>
              <w:rPr>
                <w:rFonts w:ascii="Times New Roman" w:cs="Times New Roman" w:eastAsia="Times New Roman" w:hAnsi="Times New Roman"/>
                <w:sz w:val="17"/>
                <w:szCs w:val="17"/>
                <w:color w:val="0000EE"/>
              </w:rPr>
            </w:pPr>
            <w:hyperlink r:id="rId204">
              <w:r>
                <w:rPr>
                  <w:rFonts w:ascii="Times New Roman" w:cs="Times New Roman" w:eastAsia="Times New Roman" w:hAnsi="Times New Roman"/>
                  <w:sz w:val="17"/>
                  <w:szCs w:val="17"/>
                  <w:color w:val="0000EE"/>
                </w:rPr>
                <w:t>Amendment to Extend Collaboration and License Agreement, dated</w:t>
              </w:r>
            </w:hyperlink>
          </w:p>
        </w:tc>
      </w:tr>
      <w:tr>
        <w:trPr>
          <w:trHeight w:val="179"/>
        </w:trPr>
        <w:tc>
          <w:tcPr>
            <w:tcW w:w="1520" w:type="dxa"/>
            <w:vAlign w:val="bottom"/>
          </w:tcPr>
          <w:p>
            <w:pPr>
              <w:spacing w:after="0"/>
              <w:rPr>
                <w:sz w:val="15"/>
                <w:szCs w:val="15"/>
                <w:color w:val="auto"/>
              </w:rPr>
            </w:pPr>
          </w:p>
        </w:tc>
        <w:tc>
          <w:tcPr>
            <w:tcW w:w="4360" w:type="dxa"/>
            <w:vAlign w:val="bottom"/>
            <w:tcBorders>
              <w:top w:val="single" w:sz="8" w:color="0000EE"/>
              <w:bottom w:val="single" w:sz="8" w:color="0000EE"/>
            </w:tcBorders>
            <w:gridSpan w:val="10"/>
          </w:tcPr>
          <w:p>
            <w:pPr>
              <w:spacing w:after="0" w:line="179" w:lineRule="exact"/>
              <w:rPr>
                <w:rFonts w:ascii="Times New Roman" w:cs="Times New Roman" w:eastAsia="Times New Roman" w:hAnsi="Times New Roman"/>
                <w:sz w:val="17"/>
                <w:szCs w:val="17"/>
                <w:color w:val="0000EE"/>
                <w:w w:val="97"/>
              </w:rPr>
            </w:pPr>
            <w:hyperlink r:id="rId204">
              <w:r>
                <w:rPr>
                  <w:rFonts w:ascii="Times New Roman" w:cs="Times New Roman" w:eastAsia="Times New Roman" w:hAnsi="Times New Roman"/>
                  <w:sz w:val="17"/>
                  <w:szCs w:val="17"/>
                  <w:color w:val="0000EE"/>
                  <w:w w:val="97"/>
                </w:rPr>
                <w:t>March 17, 2017, by and between the Company and Bristol-Myers</w:t>
              </w:r>
            </w:hyperlink>
          </w:p>
        </w:tc>
        <w:tc>
          <w:tcPr>
            <w:tcW w:w="140" w:type="dxa"/>
            <w:vAlign w:val="bottom"/>
            <w:tcBorders>
              <w:top w:val="single" w:sz="8" w:color="0000EE"/>
            </w:tcBorders>
            <w:gridSpan w:val="5"/>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179"/>
        </w:trPr>
        <w:tc>
          <w:tcPr>
            <w:tcW w:w="1520" w:type="dxa"/>
            <w:vAlign w:val="bottom"/>
          </w:tcPr>
          <w:p>
            <w:pPr>
              <w:spacing w:after="0"/>
              <w:rPr>
                <w:sz w:val="15"/>
                <w:szCs w:val="15"/>
                <w:color w:val="auto"/>
              </w:rPr>
            </w:pPr>
          </w:p>
        </w:tc>
        <w:tc>
          <w:tcPr>
            <w:tcW w:w="540" w:type="dxa"/>
            <w:vAlign w:val="bottom"/>
            <w:tcBorders>
              <w:bottom w:val="single" w:sz="8" w:color="0000EE"/>
            </w:tcBorders>
          </w:tcPr>
          <w:p>
            <w:pPr>
              <w:spacing w:after="0" w:line="179" w:lineRule="exact"/>
              <w:rPr>
                <w:rFonts w:ascii="Times New Roman" w:cs="Times New Roman" w:eastAsia="Times New Roman" w:hAnsi="Times New Roman"/>
                <w:sz w:val="17"/>
                <w:szCs w:val="17"/>
                <w:color w:val="0000EE"/>
                <w:w w:val="95"/>
              </w:rPr>
            </w:pPr>
            <w:hyperlink r:id="rId204">
              <w:r>
                <w:rPr>
                  <w:rFonts w:ascii="Times New Roman" w:cs="Times New Roman" w:eastAsia="Times New Roman" w:hAnsi="Times New Roman"/>
                  <w:sz w:val="17"/>
                  <w:szCs w:val="17"/>
                  <w:color w:val="0000EE"/>
                  <w:w w:val="95"/>
                </w:rPr>
                <w:t>Squibb.</w:t>
              </w:r>
            </w:hyperlink>
          </w:p>
        </w:tc>
        <w:tc>
          <w:tcPr>
            <w:tcW w:w="4120" w:type="dxa"/>
            <w:vAlign w:val="bottom"/>
            <w:gridSpan w:val="20"/>
          </w:tcPr>
          <w:p>
            <w:pPr>
              <w:spacing w:after="0"/>
              <w:rPr>
                <w:sz w:val="15"/>
                <w:szCs w:val="15"/>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10.15†</w:t>
            </w:r>
          </w:p>
        </w:tc>
        <w:tc>
          <w:tcPr>
            <w:tcW w:w="446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w w:val="97"/>
              </w:rPr>
            </w:pPr>
            <w:hyperlink r:id="rId205">
              <w:r>
                <w:rPr>
                  <w:rFonts w:ascii="Times New Roman" w:cs="Times New Roman" w:eastAsia="Times New Roman" w:hAnsi="Times New Roman"/>
                  <w:sz w:val="17"/>
                  <w:szCs w:val="17"/>
                  <w:color w:val="0000EE"/>
                  <w:w w:val="97"/>
                </w:rPr>
                <w:t>Co-Development and License Agreement, dated April 21, 2016, by</w:t>
              </w:r>
            </w:hyperlink>
          </w:p>
        </w:tc>
        <w:tc>
          <w:tcPr>
            <w:tcW w:w="200" w:type="dxa"/>
            <w:vAlign w:val="bottom"/>
            <w:gridSpan w:val="8"/>
          </w:tcPr>
          <w:p>
            <w:pPr>
              <w:spacing w:after="0"/>
              <w:rPr>
                <w:sz w:val="24"/>
                <w:szCs w:val="24"/>
                <w:color w:val="auto"/>
              </w:rPr>
            </w:pPr>
          </w:p>
        </w:tc>
      </w:tr>
      <w:tr>
        <w:trPr>
          <w:trHeight w:val="179"/>
        </w:trPr>
        <w:tc>
          <w:tcPr>
            <w:tcW w:w="1520" w:type="dxa"/>
            <w:vAlign w:val="bottom"/>
          </w:tcPr>
          <w:p>
            <w:pPr>
              <w:spacing w:after="0"/>
              <w:rPr>
                <w:sz w:val="15"/>
                <w:szCs w:val="15"/>
                <w:color w:val="auto"/>
              </w:rPr>
            </w:pPr>
          </w:p>
        </w:tc>
        <w:tc>
          <w:tcPr>
            <w:tcW w:w="4660" w:type="dxa"/>
            <w:vAlign w:val="bottom"/>
            <w:gridSpan w:val="21"/>
          </w:tcPr>
          <w:p>
            <w:pPr>
              <w:spacing w:after="0" w:line="179"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and between CytomX Therapeutics, Inc. and AbbVie Ireland</w:t>
              </w:r>
            </w:hyperlink>
          </w:p>
        </w:tc>
      </w:tr>
      <w:tr>
        <w:trPr>
          <w:trHeight w:val="179"/>
        </w:trPr>
        <w:tc>
          <w:tcPr>
            <w:tcW w:w="1520" w:type="dxa"/>
            <w:vAlign w:val="bottom"/>
          </w:tcPr>
          <w:p>
            <w:pPr>
              <w:spacing w:after="0"/>
              <w:rPr>
                <w:sz w:val="15"/>
                <w:szCs w:val="15"/>
                <w:color w:val="auto"/>
              </w:rPr>
            </w:pPr>
          </w:p>
        </w:tc>
        <w:tc>
          <w:tcPr>
            <w:tcW w:w="4020" w:type="dxa"/>
            <w:vAlign w:val="bottom"/>
            <w:tcBorders>
              <w:top w:val="single" w:sz="8" w:color="0000EE"/>
            </w:tcBorders>
            <w:gridSpan w:val="6"/>
          </w:tcPr>
          <w:p>
            <w:pPr>
              <w:spacing w:after="0" w:line="179"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Unlimited Company.</w:t>
              </w:r>
            </w:hyperlink>
          </w:p>
        </w:tc>
        <w:tc>
          <w:tcPr>
            <w:tcW w:w="640" w:type="dxa"/>
            <w:vAlign w:val="bottom"/>
            <w:gridSpan w:val="15"/>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8"/>
        </w:trPr>
        <w:tc>
          <w:tcPr>
            <w:tcW w:w="1520" w:type="dxa"/>
            <w:vAlign w:val="bottom"/>
          </w:tcPr>
          <w:p>
            <w:pPr>
              <w:spacing w:after="0"/>
              <w:rPr>
                <w:sz w:val="24"/>
                <w:szCs w:val="24"/>
                <w:color w:val="auto"/>
              </w:rPr>
            </w:pPr>
          </w:p>
        </w:tc>
        <w:tc>
          <w:tcPr>
            <w:tcW w:w="4660" w:type="dxa"/>
            <w:vAlign w:val="bottom"/>
            <w:gridSpan w:val="21"/>
          </w:tcPr>
          <w:p>
            <w:pPr>
              <w:spacing w:after="0"/>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Discovery Collaboration and License Agreement, dated April 21,</w:t>
              </w:r>
            </w:hyperlink>
          </w:p>
        </w:tc>
      </w:tr>
      <w:tr>
        <w:trPr>
          <w:trHeight w:val="20"/>
        </w:trPr>
        <w:tc>
          <w:tcPr>
            <w:tcW w:w="1520" w:type="dxa"/>
            <w:vAlign w:val="bottom"/>
          </w:tcPr>
          <w:p>
            <w:pPr>
              <w:spacing w:after="0" w:line="20" w:lineRule="exact"/>
              <w:rPr>
                <w:sz w:val="1"/>
                <w:szCs w:val="1"/>
                <w:color w:val="auto"/>
              </w:rPr>
            </w:pPr>
          </w:p>
        </w:tc>
        <w:tc>
          <w:tcPr>
            <w:tcW w:w="4320" w:type="dxa"/>
            <w:vAlign w:val="bottom"/>
            <w:gridSpan w:val="9"/>
            <w:shd w:val="clear" w:color="auto" w:fill="0000EE"/>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52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10.16†</w:t>
            </w:r>
          </w:p>
        </w:tc>
        <w:tc>
          <w:tcPr>
            <w:tcW w:w="4660" w:type="dxa"/>
            <w:vAlign w:val="bottom"/>
            <w:gridSpan w:val="21"/>
          </w:tcPr>
          <w:p>
            <w:pPr>
              <w:spacing w:after="0" w:line="179" w:lineRule="exact"/>
              <w:rPr>
                <w:rFonts w:ascii="Times New Roman" w:cs="Times New Roman" w:eastAsia="Times New Roman" w:hAnsi="Times New Roman"/>
                <w:sz w:val="17"/>
                <w:szCs w:val="17"/>
                <w:color w:val="0000EE"/>
                <w:w w:val="97"/>
              </w:rPr>
            </w:pPr>
            <w:hyperlink r:id="rId206">
              <w:r>
                <w:rPr>
                  <w:rFonts w:ascii="Times New Roman" w:cs="Times New Roman" w:eastAsia="Times New Roman" w:hAnsi="Times New Roman"/>
                  <w:sz w:val="17"/>
                  <w:szCs w:val="17"/>
                  <w:color w:val="0000EE"/>
                  <w:w w:val="97"/>
                </w:rPr>
                <w:t>2016, by and between CytomX Therapeutics, Inc. and AbbVie Ireland</w:t>
              </w:r>
            </w:hyperlink>
          </w:p>
        </w:tc>
      </w:tr>
      <w:tr>
        <w:trPr>
          <w:trHeight w:val="179"/>
        </w:trPr>
        <w:tc>
          <w:tcPr>
            <w:tcW w:w="1520" w:type="dxa"/>
            <w:vAlign w:val="bottom"/>
          </w:tcPr>
          <w:p>
            <w:pPr>
              <w:spacing w:after="0"/>
              <w:rPr>
                <w:sz w:val="15"/>
                <w:szCs w:val="15"/>
                <w:color w:val="auto"/>
              </w:rPr>
            </w:pPr>
          </w:p>
        </w:tc>
        <w:tc>
          <w:tcPr>
            <w:tcW w:w="4640" w:type="dxa"/>
            <w:vAlign w:val="bottom"/>
            <w:tcBorders>
              <w:top w:val="single" w:sz="8" w:color="0000EE"/>
            </w:tcBorders>
            <w:gridSpan w:val="20"/>
          </w:tcPr>
          <w:p>
            <w:pPr>
              <w:spacing w:after="0" w:line="179" w:lineRule="exact"/>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Unlimited Company.</w:t>
              </w:r>
            </w:hyperlink>
          </w:p>
        </w:tc>
        <w:tc>
          <w:tcPr>
            <w:tcW w:w="20" w:type="dxa"/>
            <w:vAlign w:val="bottom"/>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center"/>
              <w:ind w:right="277"/>
              <w:spacing w:after="0"/>
              <w:rPr>
                <w:sz w:val="20"/>
                <w:szCs w:val="20"/>
                <w:color w:val="auto"/>
              </w:rPr>
            </w:pPr>
            <w:r>
              <w:rPr>
                <w:rFonts w:ascii="Times New Roman" w:cs="Times New Roman" w:eastAsia="Times New Roman" w:hAnsi="Times New Roman"/>
                <w:sz w:val="17"/>
                <w:szCs w:val="17"/>
                <w:color w:val="auto"/>
                <w:w w:val="97"/>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5/6/2016</w:t>
            </w:r>
          </w:p>
        </w:tc>
        <w:tc>
          <w:tcPr>
            <w:tcW w:w="8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rPr>
              <w:t>10.2</w:t>
            </w:r>
          </w:p>
        </w:tc>
      </w:tr>
      <w:tr>
        <w:trPr>
          <w:trHeight w:val="808"/>
        </w:trPr>
        <w:tc>
          <w:tcPr>
            <w:tcW w:w="740" w:type="dxa"/>
            <w:vAlign w:val="bottom"/>
          </w:tcPr>
          <w:p>
            <w:pPr>
              <w:jc w:val="center"/>
              <w:ind w:right="277"/>
              <w:spacing w:after="0"/>
              <w:rPr>
                <w:sz w:val="20"/>
                <w:szCs w:val="20"/>
                <w:color w:val="auto"/>
              </w:rPr>
            </w:pPr>
            <w:r>
              <w:rPr>
                <w:rFonts w:ascii="Times New Roman" w:cs="Times New Roman" w:eastAsia="Times New Roman" w:hAnsi="Times New Roman"/>
                <w:sz w:val="17"/>
                <w:szCs w:val="17"/>
                <w:color w:val="auto"/>
                <w:w w:val="97"/>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8/7/2017</w:t>
            </w:r>
          </w:p>
        </w:tc>
        <w:tc>
          <w:tcPr>
            <w:tcW w:w="8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rPr>
              <w:t>10.2</w:t>
            </w:r>
          </w:p>
        </w:tc>
      </w:tr>
      <w:tr>
        <w:trPr>
          <w:trHeight w:val="708"/>
        </w:trPr>
        <w:tc>
          <w:tcPr>
            <w:tcW w:w="740" w:type="dxa"/>
            <w:vAlign w:val="bottom"/>
          </w:tcPr>
          <w:p>
            <w:pPr>
              <w:jc w:val="center"/>
              <w:ind w:right="277"/>
              <w:spacing w:after="0"/>
              <w:rPr>
                <w:sz w:val="20"/>
                <w:szCs w:val="20"/>
                <w:color w:val="auto"/>
              </w:rPr>
            </w:pPr>
            <w:r>
              <w:rPr>
                <w:rFonts w:ascii="Times New Roman" w:cs="Times New Roman" w:eastAsia="Times New Roman" w:hAnsi="Times New Roman"/>
                <w:sz w:val="17"/>
                <w:szCs w:val="17"/>
                <w:color w:val="auto"/>
                <w:w w:val="98"/>
              </w:rPr>
              <w:t>8-K</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3/7/2016</w:t>
            </w:r>
          </w:p>
        </w:tc>
        <w:tc>
          <w:tcPr>
            <w:tcW w:w="8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rPr>
              <w:t>10.1</w:t>
            </w:r>
          </w:p>
        </w:tc>
      </w:tr>
      <w:tr>
        <w:trPr>
          <w:trHeight w:val="708"/>
        </w:trPr>
        <w:tc>
          <w:tcPr>
            <w:tcW w:w="740" w:type="dxa"/>
            <w:vAlign w:val="bottom"/>
          </w:tcPr>
          <w:p>
            <w:pPr>
              <w:jc w:val="center"/>
              <w:ind w:right="277"/>
              <w:spacing w:after="0"/>
              <w:rPr>
                <w:sz w:val="20"/>
                <w:szCs w:val="20"/>
                <w:color w:val="auto"/>
              </w:rPr>
            </w:pPr>
            <w:r>
              <w:rPr>
                <w:rFonts w:ascii="Times New Roman" w:cs="Times New Roman" w:eastAsia="Times New Roman" w:hAnsi="Times New Roman"/>
                <w:sz w:val="17"/>
                <w:szCs w:val="17"/>
                <w:color w:val="auto"/>
                <w:w w:val="92"/>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8/28/2015</w:t>
            </w:r>
          </w:p>
        </w:tc>
        <w:tc>
          <w:tcPr>
            <w:tcW w:w="820" w:type="dxa"/>
            <w:vAlign w:val="bottom"/>
          </w:tcPr>
          <w:p>
            <w:pPr>
              <w:jc w:val="center"/>
              <w:ind w:left="357"/>
              <w:spacing w:after="0"/>
              <w:rPr>
                <w:sz w:val="20"/>
                <w:szCs w:val="20"/>
                <w:color w:val="auto"/>
              </w:rPr>
            </w:pPr>
            <w:r>
              <w:rPr>
                <w:rFonts w:ascii="Times New Roman" w:cs="Times New Roman" w:eastAsia="Times New Roman" w:hAnsi="Times New Roman"/>
                <w:sz w:val="17"/>
                <w:szCs w:val="17"/>
                <w:color w:val="auto"/>
                <w:w w:val="99"/>
              </w:rPr>
              <w:t>10.16</w:t>
            </w:r>
          </w:p>
        </w:tc>
      </w:tr>
      <w:tr>
        <w:trPr>
          <w:trHeight w:val="808"/>
        </w:trPr>
        <w:tc>
          <w:tcPr>
            <w:tcW w:w="740" w:type="dxa"/>
            <w:vAlign w:val="bottom"/>
          </w:tcPr>
          <w:p>
            <w:pPr>
              <w:jc w:val="center"/>
              <w:ind w:right="277"/>
              <w:spacing w:after="0"/>
              <w:rPr>
                <w:sz w:val="20"/>
                <w:szCs w:val="20"/>
                <w:color w:val="auto"/>
              </w:rPr>
            </w:pPr>
            <w:r>
              <w:rPr>
                <w:rFonts w:ascii="Times New Roman" w:cs="Times New Roman" w:eastAsia="Times New Roman" w:hAnsi="Times New Roman"/>
                <w:sz w:val="17"/>
                <w:szCs w:val="17"/>
                <w:color w:val="auto"/>
                <w:w w:val="93"/>
              </w:rPr>
              <w:t>S-1/A</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10/2/2015</w:t>
            </w:r>
          </w:p>
        </w:tc>
        <w:tc>
          <w:tcPr>
            <w:tcW w:w="820" w:type="dxa"/>
            <w:vAlign w:val="bottom"/>
          </w:tcPr>
          <w:p>
            <w:pPr>
              <w:jc w:val="center"/>
              <w:ind w:left="357"/>
              <w:spacing w:after="0"/>
              <w:rPr>
                <w:sz w:val="20"/>
                <w:szCs w:val="20"/>
                <w:color w:val="auto"/>
              </w:rPr>
            </w:pPr>
            <w:r>
              <w:rPr>
                <w:rFonts w:ascii="Times New Roman" w:cs="Times New Roman" w:eastAsia="Times New Roman" w:hAnsi="Times New Roman"/>
                <w:sz w:val="17"/>
                <w:szCs w:val="17"/>
                <w:color w:val="auto"/>
                <w:w w:val="99"/>
              </w:rPr>
              <w:t>10.17</w:t>
            </w:r>
          </w:p>
        </w:tc>
      </w:tr>
      <w:tr>
        <w:trPr>
          <w:trHeight w:val="808"/>
        </w:trPr>
        <w:tc>
          <w:tcPr>
            <w:tcW w:w="740" w:type="dxa"/>
            <w:vAlign w:val="bottom"/>
          </w:tcPr>
          <w:p>
            <w:pPr>
              <w:jc w:val="center"/>
              <w:ind w:right="277"/>
              <w:spacing w:after="0"/>
              <w:rPr>
                <w:sz w:val="20"/>
                <w:szCs w:val="20"/>
                <w:color w:val="auto"/>
              </w:rPr>
            </w:pPr>
            <w:r>
              <w:rPr>
                <w:rFonts w:ascii="Times New Roman" w:cs="Times New Roman" w:eastAsia="Times New Roman" w:hAnsi="Times New Roman"/>
                <w:sz w:val="17"/>
                <w:szCs w:val="17"/>
                <w:color w:val="auto"/>
                <w:w w:val="93"/>
              </w:rPr>
              <w:t>S-1/A</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10/2/2015</w:t>
            </w:r>
          </w:p>
        </w:tc>
        <w:tc>
          <w:tcPr>
            <w:tcW w:w="820" w:type="dxa"/>
            <w:vAlign w:val="bottom"/>
          </w:tcPr>
          <w:p>
            <w:pPr>
              <w:jc w:val="center"/>
              <w:ind w:left="357"/>
              <w:spacing w:after="0"/>
              <w:rPr>
                <w:sz w:val="20"/>
                <w:szCs w:val="20"/>
                <w:color w:val="auto"/>
              </w:rPr>
            </w:pPr>
            <w:r>
              <w:rPr>
                <w:rFonts w:ascii="Times New Roman" w:cs="Times New Roman" w:eastAsia="Times New Roman" w:hAnsi="Times New Roman"/>
                <w:sz w:val="17"/>
                <w:szCs w:val="17"/>
                <w:color w:val="auto"/>
                <w:w w:val="99"/>
              </w:rPr>
              <w:t>10.18</w:t>
            </w:r>
          </w:p>
        </w:tc>
      </w:tr>
      <w:tr>
        <w:trPr>
          <w:trHeight w:val="708"/>
        </w:trPr>
        <w:tc>
          <w:tcPr>
            <w:tcW w:w="740" w:type="dxa"/>
            <w:vAlign w:val="bottom"/>
          </w:tcPr>
          <w:p>
            <w:pPr>
              <w:jc w:val="center"/>
              <w:ind w:right="277"/>
              <w:spacing w:after="0"/>
              <w:rPr>
                <w:sz w:val="20"/>
                <w:szCs w:val="20"/>
                <w:color w:val="auto"/>
              </w:rPr>
            </w:pPr>
            <w:r>
              <w:rPr>
                <w:rFonts w:ascii="Times New Roman" w:cs="Times New Roman" w:eastAsia="Times New Roman" w:hAnsi="Times New Roman"/>
                <w:sz w:val="17"/>
                <w:szCs w:val="17"/>
                <w:color w:val="auto"/>
                <w:w w:val="97"/>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5/5/2017</w:t>
            </w:r>
          </w:p>
        </w:tc>
        <w:tc>
          <w:tcPr>
            <w:tcW w:w="8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rPr>
              <w:t>10.1</w:t>
            </w:r>
          </w:p>
        </w:tc>
      </w:tr>
      <w:tr>
        <w:trPr>
          <w:trHeight w:val="708"/>
        </w:trPr>
        <w:tc>
          <w:tcPr>
            <w:tcW w:w="740" w:type="dxa"/>
            <w:vAlign w:val="bottom"/>
          </w:tcPr>
          <w:p>
            <w:pPr>
              <w:jc w:val="center"/>
              <w:ind w:right="277"/>
              <w:spacing w:after="0"/>
              <w:rPr>
                <w:sz w:val="20"/>
                <w:szCs w:val="20"/>
                <w:color w:val="auto"/>
              </w:rPr>
            </w:pPr>
            <w:r>
              <w:rPr>
                <w:rFonts w:ascii="Times New Roman" w:cs="Times New Roman" w:eastAsia="Times New Roman" w:hAnsi="Times New Roman"/>
                <w:sz w:val="17"/>
                <w:szCs w:val="17"/>
                <w:color w:val="auto"/>
                <w:w w:val="97"/>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8/3/2016</w:t>
            </w:r>
          </w:p>
        </w:tc>
        <w:tc>
          <w:tcPr>
            <w:tcW w:w="8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rPr>
              <w:t>10.1</w:t>
            </w:r>
          </w:p>
        </w:tc>
      </w:tr>
      <w:tr>
        <w:trPr>
          <w:trHeight w:val="795"/>
        </w:trPr>
        <w:tc>
          <w:tcPr>
            <w:tcW w:w="740" w:type="dxa"/>
            <w:vAlign w:val="bottom"/>
          </w:tcPr>
          <w:p>
            <w:pPr>
              <w:jc w:val="center"/>
              <w:ind w:right="277"/>
              <w:spacing w:after="0"/>
              <w:rPr>
                <w:sz w:val="20"/>
                <w:szCs w:val="20"/>
                <w:color w:val="auto"/>
              </w:rPr>
            </w:pPr>
            <w:r>
              <w:rPr>
                <w:rFonts w:ascii="Times New Roman" w:cs="Times New Roman" w:eastAsia="Times New Roman" w:hAnsi="Times New Roman"/>
                <w:sz w:val="17"/>
                <w:szCs w:val="17"/>
                <w:color w:val="auto"/>
                <w:w w:val="97"/>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8/3/2016</w:t>
            </w:r>
          </w:p>
        </w:tc>
        <w:tc>
          <w:tcPr>
            <w:tcW w:w="8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rPr>
              <w:t>10.2</w:t>
            </w:r>
          </w:p>
        </w:tc>
      </w:tr>
    </w:tbl>
    <w:p>
      <w:pPr>
        <w:spacing w:after="0" w:line="373" w:lineRule="exact"/>
        <w:rPr>
          <w:sz w:val="20"/>
          <w:szCs w:val="20"/>
          <w:color w:val="auto"/>
        </w:rPr>
      </w:pPr>
    </w:p>
    <w:p>
      <w:pPr>
        <w:sectPr>
          <w:pgSz w:w="11900" w:h="16838" w:orient="portrait"/>
          <w:cols w:equalWidth="0" w:num="2">
            <w:col w:w="6300" w:space="480"/>
            <w:col w:w="4260"/>
          </w:cols>
          <w:pgMar w:left="300" w:top="316" w:right="559" w:bottom="1440" w:gutter="0" w:footer="0" w:header="0"/>
          <w:type w:val="continuous"/>
        </w:sectPr>
      </w:pP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62865</wp:posOffset>
            </wp:positionV>
            <wp:extent cx="7298690"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040"/>
          </w:cols>
          <w:pgMar w:left="300" w:top="316" w:right="559" w:bottom="1440" w:gutter="0" w:footer="0" w:header="0"/>
          <w:type w:val="continuous"/>
        </w:sectPr>
      </w:pPr>
    </w:p>
    <w:bookmarkStart w:id="134" w:name="page135"/>
    <w:bookmarkEnd w:id="134"/>
    <w:tbl>
      <w:tblPr>
        <w:tblLayout w:type="fixed"/>
        <w:tblInd w:w="60" w:type="dxa"/>
        <w:tblCellMar>
          <w:top w:w="0" w:type="dxa"/>
          <w:left w:w="0" w:type="dxa"/>
          <w:bottom w:w="0" w:type="dxa"/>
          <w:right w:w="0" w:type="dxa"/>
        </w:tblCellMar>
      </w:tblPr>
      <w:tr>
        <w:trPr>
          <w:trHeight w:val="174"/>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40" w:type="dxa"/>
            <w:vAlign w:val="bottom"/>
            <w:gridSpan w:val="2"/>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140" w:type="dxa"/>
            <w:vAlign w:val="bottom"/>
            <w:vMerge w:val="restart"/>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99"/>
        </w:trPr>
        <w:tc>
          <w:tcPr>
            <w:tcW w:w="1640" w:type="dxa"/>
            <w:vAlign w:val="bottom"/>
            <w:gridSpan w:val="2"/>
            <w:vMerge w:val="continue"/>
          </w:tcPr>
          <w:p>
            <w:pPr>
              <w:spacing w:after="0"/>
              <w:rPr>
                <w:sz w:val="8"/>
                <w:szCs w:val="8"/>
                <w:color w:val="auto"/>
              </w:rPr>
            </w:pPr>
          </w:p>
        </w:tc>
        <w:tc>
          <w:tcPr>
            <w:tcW w:w="4760" w:type="dxa"/>
            <w:vAlign w:val="bottom"/>
            <w:gridSpan w:val="5"/>
            <w:vMerge w:val="restart"/>
          </w:tcPr>
          <w:p>
            <w:pPr>
              <w:ind w:left="182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1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20" w:type="dxa"/>
            <w:vAlign w:val="bottom"/>
            <w:vMerge w:val="restart"/>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760" w:type="dxa"/>
            <w:vAlign w:val="bottom"/>
            <w:gridSpan w:val="5"/>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1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20" w:type="dxa"/>
            <w:vAlign w:val="bottom"/>
            <w:tcBorders>
              <w:top w:val="single" w:sz="8" w:color="auto"/>
            </w:tcBorders>
          </w:tcPr>
          <w:p>
            <w:pPr>
              <w:jc w:val="right"/>
              <w:ind w:right="1057"/>
              <w:spacing w:after="0" w:line="154" w:lineRule="exact"/>
              <w:rPr>
                <w:sz w:val="20"/>
                <w:szCs w:val="20"/>
                <w:color w:val="auto"/>
              </w:rPr>
            </w:pPr>
            <w:r>
              <w:rPr>
                <w:rFonts w:ascii="Times New Roman" w:cs="Times New Roman" w:eastAsia="Times New Roman" w:hAnsi="Times New Roman"/>
                <w:sz w:val="17"/>
                <w:szCs w:val="17"/>
                <w:color w:val="auto"/>
              </w:rPr>
              <w:t>10.17</w:t>
            </w:r>
          </w:p>
        </w:tc>
        <w:tc>
          <w:tcPr>
            <w:tcW w:w="4420" w:type="dxa"/>
            <w:vAlign w:val="bottom"/>
            <w:tcBorders>
              <w:top w:val="single" w:sz="8" w:color="auto"/>
              <w:bottom w:val="single" w:sz="8" w:color="0000EE"/>
            </w:tcBorders>
            <w:gridSpan w:val="4"/>
          </w:tcPr>
          <w:p>
            <w:pPr>
              <w:spacing w:after="0" w:line="154" w:lineRule="exact"/>
              <w:rPr>
                <w:rFonts w:ascii="Times New Roman" w:cs="Times New Roman" w:eastAsia="Times New Roman" w:hAnsi="Times New Roman"/>
                <w:sz w:val="17"/>
                <w:szCs w:val="17"/>
                <w:color w:val="0000EE"/>
                <w:w w:val="97"/>
              </w:rPr>
            </w:pPr>
            <w:hyperlink r:id="rId208">
              <w:r>
                <w:rPr>
                  <w:rFonts w:ascii="Times New Roman" w:cs="Times New Roman" w:eastAsia="Times New Roman" w:hAnsi="Times New Roman"/>
                  <w:sz w:val="17"/>
                  <w:szCs w:val="17"/>
                  <w:color w:val="0000EE"/>
                  <w:w w:val="97"/>
                </w:rPr>
                <w:t>Exclusive License Agreement dated as of August 19, 2010, by and</w:t>
              </w:r>
            </w:hyperlink>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38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97"/>
              </w:rPr>
            </w:pPr>
            <w:hyperlink r:id="rId208">
              <w:r>
                <w:rPr>
                  <w:rFonts w:ascii="Times New Roman" w:cs="Times New Roman" w:eastAsia="Times New Roman" w:hAnsi="Times New Roman"/>
                  <w:sz w:val="17"/>
                  <w:szCs w:val="17"/>
                  <w:color w:val="0000EE"/>
                  <w:w w:val="97"/>
                </w:rPr>
                <w:t>between The Regents of the University of California and CytomX</w:t>
              </w:r>
            </w:hyperlink>
          </w:p>
        </w:tc>
        <w:tc>
          <w:tcPr>
            <w:tcW w:w="38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00" w:type="dxa"/>
            <w:vAlign w:val="bottom"/>
            <w:tcBorders>
              <w:bottom w:val="single" w:sz="8" w:color="0000EE"/>
            </w:tcBorders>
            <w:gridSpan w:val="3"/>
          </w:tcPr>
          <w:p>
            <w:pPr>
              <w:spacing w:after="0" w:line="179" w:lineRule="exact"/>
              <w:rPr>
                <w:rFonts w:ascii="Times New Roman" w:cs="Times New Roman" w:eastAsia="Times New Roman" w:hAnsi="Times New Roman"/>
                <w:sz w:val="17"/>
                <w:szCs w:val="17"/>
                <w:color w:val="0000EE"/>
                <w:w w:val="97"/>
              </w:rPr>
            </w:pPr>
            <w:hyperlink r:id="rId208">
              <w:r>
                <w:rPr>
                  <w:rFonts w:ascii="Times New Roman" w:cs="Times New Roman" w:eastAsia="Times New Roman" w:hAnsi="Times New Roman"/>
                  <w:sz w:val="17"/>
                  <w:szCs w:val="17"/>
                  <w:color w:val="0000EE"/>
                  <w:w w:val="97"/>
                </w:rPr>
                <w:t>Therapeutics, Inc., as amended by Amendment No. 1 to Exclusive</w:t>
              </w:r>
            </w:hyperlink>
          </w:p>
        </w:tc>
        <w:tc>
          <w:tcPr>
            <w:tcW w:w="360" w:type="dxa"/>
            <w:vAlign w:val="bottom"/>
            <w:gridSpan w:val="2"/>
          </w:tcPr>
          <w:p>
            <w:pPr>
              <w:spacing w:after="0"/>
              <w:rPr>
                <w:sz w:val="15"/>
                <w:szCs w:val="15"/>
                <w:color w:val="auto"/>
              </w:rPr>
            </w:pPr>
          </w:p>
        </w:tc>
        <w:tc>
          <w:tcPr>
            <w:tcW w:w="1120" w:type="dxa"/>
            <w:vAlign w:val="bottom"/>
          </w:tcPr>
          <w:p>
            <w:pPr>
              <w:ind w:left="360"/>
              <w:spacing w:after="0" w:line="179" w:lineRule="exact"/>
              <w:rPr>
                <w:sz w:val="20"/>
                <w:szCs w:val="20"/>
                <w:color w:val="auto"/>
              </w:rPr>
            </w:pPr>
            <w:r>
              <w:rPr>
                <w:rFonts w:ascii="Times New Roman" w:cs="Times New Roman" w:eastAsia="Times New Roman" w:hAnsi="Times New Roman"/>
                <w:sz w:val="17"/>
                <w:szCs w:val="17"/>
                <w:color w:val="auto"/>
              </w:rPr>
              <w:t>S-1/A</w:t>
            </w:r>
          </w:p>
        </w:tc>
        <w:tc>
          <w:tcPr>
            <w:tcW w:w="1420" w:type="dxa"/>
            <w:vAlign w:val="bottom"/>
          </w:tcPr>
          <w:p>
            <w:pPr>
              <w:jc w:val="right"/>
              <w:ind w:right="328"/>
              <w:spacing w:after="0" w:line="179" w:lineRule="exact"/>
              <w:rPr>
                <w:sz w:val="20"/>
                <w:szCs w:val="20"/>
                <w:color w:val="auto"/>
              </w:rPr>
            </w:pPr>
            <w:r>
              <w:rPr>
                <w:rFonts w:ascii="Times New Roman" w:cs="Times New Roman" w:eastAsia="Times New Roman" w:hAnsi="Times New Roman"/>
                <w:sz w:val="17"/>
                <w:szCs w:val="17"/>
                <w:color w:val="auto"/>
              </w:rPr>
              <w:t>9/18/2015</w:t>
            </w:r>
          </w:p>
        </w:tc>
        <w:tc>
          <w:tcPr>
            <w:tcW w:w="1220" w:type="dxa"/>
            <w:vAlign w:val="bottom"/>
          </w:tcPr>
          <w:p>
            <w:pPr>
              <w:jc w:val="right"/>
              <w:ind w:right="285"/>
              <w:spacing w:after="0" w:line="179" w:lineRule="exact"/>
              <w:rPr>
                <w:sz w:val="20"/>
                <w:szCs w:val="20"/>
                <w:color w:val="auto"/>
              </w:rPr>
            </w:pPr>
            <w:r>
              <w:rPr>
                <w:rFonts w:ascii="Times New Roman" w:cs="Times New Roman" w:eastAsia="Times New Roman" w:hAnsi="Times New Roman"/>
                <w:sz w:val="17"/>
                <w:szCs w:val="17"/>
                <w:color w:val="auto"/>
              </w:rPr>
              <w:t>10.21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00" w:type="dxa"/>
            <w:vAlign w:val="bottom"/>
            <w:tcBorders>
              <w:bottom w:val="single" w:sz="8" w:color="0000EE"/>
            </w:tcBorders>
            <w:gridSpan w:val="3"/>
          </w:tcPr>
          <w:p>
            <w:pPr>
              <w:spacing w:after="0" w:line="179" w:lineRule="exact"/>
              <w:rPr>
                <w:rFonts w:ascii="Times New Roman" w:cs="Times New Roman" w:eastAsia="Times New Roman" w:hAnsi="Times New Roman"/>
                <w:sz w:val="17"/>
                <w:szCs w:val="17"/>
                <w:color w:val="0000EE"/>
                <w:w w:val="96"/>
              </w:rPr>
            </w:pPr>
            <w:hyperlink r:id="rId208">
              <w:r>
                <w:rPr>
                  <w:rFonts w:ascii="Times New Roman" w:cs="Times New Roman" w:eastAsia="Times New Roman" w:hAnsi="Times New Roman"/>
                  <w:sz w:val="17"/>
                  <w:szCs w:val="17"/>
                  <w:color w:val="0000EE"/>
                  <w:w w:val="96"/>
                </w:rPr>
                <w:t>Agreement effective as of May 30, 2013 and Amendment No. 2 to</w:t>
              </w:r>
            </w:hyperlink>
          </w:p>
        </w:tc>
        <w:tc>
          <w:tcPr>
            <w:tcW w:w="36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760" w:type="dxa"/>
            <w:vAlign w:val="bottom"/>
            <w:gridSpan w:val="5"/>
          </w:tcPr>
          <w:p>
            <w:pPr>
              <w:spacing w:after="0" w:line="179" w:lineRule="exact"/>
              <w:rPr>
                <w:rFonts w:ascii="Times New Roman" w:cs="Times New Roman" w:eastAsia="Times New Roman" w:hAnsi="Times New Roman"/>
                <w:sz w:val="17"/>
                <w:szCs w:val="17"/>
                <w:color w:val="0000EE"/>
              </w:rPr>
            </w:pPr>
            <w:hyperlink r:id="rId208">
              <w:r>
                <w:rPr>
                  <w:rFonts w:ascii="Times New Roman" w:cs="Times New Roman" w:eastAsia="Times New Roman" w:hAnsi="Times New Roman"/>
                  <w:sz w:val="17"/>
                  <w:szCs w:val="17"/>
                  <w:color w:val="0000EE"/>
                </w:rPr>
                <w:t>Exclusive Agreement effective as of November 8, 2013.</w:t>
              </w:r>
            </w:hyperlink>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1">
            <w:col w:w="11460"/>
          </w:cols>
          <w:pgMar w:left="240" w:top="316" w:right="199" w:bottom="1440" w:gutter="0" w:footer="0" w:header="0"/>
        </w:sectPr>
      </w:pPr>
    </w:p>
    <w:tbl>
      <w:tblPr>
        <w:tblLayout w:type="fixed"/>
        <w:tblInd w:w="180" w:type="dxa"/>
        <w:tblCellMar>
          <w:top w:w="0" w:type="dxa"/>
          <w:left w:w="0" w:type="dxa"/>
          <w:bottom w:w="0" w:type="dxa"/>
          <w:right w:w="0" w:type="dxa"/>
        </w:tblCellMar>
      </w:tblPr>
      <w:tr>
        <w:trPr>
          <w:trHeight w:val="195"/>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10.18†</w:t>
            </w:r>
          </w:p>
        </w:tc>
        <w:tc>
          <w:tcPr>
            <w:tcW w:w="4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w w:val="96"/>
              </w:rPr>
            </w:pPr>
            <w:hyperlink r:id="rId209">
              <w:r>
                <w:rPr>
                  <w:rFonts w:ascii="Times New Roman" w:cs="Times New Roman" w:eastAsia="Times New Roman" w:hAnsi="Times New Roman"/>
                  <w:sz w:val="17"/>
                  <w:szCs w:val="17"/>
                  <w:color w:val="0000EE"/>
                  <w:w w:val="96"/>
                </w:rPr>
                <w:t>Collaboration and License Agreement by and between CytomX</w:t>
              </w:r>
            </w:hyperlink>
          </w:p>
        </w:tc>
        <w:tc>
          <w:tcPr>
            <w:tcW w:w="4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4520" w:type="dxa"/>
            <w:vAlign w:val="bottom"/>
            <w:tcBorders>
              <w:bottom w:val="single" w:sz="8" w:color="0000EE"/>
            </w:tcBorders>
            <w:gridSpan w:val="13"/>
          </w:tcPr>
          <w:p>
            <w:pPr>
              <w:spacing w:after="0" w:line="179" w:lineRule="exact"/>
              <w:rPr>
                <w:rFonts w:ascii="Times New Roman" w:cs="Times New Roman" w:eastAsia="Times New Roman" w:hAnsi="Times New Roman"/>
                <w:sz w:val="17"/>
                <w:szCs w:val="17"/>
                <w:color w:val="0000EE"/>
                <w:w w:val="97"/>
              </w:rPr>
            </w:pPr>
            <w:hyperlink r:id="rId209">
              <w:r>
                <w:rPr>
                  <w:rFonts w:ascii="Times New Roman" w:cs="Times New Roman" w:eastAsia="Times New Roman" w:hAnsi="Times New Roman"/>
                  <w:sz w:val="17"/>
                  <w:szCs w:val="17"/>
                  <w:color w:val="0000EE"/>
                  <w:w w:val="97"/>
                </w:rPr>
                <w:t>Therapeutics, Inc. and Amgen, Inc. dated as of September 29, 2017.</w:t>
              </w:r>
            </w:hyperlink>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10.19</w:t>
            </w:r>
          </w:p>
        </w:tc>
        <w:tc>
          <w:tcPr>
            <w:tcW w:w="4640" w:type="dxa"/>
            <w:vAlign w:val="bottom"/>
            <w:gridSpan w:val="15"/>
          </w:tcPr>
          <w:p>
            <w:pPr>
              <w:spacing w:after="0"/>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Lease dated as of December 10, 2015, by and between CytomX</w:t>
              </w:r>
            </w:hyperlink>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5"/>
          </w:tcPr>
          <w:p>
            <w:pPr>
              <w:spacing w:after="0" w:line="179" w:lineRule="exact"/>
              <w:rPr>
                <w:rFonts w:ascii="Times New Roman" w:cs="Times New Roman" w:eastAsia="Times New Roman" w:hAnsi="Times New Roman"/>
                <w:sz w:val="17"/>
                <w:szCs w:val="17"/>
                <w:color w:val="0000EE"/>
                <w:w w:val="97"/>
              </w:rPr>
            </w:pPr>
            <w:hyperlink r:id="rId210">
              <w:r>
                <w:rPr>
                  <w:rFonts w:ascii="Times New Roman" w:cs="Times New Roman" w:eastAsia="Times New Roman" w:hAnsi="Times New Roman"/>
                  <w:sz w:val="17"/>
                  <w:szCs w:val="17"/>
                  <w:color w:val="0000EE"/>
                  <w:w w:val="97"/>
                </w:rPr>
                <w:t>Therapeutics, Inc. and HCP Oyster Point III LLC.</w:t>
              </w:r>
            </w:hyperlink>
          </w:p>
        </w:tc>
        <w:tc>
          <w:tcPr>
            <w:tcW w:w="900" w:type="dxa"/>
            <w:vAlign w:val="bottom"/>
            <w:tcBorders>
              <w:top w:val="single" w:sz="8" w:color="0000EE"/>
            </w:tcBorders>
            <w:gridSpan w:val="5"/>
          </w:tcPr>
          <w:p>
            <w:pPr>
              <w:spacing w:after="0"/>
              <w:rPr>
                <w:sz w:val="15"/>
                <w:szCs w:val="15"/>
                <w:color w:val="auto"/>
              </w:rPr>
            </w:pPr>
          </w:p>
        </w:tc>
        <w:tc>
          <w:tcPr>
            <w:tcW w:w="4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10.20†</w:t>
            </w:r>
          </w:p>
        </w:tc>
        <w:tc>
          <w:tcPr>
            <w:tcW w:w="404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7"/>
              </w:rPr>
            </w:pPr>
            <w:hyperlink r:id="rId211">
              <w:r>
                <w:rPr>
                  <w:rFonts w:ascii="Times New Roman" w:cs="Times New Roman" w:eastAsia="Times New Roman" w:hAnsi="Times New Roman"/>
                  <w:sz w:val="17"/>
                  <w:szCs w:val="17"/>
                  <w:color w:val="0000EE"/>
                  <w:w w:val="97"/>
                </w:rPr>
                <w:t>First Amendment to the CD71 Co-Development and License</w:t>
              </w:r>
            </w:hyperlink>
          </w:p>
        </w:tc>
        <w:tc>
          <w:tcPr>
            <w:tcW w:w="6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450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6"/>
              </w:rPr>
            </w:pPr>
            <w:hyperlink r:id="rId211">
              <w:r>
                <w:rPr>
                  <w:rFonts w:ascii="Times New Roman" w:cs="Times New Roman" w:eastAsia="Times New Roman" w:hAnsi="Times New Roman"/>
                  <w:sz w:val="17"/>
                  <w:szCs w:val="17"/>
                  <w:color w:val="0000EE"/>
                  <w:w w:val="96"/>
                </w:rPr>
                <w:t>Agreement by and between CytomX Therapeutics, Inc. and AbbVie</w:t>
              </w:r>
            </w:hyperlink>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3820" w:type="dxa"/>
            <w:vAlign w:val="bottom"/>
            <w:tcBorders>
              <w:bottom w:val="single" w:sz="8" w:color="0000EE"/>
            </w:tcBorders>
            <w:gridSpan w:val="7"/>
          </w:tcPr>
          <w:p>
            <w:pPr>
              <w:spacing w:after="0" w:line="179" w:lineRule="exact"/>
              <w:rPr>
                <w:rFonts w:ascii="Times New Roman" w:cs="Times New Roman" w:eastAsia="Times New Roman" w:hAnsi="Times New Roman"/>
                <w:sz w:val="17"/>
                <w:szCs w:val="17"/>
                <w:color w:val="0000EE"/>
                <w:w w:val="96"/>
              </w:rPr>
            </w:pPr>
            <w:hyperlink r:id="rId211">
              <w:r>
                <w:rPr>
                  <w:rFonts w:ascii="Times New Roman" w:cs="Times New Roman" w:eastAsia="Times New Roman" w:hAnsi="Times New Roman"/>
                  <w:sz w:val="17"/>
                  <w:szCs w:val="17"/>
                  <w:color w:val="0000EE"/>
                  <w:w w:val="96"/>
                </w:rPr>
                <w:t>Ireland Unlimited Company, dated as of October 5, 2016.</w:t>
              </w:r>
            </w:hyperlink>
          </w:p>
        </w:tc>
        <w:tc>
          <w:tcPr>
            <w:tcW w:w="8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5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10.21†</w:t>
            </w:r>
          </w:p>
        </w:tc>
        <w:tc>
          <w:tcPr>
            <w:tcW w:w="4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w w:val="96"/>
              </w:rPr>
            </w:pPr>
            <w:hyperlink r:id="rId212">
              <w:r>
                <w:rPr>
                  <w:rFonts w:ascii="Times New Roman" w:cs="Times New Roman" w:eastAsia="Times New Roman" w:hAnsi="Times New Roman"/>
                  <w:sz w:val="17"/>
                  <w:szCs w:val="17"/>
                  <w:color w:val="0000EE"/>
                  <w:w w:val="96"/>
                </w:rPr>
                <w:t>Second Amendment to the CD71 Co-Development and License</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500" w:type="dxa"/>
            <w:vAlign w:val="bottom"/>
            <w:gridSpan w:val="12"/>
            <w:vMerge w:val="restart"/>
          </w:tcPr>
          <w:p>
            <w:pPr>
              <w:spacing w:after="0" w:line="179" w:lineRule="exact"/>
              <w:rPr>
                <w:rFonts w:ascii="Times New Roman" w:cs="Times New Roman" w:eastAsia="Times New Roman" w:hAnsi="Times New Roman"/>
                <w:sz w:val="17"/>
                <w:szCs w:val="17"/>
                <w:color w:val="0000EE"/>
                <w:w w:val="96"/>
              </w:rPr>
            </w:pPr>
            <w:hyperlink r:id="rId212">
              <w:r>
                <w:rPr>
                  <w:rFonts w:ascii="Times New Roman" w:cs="Times New Roman" w:eastAsia="Times New Roman" w:hAnsi="Times New Roman"/>
                  <w:sz w:val="17"/>
                  <w:szCs w:val="17"/>
                  <w:color w:val="0000EE"/>
                  <w:w w:val="96"/>
                </w:rPr>
                <w:t>Agreement by and between CytomX Therapeutics, Inc. and AbbVie</w:t>
              </w:r>
            </w:hyperlink>
          </w:p>
        </w:tc>
        <w:tc>
          <w:tcPr>
            <w:tcW w:w="14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520" w:type="dxa"/>
            <w:vAlign w:val="bottom"/>
          </w:tcPr>
          <w:p>
            <w:pPr>
              <w:spacing w:after="0"/>
              <w:rPr>
                <w:sz w:val="6"/>
                <w:szCs w:val="6"/>
                <w:color w:val="auto"/>
              </w:rPr>
            </w:pPr>
          </w:p>
        </w:tc>
        <w:tc>
          <w:tcPr>
            <w:tcW w:w="4500" w:type="dxa"/>
            <w:vAlign w:val="bottom"/>
            <w:tcBorders>
              <w:bottom w:val="single" w:sz="8" w:color="0000EE"/>
            </w:tcBorders>
            <w:gridSpan w:val="12"/>
            <w:vMerge w:val="continue"/>
          </w:tcPr>
          <w:p>
            <w:pPr>
              <w:spacing w:after="0"/>
              <w:rPr>
                <w:sz w:val="6"/>
                <w:szCs w:val="6"/>
                <w:color w:val="auto"/>
              </w:rPr>
            </w:pPr>
          </w:p>
        </w:tc>
        <w:tc>
          <w:tcPr>
            <w:tcW w:w="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3800" w:type="dxa"/>
            <w:vAlign w:val="bottom"/>
            <w:tcBorders>
              <w:bottom w:val="single" w:sz="8" w:color="0000EE"/>
            </w:tcBorders>
            <w:gridSpan w:val="6"/>
          </w:tcPr>
          <w:p>
            <w:pPr>
              <w:spacing w:after="0" w:line="179" w:lineRule="exact"/>
              <w:rPr>
                <w:rFonts w:ascii="Times New Roman" w:cs="Times New Roman" w:eastAsia="Times New Roman" w:hAnsi="Times New Roman"/>
                <w:sz w:val="17"/>
                <w:szCs w:val="17"/>
                <w:color w:val="0000EE"/>
                <w:w w:val="96"/>
              </w:rPr>
            </w:pPr>
            <w:hyperlink r:id="rId212">
              <w:r>
                <w:rPr>
                  <w:rFonts w:ascii="Times New Roman" w:cs="Times New Roman" w:eastAsia="Times New Roman" w:hAnsi="Times New Roman"/>
                  <w:sz w:val="17"/>
                  <w:szCs w:val="17"/>
                  <w:color w:val="0000EE"/>
                  <w:w w:val="96"/>
                </w:rPr>
                <w:t>Ireland Unlimited Company, dated as of March 31, 2017.</w:t>
              </w:r>
            </w:hyperlink>
          </w:p>
        </w:tc>
        <w:tc>
          <w:tcPr>
            <w:tcW w:w="8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10.22†</w:t>
            </w:r>
          </w:p>
        </w:tc>
        <w:tc>
          <w:tcPr>
            <w:tcW w:w="410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w w:val="96"/>
              </w:rPr>
            </w:pPr>
            <w:hyperlink r:id="rId213">
              <w:r>
                <w:rPr>
                  <w:rFonts w:ascii="Times New Roman" w:cs="Times New Roman" w:eastAsia="Times New Roman" w:hAnsi="Times New Roman"/>
                  <w:sz w:val="17"/>
                  <w:szCs w:val="17"/>
                  <w:color w:val="0000EE"/>
                  <w:w w:val="96"/>
                </w:rPr>
                <w:t>Third Amendment to the CD71 Co-Development and License</w:t>
              </w:r>
            </w:hyperlink>
          </w:p>
        </w:tc>
        <w:tc>
          <w:tcPr>
            <w:tcW w:w="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450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6"/>
              </w:rPr>
            </w:pPr>
            <w:hyperlink r:id="rId213">
              <w:r>
                <w:rPr>
                  <w:rFonts w:ascii="Times New Roman" w:cs="Times New Roman" w:eastAsia="Times New Roman" w:hAnsi="Times New Roman"/>
                  <w:sz w:val="17"/>
                  <w:szCs w:val="17"/>
                  <w:color w:val="0000EE"/>
                  <w:w w:val="96"/>
                </w:rPr>
                <w:t>Agreement by and between CytomX Therapeutics, Inc. and AbbVie</w:t>
              </w:r>
            </w:hyperlink>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3800" w:type="dxa"/>
            <w:vAlign w:val="bottom"/>
            <w:tcBorders>
              <w:bottom w:val="single" w:sz="8" w:color="0000EE"/>
            </w:tcBorders>
            <w:gridSpan w:val="6"/>
          </w:tcPr>
          <w:p>
            <w:pPr>
              <w:spacing w:after="0" w:line="179" w:lineRule="exact"/>
              <w:rPr>
                <w:rFonts w:ascii="Times New Roman" w:cs="Times New Roman" w:eastAsia="Times New Roman" w:hAnsi="Times New Roman"/>
                <w:sz w:val="17"/>
                <w:szCs w:val="17"/>
                <w:color w:val="0000EE"/>
                <w:w w:val="96"/>
              </w:rPr>
            </w:pPr>
            <w:hyperlink r:id="rId213">
              <w:r>
                <w:rPr>
                  <w:rFonts w:ascii="Times New Roman" w:cs="Times New Roman" w:eastAsia="Times New Roman" w:hAnsi="Times New Roman"/>
                  <w:sz w:val="17"/>
                  <w:szCs w:val="17"/>
                  <w:color w:val="0000EE"/>
                  <w:w w:val="96"/>
                </w:rPr>
                <w:t>Ireland Unlimited Company, dated as of January 3, 2018.</w:t>
              </w:r>
            </w:hyperlink>
          </w:p>
        </w:tc>
        <w:tc>
          <w:tcPr>
            <w:tcW w:w="8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10.23†</w:t>
            </w:r>
          </w:p>
        </w:tc>
        <w:tc>
          <w:tcPr>
            <w:tcW w:w="450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w w:val="97"/>
              </w:rPr>
            </w:pPr>
            <w:hyperlink r:id="rId214">
              <w:r>
                <w:rPr>
                  <w:rFonts w:ascii="Times New Roman" w:cs="Times New Roman" w:eastAsia="Times New Roman" w:hAnsi="Times New Roman"/>
                  <w:sz w:val="17"/>
                  <w:szCs w:val="17"/>
                  <w:color w:val="0000EE"/>
                  <w:w w:val="97"/>
                </w:rPr>
                <w:t>License Agreement by and between CytomX Therapeutics, Inc. and</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3240" w:type="dxa"/>
            <w:vAlign w:val="bottom"/>
            <w:tcBorders>
              <w:bottom w:val="single" w:sz="8" w:color="0000EE"/>
            </w:tcBorders>
            <w:gridSpan w:val="4"/>
          </w:tcPr>
          <w:p>
            <w:pPr>
              <w:spacing w:after="0" w:line="179" w:lineRule="exact"/>
              <w:rPr>
                <w:rFonts w:ascii="Times New Roman" w:cs="Times New Roman" w:eastAsia="Times New Roman" w:hAnsi="Times New Roman"/>
                <w:sz w:val="17"/>
                <w:szCs w:val="17"/>
                <w:color w:val="0000EE"/>
                <w:w w:val="96"/>
              </w:rPr>
            </w:pPr>
            <w:hyperlink r:id="rId214">
              <w:r>
                <w:rPr>
                  <w:rFonts w:ascii="Times New Roman" w:cs="Times New Roman" w:eastAsia="Times New Roman" w:hAnsi="Times New Roman"/>
                  <w:sz w:val="17"/>
                  <w:szCs w:val="17"/>
                  <w:color w:val="0000EE"/>
                  <w:w w:val="96"/>
                </w:rPr>
                <w:t>ImmunoGen Inc., dated as of February 12, 2016.</w:t>
              </w:r>
            </w:hyperlink>
          </w:p>
        </w:tc>
        <w:tc>
          <w:tcPr>
            <w:tcW w:w="140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576"/>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10.24†</w:t>
            </w:r>
          </w:p>
        </w:tc>
        <w:tc>
          <w:tcPr>
            <w:tcW w:w="4640" w:type="dxa"/>
            <w:vAlign w:val="bottom"/>
            <w:gridSpan w:val="15"/>
          </w:tcPr>
          <w:p>
            <w:pPr>
              <w:spacing w:after="0"/>
              <w:rPr>
                <w:rFonts w:ascii="Times New Roman" w:cs="Times New Roman" w:eastAsia="Times New Roman" w:hAnsi="Times New Roman"/>
                <w:sz w:val="17"/>
                <w:szCs w:val="17"/>
                <w:color w:val="0000EE"/>
                <w:w w:val="97"/>
              </w:rPr>
            </w:pPr>
            <w:hyperlink r:id="rId215">
              <w:r>
                <w:rPr>
                  <w:rFonts w:ascii="Times New Roman" w:cs="Times New Roman" w:eastAsia="Times New Roman" w:hAnsi="Times New Roman"/>
                  <w:sz w:val="17"/>
                  <w:szCs w:val="17"/>
                  <w:color w:val="0000EE"/>
                  <w:w w:val="97"/>
                </w:rPr>
                <w:t>Second Amendment to the Research Collaboration Agreement by and</w:t>
              </w:r>
            </w:hyperlink>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0" w:type="dxa"/>
            <w:vAlign w:val="bottom"/>
            <w:gridSpan w:val="8"/>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20" w:type="dxa"/>
            <w:vAlign w:val="bottom"/>
          </w:tcPr>
          <w:p>
            <w:pPr>
              <w:spacing w:after="0"/>
              <w:rPr>
                <w:sz w:val="15"/>
                <w:szCs w:val="15"/>
                <w:color w:val="auto"/>
              </w:rPr>
            </w:pPr>
          </w:p>
        </w:tc>
        <w:tc>
          <w:tcPr>
            <w:tcW w:w="4640" w:type="dxa"/>
            <w:vAlign w:val="bottom"/>
            <w:tcBorders>
              <w:bottom w:val="single" w:sz="8" w:color="0000EE"/>
            </w:tcBorders>
            <w:gridSpan w:val="15"/>
          </w:tcPr>
          <w:p>
            <w:pPr>
              <w:spacing w:after="0" w:line="179" w:lineRule="exact"/>
              <w:rPr>
                <w:rFonts w:ascii="Times New Roman" w:cs="Times New Roman" w:eastAsia="Times New Roman" w:hAnsi="Times New Roman"/>
                <w:sz w:val="17"/>
                <w:szCs w:val="17"/>
                <w:color w:val="0000EE"/>
                <w:w w:val="96"/>
              </w:rPr>
            </w:pPr>
            <w:hyperlink r:id="rId215">
              <w:r>
                <w:rPr>
                  <w:rFonts w:ascii="Times New Roman" w:cs="Times New Roman" w:eastAsia="Times New Roman" w:hAnsi="Times New Roman"/>
                  <w:sz w:val="17"/>
                  <w:szCs w:val="17"/>
                  <w:color w:val="0000EE"/>
                  <w:w w:val="96"/>
                </w:rPr>
                <w:t>between CytomX Therapeutics, Inc. and ImmunoGen Inc., dated as of</w:t>
              </w:r>
            </w:hyperlink>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4640" w:type="dxa"/>
            <w:vAlign w:val="bottom"/>
            <w:gridSpan w:val="15"/>
          </w:tcPr>
          <w:p>
            <w:pPr>
              <w:spacing w:after="0" w:line="179" w:lineRule="exact"/>
              <w:rPr>
                <w:rFonts w:ascii="Times New Roman" w:cs="Times New Roman" w:eastAsia="Times New Roman" w:hAnsi="Times New Roman"/>
                <w:sz w:val="17"/>
                <w:szCs w:val="17"/>
                <w:color w:val="0000EE"/>
              </w:rPr>
            </w:pPr>
            <w:hyperlink r:id="rId215">
              <w:r>
                <w:rPr>
                  <w:rFonts w:ascii="Times New Roman" w:cs="Times New Roman" w:eastAsia="Times New Roman" w:hAnsi="Times New Roman"/>
                  <w:sz w:val="17"/>
                  <w:szCs w:val="17"/>
                  <w:color w:val="0000EE"/>
                </w:rPr>
                <w:t>February 12, 2016.</w:t>
              </w:r>
            </w:hyperlink>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10.25†</w:t>
            </w:r>
          </w:p>
        </w:tc>
        <w:tc>
          <w:tcPr>
            <w:tcW w:w="452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w w:val="97"/>
              </w:rPr>
            </w:pPr>
            <w:hyperlink r:id="rId216">
              <w:r>
                <w:rPr>
                  <w:rFonts w:ascii="Times New Roman" w:cs="Times New Roman" w:eastAsia="Times New Roman" w:hAnsi="Times New Roman"/>
                  <w:sz w:val="17"/>
                  <w:szCs w:val="17"/>
                  <w:color w:val="0000EE"/>
                  <w:w w:val="97"/>
                </w:rPr>
                <w:t>Third Amendment to the Research Collaboration Agreement by and</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4640" w:type="dxa"/>
            <w:vAlign w:val="bottom"/>
            <w:tcBorders>
              <w:bottom w:val="single" w:sz="8" w:color="0000EE"/>
            </w:tcBorders>
            <w:gridSpan w:val="15"/>
          </w:tcPr>
          <w:p>
            <w:pPr>
              <w:spacing w:after="0" w:line="179" w:lineRule="exact"/>
              <w:rPr>
                <w:rFonts w:ascii="Times New Roman" w:cs="Times New Roman" w:eastAsia="Times New Roman" w:hAnsi="Times New Roman"/>
                <w:sz w:val="17"/>
                <w:szCs w:val="17"/>
                <w:color w:val="0000EE"/>
                <w:w w:val="96"/>
              </w:rPr>
            </w:pPr>
            <w:hyperlink r:id="rId216">
              <w:r>
                <w:rPr>
                  <w:rFonts w:ascii="Times New Roman" w:cs="Times New Roman" w:eastAsia="Times New Roman" w:hAnsi="Times New Roman"/>
                  <w:sz w:val="17"/>
                  <w:szCs w:val="17"/>
                  <w:color w:val="0000EE"/>
                  <w:w w:val="96"/>
                </w:rPr>
                <w:t>between CytomX Therapeutics, Inc. and ImmunoGen Inc., dated as of</w:t>
              </w:r>
            </w:hyperlink>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102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96"/>
              </w:rPr>
            </w:pPr>
            <w:hyperlink r:id="rId216">
              <w:r>
                <w:rPr>
                  <w:rFonts w:ascii="Times New Roman" w:cs="Times New Roman" w:eastAsia="Times New Roman" w:hAnsi="Times New Roman"/>
                  <w:sz w:val="17"/>
                  <w:szCs w:val="17"/>
                  <w:color w:val="0000EE"/>
                  <w:w w:val="96"/>
                </w:rPr>
                <w:t>March 3, 2017.</w:t>
              </w:r>
            </w:hyperlink>
          </w:p>
        </w:tc>
        <w:tc>
          <w:tcPr>
            <w:tcW w:w="36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10.26#</w:t>
            </w:r>
          </w:p>
        </w:tc>
        <w:tc>
          <w:tcPr>
            <w:tcW w:w="450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7"/>
              </w:rPr>
            </w:pPr>
            <w:hyperlink r:id="rId217">
              <w:r>
                <w:rPr>
                  <w:rFonts w:ascii="Times New Roman" w:cs="Times New Roman" w:eastAsia="Times New Roman" w:hAnsi="Times New Roman"/>
                  <w:sz w:val="17"/>
                  <w:szCs w:val="17"/>
                  <w:color w:val="0000EE"/>
                  <w:w w:val="97"/>
                </w:rPr>
                <w:t>Severance and Change of Control Agreement and First Amendment</w:t>
              </w:r>
            </w:hyperlink>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4640" w:type="dxa"/>
            <w:vAlign w:val="bottom"/>
            <w:gridSpan w:val="15"/>
          </w:tcPr>
          <w:p>
            <w:pPr>
              <w:spacing w:after="0" w:line="179" w:lineRule="exact"/>
              <w:rPr>
                <w:rFonts w:ascii="Times New Roman" w:cs="Times New Roman" w:eastAsia="Times New Roman" w:hAnsi="Times New Roman"/>
                <w:sz w:val="17"/>
                <w:szCs w:val="17"/>
                <w:color w:val="0000EE"/>
                <w:w w:val="99"/>
              </w:rPr>
            </w:pPr>
            <w:hyperlink r:id="rId217">
              <w:r>
                <w:rPr>
                  <w:rFonts w:ascii="Times New Roman" w:cs="Times New Roman" w:eastAsia="Times New Roman" w:hAnsi="Times New Roman"/>
                  <w:sz w:val="17"/>
                  <w:szCs w:val="17"/>
                  <w:color w:val="0000EE"/>
                  <w:w w:val="99"/>
                </w:rPr>
                <w:t>to Severance and Change of Control Agreement effective as of May</w:t>
              </w:r>
            </w:hyperlink>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4500" w:type="dxa"/>
            <w:vAlign w:val="bottom"/>
            <w:tcBorders>
              <w:top w:val="single" w:sz="8" w:color="0000EE"/>
            </w:tcBorders>
            <w:gridSpan w:val="12"/>
          </w:tcPr>
          <w:p>
            <w:pPr>
              <w:spacing w:after="0" w:line="179" w:lineRule="exact"/>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16, 2018, by and between CytomX Therapeutics, Inc. and Lloyd</w:t>
              </w:r>
            </w:hyperlink>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4260" w:type="dxa"/>
            <w:vAlign w:val="bottom"/>
            <w:tcBorders>
              <w:top w:val="single" w:sz="8" w:color="0000EE"/>
            </w:tcBorders>
            <w:gridSpan w:val="11"/>
          </w:tcPr>
          <w:p>
            <w:pPr>
              <w:spacing w:after="0" w:line="179" w:lineRule="exact"/>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Rowland.</w:t>
              </w:r>
            </w:hyperlink>
          </w:p>
        </w:tc>
        <w:tc>
          <w:tcPr>
            <w:tcW w:w="3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11/7/2017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596"/>
        </w:trPr>
        <w:tc>
          <w:tcPr>
            <w:tcW w:w="74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12/16/2015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596"/>
        </w:trPr>
        <w:tc>
          <w:tcPr>
            <w:tcW w:w="74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91"/>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11/6/2018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745"/>
        </w:trPr>
        <w:tc>
          <w:tcPr>
            <w:tcW w:w="74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91"/>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11/6/2018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758"/>
        </w:trPr>
        <w:tc>
          <w:tcPr>
            <w:tcW w:w="74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91"/>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11/6/2018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696"/>
        </w:trPr>
        <w:tc>
          <w:tcPr>
            <w:tcW w:w="74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91"/>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11/6/2018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894"/>
        </w:trPr>
        <w:tc>
          <w:tcPr>
            <w:tcW w:w="74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91"/>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11/6/2018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795"/>
        </w:trPr>
        <w:tc>
          <w:tcPr>
            <w:tcW w:w="74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91"/>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11/6/2018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795"/>
        </w:trPr>
        <w:tc>
          <w:tcPr>
            <w:tcW w:w="74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91"/>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8/8/2018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bl>
    <w:p>
      <w:pPr>
        <w:spacing w:after="0" w:line="462" w:lineRule="exact"/>
        <w:rPr>
          <w:sz w:val="20"/>
          <w:szCs w:val="20"/>
          <w:color w:val="auto"/>
        </w:rPr>
      </w:pPr>
    </w:p>
    <w:p>
      <w:pPr>
        <w:sectPr>
          <w:pgSz w:w="11900" w:h="16838" w:orient="portrait"/>
          <w:cols w:equalWidth="0" w:num="2">
            <w:col w:w="6340" w:space="460"/>
            <w:col w:w="4660"/>
          </w:cols>
          <w:pgMar w:left="240" w:top="316" w:right="19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10.27#</w:t>
            </w:r>
          </w:p>
        </w:tc>
        <w:tc>
          <w:tcPr>
            <w:tcW w:w="6740" w:type="dxa"/>
            <w:vAlign w:val="bottom"/>
            <w:gridSpan w:val="5"/>
          </w:tcPr>
          <w:p>
            <w:pPr>
              <w:spacing w:after="0"/>
              <w:rPr>
                <w:rFonts w:ascii="Times New Roman" w:cs="Times New Roman" w:eastAsia="Times New Roman" w:hAnsi="Times New Roman"/>
                <w:sz w:val="17"/>
                <w:szCs w:val="17"/>
                <w:color w:val="0000EE"/>
              </w:rPr>
            </w:pPr>
            <w:hyperlink w:anchor="page139">
              <w:r>
                <w:rPr>
                  <w:rFonts w:ascii="Times New Roman" w:cs="Times New Roman" w:eastAsia="Times New Roman" w:hAnsi="Times New Roman"/>
                  <w:sz w:val="17"/>
                  <w:szCs w:val="17"/>
                  <w:color w:val="0000EE"/>
                </w:rPr>
                <w:t>Consulting Agreement between CytomX Therapeutics, Inc and Dr.</w:t>
              </w:r>
            </w:hyperlink>
          </w:p>
        </w:tc>
        <w:tc>
          <w:tcPr>
            <w:tcW w:w="3020" w:type="dxa"/>
            <w:vAlign w:val="bottom"/>
          </w:tcPr>
          <w:p>
            <w:pPr>
              <w:spacing w:after="0"/>
              <w:rPr>
                <w:sz w:val="16"/>
                <w:szCs w:val="16"/>
                <w:color w:val="auto"/>
              </w:rPr>
            </w:pPr>
          </w:p>
        </w:tc>
      </w:tr>
      <w:tr>
        <w:trPr>
          <w:trHeight w:val="179"/>
        </w:trPr>
        <w:tc>
          <w:tcPr>
            <w:tcW w:w="1700" w:type="dxa"/>
            <w:vAlign w:val="bottom"/>
          </w:tcPr>
          <w:p>
            <w:pPr>
              <w:spacing w:after="0"/>
              <w:rPr>
                <w:sz w:val="15"/>
                <w:szCs w:val="15"/>
                <w:color w:val="auto"/>
              </w:rPr>
            </w:pPr>
          </w:p>
        </w:tc>
        <w:tc>
          <w:tcPr>
            <w:tcW w:w="4420" w:type="dxa"/>
            <w:vAlign w:val="bottom"/>
            <w:tcBorders>
              <w:top w:val="single" w:sz="8" w:color="0000EE"/>
            </w:tcBorders>
            <w:gridSpan w:val="4"/>
          </w:tcPr>
          <w:p>
            <w:pPr>
              <w:spacing w:after="0" w:line="179" w:lineRule="exact"/>
              <w:rPr>
                <w:rFonts w:ascii="Times New Roman" w:cs="Times New Roman" w:eastAsia="Times New Roman" w:hAnsi="Times New Roman"/>
                <w:sz w:val="17"/>
                <w:szCs w:val="17"/>
                <w:color w:val="0000EE"/>
              </w:rPr>
            </w:pPr>
            <w:hyperlink w:anchor="page139">
              <w:r>
                <w:rPr>
                  <w:rFonts w:ascii="Times New Roman" w:cs="Times New Roman" w:eastAsia="Times New Roman" w:hAnsi="Times New Roman"/>
                  <w:sz w:val="17"/>
                  <w:szCs w:val="17"/>
                  <w:color w:val="0000EE"/>
                </w:rPr>
                <w:t>Hoyoung Huh, effective as of December 30, 2018.</w:t>
              </w:r>
            </w:hyperlink>
          </w:p>
        </w:tc>
        <w:tc>
          <w:tcPr>
            <w:tcW w:w="2320" w:type="dxa"/>
            <w:vAlign w:val="bottom"/>
          </w:tcPr>
          <w:p>
            <w:pPr>
              <w:spacing w:after="0"/>
              <w:rPr>
                <w:sz w:val="15"/>
                <w:szCs w:val="15"/>
                <w:color w:val="auto"/>
              </w:rPr>
            </w:pPr>
          </w:p>
        </w:tc>
        <w:tc>
          <w:tcPr>
            <w:tcW w:w="3020" w:type="dxa"/>
            <w:vAlign w:val="bottom"/>
          </w:tcPr>
          <w:p>
            <w:pPr>
              <w:ind w:left="2340"/>
              <w:spacing w:after="0" w:line="179" w:lineRule="exact"/>
              <w:rPr>
                <w:sz w:val="20"/>
                <w:szCs w:val="20"/>
                <w:color w:val="auto"/>
              </w:rPr>
            </w:pPr>
            <w:r>
              <w:rPr>
                <w:rFonts w:ascii="Times New Roman" w:cs="Times New Roman" w:eastAsia="Times New Roman" w:hAnsi="Times New Roman"/>
                <w:sz w:val="17"/>
                <w:szCs w:val="17"/>
                <w:color w:val="auto"/>
              </w:rPr>
              <w:t>X</w:t>
            </w:r>
          </w:p>
        </w:tc>
      </w:tr>
      <w:tr>
        <w:trPr>
          <w:trHeight w:val="20"/>
        </w:trPr>
        <w:tc>
          <w:tcPr>
            <w:tcW w:w="17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78"/>
        </w:trPr>
        <w:tc>
          <w:tcPr>
            <w:tcW w:w="1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23.1</w:t>
            </w:r>
          </w:p>
        </w:tc>
        <w:tc>
          <w:tcPr>
            <w:tcW w:w="4200" w:type="dxa"/>
            <w:vAlign w:val="bottom"/>
            <w:tcBorders>
              <w:bottom w:val="single" w:sz="8" w:color="0000EE"/>
            </w:tcBorders>
            <w:gridSpan w:val="3"/>
          </w:tcPr>
          <w:p>
            <w:pPr>
              <w:spacing w:after="0"/>
              <w:rPr>
                <w:rFonts w:ascii="Times New Roman" w:cs="Times New Roman" w:eastAsia="Times New Roman" w:hAnsi="Times New Roman"/>
                <w:sz w:val="17"/>
                <w:szCs w:val="17"/>
                <w:color w:val="0000EE"/>
                <w:w w:val="96"/>
              </w:rPr>
            </w:pPr>
            <w:hyperlink w:anchor="page144">
              <w:r>
                <w:rPr>
                  <w:rFonts w:ascii="Times New Roman" w:cs="Times New Roman" w:eastAsia="Times New Roman" w:hAnsi="Times New Roman"/>
                  <w:sz w:val="17"/>
                  <w:szCs w:val="17"/>
                  <w:color w:val="0000EE"/>
                  <w:w w:val="96"/>
                </w:rPr>
                <w:t>Consent of Ernst &amp; Young LLP, Independent Registered Public</w:t>
              </w:r>
            </w:hyperlink>
          </w:p>
        </w:tc>
        <w:tc>
          <w:tcPr>
            <w:tcW w:w="2540" w:type="dxa"/>
            <w:vAlign w:val="bottom"/>
            <w:gridSpan w:val="2"/>
          </w:tcPr>
          <w:p>
            <w:pPr>
              <w:spacing w:after="0"/>
              <w:rPr>
                <w:sz w:val="24"/>
                <w:szCs w:val="24"/>
                <w:color w:val="auto"/>
              </w:rPr>
            </w:pPr>
          </w:p>
        </w:tc>
        <w:tc>
          <w:tcPr>
            <w:tcW w:w="3020" w:type="dxa"/>
            <w:vAlign w:val="bottom"/>
          </w:tcPr>
          <w:p>
            <w:pPr>
              <w:spacing w:after="0"/>
              <w:rPr>
                <w:sz w:val="24"/>
                <w:szCs w:val="24"/>
                <w:color w:val="auto"/>
              </w:rPr>
            </w:pPr>
          </w:p>
        </w:tc>
      </w:tr>
      <w:tr>
        <w:trPr>
          <w:trHeight w:val="179"/>
        </w:trPr>
        <w:tc>
          <w:tcPr>
            <w:tcW w:w="1700" w:type="dxa"/>
            <w:vAlign w:val="bottom"/>
          </w:tcPr>
          <w:p>
            <w:pPr>
              <w:spacing w:after="0"/>
              <w:rPr>
                <w:sz w:val="15"/>
                <w:szCs w:val="15"/>
                <w:color w:val="auto"/>
              </w:rPr>
            </w:pPr>
          </w:p>
        </w:tc>
        <w:tc>
          <w:tcPr>
            <w:tcW w:w="1180" w:type="dxa"/>
            <w:vAlign w:val="bottom"/>
            <w:tcBorders>
              <w:bottom w:val="single" w:sz="8" w:color="0000EE"/>
            </w:tcBorders>
          </w:tcPr>
          <w:p>
            <w:pPr>
              <w:spacing w:after="0" w:line="179" w:lineRule="exact"/>
              <w:rPr>
                <w:rFonts w:ascii="Times New Roman" w:cs="Times New Roman" w:eastAsia="Times New Roman" w:hAnsi="Times New Roman"/>
                <w:sz w:val="17"/>
                <w:szCs w:val="17"/>
                <w:color w:val="0000EE"/>
                <w:w w:val="95"/>
              </w:rPr>
            </w:pPr>
            <w:hyperlink w:anchor="page144">
              <w:r>
                <w:rPr>
                  <w:rFonts w:ascii="Times New Roman" w:cs="Times New Roman" w:eastAsia="Times New Roman" w:hAnsi="Times New Roman"/>
                  <w:sz w:val="17"/>
                  <w:szCs w:val="17"/>
                  <w:color w:val="0000EE"/>
                  <w:w w:val="95"/>
                </w:rPr>
                <w:t>Accounting Firm.</w:t>
              </w:r>
            </w:hyperlink>
          </w:p>
        </w:tc>
        <w:tc>
          <w:tcPr>
            <w:tcW w:w="5560" w:type="dxa"/>
            <w:vAlign w:val="bottom"/>
            <w:gridSpan w:val="4"/>
          </w:tcPr>
          <w:p>
            <w:pPr>
              <w:spacing w:after="0"/>
              <w:rPr>
                <w:sz w:val="15"/>
                <w:szCs w:val="15"/>
                <w:color w:val="auto"/>
              </w:rPr>
            </w:pPr>
          </w:p>
        </w:tc>
        <w:tc>
          <w:tcPr>
            <w:tcW w:w="3020" w:type="dxa"/>
            <w:vAlign w:val="bottom"/>
          </w:tcPr>
          <w:p>
            <w:pPr>
              <w:ind w:left="2380"/>
              <w:spacing w:after="0" w:line="179" w:lineRule="exact"/>
              <w:rPr>
                <w:sz w:val="20"/>
                <w:szCs w:val="20"/>
                <w:color w:val="auto"/>
              </w:rPr>
            </w:pPr>
            <w:r>
              <w:rPr>
                <w:rFonts w:ascii="Times New Roman" w:cs="Times New Roman" w:eastAsia="Times New Roman" w:hAnsi="Times New Roman"/>
                <w:sz w:val="17"/>
                <w:szCs w:val="17"/>
                <w:color w:val="auto"/>
              </w:rPr>
              <w:t>X</w:t>
            </w:r>
          </w:p>
        </w:tc>
      </w:tr>
      <w:tr>
        <w:trPr>
          <w:trHeight w:val="614"/>
        </w:trPr>
        <w:tc>
          <w:tcPr>
            <w:tcW w:w="1700" w:type="dxa"/>
            <w:vAlign w:val="bottom"/>
          </w:tcPr>
          <w:p>
            <w:pPr>
              <w:spacing w:after="0"/>
              <w:rPr>
                <w:sz w:val="24"/>
                <w:szCs w:val="24"/>
                <w:color w:val="auto"/>
              </w:rPr>
            </w:pPr>
          </w:p>
        </w:tc>
        <w:tc>
          <w:tcPr>
            <w:tcW w:w="4200" w:type="dxa"/>
            <w:vAlign w:val="bottom"/>
            <w:gridSpan w:val="3"/>
          </w:tcPr>
          <w:p>
            <w:pPr>
              <w:ind w:left="3880"/>
              <w:spacing w:after="0"/>
              <w:rPr>
                <w:sz w:val="20"/>
                <w:szCs w:val="20"/>
                <w:color w:val="auto"/>
              </w:rPr>
            </w:pPr>
            <w:r>
              <w:rPr>
                <w:rFonts w:ascii="Times New Roman" w:cs="Times New Roman" w:eastAsia="Times New Roman" w:hAnsi="Times New Roman"/>
                <w:sz w:val="17"/>
                <w:szCs w:val="17"/>
                <w:color w:val="auto"/>
              </w:rPr>
              <w:t>133</w:t>
            </w:r>
          </w:p>
        </w:tc>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04"/>
        </w:trPr>
        <w:tc>
          <w:tcPr>
            <w:tcW w:w="17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316" w:right="199" w:bottom="1440" w:gutter="0" w:footer="0" w:header="0"/>
          <w:type w:val="continuous"/>
        </w:sectPr>
      </w:pPr>
    </w:p>
    <w:bookmarkStart w:id="135" w:name="page136"/>
    <w:bookmarkEnd w:id="135"/>
    <w:tbl>
      <w:tblPr>
        <w:tblLayout w:type="fixed"/>
        <w:tblInd w:w="61" w:type="dxa"/>
        <w:tblCellMar>
          <w:top w:w="0" w:type="dxa"/>
          <w:left w:w="0" w:type="dxa"/>
          <w:bottom w:w="0" w:type="dxa"/>
          <w:right w:w="0" w:type="dxa"/>
        </w:tblCellMar>
      </w:tblPr>
      <w:tr>
        <w:trPr>
          <w:trHeight w:val="174"/>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99"/>
        </w:trPr>
        <w:tc>
          <w:tcPr>
            <w:tcW w:w="16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2940" w:type="dxa"/>
            <w:vAlign w:val="bottom"/>
            <w:gridSpan w:val="8"/>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360" w:type="dxa"/>
            <w:vAlign w:val="bottom"/>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32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4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20" w:type="dxa"/>
            <w:vAlign w:val="bottom"/>
            <w:tcBorders>
              <w:top w:val="single" w:sz="8" w:color="auto"/>
            </w:tcBorders>
          </w:tcPr>
          <w:p>
            <w:pPr>
              <w:ind w:left="140"/>
              <w:spacing w:after="0" w:line="154" w:lineRule="exact"/>
              <w:rPr>
                <w:sz w:val="20"/>
                <w:szCs w:val="20"/>
                <w:color w:val="auto"/>
              </w:rPr>
            </w:pPr>
            <w:r>
              <w:rPr>
                <w:rFonts w:ascii="Times New Roman" w:cs="Times New Roman" w:eastAsia="Times New Roman" w:hAnsi="Times New Roman"/>
                <w:sz w:val="17"/>
                <w:szCs w:val="17"/>
                <w:color w:val="auto"/>
              </w:rPr>
              <w:t>23.2</w:t>
            </w:r>
          </w:p>
        </w:tc>
        <w:tc>
          <w:tcPr>
            <w:tcW w:w="4400" w:type="dxa"/>
            <w:vAlign w:val="bottom"/>
            <w:tcBorders>
              <w:top w:val="single" w:sz="8" w:color="auto"/>
              <w:bottom w:val="single" w:sz="8" w:color="0000EE"/>
            </w:tcBorders>
            <w:gridSpan w:val="5"/>
          </w:tcPr>
          <w:p>
            <w:pPr>
              <w:spacing w:after="0" w:line="154" w:lineRule="exact"/>
              <w:rPr>
                <w:rFonts w:ascii="Times New Roman" w:cs="Times New Roman" w:eastAsia="Times New Roman" w:hAnsi="Times New Roman"/>
                <w:sz w:val="17"/>
                <w:szCs w:val="17"/>
                <w:color w:val="0000EE"/>
                <w:w w:val="97"/>
              </w:rPr>
            </w:pPr>
            <w:hyperlink w:anchor="page145">
              <w:r>
                <w:rPr>
                  <w:rFonts w:ascii="Times New Roman" w:cs="Times New Roman" w:eastAsia="Times New Roman" w:hAnsi="Times New Roman"/>
                  <w:sz w:val="17"/>
                  <w:szCs w:val="17"/>
                  <w:color w:val="0000EE"/>
                  <w:w w:val="97"/>
                </w:rPr>
                <w:t>Consent of PricewaterhouseCoopers LLP, Independent Registered</w:t>
              </w:r>
            </w:hyperlink>
          </w:p>
        </w:tc>
        <w:tc>
          <w:tcPr>
            <w:tcW w:w="180" w:type="dxa"/>
            <w:vAlign w:val="bottom"/>
            <w:tcBorders>
              <w:top w:val="single" w:sz="8" w:color="auto"/>
            </w:tcBorders>
            <w:gridSpan w:val="4"/>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vMerge w:val="restart"/>
          </w:tcPr>
          <w:p>
            <w:pPr>
              <w:ind w:left="60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580" w:type="dxa"/>
            <w:vAlign w:val="bottom"/>
            <w:gridSpan w:val="9"/>
            <w:vMerge w:val="restart"/>
          </w:tcPr>
          <w:p>
            <w:pPr>
              <w:spacing w:after="0" w:line="179" w:lineRule="exact"/>
              <w:rPr>
                <w:rFonts w:ascii="Times New Roman" w:cs="Times New Roman" w:eastAsia="Times New Roman" w:hAnsi="Times New Roman"/>
                <w:sz w:val="17"/>
                <w:szCs w:val="17"/>
                <w:color w:val="0000EE"/>
              </w:rPr>
            </w:pPr>
            <w:hyperlink w:anchor="page145">
              <w:r>
                <w:rPr>
                  <w:rFonts w:ascii="Times New Roman" w:cs="Times New Roman" w:eastAsia="Times New Roman" w:hAnsi="Times New Roman"/>
                  <w:sz w:val="17"/>
                  <w:szCs w:val="17"/>
                  <w:color w:val="0000EE"/>
                </w:rPr>
                <w:t>Public Accounting Firm.</w:t>
              </w:r>
            </w:hyperlink>
          </w:p>
        </w:tc>
        <w:tc>
          <w:tcPr>
            <w:tcW w:w="1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580" w:type="dxa"/>
            <w:vAlign w:val="bottom"/>
            <w:gridSpan w:val="9"/>
            <w:vMerge w:val="continue"/>
          </w:tcPr>
          <w:p>
            <w:pPr>
              <w:spacing w:after="0"/>
              <w:rPr>
                <w:sz w:val="5"/>
                <w:szCs w:val="5"/>
                <w:color w:val="auto"/>
              </w:rPr>
            </w:pPr>
          </w:p>
        </w:tc>
        <w:tc>
          <w:tcPr>
            <w:tcW w:w="13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24.1</w:t>
            </w:r>
          </w:p>
        </w:tc>
        <w:tc>
          <w:tcPr>
            <w:tcW w:w="4580" w:type="dxa"/>
            <w:vAlign w:val="bottom"/>
            <w:gridSpan w:val="9"/>
          </w:tcPr>
          <w:p>
            <w:pPr>
              <w:spacing w:after="0"/>
              <w:rPr>
                <w:rFonts w:ascii="Times New Roman" w:cs="Times New Roman" w:eastAsia="Times New Roman" w:hAnsi="Times New Roman"/>
                <w:sz w:val="17"/>
                <w:szCs w:val="17"/>
                <w:color w:val="0000EE"/>
              </w:rPr>
            </w:pPr>
            <w:hyperlink w:anchor="page138">
              <w:r>
                <w:rPr>
                  <w:rFonts w:ascii="Times New Roman" w:cs="Times New Roman" w:eastAsia="Times New Roman" w:hAnsi="Times New Roman"/>
                  <w:sz w:val="17"/>
                  <w:szCs w:val="17"/>
                  <w:color w:val="0000EE"/>
                </w:rPr>
                <w:t>Power of Attorney (included on signature page)</w:t>
              </w:r>
            </w:hyperlink>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jc w:val="center"/>
              <w:ind w:left="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31.1</w:t>
            </w:r>
          </w:p>
        </w:tc>
        <w:tc>
          <w:tcPr>
            <w:tcW w:w="4580" w:type="dxa"/>
            <w:vAlign w:val="bottom"/>
            <w:gridSpan w:val="9"/>
          </w:tcPr>
          <w:p>
            <w:pPr>
              <w:spacing w:after="0"/>
              <w:rPr>
                <w:rFonts w:ascii="Times New Roman" w:cs="Times New Roman" w:eastAsia="Times New Roman" w:hAnsi="Times New Roman"/>
                <w:sz w:val="17"/>
                <w:szCs w:val="17"/>
                <w:color w:val="0000EE"/>
              </w:rPr>
            </w:pPr>
            <w:hyperlink w:anchor="page146">
              <w:r>
                <w:rPr>
                  <w:rFonts w:ascii="Times New Roman" w:cs="Times New Roman" w:eastAsia="Times New Roman" w:hAnsi="Times New Roman"/>
                  <w:sz w:val="17"/>
                  <w:szCs w:val="17"/>
                  <w:color w:val="0000EE"/>
                </w:rPr>
                <w:t>Certification of Principal Executive Officer Pursuant to Rules 13a-</w:t>
              </w:r>
            </w:hyperlink>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580" w:type="dxa"/>
            <w:vAlign w:val="bottom"/>
            <w:gridSpan w:val="9"/>
          </w:tcPr>
          <w:p>
            <w:pPr>
              <w:spacing w:after="0" w:line="179" w:lineRule="exact"/>
              <w:rPr>
                <w:rFonts w:ascii="Times New Roman" w:cs="Times New Roman" w:eastAsia="Times New Roman" w:hAnsi="Times New Roman"/>
                <w:sz w:val="17"/>
                <w:szCs w:val="17"/>
                <w:color w:val="0000EE"/>
              </w:rPr>
            </w:pPr>
            <w:hyperlink w:anchor="page146">
              <w:r>
                <w:rPr>
                  <w:rFonts w:ascii="Times New Roman" w:cs="Times New Roman" w:eastAsia="Times New Roman" w:hAnsi="Times New Roman"/>
                  <w:sz w:val="17"/>
                  <w:szCs w:val="17"/>
                  <w:color w:val="0000EE"/>
                </w:rPr>
                <w:t>14(a) and 15d-14(a) under the Securities Exchange Act of 1934, as</w:t>
              </w:r>
            </w:hyperlink>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580" w:type="dxa"/>
            <w:vAlign w:val="bottom"/>
            <w:tcBorders>
              <w:bottom w:val="single" w:sz="8" w:color="0000EE"/>
            </w:tcBorders>
            <w:gridSpan w:val="9"/>
          </w:tcPr>
          <w:p>
            <w:pPr>
              <w:spacing w:after="0" w:line="179" w:lineRule="exact"/>
              <w:rPr>
                <w:rFonts w:ascii="Times New Roman" w:cs="Times New Roman" w:eastAsia="Times New Roman" w:hAnsi="Times New Roman"/>
                <w:sz w:val="17"/>
                <w:szCs w:val="17"/>
                <w:color w:val="0000EE"/>
                <w:w w:val="96"/>
              </w:rPr>
            </w:pPr>
            <w:hyperlink w:anchor="page146">
              <w:r>
                <w:rPr>
                  <w:rFonts w:ascii="Times New Roman" w:cs="Times New Roman" w:eastAsia="Times New Roman" w:hAnsi="Times New Roman"/>
                  <w:sz w:val="17"/>
                  <w:szCs w:val="17"/>
                  <w:color w:val="0000EE"/>
                  <w:w w:val="96"/>
                </w:rPr>
                <w:t>Adopted Pursuant to Section 302 of the Sarbanes-Oxley Act of 2002.</w:t>
              </w:r>
            </w:hyperlink>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ind w:left="620"/>
              <w:spacing w:after="0" w:line="179"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340"/>
        </w:trPr>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31.2</w:t>
            </w:r>
          </w:p>
        </w:tc>
        <w:tc>
          <w:tcPr>
            <w:tcW w:w="438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6"/>
              </w:rPr>
            </w:pPr>
            <w:hyperlink w:anchor="page147">
              <w:r>
                <w:rPr>
                  <w:rFonts w:ascii="Times New Roman" w:cs="Times New Roman" w:eastAsia="Times New Roman" w:hAnsi="Times New Roman"/>
                  <w:sz w:val="17"/>
                  <w:szCs w:val="17"/>
                  <w:color w:val="0000EE"/>
                  <w:w w:val="96"/>
                </w:rPr>
                <w:t>Certification of Principal Financial Officer Pursuant to Rules 13a-</w:t>
              </w:r>
            </w:hyperlink>
          </w:p>
        </w:tc>
        <w:tc>
          <w:tcPr>
            <w:tcW w:w="200" w:type="dxa"/>
            <w:vAlign w:val="bottom"/>
            <w:gridSpan w:val="5"/>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580" w:type="dxa"/>
            <w:vAlign w:val="bottom"/>
            <w:gridSpan w:val="9"/>
          </w:tcPr>
          <w:p>
            <w:pPr>
              <w:spacing w:after="0" w:line="179" w:lineRule="exact"/>
              <w:rPr>
                <w:rFonts w:ascii="Times New Roman" w:cs="Times New Roman" w:eastAsia="Times New Roman" w:hAnsi="Times New Roman"/>
                <w:sz w:val="17"/>
                <w:szCs w:val="17"/>
                <w:color w:val="0000EE"/>
              </w:rPr>
            </w:pPr>
            <w:hyperlink w:anchor="page147">
              <w:r>
                <w:rPr>
                  <w:rFonts w:ascii="Times New Roman" w:cs="Times New Roman" w:eastAsia="Times New Roman" w:hAnsi="Times New Roman"/>
                  <w:sz w:val="17"/>
                  <w:szCs w:val="17"/>
                  <w:color w:val="0000EE"/>
                </w:rPr>
                <w:t>14(a) and 15d-14(a) under the Securities Exchange Act of 1934, as</w:t>
              </w:r>
            </w:hyperlink>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580" w:type="dxa"/>
            <w:vAlign w:val="bottom"/>
            <w:tcBorders>
              <w:bottom w:val="single" w:sz="8" w:color="0000EE"/>
            </w:tcBorders>
            <w:gridSpan w:val="9"/>
          </w:tcPr>
          <w:p>
            <w:pPr>
              <w:spacing w:after="0" w:line="179" w:lineRule="exact"/>
              <w:rPr>
                <w:rFonts w:ascii="Times New Roman" w:cs="Times New Roman" w:eastAsia="Times New Roman" w:hAnsi="Times New Roman"/>
                <w:sz w:val="17"/>
                <w:szCs w:val="17"/>
                <w:color w:val="0000EE"/>
                <w:w w:val="96"/>
              </w:rPr>
            </w:pPr>
            <w:hyperlink w:anchor="page147">
              <w:r>
                <w:rPr>
                  <w:rFonts w:ascii="Times New Roman" w:cs="Times New Roman" w:eastAsia="Times New Roman" w:hAnsi="Times New Roman"/>
                  <w:sz w:val="17"/>
                  <w:szCs w:val="17"/>
                  <w:color w:val="0000EE"/>
                  <w:w w:val="96"/>
                </w:rPr>
                <w:t>Adopted Pursuant to Section 302 of the Sarbanes-Oxley Act of 2002.</w:t>
              </w:r>
            </w:hyperlink>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ind w:left="620"/>
              <w:spacing w:after="0" w:line="179"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91"/>
        </w:trPr>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32.1**</w:t>
            </w:r>
          </w:p>
        </w:tc>
        <w:tc>
          <w:tcPr>
            <w:tcW w:w="4460" w:type="dxa"/>
            <w:vAlign w:val="bottom"/>
            <w:tcBorders>
              <w:bottom w:val="single" w:sz="8" w:color="0000EE"/>
            </w:tcBorders>
            <w:gridSpan w:val="7"/>
          </w:tcPr>
          <w:p>
            <w:pPr>
              <w:spacing w:after="0"/>
              <w:rPr>
                <w:rFonts w:ascii="Times New Roman" w:cs="Times New Roman" w:eastAsia="Times New Roman" w:hAnsi="Times New Roman"/>
                <w:sz w:val="17"/>
                <w:szCs w:val="17"/>
                <w:color w:val="0000EE"/>
                <w:w w:val="97"/>
              </w:rPr>
            </w:pPr>
            <w:hyperlink w:anchor="page148">
              <w:r>
                <w:rPr>
                  <w:rFonts w:ascii="Times New Roman" w:cs="Times New Roman" w:eastAsia="Times New Roman" w:hAnsi="Times New Roman"/>
                  <w:sz w:val="17"/>
                  <w:szCs w:val="17"/>
                  <w:color w:val="0000EE"/>
                  <w:w w:val="97"/>
                </w:rPr>
                <w:t>Certification of Principal Executive Officer and Principal Financial</w:t>
              </w:r>
            </w:hyperlink>
          </w:p>
        </w:tc>
        <w:tc>
          <w:tcPr>
            <w:tcW w:w="12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500" w:type="dxa"/>
            <w:vAlign w:val="bottom"/>
            <w:tcBorders>
              <w:bottom w:val="single" w:sz="8" w:color="0000EE"/>
            </w:tcBorders>
            <w:gridSpan w:val="8"/>
          </w:tcPr>
          <w:p>
            <w:pPr>
              <w:spacing w:after="0" w:line="179" w:lineRule="exact"/>
              <w:rPr>
                <w:rFonts w:ascii="Times New Roman" w:cs="Times New Roman" w:eastAsia="Times New Roman" w:hAnsi="Times New Roman"/>
                <w:sz w:val="17"/>
                <w:szCs w:val="17"/>
                <w:color w:val="0000EE"/>
                <w:w w:val="96"/>
              </w:rPr>
            </w:pPr>
            <w:hyperlink w:anchor="page148">
              <w:r>
                <w:rPr>
                  <w:rFonts w:ascii="Times New Roman" w:cs="Times New Roman" w:eastAsia="Times New Roman" w:hAnsi="Times New Roman"/>
                  <w:sz w:val="17"/>
                  <w:szCs w:val="17"/>
                  <w:color w:val="0000EE"/>
                  <w:w w:val="96"/>
                </w:rPr>
                <w:t>Officer Pursuant to 18 U.S.C. Section 1350, as Adopted Pursuant to</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580" w:type="dxa"/>
            <w:vAlign w:val="bottom"/>
            <w:gridSpan w:val="9"/>
          </w:tcPr>
          <w:p>
            <w:pPr>
              <w:spacing w:after="0" w:line="179" w:lineRule="exact"/>
              <w:rPr>
                <w:rFonts w:ascii="Times New Roman" w:cs="Times New Roman" w:eastAsia="Times New Roman" w:hAnsi="Times New Roman"/>
                <w:sz w:val="17"/>
                <w:szCs w:val="17"/>
                <w:color w:val="0000EE"/>
              </w:rPr>
            </w:pPr>
            <w:hyperlink w:anchor="page148">
              <w:r>
                <w:rPr>
                  <w:rFonts w:ascii="Times New Roman" w:cs="Times New Roman" w:eastAsia="Times New Roman" w:hAnsi="Times New Roman"/>
                  <w:sz w:val="17"/>
                  <w:szCs w:val="17"/>
                  <w:color w:val="0000EE"/>
                </w:rPr>
                <w:t>Section 906 of the Sarbanes-Oxley Act of 2002.</w:t>
              </w:r>
            </w:hyperlink>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ind w:left="620"/>
              <w:spacing w:after="0" w:line="179"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101.INS</w:t>
            </w:r>
          </w:p>
        </w:tc>
        <w:tc>
          <w:tcPr>
            <w:tcW w:w="31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1400" w:type="dxa"/>
            <w:vAlign w:val="bottom"/>
            <w:gridSpan w:val="6"/>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101.SCH</w:t>
            </w:r>
          </w:p>
        </w:tc>
        <w:tc>
          <w:tcPr>
            <w:tcW w:w="45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101.CAL</w:t>
            </w:r>
          </w:p>
        </w:tc>
        <w:tc>
          <w:tcPr>
            <w:tcW w:w="45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101.DEF</w:t>
            </w:r>
          </w:p>
        </w:tc>
        <w:tc>
          <w:tcPr>
            <w:tcW w:w="45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101.LAB</w:t>
            </w:r>
          </w:p>
        </w:tc>
        <w:tc>
          <w:tcPr>
            <w:tcW w:w="45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101.PRE</w:t>
            </w:r>
          </w:p>
        </w:tc>
        <w:tc>
          <w:tcPr>
            <w:tcW w:w="45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01" w:right="200" w:hanging="501"/>
        <w:spacing w:after="0" w:line="263" w:lineRule="auto"/>
        <w:tabs>
          <w:tab w:leader="none" w:pos="501"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Confidential treatment has been granted for certain information contained in this exhibit. Such information has been omitted and filed separately with the Securities and Exchange Commission.</w:t>
      </w:r>
    </w:p>
    <w:p>
      <w:pPr>
        <w:spacing w:after="0" w:line="1" w:lineRule="exact"/>
        <w:rPr>
          <w:sz w:val="20"/>
          <w:szCs w:val="20"/>
          <w:color w:val="auto"/>
        </w:rPr>
      </w:pPr>
    </w:p>
    <w:p>
      <w:pPr>
        <w:ind w:left="501" w:hanging="501"/>
        <w:spacing w:after="0"/>
        <w:tabs>
          <w:tab w:leader="none" w:pos="501"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management contract or compensatory plan.</w:t>
      </w:r>
    </w:p>
    <w:p>
      <w:pPr>
        <w:spacing w:after="0" w:line="14" w:lineRule="exact"/>
        <w:rPr>
          <w:sz w:val="20"/>
          <w:szCs w:val="20"/>
          <w:color w:val="auto"/>
        </w:rPr>
      </w:pPr>
    </w:p>
    <w:p>
      <w:pPr>
        <w:ind w:left="501" w:right="120" w:hanging="501"/>
        <w:spacing w:after="0" w:line="268" w:lineRule="auto"/>
        <w:tabs>
          <w:tab w:leader="none" w:pos="501"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certifications attached as Exhibit 32.1 that accompany this Annual Report on Form 10-K are not deemed filed with the Securities and Exchange Commission and are not to be incorporated by reference into any filing of CytomX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1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Registrants may voluntarily include a summary of information required by Form 10-K under Item 16. We have elected not to include such summary.</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98690"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61"/>
          </w:cols>
          <w:pgMar w:left="239" w:top="316" w:right="299" w:bottom="1440" w:gutter="0" w:footer="0" w:header="0"/>
        </w:sectPr>
      </w:pPr>
    </w:p>
    <w:bookmarkStart w:id="136" w:name="page137"/>
    <w:bookmarkEnd w:id="13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6" w:lineRule="exact"/>
        <w:rPr>
          <w:sz w:val="20"/>
          <w:szCs w:val="20"/>
          <w:color w:val="auto"/>
        </w:rPr>
      </w:pPr>
    </w:p>
    <w:p>
      <w:pPr>
        <w:ind w:right="680"/>
        <w:spacing w:after="0" w:line="268" w:lineRule="auto"/>
        <w:rPr>
          <w:sz w:val="20"/>
          <w:szCs w:val="20"/>
          <w:color w:val="auto"/>
        </w:rPr>
      </w:pPr>
      <w:r>
        <w:rPr>
          <w:rFonts w:ascii="Times New Roman" w:cs="Times New Roman" w:eastAsia="Times New Roman" w:hAnsi="Times New Roman"/>
          <w:sz w:val="17"/>
          <w:szCs w:val="17"/>
          <w:color w:val="auto"/>
        </w:rPr>
        <w:t>Pursuant to the requirements of Section 13 or 15(d) the Securities Exchange Act of 1934, the registrant has duly caused this report to be signed on its behalf by the undersigned, thereunto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820" w:type="dxa"/>
            <w:vAlign w:val="bottom"/>
            <w:gridSpan w:val="2"/>
          </w:tcPr>
          <w:p>
            <w:pPr>
              <w:ind w:left="3260"/>
              <w:spacing w:after="0"/>
              <w:rPr>
                <w:sz w:val="20"/>
                <w:szCs w:val="20"/>
                <w:color w:val="auto"/>
              </w:rPr>
            </w:pPr>
            <w:r>
              <w:rPr>
                <w:rFonts w:ascii="Times New Roman" w:cs="Times New Roman" w:eastAsia="Times New Roman" w:hAnsi="Times New Roman"/>
                <w:sz w:val="17"/>
                <w:szCs w:val="17"/>
                <w:color w:val="auto"/>
              </w:rPr>
              <w:t>CYTOMX THERAPEUTICS, INC.</w:t>
            </w:r>
          </w:p>
        </w:tc>
        <w:tc>
          <w:tcPr>
            <w:tcW w:w="40" w:type="dxa"/>
            <w:vAlign w:val="bottom"/>
          </w:tcPr>
          <w:p>
            <w:pPr>
              <w:spacing w:after="0"/>
              <w:rPr>
                <w:sz w:val="18"/>
                <w:szCs w:val="18"/>
                <w:color w:val="auto"/>
              </w:rPr>
            </w:pPr>
          </w:p>
        </w:tc>
      </w:tr>
      <w:tr>
        <w:trPr>
          <w:trHeight w:val="397"/>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27, 2019</w:t>
            </w:r>
          </w:p>
        </w:tc>
        <w:tc>
          <w:tcPr>
            <w:tcW w:w="3900" w:type="dxa"/>
            <w:vAlign w:val="bottom"/>
          </w:tcPr>
          <w:p>
            <w:pPr>
              <w:ind w:left="3260"/>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A. McCarthy</w:t>
            </w:r>
          </w:p>
        </w:tc>
        <w:tc>
          <w:tcPr>
            <w:tcW w:w="40" w:type="dxa"/>
            <w:vAlign w:val="bottom"/>
          </w:tcPr>
          <w:p>
            <w:pPr>
              <w:spacing w:after="0"/>
              <w:rPr>
                <w:sz w:val="24"/>
                <w:szCs w:val="24"/>
                <w:color w:val="auto"/>
              </w:rPr>
            </w:pPr>
          </w:p>
        </w:tc>
      </w:tr>
      <w:tr>
        <w:trPr>
          <w:trHeight w:val="175"/>
        </w:trPr>
        <w:tc>
          <w:tcPr>
            <w:tcW w:w="3600" w:type="dxa"/>
            <w:vAlign w:val="bottom"/>
          </w:tcPr>
          <w:p>
            <w:pPr>
              <w:spacing w:after="0"/>
              <w:rPr>
                <w:sz w:val="15"/>
                <w:szCs w:val="15"/>
                <w:color w:val="auto"/>
              </w:rPr>
            </w:pPr>
          </w:p>
        </w:tc>
        <w:tc>
          <w:tcPr>
            <w:tcW w:w="3900" w:type="dxa"/>
            <w:vAlign w:val="bottom"/>
          </w:tcPr>
          <w:p>
            <w:pPr>
              <w:ind w:left="3260"/>
              <w:spacing w:after="0" w:line="175" w:lineRule="exact"/>
              <w:rPr>
                <w:sz w:val="20"/>
                <w:szCs w:val="20"/>
                <w:color w:val="auto"/>
              </w:rPr>
            </w:pPr>
            <w:r>
              <w:rPr>
                <w:rFonts w:ascii="Times New Roman" w:cs="Times New Roman" w:eastAsia="Times New Roman" w:hAnsi="Times New Roman"/>
                <w:sz w:val="17"/>
                <w:szCs w:val="17"/>
                <w:color w:val="auto"/>
              </w:rPr>
              <w:t>Name:</w:t>
            </w:r>
          </w:p>
        </w:tc>
        <w:tc>
          <w:tcPr>
            <w:tcW w:w="39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Sean A. McCarthy, D.Phil.</w:t>
            </w:r>
          </w:p>
        </w:tc>
        <w:tc>
          <w:tcPr>
            <w:tcW w:w="40" w:type="dxa"/>
            <w:vAlign w:val="bottom"/>
          </w:tcPr>
          <w:p>
            <w:pPr>
              <w:spacing w:after="0"/>
              <w:rPr>
                <w:sz w:val="15"/>
                <w:szCs w:val="15"/>
                <w:color w:val="auto"/>
              </w:rPr>
            </w:pPr>
          </w:p>
        </w:tc>
      </w:tr>
      <w:tr>
        <w:trPr>
          <w:trHeight w:val="216"/>
        </w:trPr>
        <w:tc>
          <w:tcPr>
            <w:tcW w:w="3600" w:type="dxa"/>
            <w:vAlign w:val="bottom"/>
          </w:tcPr>
          <w:p>
            <w:pPr>
              <w:spacing w:after="0"/>
              <w:rPr>
                <w:sz w:val="18"/>
                <w:szCs w:val="18"/>
                <w:color w:val="auto"/>
              </w:rPr>
            </w:pPr>
          </w:p>
        </w:tc>
        <w:tc>
          <w:tcPr>
            <w:tcW w:w="3900" w:type="dxa"/>
            <w:vAlign w:val="bottom"/>
          </w:tcPr>
          <w:p>
            <w:pPr>
              <w:ind w:left="3260"/>
              <w:spacing w:after="0"/>
              <w:rPr>
                <w:sz w:val="20"/>
                <w:szCs w:val="20"/>
                <w:color w:val="auto"/>
              </w:rPr>
            </w:pPr>
            <w:r>
              <w:rPr>
                <w:rFonts w:ascii="Times New Roman" w:cs="Times New Roman" w:eastAsia="Times New Roman" w:hAnsi="Times New Roman"/>
                <w:sz w:val="17"/>
                <w:szCs w:val="17"/>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40" w:type="dxa"/>
            <w:vAlign w:val="bottom"/>
          </w:tcPr>
          <w:p>
            <w:pPr>
              <w:spacing w:after="0"/>
              <w:rPr>
                <w:sz w:val="18"/>
                <w:szCs w:val="18"/>
                <w:color w:val="auto"/>
              </w:rPr>
            </w:pPr>
          </w:p>
        </w:tc>
      </w:tr>
      <w:tr>
        <w:trPr>
          <w:trHeight w:val="397"/>
        </w:trPr>
        <w:tc>
          <w:tcPr>
            <w:tcW w:w="3600" w:type="dxa"/>
            <w:vAlign w:val="bottom"/>
          </w:tcPr>
          <w:p>
            <w:pPr>
              <w:spacing w:after="0"/>
              <w:rPr>
                <w:sz w:val="24"/>
                <w:szCs w:val="24"/>
                <w:color w:val="auto"/>
              </w:rPr>
            </w:pPr>
          </w:p>
        </w:tc>
        <w:tc>
          <w:tcPr>
            <w:tcW w:w="3900" w:type="dxa"/>
            <w:vAlign w:val="bottom"/>
          </w:tcPr>
          <w:p>
            <w:pPr>
              <w:ind w:left="3260"/>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Debanjan Ray</w:t>
            </w:r>
          </w:p>
        </w:tc>
        <w:tc>
          <w:tcPr>
            <w:tcW w:w="40" w:type="dxa"/>
            <w:vAlign w:val="bottom"/>
          </w:tcPr>
          <w:p>
            <w:pPr>
              <w:spacing w:after="0"/>
              <w:rPr>
                <w:sz w:val="24"/>
                <w:szCs w:val="24"/>
                <w:color w:val="auto"/>
              </w:rPr>
            </w:pPr>
          </w:p>
        </w:tc>
      </w:tr>
      <w:tr>
        <w:trPr>
          <w:trHeight w:val="175"/>
        </w:trPr>
        <w:tc>
          <w:tcPr>
            <w:tcW w:w="3600" w:type="dxa"/>
            <w:vAlign w:val="bottom"/>
          </w:tcPr>
          <w:p>
            <w:pPr>
              <w:spacing w:after="0"/>
              <w:rPr>
                <w:sz w:val="15"/>
                <w:szCs w:val="15"/>
                <w:color w:val="auto"/>
              </w:rPr>
            </w:pPr>
          </w:p>
        </w:tc>
        <w:tc>
          <w:tcPr>
            <w:tcW w:w="3900" w:type="dxa"/>
            <w:vAlign w:val="bottom"/>
          </w:tcPr>
          <w:p>
            <w:pPr>
              <w:ind w:left="3260"/>
              <w:spacing w:after="0" w:line="175" w:lineRule="exact"/>
              <w:rPr>
                <w:sz w:val="20"/>
                <w:szCs w:val="20"/>
                <w:color w:val="auto"/>
              </w:rPr>
            </w:pPr>
            <w:r>
              <w:rPr>
                <w:rFonts w:ascii="Times New Roman" w:cs="Times New Roman" w:eastAsia="Times New Roman" w:hAnsi="Times New Roman"/>
                <w:sz w:val="17"/>
                <w:szCs w:val="17"/>
                <w:color w:val="auto"/>
              </w:rPr>
              <w:t>Name:</w:t>
            </w:r>
          </w:p>
        </w:tc>
        <w:tc>
          <w:tcPr>
            <w:tcW w:w="39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Debanjan Ray</w:t>
            </w:r>
          </w:p>
        </w:tc>
        <w:tc>
          <w:tcPr>
            <w:tcW w:w="40" w:type="dxa"/>
            <w:vAlign w:val="bottom"/>
          </w:tcPr>
          <w:p>
            <w:pPr>
              <w:spacing w:after="0"/>
              <w:rPr>
                <w:sz w:val="15"/>
                <w:szCs w:val="15"/>
                <w:color w:val="auto"/>
              </w:rPr>
            </w:pPr>
          </w:p>
        </w:tc>
      </w:tr>
      <w:tr>
        <w:trPr>
          <w:trHeight w:val="216"/>
        </w:trPr>
        <w:tc>
          <w:tcPr>
            <w:tcW w:w="3600" w:type="dxa"/>
            <w:vAlign w:val="bottom"/>
          </w:tcPr>
          <w:p>
            <w:pPr>
              <w:spacing w:after="0"/>
              <w:rPr>
                <w:sz w:val="18"/>
                <w:szCs w:val="18"/>
                <w:color w:val="auto"/>
              </w:rPr>
            </w:pPr>
          </w:p>
        </w:tc>
        <w:tc>
          <w:tcPr>
            <w:tcW w:w="3900" w:type="dxa"/>
            <w:vAlign w:val="bottom"/>
          </w:tcPr>
          <w:p>
            <w:pPr>
              <w:ind w:left="3260"/>
              <w:spacing w:after="0"/>
              <w:rPr>
                <w:sz w:val="20"/>
                <w:szCs w:val="20"/>
                <w:color w:val="auto"/>
              </w:rPr>
            </w:pPr>
            <w:r>
              <w:rPr>
                <w:rFonts w:ascii="Times New Roman" w:cs="Times New Roman" w:eastAsia="Times New Roman" w:hAnsi="Times New Roman"/>
                <w:sz w:val="17"/>
                <w:szCs w:val="17"/>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40" w:type="dxa"/>
            <w:vAlign w:val="bottom"/>
          </w:tcPr>
          <w:p>
            <w:pPr>
              <w:spacing w:after="0"/>
              <w:rPr>
                <w:sz w:val="18"/>
                <w:szCs w:val="18"/>
                <w:color w:val="auto"/>
              </w:rPr>
            </w:pPr>
          </w:p>
        </w:tc>
      </w:tr>
      <w:tr>
        <w:trPr>
          <w:trHeight w:val="398"/>
        </w:trPr>
        <w:tc>
          <w:tcPr>
            <w:tcW w:w="3600" w:type="dxa"/>
            <w:vAlign w:val="bottom"/>
          </w:tcPr>
          <w:p>
            <w:pPr>
              <w:spacing w:after="0"/>
              <w:rPr>
                <w:sz w:val="24"/>
                <w:szCs w:val="24"/>
                <w:color w:val="auto"/>
              </w:rPr>
            </w:pPr>
          </w:p>
        </w:tc>
        <w:tc>
          <w:tcPr>
            <w:tcW w:w="390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135</w:t>
            </w: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4"/>
        </w:trPr>
        <w:tc>
          <w:tcPr>
            <w:tcW w:w="360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318" w:right="19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0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Each person whose individual signature appears below hereby authorizes and appoints Sean A. McCarthy, D. Phil. and Debanjan Ray and each of them, with full power of substitution and resubstitution,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attorney-in-fact and agents full power and authority to do and perform each and every act and thing, ratifying and confirming all that said attorney-in-fact and agents or his substitute or substitutes may lawfully do or cause to be done by virtue thereof. 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 Sean A. McCarthy</w:t>
            </w:r>
          </w:p>
        </w:tc>
        <w:tc>
          <w:tcPr>
            <w:tcW w:w="522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7"/>
              </w:rPr>
              <w:t>President, Chief Executive Officer and Director</w:t>
            </w:r>
          </w:p>
        </w:tc>
        <w:tc>
          <w:tcPr>
            <w:tcW w:w="2140" w:type="dxa"/>
            <w:vAlign w:val="bottom"/>
          </w:tcPr>
          <w:p>
            <w:pPr>
              <w:ind w:left="920"/>
              <w:spacing w:after="0"/>
              <w:rPr>
                <w:sz w:val="20"/>
                <w:szCs w:val="20"/>
                <w:color w:val="auto"/>
              </w:rPr>
            </w:pPr>
            <w:r>
              <w:rPr>
                <w:rFonts w:ascii="Times New Roman" w:cs="Times New Roman" w:eastAsia="Times New Roman" w:hAnsi="Times New Roman"/>
                <w:sz w:val="17"/>
                <w:szCs w:val="17"/>
                <w:color w:val="auto"/>
                <w:w w:val="95"/>
              </w:rPr>
              <w:t>February 27, 2019</w:t>
            </w:r>
          </w:p>
        </w:tc>
      </w:tr>
      <w:tr>
        <w:trPr>
          <w:trHeight w:val="208"/>
        </w:trPr>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Sean A. McCarthy, D.Phil.</w:t>
            </w:r>
          </w:p>
        </w:tc>
        <w:tc>
          <w:tcPr>
            <w:tcW w:w="5220" w:type="dxa"/>
            <w:vAlign w:val="bottom"/>
          </w:tcPr>
          <w:p>
            <w:pPr>
              <w:jc w:val="center"/>
              <w:ind w:left="117"/>
              <w:spacing w:after="0"/>
              <w:rPr>
                <w:sz w:val="20"/>
                <w:szCs w:val="20"/>
                <w:color w:val="auto"/>
              </w:rPr>
            </w:pPr>
            <w:r>
              <w:rPr>
                <w:rFonts w:ascii="Times New Roman" w:cs="Times New Roman" w:eastAsia="Times New Roman" w:hAnsi="Times New Roman"/>
                <w:sz w:val="17"/>
                <w:szCs w:val="17"/>
                <w:i w:val="1"/>
                <w:iCs w:val="1"/>
                <w:color w:val="auto"/>
                <w:w w:val="97"/>
              </w:rPr>
              <w:t>(Principal Executive Officer)</w:t>
            </w:r>
          </w:p>
        </w:tc>
        <w:tc>
          <w:tcPr>
            <w:tcW w:w="2140" w:type="dxa"/>
            <w:vAlign w:val="bottom"/>
          </w:tcPr>
          <w:p>
            <w:pPr>
              <w:spacing w:after="0"/>
              <w:rPr>
                <w:sz w:val="18"/>
                <w:szCs w:val="18"/>
                <w:color w:val="auto"/>
              </w:rPr>
            </w:pPr>
          </w:p>
        </w:tc>
      </w:tr>
      <w:tr>
        <w:trPr>
          <w:trHeight w:val="381"/>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Debanjan Ray</w:t>
            </w:r>
          </w:p>
        </w:tc>
        <w:tc>
          <w:tcPr>
            <w:tcW w:w="5220" w:type="dxa"/>
            <w:vAlign w:val="bottom"/>
          </w:tcPr>
          <w:p>
            <w:pPr>
              <w:jc w:val="center"/>
              <w:ind w:left="117"/>
              <w:spacing w:after="0"/>
              <w:rPr>
                <w:sz w:val="20"/>
                <w:szCs w:val="20"/>
                <w:color w:val="auto"/>
              </w:rPr>
            </w:pPr>
            <w:r>
              <w:rPr>
                <w:rFonts w:ascii="Times New Roman" w:cs="Times New Roman" w:eastAsia="Times New Roman" w:hAnsi="Times New Roman"/>
                <w:sz w:val="17"/>
                <w:szCs w:val="17"/>
                <w:color w:val="auto"/>
                <w:w w:val="97"/>
              </w:rPr>
              <w:t>Chief Financial Officer</w:t>
            </w:r>
          </w:p>
        </w:tc>
        <w:tc>
          <w:tcPr>
            <w:tcW w:w="2140" w:type="dxa"/>
            <w:vAlign w:val="bottom"/>
          </w:tcPr>
          <w:p>
            <w:pPr>
              <w:ind w:left="920"/>
              <w:spacing w:after="0"/>
              <w:rPr>
                <w:sz w:val="20"/>
                <w:szCs w:val="20"/>
                <w:color w:val="auto"/>
              </w:rPr>
            </w:pPr>
            <w:r>
              <w:rPr>
                <w:rFonts w:ascii="Times New Roman" w:cs="Times New Roman" w:eastAsia="Times New Roman" w:hAnsi="Times New Roman"/>
                <w:sz w:val="17"/>
                <w:szCs w:val="17"/>
                <w:color w:val="auto"/>
                <w:w w:val="95"/>
              </w:rPr>
              <w:t>February 27, 2019</w:t>
            </w:r>
          </w:p>
        </w:tc>
      </w:tr>
      <w:tr>
        <w:trPr>
          <w:trHeight w:val="208"/>
        </w:trPr>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Debanjan Ray</w:t>
            </w:r>
          </w:p>
        </w:tc>
        <w:tc>
          <w:tcPr>
            <w:tcW w:w="5220" w:type="dxa"/>
            <w:vAlign w:val="bottom"/>
          </w:tcPr>
          <w:p>
            <w:pPr>
              <w:jc w:val="center"/>
              <w:ind w:left="117"/>
              <w:spacing w:after="0"/>
              <w:rPr>
                <w:sz w:val="20"/>
                <w:szCs w:val="20"/>
                <w:color w:val="auto"/>
              </w:rPr>
            </w:pPr>
            <w:r>
              <w:rPr>
                <w:rFonts w:ascii="Times New Roman" w:cs="Times New Roman" w:eastAsia="Times New Roman" w:hAnsi="Times New Roman"/>
                <w:sz w:val="17"/>
                <w:szCs w:val="17"/>
                <w:i w:val="1"/>
                <w:iCs w:val="1"/>
                <w:color w:val="auto"/>
                <w:w w:val="97"/>
              </w:rPr>
              <w:t>(Principal Financial and Accounting Officer)</w:t>
            </w:r>
          </w:p>
        </w:tc>
        <w:tc>
          <w:tcPr>
            <w:tcW w:w="2140" w:type="dxa"/>
            <w:vAlign w:val="bottom"/>
          </w:tcPr>
          <w:p>
            <w:pPr>
              <w:spacing w:after="0"/>
              <w:rPr>
                <w:sz w:val="18"/>
                <w:szCs w:val="18"/>
                <w:color w:val="auto"/>
              </w:rPr>
            </w:pPr>
          </w:p>
        </w:tc>
      </w:tr>
      <w:tr>
        <w:trPr>
          <w:trHeight w:val="381"/>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/s/ Matthew P. Young</w:t>
            </w:r>
          </w:p>
        </w:tc>
        <w:tc>
          <w:tcPr>
            <w:tcW w:w="5220" w:type="dxa"/>
            <w:vAlign w:val="bottom"/>
          </w:tcPr>
          <w:p>
            <w:pPr>
              <w:jc w:val="center"/>
              <w:ind w:left="117"/>
              <w:spacing w:after="0"/>
              <w:rPr>
                <w:sz w:val="20"/>
                <w:szCs w:val="20"/>
                <w:color w:val="auto"/>
              </w:rPr>
            </w:pPr>
            <w:r>
              <w:rPr>
                <w:rFonts w:ascii="Times New Roman" w:cs="Times New Roman" w:eastAsia="Times New Roman" w:hAnsi="Times New Roman"/>
                <w:sz w:val="17"/>
                <w:szCs w:val="17"/>
                <w:color w:val="auto"/>
                <w:w w:val="95"/>
              </w:rPr>
              <w:t>Director</w:t>
            </w:r>
          </w:p>
        </w:tc>
        <w:tc>
          <w:tcPr>
            <w:tcW w:w="2140" w:type="dxa"/>
            <w:vAlign w:val="bottom"/>
          </w:tcPr>
          <w:p>
            <w:pPr>
              <w:ind w:left="920"/>
              <w:spacing w:after="0"/>
              <w:rPr>
                <w:sz w:val="20"/>
                <w:szCs w:val="20"/>
                <w:color w:val="auto"/>
              </w:rPr>
            </w:pPr>
            <w:r>
              <w:rPr>
                <w:rFonts w:ascii="Times New Roman" w:cs="Times New Roman" w:eastAsia="Times New Roman" w:hAnsi="Times New Roman"/>
                <w:sz w:val="17"/>
                <w:szCs w:val="17"/>
                <w:color w:val="auto"/>
                <w:w w:val="95"/>
              </w:rPr>
              <w:t>February 27, 2019</w:t>
            </w:r>
          </w:p>
        </w:tc>
      </w:tr>
      <w:tr>
        <w:trPr>
          <w:trHeight w:val="208"/>
        </w:trPr>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Matthew P. Young</w:t>
            </w:r>
          </w:p>
        </w:tc>
        <w:tc>
          <w:tcPr>
            <w:tcW w:w="52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381"/>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/s/ Charles S. Fuchs, M.D., M.P.H.</w:t>
            </w:r>
          </w:p>
        </w:tc>
        <w:tc>
          <w:tcPr>
            <w:tcW w:w="5220" w:type="dxa"/>
            <w:vAlign w:val="bottom"/>
          </w:tcPr>
          <w:p>
            <w:pPr>
              <w:jc w:val="center"/>
              <w:ind w:left="117"/>
              <w:spacing w:after="0"/>
              <w:rPr>
                <w:sz w:val="20"/>
                <w:szCs w:val="20"/>
                <w:color w:val="auto"/>
              </w:rPr>
            </w:pPr>
            <w:r>
              <w:rPr>
                <w:rFonts w:ascii="Times New Roman" w:cs="Times New Roman" w:eastAsia="Times New Roman" w:hAnsi="Times New Roman"/>
                <w:sz w:val="17"/>
                <w:szCs w:val="17"/>
                <w:color w:val="auto"/>
                <w:w w:val="95"/>
              </w:rPr>
              <w:t>Director</w:t>
            </w:r>
          </w:p>
        </w:tc>
        <w:tc>
          <w:tcPr>
            <w:tcW w:w="2140" w:type="dxa"/>
            <w:vAlign w:val="bottom"/>
          </w:tcPr>
          <w:p>
            <w:pPr>
              <w:ind w:left="920"/>
              <w:spacing w:after="0"/>
              <w:rPr>
                <w:sz w:val="20"/>
                <w:szCs w:val="20"/>
                <w:color w:val="auto"/>
              </w:rPr>
            </w:pPr>
            <w:r>
              <w:rPr>
                <w:rFonts w:ascii="Times New Roman" w:cs="Times New Roman" w:eastAsia="Times New Roman" w:hAnsi="Times New Roman"/>
                <w:sz w:val="17"/>
                <w:szCs w:val="17"/>
                <w:color w:val="auto"/>
                <w:w w:val="95"/>
              </w:rPr>
              <w:t>February 27, 2019</w:t>
            </w:r>
          </w:p>
        </w:tc>
      </w:tr>
      <w:tr>
        <w:trPr>
          <w:trHeight w:val="208"/>
        </w:trPr>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Charles S. Fuchs</w:t>
            </w:r>
          </w:p>
        </w:tc>
        <w:tc>
          <w:tcPr>
            <w:tcW w:w="52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381"/>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 Frederick W. Gluck</w:t>
            </w:r>
          </w:p>
        </w:tc>
        <w:tc>
          <w:tcPr>
            <w:tcW w:w="5220" w:type="dxa"/>
            <w:vAlign w:val="bottom"/>
          </w:tcPr>
          <w:p>
            <w:pPr>
              <w:jc w:val="center"/>
              <w:ind w:left="117"/>
              <w:spacing w:after="0"/>
              <w:rPr>
                <w:sz w:val="20"/>
                <w:szCs w:val="20"/>
                <w:color w:val="auto"/>
              </w:rPr>
            </w:pPr>
            <w:r>
              <w:rPr>
                <w:rFonts w:ascii="Times New Roman" w:cs="Times New Roman" w:eastAsia="Times New Roman" w:hAnsi="Times New Roman"/>
                <w:sz w:val="17"/>
                <w:szCs w:val="17"/>
                <w:color w:val="auto"/>
                <w:w w:val="95"/>
              </w:rPr>
              <w:t>Director</w:t>
            </w:r>
          </w:p>
        </w:tc>
        <w:tc>
          <w:tcPr>
            <w:tcW w:w="2140" w:type="dxa"/>
            <w:vAlign w:val="bottom"/>
          </w:tcPr>
          <w:p>
            <w:pPr>
              <w:ind w:left="920"/>
              <w:spacing w:after="0"/>
              <w:rPr>
                <w:sz w:val="20"/>
                <w:szCs w:val="20"/>
                <w:color w:val="auto"/>
              </w:rPr>
            </w:pPr>
            <w:r>
              <w:rPr>
                <w:rFonts w:ascii="Times New Roman" w:cs="Times New Roman" w:eastAsia="Times New Roman" w:hAnsi="Times New Roman"/>
                <w:sz w:val="17"/>
                <w:szCs w:val="17"/>
                <w:color w:val="auto"/>
                <w:w w:val="95"/>
              </w:rPr>
              <w:t>February 27, 2019</w:t>
            </w:r>
          </w:p>
        </w:tc>
      </w:tr>
      <w:tr>
        <w:trPr>
          <w:trHeight w:val="208"/>
        </w:trPr>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Frederick W. Gluck</w:t>
            </w:r>
          </w:p>
        </w:tc>
        <w:tc>
          <w:tcPr>
            <w:tcW w:w="52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381"/>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/s/ John A. Scarlett, M.D.</w:t>
            </w:r>
          </w:p>
        </w:tc>
        <w:tc>
          <w:tcPr>
            <w:tcW w:w="5220" w:type="dxa"/>
            <w:vAlign w:val="bottom"/>
          </w:tcPr>
          <w:p>
            <w:pPr>
              <w:jc w:val="center"/>
              <w:ind w:left="117"/>
              <w:spacing w:after="0"/>
              <w:rPr>
                <w:sz w:val="20"/>
                <w:szCs w:val="20"/>
                <w:color w:val="auto"/>
              </w:rPr>
            </w:pPr>
            <w:r>
              <w:rPr>
                <w:rFonts w:ascii="Times New Roman" w:cs="Times New Roman" w:eastAsia="Times New Roman" w:hAnsi="Times New Roman"/>
                <w:sz w:val="17"/>
                <w:szCs w:val="17"/>
                <w:color w:val="auto"/>
                <w:w w:val="95"/>
              </w:rPr>
              <w:t>Director</w:t>
            </w:r>
          </w:p>
        </w:tc>
        <w:tc>
          <w:tcPr>
            <w:tcW w:w="2140" w:type="dxa"/>
            <w:vAlign w:val="bottom"/>
          </w:tcPr>
          <w:p>
            <w:pPr>
              <w:ind w:left="920"/>
              <w:spacing w:after="0"/>
              <w:rPr>
                <w:sz w:val="20"/>
                <w:szCs w:val="20"/>
                <w:color w:val="auto"/>
              </w:rPr>
            </w:pPr>
            <w:r>
              <w:rPr>
                <w:rFonts w:ascii="Times New Roman" w:cs="Times New Roman" w:eastAsia="Times New Roman" w:hAnsi="Times New Roman"/>
                <w:sz w:val="17"/>
                <w:szCs w:val="17"/>
                <w:color w:val="auto"/>
                <w:w w:val="95"/>
              </w:rPr>
              <w:t>February 27, 2019</w:t>
            </w:r>
          </w:p>
        </w:tc>
      </w:tr>
      <w:tr>
        <w:trPr>
          <w:trHeight w:val="208"/>
        </w:trPr>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John A. Scarlett, M.D.</w:t>
            </w:r>
          </w:p>
        </w:tc>
        <w:tc>
          <w:tcPr>
            <w:tcW w:w="52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381"/>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/s/ James R. Meyers</w:t>
            </w:r>
          </w:p>
        </w:tc>
        <w:tc>
          <w:tcPr>
            <w:tcW w:w="5220" w:type="dxa"/>
            <w:vAlign w:val="bottom"/>
          </w:tcPr>
          <w:p>
            <w:pPr>
              <w:jc w:val="center"/>
              <w:ind w:left="117"/>
              <w:spacing w:after="0"/>
              <w:rPr>
                <w:sz w:val="20"/>
                <w:szCs w:val="20"/>
                <w:color w:val="auto"/>
              </w:rPr>
            </w:pPr>
            <w:r>
              <w:rPr>
                <w:rFonts w:ascii="Times New Roman" w:cs="Times New Roman" w:eastAsia="Times New Roman" w:hAnsi="Times New Roman"/>
                <w:sz w:val="17"/>
                <w:szCs w:val="17"/>
                <w:color w:val="auto"/>
                <w:w w:val="95"/>
              </w:rPr>
              <w:t>Director</w:t>
            </w:r>
          </w:p>
        </w:tc>
        <w:tc>
          <w:tcPr>
            <w:tcW w:w="2140" w:type="dxa"/>
            <w:vAlign w:val="bottom"/>
          </w:tcPr>
          <w:p>
            <w:pPr>
              <w:ind w:left="920"/>
              <w:spacing w:after="0"/>
              <w:rPr>
                <w:sz w:val="20"/>
                <w:szCs w:val="20"/>
                <w:color w:val="auto"/>
              </w:rPr>
            </w:pPr>
            <w:r>
              <w:rPr>
                <w:rFonts w:ascii="Times New Roman" w:cs="Times New Roman" w:eastAsia="Times New Roman" w:hAnsi="Times New Roman"/>
                <w:sz w:val="17"/>
                <w:szCs w:val="17"/>
                <w:color w:val="auto"/>
                <w:w w:val="95"/>
              </w:rPr>
              <w:t>February 27, 2019</w:t>
            </w:r>
          </w:p>
        </w:tc>
      </w:tr>
      <w:tr>
        <w:trPr>
          <w:trHeight w:val="208"/>
        </w:trPr>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James Meyers</w:t>
            </w:r>
          </w:p>
        </w:tc>
        <w:tc>
          <w:tcPr>
            <w:tcW w:w="5220" w:type="dxa"/>
            <w:vAlign w:val="bottom"/>
          </w:tcPr>
          <w:p>
            <w:pPr>
              <w:spacing w:after="0"/>
              <w:rPr>
                <w:sz w:val="18"/>
                <w:szCs w:val="18"/>
                <w:color w:val="auto"/>
              </w:rPr>
            </w:pPr>
          </w:p>
        </w:tc>
        <w:tc>
          <w:tcPr>
            <w:tcW w:w="21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136</w:t>
      </w:r>
    </w:p>
    <w:p>
      <w:pPr>
        <w:sectPr>
          <w:pgSz w:w="11900" w:h="16838" w:orient="portrait"/>
          <w:cols w:equalWidth="0" w:num="1">
            <w:col w:w="11400"/>
          </w:cols>
          <w:pgMar w:left="240" w:top="318" w:right="259" w:bottom="1440" w:gutter="0" w:footer="0" w:header="0"/>
        </w:sectPr>
      </w:pPr>
    </w:p>
    <w:bookmarkStart w:id="138" w:name="page139"/>
    <w:bookmarkEnd w:id="138"/>
    <w:p>
      <w:pPr>
        <w:ind w:left="96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899160" cy="5048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899160" cy="504825"/>
                    </a:xfrm>
                    <a:prstGeom prst="rect">
                      <a:avLst/>
                    </a:prstGeom>
                    <a:noFill/>
                  </pic:spPr>
                </pic:pic>
              </a:graphicData>
            </a:graphic>
          </wp:anchor>
        </w:drawing>
        <w:t>Exhibit 10.27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CONSULTING AGREEMENT</w:t>
      </w:r>
    </w:p>
    <w:p>
      <w:pPr>
        <w:spacing w:after="0" w:line="217" w:lineRule="exact"/>
        <w:rPr>
          <w:sz w:val="20"/>
          <w:szCs w:val="20"/>
          <w:color w:val="auto"/>
        </w:rPr>
      </w:pPr>
    </w:p>
    <w:p>
      <w:pPr>
        <w:jc w:val="both"/>
        <w:ind w:hanging="98"/>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SULTING </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4"/>
          <w:szCs w:val="14"/>
          <w:b w:val="1"/>
          <w:bCs w:val="1"/>
          <w:color w:val="auto"/>
        </w:rPr>
        <w:t xml:space="preserve">GREEMENT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made and entered into by and between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4"/>
          <w:szCs w:val="14"/>
          <w:b w:val="1"/>
          <w:bCs w:val="1"/>
          <w:color w:val="auto"/>
        </w:rPr>
        <w:t>YTOM</w:t>
      </w:r>
      <w:r>
        <w:rPr>
          <w:rFonts w:ascii="Times New Roman" w:cs="Times New Roman" w:eastAsia="Times New Roman" w:hAnsi="Times New Roman"/>
          <w:sz w:val="19"/>
          <w:szCs w:val="19"/>
          <w:b w:val="1"/>
          <w:bCs w:val="1"/>
          <w:color w:val="auto"/>
        </w:rPr>
        <w:t>X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9"/>
          <w:szCs w:val="19"/>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9"/>
          <w:szCs w:val="19"/>
          <w:color w:val="auto"/>
        </w:rPr>
        <w:t>a Delaware corporation, with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9"/>
          <w:szCs w:val="19"/>
          <w:color w:val="auto"/>
        </w:rPr>
        <w:t>address at 151 Oyster Point Blvd, Suite 400, South San Francisco, CA 94080,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D</w:t>
      </w:r>
      <w:r>
        <w:rPr>
          <w:rFonts w:ascii="Times New Roman" w:cs="Times New Roman" w:eastAsia="Times New Roman" w:hAnsi="Times New Roman"/>
          <w:sz w:val="13"/>
          <w:szCs w:val="13"/>
          <w:color w:val="auto"/>
        </w:rPr>
        <w:t>R</w:t>
      </w:r>
      <w:r>
        <w:rPr>
          <w:rFonts w:ascii="Times New Roman" w:cs="Times New Roman" w:eastAsia="Times New Roman" w:hAnsi="Times New Roman"/>
          <w:sz w:val="19"/>
          <w:szCs w:val="19"/>
          <w:color w:val="auto"/>
        </w:rPr>
        <w:t>. H</w:t>
      </w:r>
      <w:r>
        <w:rPr>
          <w:rFonts w:ascii="Times New Roman" w:cs="Times New Roman" w:eastAsia="Times New Roman" w:hAnsi="Times New Roman"/>
          <w:sz w:val="13"/>
          <w:szCs w:val="13"/>
          <w:color w:val="auto"/>
        </w:rPr>
        <w:t>OYOUNG</w:t>
      </w:r>
      <w:r>
        <w:rPr>
          <w:rFonts w:ascii="Times New Roman" w:cs="Times New Roman" w:eastAsia="Times New Roman" w:hAnsi="Times New Roman"/>
          <w:sz w:val="19"/>
          <w:szCs w:val="19"/>
          <w:color w:val="auto"/>
        </w:rPr>
        <w:t xml:space="preserve"> H</w:t>
      </w:r>
      <w:r>
        <w:rPr>
          <w:rFonts w:ascii="Times New Roman" w:cs="Times New Roman" w:eastAsia="Times New Roman" w:hAnsi="Times New Roman"/>
          <w:sz w:val="13"/>
          <w:szCs w:val="13"/>
          <w:color w:val="auto"/>
        </w:rPr>
        <w:t>UH</w:t>
      </w:r>
      <w:r>
        <w:rPr>
          <w:rFonts w:ascii="Times New Roman" w:cs="Times New Roman" w:eastAsia="Times New Roman" w:hAnsi="Times New Roman"/>
          <w:sz w:val="19"/>
          <w:szCs w:val="19"/>
          <w:color w:val="auto"/>
        </w:rPr>
        <w:t>, M.D., P</w:t>
      </w:r>
      <w:r>
        <w:rPr>
          <w:rFonts w:ascii="Times New Roman" w:cs="Times New Roman" w:eastAsia="Times New Roman" w:hAnsi="Times New Roman"/>
          <w:sz w:val="13"/>
          <w:szCs w:val="13"/>
          <w:color w:val="auto"/>
        </w:rPr>
        <w:t>H</w:t>
      </w:r>
      <w:r>
        <w:rPr>
          <w:rFonts w:ascii="Times New Roman" w:cs="Times New Roman" w:eastAsia="Times New Roman" w:hAnsi="Times New Roman"/>
          <w:sz w:val="19"/>
          <w:szCs w:val="19"/>
          <w:color w:val="auto"/>
        </w:rPr>
        <w:t>.D, an individual residing at * (“</w:t>
      </w:r>
      <w:r>
        <w:rPr>
          <w:rFonts w:ascii="Times New Roman" w:cs="Times New Roman" w:eastAsia="Times New Roman" w:hAnsi="Times New Roman"/>
          <w:sz w:val="19"/>
          <w:szCs w:val="19"/>
          <w:b w:val="1"/>
          <w:bCs w:val="1"/>
          <w:color w:val="auto"/>
        </w:rPr>
        <w:t>Consultant</w:t>
      </w:r>
      <w:r>
        <w:rPr>
          <w:rFonts w:ascii="Times New Roman" w:cs="Times New Roman" w:eastAsia="Times New Roman" w:hAnsi="Times New Roman"/>
          <w:sz w:val="19"/>
          <w:szCs w:val="19"/>
          <w:color w:val="auto"/>
        </w:rPr>
        <w:t>”), effective as of December 31, 2018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p>
    <w:p>
      <w:pPr>
        <w:spacing w:after="0" w:line="2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HEREAS</w:t>
      </w:r>
      <w:r>
        <w:rPr>
          <w:rFonts w:ascii="Times New Roman" w:cs="Times New Roman" w:eastAsia="Times New Roman" w:hAnsi="Times New Roman"/>
          <w:sz w:val="20"/>
          <w:szCs w:val="20"/>
          <w:color w:val="auto"/>
        </w:rPr>
        <w:t>, Consultant has skills and knowledge in the Company’s field of endeavor and thus is well suited to advise the Company;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191" w:lineRule="exact"/>
        <w:rPr>
          <w:sz w:val="20"/>
          <w:szCs w:val="20"/>
          <w:color w:val="auto"/>
        </w:rPr>
      </w:pPr>
    </w:p>
    <w:p>
      <w:pPr>
        <w:ind w:firstLine="879"/>
        <w:spacing w:after="0" w:line="267" w:lineRule="auto"/>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HEREAS</w:t>
      </w:r>
      <w:r>
        <w:rPr>
          <w:rFonts w:ascii="Times New Roman" w:cs="Times New Roman" w:eastAsia="Times New Roman" w:hAnsi="Times New Roman"/>
          <w:sz w:val="20"/>
          <w:szCs w:val="20"/>
          <w:color w:val="auto"/>
        </w:rPr>
        <w:t>, the Company desires that Consultant advise and consult with the Company in Consultant’s area of expertise and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conditions set forth herein;</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HEREFORE</w:t>
      </w:r>
      <w:r>
        <w:rPr>
          <w:rFonts w:ascii="Times New Roman" w:cs="Times New Roman" w:eastAsia="Times New Roman" w:hAnsi="Times New Roman"/>
          <w:sz w:val="20"/>
          <w:szCs w:val="20"/>
          <w:color w:val="auto"/>
        </w:rPr>
        <w:t>, in consideration of the mutual obligations specified in this Agreement, the parties agree to the following:</w:t>
      </w:r>
    </w:p>
    <w:p>
      <w:pPr>
        <w:spacing w:after="0" w:line="217" w:lineRule="exact"/>
        <w:rPr>
          <w:sz w:val="20"/>
          <w:szCs w:val="20"/>
          <w:color w:val="auto"/>
        </w:rPr>
      </w:pPr>
    </w:p>
    <w:p>
      <w:pPr>
        <w:jc w:val="both"/>
        <w:ind w:firstLine="878"/>
        <w:spacing w:after="0" w:line="250" w:lineRule="auto"/>
        <w:tabs>
          <w:tab w:leader="none" w:pos="1624"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ONSULTING</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ERVICES</w:t>
      </w:r>
      <w:r>
        <w:rPr>
          <w:rFonts w:ascii="Times New Roman" w:cs="Times New Roman" w:eastAsia="Times New Roman" w:hAnsi="Times New Roman"/>
          <w:sz w:val="20"/>
          <w:szCs w:val="20"/>
          <w:color w:val="auto"/>
        </w:rPr>
        <w:t>. Consultant shall serve as an advisor to the chief executive officer, providing consulting services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on corporate governance, strategy and development and on scientific matters of the Company from time to time as requested (and such services the “</w:t>
      </w:r>
      <w:r>
        <w:rPr>
          <w:rFonts w:ascii="Times New Roman" w:cs="Times New Roman" w:eastAsia="Times New Roman" w:hAnsi="Times New Roman"/>
          <w:sz w:val="20"/>
          <w:szCs w:val="20"/>
          <w:b w:val="1"/>
          <w:bCs w:val="1"/>
          <w:color w:val="auto"/>
        </w:rPr>
        <w:t>Services</w:t>
      </w:r>
      <w:r>
        <w:rPr>
          <w:rFonts w:ascii="Times New Roman" w:cs="Times New Roman" w:eastAsia="Times New Roman" w:hAnsi="Times New Roman"/>
          <w:sz w:val="20"/>
          <w:szCs w:val="20"/>
          <w:color w:val="auto"/>
        </w:rPr>
        <w:t>”). Consultant will perform the Services using Consultant’s highest degree of professional skill and expertise.</w:t>
      </w:r>
    </w:p>
    <w:p>
      <w:pPr>
        <w:spacing w:after="0" w:line="180" w:lineRule="exact"/>
        <w:rPr>
          <w:sz w:val="20"/>
          <w:szCs w:val="20"/>
          <w:color w:val="auto"/>
        </w:rPr>
      </w:pPr>
    </w:p>
    <w:p>
      <w:pPr>
        <w:ind w:firstLine="879"/>
        <w:spacing w:after="0" w:line="263" w:lineRule="auto"/>
        <w:rPr>
          <w:sz w:val="20"/>
          <w:szCs w:val="20"/>
          <w:color w:val="auto"/>
        </w:rPr>
      </w:pPr>
      <w:r>
        <w:rPr>
          <w:rFonts w:ascii="Times New Roman" w:cs="Times New Roman" w:eastAsia="Times New Roman" w:hAnsi="Times New Roman"/>
          <w:sz w:val="20"/>
          <w:szCs w:val="20"/>
          <w:color w:val="auto"/>
        </w:rPr>
        <w:t>Consultant shall render the Services at such times and in such quantities as are requested, provided that such Services shall not exceed fifteen (15) hours in any given month, unless otherwise specifically agreed to in writing by Consultant and Company.</w:t>
      </w:r>
    </w:p>
    <w:p>
      <w:pPr>
        <w:spacing w:after="0" w:line="163" w:lineRule="exact"/>
        <w:rPr>
          <w:sz w:val="20"/>
          <w:szCs w:val="20"/>
          <w:color w:val="auto"/>
        </w:rPr>
      </w:pPr>
    </w:p>
    <w:p>
      <w:pPr>
        <w:jc w:val="both"/>
        <w:ind w:firstLine="878"/>
        <w:spacing w:after="0" w:line="250" w:lineRule="auto"/>
        <w:tabs>
          <w:tab w:leader="none" w:pos="1624"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color w:val="auto"/>
        </w:rPr>
        <w:t>. Company shall pay Consultant $500.00 per hour, payable in arrears pursuant to monthly invoices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by Consultant) for the Services, such invoices payable within thirty (30) days from date of receipt by the Company. The Company shall also reimburse Consultant for reasonable expenses.</w:t>
      </w:r>
    </w:p>
    <w:p>
      <w:pPr>
        <w:spacing w:after="0" w:line="175" w:lineRule="exact"/>
        <w:rPr>
          <w:rFonts w:ascii="Times New Roman" w:cs="Times New Roman" w:eastAsia="Times New Roman" w:hAnsi="Times New Roman"/>
          <w:sz w:val="20"/>
          <w:szCs w:val="20"/>
          <w:b w:val="1"/>
          <w:bCs w:val="1"/>
          <w:color w:val="auto"/>
        </w:rPr>
      </w:pPr>
    </w:p>
    <w:p>
      <w:pPr>
        <w:jc w:val="both"/>
        <w:ind w:firstLine="878"/>
        <w:spacing w:after="0" w:line="242" w:lineRule="auto"/>
        <w:tabs>
          <w:tab w:leader="none" w:pos="1624"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NDEPENDENT</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ONTRACTOR</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TATUS</w:t>
      </w:r>
      <w:r>
        <w:rPr>
          <w:rFonts w:ascii="Times New Roman" w:cs="Times New Roman" w:eastAsia="Times New Roman" w:hAnsi="Times New Roman"/>
          <w:sz w:val="20"/>
          <w:szCs w:val="20"/>
          <w:color w:val="auto"/>
        </w:rPr>
        <w:t>. It is understood and agreed that Consultant is an independent contractor, is not an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employee of the Company, and is not authorized to act on behalf of the Company. Consultant agrees not to hold himself or herself out as, or give any person any reason to believe that he or she is an employee, agent, joint venturer or partner of the Company. Consultant will not be eligible for any employee benefits, nor will the Company make deductions from any amounts payable to Consultant for taxes or insurance (except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118745</wp:posOffset>
            </wp:positionV>
            <wp:extent cx="7298690" cy="643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7298690" cy="643890"/>
                    </a:xfrm>
                    <a:prstGeom prst="rect">
                      <a:avLst/>
                    </a:prstGeom>
                    <a:noFill/>
                  </pic:spPr>
                </pic:pic>
              </a:graphicData>
            </a:graphic>
          </wp:anchor>
        </w:drawing>
      </w:r>
    </w:p>
    <w:p>
      <w:pPr>
        <w:sectPr>
          <w:pgSz w:w="11900" w:h="16838" w:orient="portrait"/>
          <w:cols w:equalWidth="0" w:num="1">
            <w:col w:w="11420"/>
          </w:cols>
          <w:pgMar w:left="240" w:top="1104" w:right="239" w:bottom="1440" w:gutter="0" w:footer="0" w:header="0"/>
        </w:sectPr>
      </w:pPr>
    </w:p>
    <w:bookmarkStart w:id="139" w:name="page140"/>
    <w:bookmarkEnd w:id="139"/>
    <w:p>
      <w:pPr>
        <w:spacing w:after="0" w:line="26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899160" cy="5048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899160" cy="504825"/>
                    </a:xfrm>
                    <a:prstGeom prst="rect">
                      <a:avLst/>
                    </a:prstGeom>
                    <a:noFill/>
                  </pic:spPr>
                </pic:pic>
              </a:graphicData>
            </a:graphic>
          </wp:anchor>
        </w:drawing>
        <w:t>extent the Company is required by law to do so). All payroll and employment taxes, insurance, and benefits shall be the sole responsibility of Consultant.</w:t>
      </w:r>
    </w:p>
    <w:p>
      <w:pPr>
        <w:spacing w:after="0" w:line="163" w:lineRule="exact"/>
        <w:rPr>
          <w:sz w:val="20"/>
          <w:szCs w:val="20"/>
          <w:color w:val="auto"/>
        </w:rPr>
      </w:pPr>
    </w:p>
    <w:p>
      <w:pPr>
        <w:jc w:val="both"/>
        <w:ind w:firstLine="878"/>
        <w:spacing w:after="0" w:line="250" w:lineRule="auto"/>
        <w:tabs>
          <w:tab w:leader="none" w:pos="1624"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OLICITATION</w:t>
      </w:r>
      <w:r>
        <w:rPr>
          <w:rFonts w:ascii="Times New Roman" w:cs="Times New Roman" w:eastAsia="Times New Roman" w:hAnsi="Times New Roman"/>
          <w:sz w:val="20"/>
          <w:szCs w:val="20"/>
          <w:color w:val="auto"/>
        </w:rPr>
        <w:t>. During the term of this Agreement and for one (1) years after its termination, Consultant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personnel performing hereunder) will not personally or through others recruit, solicit or induce any employee of the Company to terminate his or her employment with the Company.</w:t>
      </w:r>
    </w:p>
    <w:p>
      <w:pPr>
        <w:spacing w:after="0" w:line="175" w:lineRule="exact"/>
        <w:rPr>
          <w:rFonts w:ascii="Times New Roman" w:cs="Times New Roman" w:eastAsia="Times New Roman" w:hAnsi="Times New Roman"/>
          <w:sz w:val="20"/>
          <w:szCs w:val="20"/>
          <w:b w:val="1"/>
          <w:bCs w:val="1"/>
          <w:color w:val="auto"/>
        </w:rPr>
      </w:pPr>
    </w:p>
    <w:p>
      <w:pPr>
        <w:ind w:left="1620" w:hanging="742"/>
        <w:spacing w:after="0"/>
        <w:tabs>
          <w:tab w:leader="none" w:pos="162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AINTAINING</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ONFIDENTIAL</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NFORMATION</w:t>
      </w:r>
      <w:r>
        <w:rPr>
          <w:rFonts w:ascii="Times New Roman" w:cs="Times New Roman" w:eastAsia="Times New Roman" w:hAnsi="Times New Roman"/>
          <w:sz w:val="20"/>
          <w:szCs w:val="20"/>
          <w:color w:val="auto"/>
        </w:rPr>
        <w:t>.</w:t>
      </w:r>
    </w:p>
    <w:p>
      <w:pPr>
        <w:spacing w:after="0" w:line="217" w:lineRule="exact"/>
        <w:rPr>
          <w:sz w:val="20"/>
          <w:szCs w:val="20"/>
          <w:color w:val="auto"/>
        </w:rPr>
      </w:pPr>
    </w:p>
    <w:p>
      <w:pPr>
        <w:jc w:val="both"/>
        <w:ind w:firstLine="879"/>
        <w:spacing w:after="0" w:line="228" w:lineRule="exact"/>
        <w:rPr>
          <w:sz w:val="20"/>
          <w:szCs w:val="20"/>
          <w:color w:val="auto"/>
        </w:rPr>
      </w:pPr>
      <w:r>
        <w:rPr>
          <w:rFonts w:ascii="Times New Roman" w:cs="Times New Roman" w:eastAsia="Times New Roman" w:hAnsi="Times New Roman"/>
          <w:sz w:val="20"/>
          <w:szCs w:val="20"/>
          <w:b w:val="1"/>
          <w:bCs w:val="1"/>
          <w:color w:val="auto"/>
        </w:rPr>
        <w:t>5.1 Company Information</w:t>
      </w:r>
      <w:r>
        <w:rPr>
          <w:rFonts w:ascii="Times New Roman" w:cs="Times New Roman" w:eastAsia="Times New Roman" w:hAnsi="Times New Roman"/>
          <w:sz w:val="20"/>
          <w:szCs w:val="20"/>
          <w:color w:val="auto"/>
        </w:rPr>
        <w:t>. During the term of this Agreement, Consultant may receive or otherwise be exposed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confidential and proprietary information relating to the Company’s technology, know-how, data, inventions, developments, plans, business practices, and strategies, and those of the Company’s collaborators and business associates. Such confidential and proprietary information of the Company (collectively referred to as “</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may include but not be limited to: (i) information supplied to Consultant with the legend “Confidential” or equivalent; (ii) the Company’s marketing and customer support strategies, financial information (including sales, costs, profits and pricing methods), internal organization, employee information, customer lists and business plans; (iii) the Company’s technology, including, but not limited to, discoveries, inventions, research and development efforts, manufacturing processes, assays, data (including without limitation preclinical, clinical and manufacturing data), software, trade secrets, processes, compounds, product, candidates, products, samples, media and/or cell lines (and procedures and formulations for producing any such samples, media and/or cell lines), vectors, viruses, assays, plasmids, formulas, methods, protocols, clinical trial designs and product know</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how and show</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how; (iv) all derivatives, improvements, additions, modifications, and enhancements to any of the above, including any such information or material created or developed by Consultant under this Agreement; (v) information of third parties as to which the Company has an obligation of confidentiality; and (vi) information regarding the Consulting Inventions (defined in Section 6.1).</w:t>
      </w:r>
    </w:p>
    <w:p>
      <w:pPr>
        <w:spacing w:after="0" w:line="195" w:lineRule="exact"/>
        <w:rPr>
          <w:sz w:val="20"/>
          <w:szCs w:val="20"/>
          <w:color w:val="auto"/>
        </w:rPr>
      </w:pPr>
    </w:p>
    <w:p>
      <w:pPr>
        <w:jc w:val="both"/>
        <w:ind w:firstLine="879"/>
        <w:spacing w:after="0" w:line="239" w:lineRule="auto"/>
        <w:rPr>
          <w:sz w:val="20"/>
          <w:szCs w:val="20"/>
          <w:color w:val="auto"/>
        </w:rPr>
      </w:pPr>
      <w:r>
        <w:rPr>
          <w:rFonts w:ascii="Times New Roman" w:cs="Times New Roman" w:eastAsia="Times New Roman" w:hAnsi="Times New Roman"/>
          <w:sz w:val="20"/>
          <w:szCs w:val="20"/>
          <w:color w:val="auto"/>
        </w:rPr>
        <w:t>Consultant acknowledges the confidential and secret character of the Information and agrees that the Information (with the exception of information in category (v)) is the sole, exclusive and extremely valuable property of the Company. Accordingly, Consultant shall not reproduce any of the Information without the applicable prior written consent of the Company, use the Information except in the performance of this Agreement, nor disclose all or any part of the Information in any form to any third party, either during or after the term of this Agreement. Upon termination of this Agreement for any reason, including expiration of term, Consultant agrees to cease using and to return to the Company all whole and partial copies of the Information.</w:t>
      </w:r>
    </w:p>
    <w:p>
      <w:pPr>
        <w:spacing w:after="0" w:line="191" w:lineRule="exact"/>
        <w:rPr>
          <w:sz w:val="20"/>
          <w:szCs w:val="20"/>
          <w:color w:val="auto"/>
        </w:rPr>
      </w:pPr>
    </w:p>
    <w:p>
      <w:pPr>
        <w:jc w:val="both"/>
        <w:ind w:firstLine="879"/>
        <w:spacing w:after="0" w:line="263" w:lineRule="auto"/>
        <w:rPr>
          <w:sz w:val="20"/>
          <w:szCs w:val="20"/>
          <w:color w:val="auto"/>
        </w:rPr>
      </w:pPr>
      <w:r>
        <w:rPr>
          <w:rFonts w:ascii="Times New Roman" w:cs="Times New Roman" w:eastAsia="Times New Roman" w:hAnsi="Times New Roman"/>
          <w:sz w:val="20"/>
          <w:szCs w:val="20"/>
          <w:color w:val="auto"/>
        </w:rPr>
        <w:t>Consultant shall not remove from the premises of Company or otherwise transfer to any third party any materials to which Company provides Consultant access, unless Consultant has express advance written consent from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248285</wp:posOffset>
            </wp:positionV>
            <wp:extent cx="7298690" cy="643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7298690" cy="643890"/>
                    </a:xfrm>
                    <a:prstGeom prst="rect">
                      <a:avLst/>
                    </a:prstGeom>
                    <a:noFill/>
                  </pic:spPr>
                </pic:pic>
              </a:graphicData>
            </a:graphic>
          </wp:anchor>
        </w:drawing>
      </w:r>
    </w:p>
    <w:p>
      <w:pPr>
        <w:sectPr>
          <w:pgSz w:w="11900" w:h="16838" w:orient="portrait"/>
          <w:cols w:equalWidth="0" w:num="1">
            <w:col w:w="11420"/>
          </w:cols>
          <w:pgMar w:left="240" w:top="1108" w:right="239" w:bottom="1440" w:gutter="0" w:footer="0" w:header="0"/>
        </w:sectPr>
      </w:pPr>
    </w:p>
    <w:bookmarkStart w:id="140" w:name="page141"/>
    <w:bookmarkEnd w:id="140"/>
    <w:p>
      <w:pPr>
        <w:jc w:val="both"/>
        <w:ind w:firstLine="879"/>
        <w:spacing w:after="0" w:line="250"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899160" cy="5048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899160" cy="504825"/>
                    </a:xfrm>
                    <a:prstGeom prst="rect">
                      <a:avLst/>
                    </a:prstGeom>
                    <a:noFill/>
                  </pic:spPr>
                </pic:pic>
              </a:graphicData>
            </a:graphic>
          </wp:anchor>
        </w:drawing>
        <w:t>5.2 Employer Information</w:t>
      </w:r>
      <w:r>
        <w:rPr>
          <w:rFonts w:ascii="Times New Roman" w:cs="Times New Roman" w:eastAsia="Times New Roman" w:hAnsi="Times New Roman"/>
          <w:sz w:val="20"/>
          <w:szCs w:val="20"/>
          <w:color w:val="auto"/>
        </w:rPr>
        <w:t>. Consultant agrees that she, he or it will not, during her or his engagement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improperly use or disclose any proprietary information or trade secrets of her or his former or current employers or companies with which she or he has or has had a consulting or other relationship, if any.</w:t>
      </w:r>
    </w:p>
    <w:p>
      <w:pPr>
        <w:spacing w:after="0" w:line="176" w:lineRule="exact"/>
        <w:rPr>
          <w:sz w:val="20"/>
          <w:szCs w:val="20"/>
          <w:color w:val="auto"/>
        </w:rPr>
      </w:pPr>
    </w:p>
    <w:p>
      <w:pPr>
        <w:jc w:val="both"/>
        <w:ind w:firstLine="879"/>
        <w:spacing w:after="0" w:line="239" w:lineRule="auto"/>
        <w:rPr>
          <w:sz w:val="20"/>
          <w:szCs w:val="20"/>
          <w:color w:val="auto"/>
        </w:rPr>
      </w:pPr>
      <w:r>
        <w:rPr>
          <w:rFonts w:ascii="Times New Roman" w:cs="Times New Roman" w:eastAsia="Times New Roman" w:hAnsi="Times New Roman"/>
          <w:sz w:val="20"/>
          <w:szCs w:val="20"/>
          <w:b w:val="1"/>
          <w:bCs w:val="1"/>
          <w:color w:val="auto"/>
        </w:rPr>
        <w:t>5.3 Third Party Information</w:t>
      </w:r>
      <w:r>
        <w:rPr>
          <w:rFonts w:ascii="Times New Roman" w:cs="Times New Roman" w:eastAsia="Times New Roman" w:hAnsi="Times New Roman"/>
          <w:sz w:val="20"/>
          <w:szCs w:val="20"/>
          <w:color w:val="auto"/>
        </w:rPr>
        <w:t>. Consultant recognizes that the Company has received and in the future will receive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third parties their confidential or proprietary information subject to a duty on the Company’s part to maintain the confidentiality of such information and, in some cases, to use it only for certain limited purposes. Consultant agrees that he, she or it owes the Company and such third parties, both during the term of her or his engagement and 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186" w:lineRule="exact"/>
        <w:rPr>
          <w:sz w:val="20"/>
          <w:szCs w:val="20"/>
          <w:color w:val="auto"/>
        </w:rPr>
      </w:pPr>
    </w:p>
    <w:p>
      <w:pPr>
        <w:jc w:val="both"/>
        <w:ind w:firstLine="87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5.4 Statutory Immunity from Prosecution. </w:t>
      </w:r>
      <w:r>
        <w:rPr>
          <w:rFonts w:ascii="Times New Roman" w:cs="Times New Roman" w:eastAsia="Times New Roman" w:hAnsi="Times New Roman"/>
          <w:sz w:val="20"/>
          <w:szCs w:val="20"/>
          <w:color w:val="auto"/>
        </w:rPr>
        <w:t>Consultant shall not be held criminally or civilly liable under any Federal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trade secret law for the disclosure of a trade secret that: (i) is done solely for the purpose of reporting or investigating a suspected violation of law and is made in confidence to a Federal, State, or local government official, either directly or indirectly, or to an attorney; or (ii) is made in a complaint or other document filed in a lawsuit or other proceeding, if such filing is made under seal.</w:t>
      </w:r>
    </w:p>
    <w:p>
      <w:pPr>
        <w:spacing w:after="0" w:line="183" w:lineRule="exact"/>
        <w:rPr>
          <w:sz w:val="20"/>
          <w:szCs w:val="20"/>
          <w:color w:val="auto"/>
        </w:rPr>
      </w:pPr>
    </w:p>
    <w:p>
      <w:pPr>
        <w:ind w:left="1620" w:hanging="742"/>
        <w:spacing w:after="0"/>
        <w:tabs>
          <w:tab w:leader="none" w:pos="162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NVENTIONS</w:t>
      </w:r>
      <w:r>
        <w:rPr>
          <w:rFonts w:ascii="Times New Roman" w:cs="Times New Roman" w:eastAsia="Times New Roman" w:hAnsi="Times New Roman"/>
          <w:sz w:val="20"/>
          <w:szCs w:val="20"/>
          <w:color w:val="auto"/>
        </w:rPr>
        <w:t>.</w:t>
      </w:r>
    </w:p>
    <w:p>
      <w:pPr>
        <w:spacing w:after="0" w:line="217" w:lineRule="exact"/>
        <w:rPr>
          <w:sz w:val="20"/>
          <w:szCs w:val="20"/>
          <w:color w:val="auto"/>
        </w:rPr>
      </w:pPr>
    </w:p>
    <w:p>
      <w:pPr>
        <w:jc w:val="both"/>
        <w:ind w:firstLine="879"/>
        <w:spacing w:after="0" w:line="238" w:lineRule="auto"/>
        <w:rPr>
          <w:sz w:val="20"/>
          <w:szCs w:val="20"/>
          <w:color w:val="auto"/>
        </w:rPr>
      </w:pPr>
      <w:r>
        <w:rPr>
          <w:rFonts w:ascii="Times New Roman" w:cs="Times New Roman" w:eastAsia="Times New Roman" w:hAnsi="Times New Roman"/>
          <w:sz w:val="20"/>
          <w:szCs w:val="20"/>
          <w:b w:val="1"/>
          <w:bCs w:val="1"/>
          <w:color w:val="auto"/>
        </w:rPr>
        <w:t>6.1 Disclosure of Inventions</w:t>
      </w:r>
      <w:r>
        <w:rPr>
          <w:rFonts w:ascii="Times New Roman" w:cs="Times New Roman" w:eastAsia="Times New Roman" w:hAnsi="Times New Roman"/>
          <w:sz w:val="20"/>
          <w:szCs w:val="20"/>
          <w:color w:val="auto"/>
        </w:rPr>
        <w:t>. Consultant shall promptly and fully disclose to the Company any and all ideas, improvements,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inventions, know-how, techniques and works of authorship learned, conceived or developed by Consultant pursuant to her, his or its performance of the Services for the Company and/or using the Information (whether such use of Information occurs during or after the term of this Agreement (and without implying any right to use the Information outside of performing the Services)) (all of the foregoing, together with all intellectual property rights therein (including without limitation patent applications and patents), the “</w:t>
      </w:r>
      <w:r>
        <w:rPr>
          <w:rFonts w:ascii="Times New Roman" w:cs="Times New Roman" w:eastAsia="Times New Roman" w:hAnsi="Times New Roman"/>
          <w:sz w:val="20"/>
          <w:szCs w:val="20"/>
          <w:b w:val="1"/>
          <w:bCs w:val="1"/>
          <w:color w:val="auto"/>
        </w:rPr>
        <w:t>Consulting Inventions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inventions by Consultant during the term of the Services or within one (1) year thereafter and having utility in the field of protease-activated biologics shall be presumed to have been made using the Information unless Consultant is able to show conclusively that they were not.</w:t>
      </w:r>
    </w:p>
    <w:p>
      <w:pPr>
        <w:spacing w:after="0" w:line="188" w:lineRule="exact"/>
        <w:rPr>
          <w:sz w:val="20"/>
          <w:szCs w:val="20"/>
          <w:color w:val="auto"/>
        </w:rPr>
      </w:pPr>
    </w:p>
    <w:p>
      <w:pPr>
        <w:jc w:val="both"/>
        <w:ind w:firstLine="879"/>
        <w:spacing w:after="0" w:line="242" w:lineRule="auto"/>
        <w:rPr>
          <w:sz w:val="20"/>
          <w:szCs w:val="20"/>
          <w:color w:val="auto"/>
        </w:rPr>
      </w:pPr>
      <w:r>
        <w:rPr>
          <w:rFonts w:ascii="Times New Roman" w:cs="Times New Roman" w:eastAsia="Times New Roman" w:hAnsi="Times New Roman"/>
          <w:sz w:val="20"/>
          <w:szCs w:val="20"/>
          <w:b w:val="1"/>
          <w:bCs w:val="1"/>
          <w:color w:val="auto"/>
        </w:rPr>
        <w:t>6.2 Inventions Assigned to the Company</w:t>
      </w:r>
      <w:r>
        <w:rPr>
          <w:rFonts w:ascii="Times New Roman" w:cs="Times New Roman" w:eastAsia="Times New Roman" w:hAnsi="Times New Roman"/>
          <w:sz w:val="20"/>
          <w:szCs w:val="20"/>
          <w:color w:val="auto"/>
        </w:rPr>
        <w:t>. Consultant agrees that any and all Consulting Inventions shall be the sole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exclusive property of the Company. Accordingly, Consultant hereby assigns to the Company all her, his or its right, title and interest in and to the Consulting Inventions, and agrees to execute and deliver (during and after the term of this Agreement and for no additional consideration) all documents and take all reasonable, lawful actions to assist the Company to evidence or record such assignment or perfect, defend or enforce the Consulting Inventions. Consultant shall do so both during and after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118745</wp:posOffset>
            </wp:positionV>
            <wp:extent cx="7298690" cy="643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7298690" cy="643890"/>
                    </a:xfrm>
                    <a:prstGeom prst="rect">
                      <a:avLst/>
                    </a:prstGeom>
                    <a:noFill/>
                  </pic:spPr>
                </pic:pic>
              </a:graphicData>
            </a:graphic>
          </wp:anchor>
        </w:drawing>
      </w:r>
    </w:p>
    <w:p>
      <w:pPr>
        <w:sectPr>
          <w:pgSz w:w="11900" w:h="16838" w:orient="portrait"/>
          <w:cols w:equalWidth="0" w:num="1">
            <w:col w:w="11420"/>
          </w:cols>
          <w:pgMar w:left="240" w:top="1104" w:right="239" w:bottom="1440" w:gutter="0" w:footer="0" w:header="0"/>
        </w:sectPr>
      </w:pPr>
    </w:p>
    <w:bookmarkStart w:id="141" w:name="page142"/>
    <w:bookmarkEnd w:id="141"/>
    <w:p>
      <w:pPr>
        <w:jc w:val="both"/>
        <w:spacing w:after="0" w:line="248"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899160" cy="5048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899160" cy="504825"/>
                    </a:xfrm>
                    <a:prstGeom prst="rect">
                      <a:avLst/>
                    </a:prstGeom>
                    <a:noFill/>
                  </pic:spPr>
                </pic:pic>
              </a:graphicData>
            </a:graphic>
          </wp:anchor>
        </w:drawing>
        <w:t>for no additional consideration beyond the payments from Company to Consultant for the Services during the term of this Agreement. Further, if Company is unable, after making reasonable inquiry, to obtain Consultant’s signature on any such documents, Consultant hereby appoints Company as Consultant’s attorney-in-fact to execute and deliver such documents.</w:t>
      </w:r>
    </w:p>
    <w:p>
      <w:pPr>
        <w:spacing w:after="0" w:line="182" w:lineRule="exact"/>
        <w:rPr>
          <w:sz w:val="20"/>
          <w:szCs w:val="20"/>
          <w:color w:val="auto"/>
        </w:rPr>
      </w:pPr>
    </w:p>
    <w:p>
      <w:pPr>
        <w:jc w:val="both"/>
        <w:ind w:firstLine="879"/>
        <w:spacing w:after="0" w:line="263" w:lineRule="auto"/>
        <w:rPr>
          <w:sz w:val="20"/>
          <w:szCs w:val="20"/>
          <w:color w:val="auto"/>
        </w:rPr>
      </w:pPr>
      <w:r>
        <w:rPr>
          <w:rFonts w:ascii="Times New Roman" w:cs="Times New Roman" w:eastAsia="Times New Roman" w:hAnsi="Times New Roman"/>
          <w:sz w:val="20"/>
          <w:szCs w:val="20"/>
          <w:color w:val="auto"/>
        </w:rPr>
        <w:t>Consultant explicitly acknowledges and agrees that all works of authorship contained in the Consulting Inventions are “works for hire” under the copyright laws of the United States, and that the Company shall own the copyright in all such works of authorship.</w:t>
      </w:r>
    </w:p>
    <w:p>
      <w:pPr>
        <w:spacing w:after="0" w:line="163" w:lineRule="exact"/>
        <w:rPr>
          <w:sz w:val="20"/>
          <w:szCs w:val="20"/>
          <w:color w:val="auto"/>
        </w:rPr>
      </w:pPr>
    </w:p>
    <w:p>
      <w:pPr>
        <w:jc w:val="both"/>
        <w:ind w:firstLine="879"/>
        <w:spacing w:after="0" w:line="250" w:lineRule="auto"/>
        <w:rPr>
          <w:sz w:val="20"/>
          <w:szCs w:val="20"/>
          <w:color w:val="auto"/>
        </w:rPr>
      </w:pPr>
      <w:r>
        <w:rPr>
          <w:rFonts w:ascii="Times New Roman" w:cs="Times New Roman" w:eastAsia="Times New Roman" w:hAnsi="Times New Roman"/>
          <w:sz w:val="20"/>
          <w:szCs w:val="20"/>
          <w:b w:val="1"/>
          <w:bCs w:val="1"/>
          <w:color w:val="auto"/>
        </w:rPr>
        <w:t>6.3 Obligation to Keep the Company Informed</w:t>
      </w:r>
      <w:r>
        <w:rPr>
          <w:rFonts w:ascii="Times New Roman" w:cs="Times New Roman" w:eastAsia="Times New Roman" w:hAnsi="Times New Roman"/>
          <w:sz w:val="20"/>
          <w:szCs w:val="20"/>
          <w:color w:val="auto"/>
        </w:rPr>
        <w:t>. During the term of this Agreement, and for one (1) year after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for any reason, Consultant will promptly disclose to the Company fully and in writing all patent applications filed by her, him or it, or on her, his or its behalf.</w:t>
      </w:r>
    </w:p>
    <w:p>
      <w:pPr>
        <w:spacing w:after="0" w:line="176" w:lineRule="exact"/>
        <w:rPr>
          <w:sz w:val="20"/>
          <w:szCs w:val="20"/>
          <w:color w:val="auto"/>
        </w:rPr>
      </w:pPr>
    </w:p>
    <w:p>
      <w:pPr>
        <w:jc w:val="both"/>
        <w:ind w:firstLine="878"/>
        <w:spacing w:after="0"/>
        <w:tabs>
          <w:tab w:leader="none" w:pos="1624"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 AND</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expire two years after the Effective Date. Notwithstanding the foregoing,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either the Company or Consultant may terminate this Agreement at any time with or without cause by giving thirty (30) days written notice. If this Agreement terminates, Consultant shall cease work immediately after giving or receiving such notice or termination, unless otherwise advised by the Company, shall return to the Company all Information, Consulting Inventions, and other materials belonging to the Company, and shall notify the Company of costs incurred up to the termination date. Sections 4-6 of this Agreement shall survive any termination of this Agreement.</w:t>
      </w:r>
    </w:p>
    <w:p>
      <w:pPr>
        <w:spacing w:after="0" w:line="185" w:lineRule="exact"/>
        <w:rPr>
          <w:rFonts w:ascii="Times New Roman" w:cs="Times New Roman" w:eastAsia="Times New Roman" w:hAnsi="Times New Roman"/>
          <w:sz w:val="20"/>
          <w:szCs w:val="20"/>
          <w:b w:val="1"/>
          <w:bCs w:val="1"/>
          <w:color w:val="auto"/>
        </w:rPr>
      </w:pPr>
    </w:p>
    <w:p>
      <w:pPr>
        <w:ind w:firstLine="878"/>
        <w:spacing w:after="0" w:line="267" w:lineRule="auto"/>
        <w:tabs>
          <w:tab w:leader="none" w:pos="1624"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OMPLIANCE WITH</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PPLICABLE</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AWS</w:t>
      </w:r>
      <w:r>
        <w:rPr>
          <w:rFonts w:ascii="Times New Roman" w:cs="Times New Roman" w:eastAsia="Times New Roman" w:hAnsi="Times New Roman"/>
          <w:sz w:val="20"/>
          <w:szCs w:val="20"/>
          <w:color w:val="auto"/>
        </w:rPr>
        <w:t>. Consultant warrants that all work performed under this Agreement complies with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comply with all applicable United States and foreign laws and regulations.</w:t>
      </w:r>
    </w:p>
    <w:p>
      <w:pPr>
        <w:spacing w:after="0" w:line="159" w:lineRule="exact"/>
        <w:rPr>
          <w:rFonts w:ascii="Times New Roman" w:cs="Times New Roman" w:eastAsia="Times New Roman" w:hAnsi="Times New Roman"/>
          <w:sz w:val="20"/>
          <w:szCs w:val="20"/>
          <w:b w:val="1"/>
          <w:bCs w:val="1"/>
          <w:color w:val="auto"/>
        </w:rPr>
      </w:pPr>
    </w:p>
    <w:p>
      <w:pPr>
        <w:jc w:val="both"/>
        <w:ind w:firstLine="878"/>
        <w:spacing w:after="0" w:line="244" w:lineRule="auto"/>
        <w:tabs>
          <w:tab w:leader="none" w:pos="1624"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SSIGNMENT</w:t>
      </w:r>
      <w:r>
        <w:rPr>
          <w:rFonts w:ascii="Times New Roman" w:cs="Times New Roman" w:eastAsia="Times New Roman" w:hAnsi="Times New Roman"/>
          <w:sz w:val="20"/>
          <w:szCs w:val="20"/>
          <w:b w:val="1"/>
          <w:bCs w:val="1"/>
          <w:color w:val="auto"/>
        </w:rPr>
        <w:t>; B</w:t>
      </w:r>
      <w:r>
        <w:rPr>
          <w:rFonts w:ascii="Times New Roman" w:cs="Times New Roman" w:eastAsia="Times New Roman" w:hAnsi="Times New Roman"/>
          <w:sz w:val="13"/>
          <w:szCs w:val="13"/>
          <w:b w:val="1"/>
          <w:bCs w:val="1"/>
          <w:color w:val="auto"/>
        </w:rPr>
        <w:t>ENEFIT</w:t>
      </w:r>
      <w:r>
        <w:rPr>
          <w:rFonts w:ascii="Times New Roman" w:cs="Times New Roman" w:eastAsia="Times New Roman" w:hAnsi="Times New Roman"/>
          <w:sz w:val="20"/>
          <w:szCs w:val="20"/>
          <w:color w:val="auto"/>
        </w:rPr>
        <w:t>. This Agreement is for the personal services of Consultant and may not be assigned by her, him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Consultant may not delegate any of his, her or its duties under this Agreement nor shall it be assignable by Consultant by operation of law, without the prior written consent of the Company. The parties’ rights and obligations under this Agreement will bind and inure to the benefit of their respective successors, heirs, executors, and administrators and permitted assigns.</w:t>
      </w:r>
    </w:p>
    <w:p>
      <w:pPr>
        <w:spacing w:after="0" w:line="182" w:lineRule="exact"/>
        <w:rPr>
          <w:rFonts w:ascii="Times New Roman" w:cs="Times New Roman" w:eastAsia="Times New Roman" w:hAnsi="Times New Roman"/>
          <w:sz w:val="20"/>
          <w:szCs w:val="20"/>
          <w:b w:val="1"/>
          <w:bCs w:val="1"/>
          <w:color w:val="auto"/>
        </w:rPr>
      </w:pPr>
    </w:p>
    <w:p>
      <w:pPr>
        <w:jc w:val="both"/>
        <w:ind w:firstLine="878"/>
        <w:spacing w:after="0"/>
        <w:tabs>
          <w:tab w:leader="none" w:pos="1723"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3"/>
          <w:szCs w:val="13"/>
          <w:b w:val="1"/>
          <w:bCs w:val="1"/>
          <w:color w:val="auto"/>
        </w:rPr>
        <w:t>EGAL AND</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QUITABLE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EMEDIES</w:t>
      </w:r>
      <w:r>
        <w:rPr>
          <w:rFonts w:ascii="Times New Roman" w:cs="Times New Roman" w:eastAsia="Times New Roman" w:hAnsi="Times New Roman"/>
          <w:sz w:val="20"/>
          <w:szCs w:val="20"/>
          <w:color w:val="auto"/>
        </w:rPr>
        <w:t>. Consultant hereby acknowledges and agrees that if Consultant breaches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including, without limitation, by the actual or threatened disclosure of Information or Consulting Inventions without the prior express written consent of the Company, the Company will suffer an irreparable injury, such that no remedy at law will afford it adequate protection against, or appropriate compensation for, such injury. Accordingly, Consultant hereby agrees that the Company shall be entitled to specific performance of Consultant’s obligations under this Agreement, as well as such further relief as may be granted by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262255</wp:posOffset>
            </wp:positionV>
            <wp:extent cx="7298690" cy="643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7298690" cy="643890"/>
                    </a:xfrm>
                    <a:prstGeom prst="rect">
                      <a:avLst/>
                    </a:prstGeom>
                    <a:noFill/>
                  </pic:spPr>
                </pic:pic>
              </a:graphicData>
            </a:graphic>
          </wp:anchor>
        </w:drawing>
      </w:r>
    </w:p>
    <w:p>
      <w:pPr>
        <w:sectPr>
          <w:pgSz w:w="11900" w:h="16838" w:orient="portrait"/>
          <w:cols w:equalWidth="0" w:num="1">
            <w:col w:w="11420"/>
          </w:cols>
          <w:pgMar w:left="240" w:top="1108" w:right="239" w:bottom="1440" w:gutter="0" w:footer="0" w:header="0"/>
        </w:sectPr>
      </w:pPr>
    </w:p>
    <w:bookmarkStart w:id="142" w:name="page143"/>
    <w:bookmarkEnd w:id="142"/>
    <w:p>
      <w:pPr>
        <w:jc w:val="both"/>
        <w:ind w:firstLine="878"/>
        <w:spacing w:after="0" w:line="244" w:lineRule="auto"/>
        <w:tabs>
          <w:tab w:leader="none" w:pos="1712"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899160" cy="5048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899160" cy="504825"/>
                    </a:xfrm>
                    <a:prstGeom prst="rect">
                      <a:avLst/>
                    </a:prstGeom>
                    <a:noFill/>
                  </pic:spPr>
                </pic:pic>
              </a:graphicData>
            </a:graphic>
          </wp:anchor>
        </w:drawing>
        <w:t>N</w:t>
      </w:r>
      <w:r>
        <w:rPr>
          <w:rFonts w:ascii="Times New Roman" w:cs="Times New Roman" w:eastAsia="Times New Roman" w:hAnsi="Times New Roman"/>
          <w:sz w:val="13"/>
          <w:szCs w:val="13"/>
          <w:b w:val="1"/>
          <w:bCs w:val="1"/>
          <w:color w:val="auto"/>
        </w:rPr>
        <w:t>OTICES</w:t>
      </w:r>
      <w:r>
        <w:rPr>
          <w:rFonts w:ascii="Times New Roman" w:cs="Times New Roman" w:eastAsia="Times New Roman" w:hAnsi="Times New Roman"/>
          <w:sz w:val="20"/>
          <w:szCs w:val="20"/>
          <w:color w:val="auto"/>
        </w:rPr>
        <w:t>. Any notices required or permitted hereunder shall be given to the appropriate party at the address specified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or at such other address as the party shall specify in writing. Such notice shall be deemed given upon personal delivery to the appropriate address or sent by certified or registered mail, three days after the date of mailing. Either party may update its notice address by written notice to the other party.</w:t>
      </w:r>
    </w:p>
    <w:p>
      <w:pPr>
        <w:sectPr>
          <w:pgSz w:w="11900" w:h="16838" w:orient="portrait"/>
          <w:cols w:equalWidth="0" w:num="1">
            <w:col w:w="11420"/>
          </w:cols>
          <w:pgMar w:left="240" w:top="1104" w:right="239" w:bottom="1440" w:gutter="0" w:footer="0" w:header="0"/>
        </w:sectPr>
      </w:pP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YTOM</w:t>
      </w:r>
      <w:r>
        <w:rPr>
          <w:rFonts w:ascii="Times New Roman" w:cs="Times New Roman" w:eastAsia="Times New Roman" w:hAnsi="Times New Roman"/>
          <w:sz w:val="20"/>
          <w:szCs w:val="20"/>
          <w:b w:val="1"/>
          <w:bCs w:val="1"/>
          <w:color w:val="auto"/>
        </w:rPr>
        <w:t>X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ind w:left="880"/>
        <w:spacing w:after="0"/>
        <w:rPr>
          <w:sz w:val="20"/>
          <w:szCs w:val="20"/>
          <w:color w:val="auto"/>
        </w:rPr>
      </w:pPr>
      <w:r>
        <w:rPr>
          <w:rFonts w:ascii="Times New Roman" w:cs="Times New Roman" w:eastAsia="Times New Roman" w:hAnsi="Times New Roman"/>
          <w:sz w:val="19"/>
          <w:szCs w:val="19"/>
          <w:color w:val="auto"/>
        </w:rPr>
        <w:t>151 Oyster Point Blvd, Suite 400</w:t>
      </w:r>
    </w:p>
    <w:p>
      <w:pPr>
        <w:ind w:left="880"/>
        <w:spacing w:after="0" w:line="238" w:lineRule="auto"/>
        <w:rPr>
          <w:sz w:val="20"/>
          <w:szCs w:val="20"/>
          <w:color w:val="auto"/>
        </w:rPr>
      </w:pPr>
      <w:r>
        <w:rPr>
          <w:rFonts w:ascii="Times New Roman" w:cs="Times New Roman" w:eastAsia="Times New Roman" w:hAnsi="Times New Roman"/>
          <w:sz w:val="20"/>
          <w:szCs w:val="20"/>
          <w:color w:val="auto"/>
        </w:rPr>
        <w:t>South San Francisco, CA 94080</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ATTN: General Counsel</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to the Consultant: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Dr. Hoyoung Huh M.D., Ph.D</w:t>
      </w:r>
    </w:p>
    <w:p>
      <w:pPr>
        <w:spacing w:after="0" w:line="238" w:lineRule="auto"/>
        <w:rPr>
          <w:sz w:val="20"/>
          <w:szCs w:val="20"/>
          <w:color w:val="auto"/>
        </w:rPr>
      </w:pP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414" w:lineRule="exact"/>
        <w:rPr>
          <w:sz w:val="20"/>
          <w:szCs w:val="20"/>
          <w:color w:val="auto"/>
        </w:rPr>
      </w:pPr>
    </w:p>
    <w:p>
      <w:pPr>
        <w:sectPr>
          <w:pgSz w:w="11900" w:h="16838" w:orient="portrait"/>
          <w:cols w:equalWidth="0" w:num="2">
            <w:col w:w="6140" w:space="720"/>
            <w:col w:w="4560"/>
          </w:cols>
          <w:pgMar w:left="240" w:top="1104" w:right="239" w:bottom="1440" w:gutter="0" w:footer="0" w:header="0"/>
          <w:type w:val="continuous"/>
        </w:sectPr>
      </w:pPr>
    </w:p>
    <w:p>
      <w:pPr>
        <w:jc w:val="both"/>
        <w:ind w:firstLine="878"/>
        <w:spacing w:after="0"/>
        <w:tabs>
          <w:tab w:leader="none" w:pos="1723"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20"/>
          <w:szCs w:val="20"/>
          <w:b w:val="1"/>
          <w:bCs w:val="1"/>
          <w:color w:val="auto"/>
        </w:rPr>
        <w:t>; 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20"/>
          <w:szCs w:val="20"/>
          <w:color w:val="auto"/>
        </w:rPr>
        <w:t>. This Agreement shall be governed by and construed according to the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California, without giving effect to its conflict of laws rules. If any provision of this Agreement is found by a court of competent jurisdiction to be unenforceable, that provision shall be severed and the remainder of this Agreement shall continue in full force and effect. Any disputes arising under this Agreement shall be resolved by trial to a judge as the finder of fact seated in a court of competent subject matter jurisdiction in California. Each party hereby consents to, and waives any defenses that party may have to or conflicting with, the personal jurisdiction and venue of all such courts or relating to trial to a judge (including without limitation the defense of </w:t>
      </w:r>
      <w:r>
        <w:rPr>
          <w:rFonts w:ascii="Times New Roman" w:cs="Times New Roman" w:eastAsia="Times New Roman" w:hAnsi="Times New Roman"/>
          <w:sz w:val="20"/>
          <w:szCs w:val="20"/>
          <w:i w:val="1"/>
          <w:iCs w:val="1"/>
          <w:color w:val="auto"/>
        </w:rPr>
        <w:t>forum non conveniens</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b w:val="1"/>
          <w:bCs w:val="1"/>
          <w:color w:val="auto"/>
        </w:rPr>
      </w:pPr>
    </w:p>
    <w:p>
      <w:pPr>
        <w:jc w:val="both"/>
        <w:ind w:firstLine="878"/>
        <w:spacing w:after="0" w:line="244" w:lineRule="auto"/>
        <w:tabs>
          <w:tab w:leader="none" w:pos="1723"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OMPLETE</w:t>
      </w:r>
      <w:r>
        <w:rPr>
          <w:rFonts w:ascii="Times New Roman" w:cs="Times New Roman" w:eastAsia="Times New Roman" w:hAnsi="Times New Roman"/>
          <w:sz w:val="20"/>
          <w:szCs w:val="20"/>
          <w:b w:val="1"/>
          <w:bCs w:val="1"/>
          <w:color w:val="auto"/>
        </w:rPr>
        <w:t xml:space="preserve"> U</w:t>
      </w:r>
      <w:r>
        <w:rPr>
          <w:rFonts w:ascii="Times New Roman" w:cs="Times New Roman" w:eastAsia="Times New Roman" w:hAnsi="Times New Roman"/>
          <w:sz w:val="13"/>
          <w:szCs w:val="13"/>
          <w:b w:val="1"/>
          <w:bCs w:val="1"/>
          <w:color w:val="auto"/>
        </w:rPr>
        <w:t>NDERSTANDING</w:t>
      </w:r>
      <w:r>
        <w:rPr>
          <w:rFonts w:ascii="Times New Roman" w:cs="Times New Roman" w:eastAsia="Times New Roman" w:hAnsi="Times New Roman"/>
          <w:sz w:val="20"/>
          <w:szCs w:val="20"/>
          <w:b w:val="1"/>
          <w:bCs w:val="1"/>
          <w:color w:val="auto"/>
        </w:rPr>
        <w:t>; M</w:t>
      </w:r>
      <w:r>
        <w:rPr>
          <w:rFonts w:ascii="Times New Roman" w:cs="Times New Roman" w:eastAsia="Times New Roman" w:hAnsi="Times New Roman"/>
          <w:sz w:val="13"/>
          <w:szCs w:val="13"/>
          <w:b w:val="1"/>
          <w:bCs w:val="1"/>
          <w:color w:val="auto"/>
        </w:rPr>
        <w:t>ODIFICATION</w:t>
      </w:r>
      <w:r>
        <w:rPr>
          <w:rFonts w:ascii="Times New Roman" w:cs="Times New Roman" w:eastAsia="Times New Roman" w:hAnsi="Times New Roman"/>
          <w:sz w:val="20"/>
          <w:szCs w:val="20"/>
          <w:color w:val="auto"/>
        </w:rPr>
        <w:t>. This Agreement constitutes the final, exclusive and complete understanding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agreement of the Company and Consultant with respect to the subject matter hereof. There are no other understandings, agreements, representations or warranties between the parties with respect to that subject matter other than those set forth in this Agreement. Any waiver, modification or amendment of any provision of this Agreement shall be effective only if in writing and signed by a Company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20"/>
          <w:szCs w:val="20"/>
          <w:color w:val="auto"/>
        </w:rPr>
        <w:t>, the parties hereto have executed this Agreement as of the Effective Date.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YTOM</w:t>
            </w:r>
            <w:r>
              <w:rPr>
                <w:rFonts w:ascii="Times New Roman" w:cs="Times New Roman" w:eastAsia="Times New Roman" w:hAnsi="Times New Roman"/>
                <w:sz w:val="20"/>
                <w:szCs w:val="20"/>
                <w:b w:val="1"/>
                <w:bCs w:val="1"/>
                <w:color w:val="auto"/>
              </w:rPr>
              <w:t>X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tc>
        <w:tc>
          <w:tcPr>
            <w:tcW w:w="3540" w:type="dxa"/>
            <w:vAlign w:val="bottom"/>
            <w:gridSpan w:val="3"/>
          </w:tcPr>
          <w:p>
            <w:pPr>
              <w:ind w:left="170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ONSULTANT</w:t>
            </w:r>
          </w:p>
        </w:tc>
      </w:tr>
      <w:tr>
        <w:trPr>
          <w:trHeight w:val="387"/>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Sean McCarthy</w:t>
            </w:r>
          </w:p>
        </w:tc>
        <w:tc>
          <w:tcPr>
            <w:tcW w:w="35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By:   /s/ Hoyoung Huh</w:t>
            </w:r>
          </w:p>
        </w:tc>
      </w:tr>
      <w:tr>
        <w:trPr>
          <w:trHeight w:val="20"/>
        </w:trPr>
        <w:tc>
          <w:tcPr>
            <w:tcW w:w="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6"/>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Dr. Sean McCarthy</w:t>
            </w:r>
          </w:p>
        </w:tc>
        <w:tc>
          <w:tcPr>
            <w:tcW w:w="35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w w:val="99"/>
              </w:rPr>
              <w:t>Name: Dr. Hoyoung Huh</w:t>
            </w:r>
          </w:p>
        </w:tc>
      </w:tr>
      <w:tr>
        <w:trPr>
          <w:trHeight w:val="435"/>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President and CEO</w:t>
            </w:r>
          </w:p>
        </w:tc>
        <w:tc>
          <w:tcPr>
            <w:tcW w:w="2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7"/>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12/20/2018</w:t>
            </w:r>
          </w:p>
        </w:tc>
        <w:tc>
          <w:tcPr>
            <w:tcW w:w="35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Date: 1/4/2019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533400</wp:posOffset>
            </wp:positionV>
            <wp:extent cx="6074410" cy="552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6074410" cy="552450"/>
                    </a:xfrm>
                    <a:prstGeom prst="rect">
                      <a:avLst/>
                    </a:prstGeom>
                    <a:noFill/>
                  </pic:spPr>
                </pic:pic>
              </a:graphicData>
            </a:graphic>
          </wp:anchor>
        </w:drawing>
      </w:r>
    </w:p>
    <w:p>
      <w:pPr>
        <w:sectPr>
          <w:pgSz w:w="11900" w:h="16838" w:orient="portrait"/>
          <w:cols w:equalWidth="0" w:num="1">
            <w:col w:w="11420"/>
          </w:cols>
          <w:pgMar w:left="240" w:top="1104" w:right="239" w:bottom="1440" w:gutter="0" w:footer="0" w:header="0"/>
          <w:type w:val="continuous"/>
        </w:sectPr>
      </w:pPr>
    </w:p>
    <w:bookmarkStart w:id="143" w:name="page144"/>
    <w:bookmarkEnd w:id="143"/>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ERNST &amp; YOUNG LLP, INDEPENDENT REGISTERED PUBLIC ACCOUNTING FIRM</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on Form S-3 (Nos. 333-214418, 333-216567 and 333-228203) and Form S-8 (Nos. 333-207694, 333-209992, 333-215795 and 333-223491) of CytomX Therapeutics, Inc. of our reports dated February 27, 2019, with respect to the financial statements of CytomX Therapeutics, Inc. and the effectiveness of internal control over financial reporting of CytomX Therapeutics, Inc., included in this Annual Report (Form 10-K) for the year ended December 31, 2018.</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Redwood City, California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ectPr>
          <w:pgSz w:w="11900" w:h="16838" w:orient="portrait"/>
          <w:cols w:equalWidth="0" w:num="1">
            <w:col w:w="11420"/>
          </w:cols>
          <w:pgMar w:left="240" w:top="330" w:right="2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PRICEWATERHOUSECOOPERS LLP, INDEPENDENT REGISTERED PUBLIC ACCOUNTING FIRM</w:t>
      </w:r>
    </w:p>
    <w:p>
      <w:pPr>
        <w:spacing w:after="0" w:line="20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(Nos. 333-214418, 333-216567, 333-228203) and Form S-8 (Nos. 333-207694, 333-209992, 333-215795, 333-223491) of CytomX Therapeutics, Inc. of our report dated March 2, 2017 relating to the financial statements, which appears in this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ectPr>
          <w:pgSz w:w="11900" w:h="16838" w:orient="portrait"/>
          <w:cols w:equalWidth="0" w:num="1">
            <w:col w:w="11420"/>
          </w:cols>
          <w:pgMar w:left="240" w:top="330" w:right="2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A. McCarthy, D.Phil., certify that:</w:t>
      </w:r>
    </w:p>
    <w:p>
      <w:pPr>
        <w:spacing w:after="0" w:line="103" w:lineRule="exact"/>
        <w:rPr>
          <w:sz w:val="20"/>
          <w:szCs w:val="20"/>
          <w:color w:val="auto"/>
        </w:rPr>
      </w:pPr>
    </w:p>
    <w:p>
      <w:pPr>
        <w:ind w:left="620" w:hanging="165"/>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CytomX Therapeutics, Inc. for the year ended December 31, 2018;</w:t>
      </w:r>
    </w:p>
    <w:p>
      <w:pPr>
        <w:spacing w:after="0" w:line="102" w:lineRule="exact"/>
        <w:rPr>
          <w:rFonts w:ascii="Times New Roman" w:cs="Times New Roman" w:eastAsia="Times New Roman" w:hAnsi="Times New Roman"/>
          <w:sz w:val="17"/>
          <w:szCs w:val="17"/>
          <w:color w:val="auto"/>
        </w:rPr>
      </w:pPr>
    </w:p>
    <w:p>
      <w:pPr>
        <w:ind w:right="420" w:firstLine="455"/>
        <w:spacing w:after="0" w:line="268" w:lineRule="auto"/>
        <w:tabs>
          <w:tab w:leader="none" w:pos="622"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7"/>
          <w:szCs w:val="17"/>
          <w:color w:val="auto"/>
        </w:rPr>
      </w:pPr>
    </w:p>
    <w:p>
      <w:pPr>
        <w:ind w:right="560" w:firstLine="455"/>
        <w:spacing w:after="0" w:line="268" w:lineRule="auto"/>
        <w:tabs>
          <w:tab w:leader="none" w:pos="622"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Times New Roman" w:cs="Times New Roman" w:eastAsia="Times New Roman" w:hAnsi="Times New Roman"/>
          <w:sz w:val="17"/>
          <w:szCs w:val="17"/>
          <w:color w:val="auto"/>
        </w:rPr>
      </w:pPr>
    </w:p>
    <w:p>
      <w:pPr>
        <w:ind w:right="200" w:firstLine="455"/>
        <w:spacing w:after="0" w:line="300" w:lineRule="auto"/>
        <w:tabs>
          <w:tab w:leader="none" w:pos="622"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sz w:val="20"/>
          <w:szCs w:val="20"/>
          <w:color w:val="auto"/>
        </w:rPr>
      </w:pPr>
    </w:p>
    <w:p>
      <w:pPr>
        <w:jc w:val="both"/>
        <w:ind w:firstLine="455"/>
        <w:spacing w:after="0" w:line="256" w:lineRule="auto"/>
        <w:tabs>
          <w:tab w:leader="none" w:pos="62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7"/>
          <w:szCs w:val="17"/>
          <w:color w:val="auto"/>
        </w:rPr>
      </w:pPr>
    </w:p>
    <w:p>
      <w:pPr>
        <w:ind w:right="100" w:firstLine="455"/>
        <w:spacing w:after="0" w:line="256" w:lineRule="auto"/>
        <w:tabs>
          <w:tab w:leader="none" w:pos="63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7"/>
          <w:szCs w:val="17"/>
          <w:color w:val="auto"/>
        </w:rPr>
      </w:pPr>
    </w:p>
    <w:p>
      <w:pPr>
        <w:ind w:right="540" w:firstLine="455"/>
        <w:spacing w:after="0" w:line="268" w:lineRule="auto"/>
        <w:tabs>
          <w:tab w:leader="none" w:pos="62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7"/>
          <w:szCs w:val="17"/>
          <w:color w:val="auto"/>
        </w:rPr>
      </w:pPr>
    </w:p>
    <w:p>
      <w:pPr>
        <w:ind w:right="100" w:firstLine="455"/>
        <w:spacing w:after="0" w:line="256" w:lineRule="auto"/>
        <w:tabs>
          <w:tab w:leader="none" w:pos="63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0" w:lineRule="exact"/>
        <w:rPr>
          <w:sz w:val="20"/>
          <w:szCs w:val="20"/>
          <w:color w:val="auto"/>
        </w:rPr>
      </w:pPr>
    </w:p>
    <w:p>
      <w:pPr>
        <w:ind w:right="120" w:firstLine="455"/>
        <w:spacing w:after="0" w:line="268" w:lineRule="auto"/>
        <w:tabs>
          <w:tab w:leader="none" w:pos="622"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sz w:val="20"/>
          <w:szCs w:val="20"/>
          <w:color w:val="auto"/>
        </w:rPr>
      </w:pPr>
    </w:p>
    <w:p>
      <w:pPr>
        <w:ind w:right="40" w:firstLine="455"/>
        <w:spacing w:after="0" w:line="268" w:lineRule="auto"/>
        <w:tabs>
          <w:tab w:leader="none" w:pos="62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7"/>
          <w:szCs w:val="17"/>
          <w:color w:val="auto"/>
        </w:rPr>
      </w:pPr>
    </w:p>
    <w:p>
      <w:pPr>
        <w:ind w:right="300" w:firstLine="455"/>
        <w:spacing w:after="0" w:line="268" w:lineRule="auto"/>
        <w:tabs>
          <w:tab w:leader="none" w:pos="63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2019</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4354195</wp:posOffset>
            </wp:positionH>
            <wp:positionV relativeFrom="paragraph">
              <wp:posOffset>12700</wp:posOffset>
            </wp:positionV>
            <wp:extent cx="242189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2421890" cy="762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auto"/>
        </w:rPr>
        <w:t>Sean A. McCarthy, D.Phil.</w:t>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420"/>
          </w:cols>
          <w:pgMar w:left="240" w:top="119" w:right="2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Debanjan Ray, certify that:</w:t>
      </w:r>
    </w:p>
    <w:p>
      <w:pPr>
        <w:spacing w:after="0" w:line="103" w:lineRule="exact"/>
        <w:rPr>
          <w:sz w:val="20"/>
          <w:szCs w:val="20"/>
          <w:color w:val="auto"/>
        </w:rPr>
      </w:pPr>
    </w:p>
    <w:p>
      <w:pPr>
        <w:ind w:left="620" w:hanging="165"/>
        <w:spacing w:after="0"/>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CytomX Therapeutics, Inc. for the year ended December 31, 2018;</w:t>
      </w:r>
    </w:p>
    <w:p>
      <w:pPr>
        <w:spacing w:after="0" w:line="102" w:lineRule="exact"/>
        <w:rPr>
          <w:rFonts w:ascii="Times New Roman" w:cs="Times New Roman" w:eastAsia="Times New Roman" w:hAnsi="Times New Roman"/>
          <w:sz w:val="17"/>
          <w:szCs w:val="17"/>
          <w:color w:val="auto"/>
        </w:rPr>
      </w:pPr>
    </w:p>
    <w:p>
      <w:pPr>
        <w:ind w:right="420" w:firstLine="455"/>
        <w:spacing w:after="0" w:line="268" w:lineRule="auto"/>
        <w:tabs>
          <w:tab w:leader="none" w:pos="622"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7"/>
          <w:szCs w:val="17"/>
          <w:color w:val="auto"/>
        </w:rPr>
      </w:pPr>
    </w:p>
    <w:p>
      <w:pPr>
        <w:ind w:right="560" w:firstLine="455"/>
        <w:spacing w:after="0" w:line="268" w:lineRule="auto"/>
        <w:tabs>
          <w:tab w:leader="none" w:pos="622"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Times New Roman" w:cs="Times New Roman" w:eastAsia="Times New Roman" w:hAnsi="Times New Roman"/>
          <w:sz w:val="17"/>
          <w:szCs w:val="17"/>
          <w:color w:val="auto"/>
        </w:rPr>
      </w:pPr>
    </w:p>
    <w:p>
      <w:pPr>
        <w:ind w:right="200" w:firstLine="455"/>
        <w:spacing w:after="0" w:line="300" w:lineRule="auto"/>
        <w:tabs>
          <w:tab w:leader="none" w:pos="62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sz w:val="20"/>
          <w:szCs w:val="20"/>
          <w:color w:val="auto"/>
        </w:rPr>
      </w:pPr>
    </w:p>
    <w:p>
      <w:pPr>
        <w:jc w:val="both"/>
        <w:ind w:firstLine="455"/>
        <w:spacing w:after="0" w:line="256" w:lineRule="auto"/>
        <w:tabs>
          <w:tab w:leader="none" w:pos="62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7"/>
          <w:szCs w:val="17"/>
          <w:color w:val="auto"/>
        </w:rPr>
      </w:pPr>
    </w:p>
    <w:p>
      <w:pPr>
        <w:ind w:right="100" w:firstLine="455"/>
        <w:spacing w:after="0" w:line="256" w:lineRule="auto"/>
        <w:tabs>
          <w:tab w:leader="none" w:pos="63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7"/>
          <w:szCs w:val="17"/>
          <w:color w:val="auto"/>
        </w:rPr>
      </w:pPr>
    </w:p>
    <w:p>
      <w:pPr>
        <w:ind w:right="540" w:firstLine="455"/>
        <w:spacing w:after="0" w:line="268" w:lineRule="auto"/>
        <w:tabs>
          <w:tab w:leader="none" w:pos="62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7"/>
          <w:szCs w:val="17"/>
          <w:color w:val="auto"/>
        </w:rPr>
      </w:pPr>
    </w:p>
    <w:p>
      <w:pPr>
        <w:ind w:right="100" w:firstLine="455"/>
        <w:spacing w:after="0" w:line="256" w:lineRule="auto"/>
        <w:tabs>
          <w:tab w:leader="none" w:pos="63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0" w:lineRule="exact"/>
        <w:rPr>
          <w:sz w:val="20"/>
          <w:szCs w:val="20"/>
          <w:color w:val="auto"/>
        </w:rPr>
      </w:pPr>
    </w:p>
    <w:p>
      <w:pPr>
        <w:ind w:right="120" w:firstLine="455"/>
        <w:spacing w:after="0" w:line="268" w:lineRule="auto"/>
        <w:tabs>
          <w:tab w:leader="none" w:pos="62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sz w:val="20"/>
          <w:szCs w:val="20"/>
          <w:color w:val="auto"/>
        </w:rPr>
      </w:pPr>
    </w:p>
    <w:p>
      <w:pPr>
        <w:ind w:right="40" w:firstLine="455"/>
        <w:spacing w:after="0" w:line="268" w:lineRule="auto"/>
        <w:tabs>
          <w:tab w:leader="none" w:pos="62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7"/>
          <w:szCs w:val="17"/>
          <w:color w:val="auto"/>
        </w:rPr>
      </w:pPr>
    </w:p>
    <w:p>
      <w:pPr>
        <w:ind w:right="300" w:firstLine="455"/>
        <w:spacing w:after="0" w:line="268" w:lineRule="auto"/>
        <w:tabs>
          <w:tab w:leader="none" w:pos="63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2019</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/s/ Debanjan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4354195</wp:posOffset>
            </wp:positionH>
            <wp:positionV relativeFrom="paragraph">
              <wp:posOffset>12700</wp:posOffset>
            </wp:positionV>
            <wp:extent cx="242189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2421890" cy="762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auto"/>
        </w:rPr>
        <w:t>Debanjan Ray</w:t>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ectPr>
          <w:pgSz w:w="11900" w:h="16838" w:orient="portrait"/>
          <w:cols w:equalWidth="0" w:num="1">
            <w:col w:w="11420"/>
          </w:cols>
          <w:pgMar w:left="240" w:top="119" w:right="2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1350 CERTIFICATIONS*</w:t>
      </w:r>
    </w:p>
    <w:p>
      <w:pPr>
        <w:spacing w:after="0" w:line="206" w:lineRule="exact"/>
        <w:rPr>
          <w:sz w:val="20"/>
          <w:szCs w:val="20"/>
          <w:color w:val="auto"/>
        </w:rPr>
      </w:pPr>
    </w:p>
    <w:p>
      <w:pPr>
        <w:ind w:left="1" w:right="20" w:firstLine="456"/>
        <w:spacing w:after="0" w:line="252" w:lineRule="auto"/>
        <w:rPr>
          <w:sz w:val="20"/>
          <w:szCs w:val="20"/>
          <w:color w:val="auto"/>
        </w:rPr>
      </w:pPr>
      <w:r>
        <w:rPr>
          <w:rFonts w:ascii="Times New Roman" w:cs="Times New Roman" w:eastAsia="Times New Roman" w:hAnsi="Times New Roman"/>
          <w:sz w:val="17"/>
          <w:szCs w:val="17"/>
          <w:color w:val="auto"/>
        </w:rPr>
        <w:t xml:space="preserve">Pursuant to the requirement set forth in Rule 13a-14(b) of the Securities Exchange Act of 1934, as amended (the “Exchange Act”), and Section 1350 of Chapter 63 of Title 18 of the United States Code (18 U.S.C. § 1350), Sean A. McCarthy, D.Phil., President and Chief Executive Officer </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 xml:space="preserve"> of CytomX Therapeutics, Inc. (the “Company”), and Debanjan Ray, Chief Financial Officer </w:t>
      </w:r>
      <w:r>
        <w:rPr>
          <w:rFonts w:ascii="Times New Roman" w:cs="Times New Roman" w:eastAsia="Times New Roman" w:hAnsi="Times New Roman"/>
          <w:sz w:val="17"/>
          <w:szCs w:val="17"/>
          <w:i w:val="1"/>
          <w:iCs w:val="1"/>
          <w:color w:val="auto"/>
        </w:rPr>
        <w:t>(Principal Financial and Accounting Officer)</w:t>
      </w:r>
      <w:r>
        <w:rPr>
          <w:rFonts w:ascii="Times New Roman" w:cs="Times New Roman" w:eastAsia="Times New Roman" w:hAnsi="Times New Roman"/>
          <w:sz w:val="17"/>
          <w:szCs w:val="17"/>
          <w:color w:val="auto"/>
        </w:rPr>
        <w:t xml:space="preserve"> of the Company, each hereby certifies that, to the best of his knowledge:</w:t>
      </w:r>
    </w:p>
    <w:p>
      <w:pPr>
        <w:spacing w:after="0" w:line="73" w:lineRule="exact"/>
        <w:rPr>
          <w:sz w:val="20"/>
          <w:szCs w:val="20"/>
          <w:color w:val="auto"/>
        </w:rPr>
      </w:pPr>
    </w:p>
    <w:p>
      <w:pPr>
        <w:ind w:left="1" w:right="40" w:firstLine="455"/>
        <w:spacing w:after="0" w:line="268" w:lineRule="auto"/>
        <w:tabs>
          <w:tab w:leader="none" w:pos="62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year ended December 31, 2018 to which this Certification is attached as Exhibit 32.1 (the “Annual Report”), fully complies with the requirements of Section 13(a) or 15(d) of the Exchange Act; and</w:t>
      </w:r>
    </w:p>
    <w:p>
      <w:pPr>
        <w:spacing w:after="0" w:line="60" w:lineRule="exact"/>
        <w:rPr>
          <w:rFonts w:ascii="Times New Roman" w:cs="Times New Roman" w:eastAsia="Times New Roman" w:hAnsi="Times New Roman"/>
          <w:sz w:val="17"/>
          <w:szCs w:val="17"/>
          <w:color w:val="auto"/>
        </w:rPr>
      </w:pPr>
    </w:p>
    <w:p>
      <w:pPr>
        <w:ind w:left="1" w:right="220" w:firstLine="455"/>
        <w:spacing w:after="0" w:line="268" w:lineRule="auto"/>
        <w:tabs>
          <w:tab w:leader="none" w:pos="62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Annual Report fairly presents, in all material respects, the financial condition and results of operations of the Company for the period covered by the Annual Report.</w:t>
      </w:r>
    </w:p>
    <w:p>
      <w:pPr>
        <w:spacing w:after="0" w:line="1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Dated: February 27, 2019</w:t>
      </w:r>
    </w:p>
    <w:p>
      <w:pPr>
        <w:spacing w:after="0" w:line="200" w:lineRule="exact"/>
        <w:rPr>
          <w:sz w:val="20"/>
          <w:szCs w:val="20"/>
          <w:color w:val="auto"/>
        </w:rPr>
      </w:pP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5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Sean A. McCarthy</w:t>
            </w:r>
          </w:p>
        </w:tc>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 Debanjan Ray</w:t>
            </w:r>
          </w:p>
        </w:tc>
      </w:tr>
      <w:tr>
        <w:trPr>
          <w:trHeight w:val="200"/>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Sean A. McCarthy, D.Phil.</w:t>
            </w:r>
          </w:p>
        </w:tc>
        <w:tc>
          <w:tcPr>
            <w:tcW w:w="340" w:type="dxa"/>
            <w:vAlign w:val="bottom"/>
          </w:tcPr>
          <w:p>
            <w:pPr>
              <w:spacing w:after="0"/>
              <w:rPr>
                <w:sz w:val="17"/>
                <w:szCs w:val="17"/>
                <w:color w:val="auto"/>
              </w:rPr>
            </w:pPr>
          </w:p>
        </w:tc>
        <w:tc>
          <w:tcPr>
            <w:tcW w:w="55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Debanjan Ray</w:t>
            </w:r>
          </w:p>
        </w:tc>
      </w:tr>
      <w:tr>
        <w:trPr>
          <w:trHeight w:val="197"/>
        </w:trPr>
        <w:tc>
          <w:tcPr>
            <w:tcW w:w="5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8"/>
        </w:trPr>
        <w:tc>
          <w:tcPr>
            <w:tcW w:w="58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3342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733425" cy="7620"/>
                    </a:xfrm>
                    <a:prstGeom prst="rect">
                      <a:avLst/>
                    </a:prstGeom>
                    <a:noFill/>
                  </pic:spPr>
                </pic:pic>
              </a:graphicData>
            </a:graphic>
          </wp:anchor>
        </w:drawing>
      </w:r>
    </w:p>
    <w:p>
      <w:pPr>
        <w:spacing w:after="0" w:line="199" w:lineRule="exact"/>
        <w:rPr>
          <w:sz w:val="20"/>
          <w:szCs w:val="20"/>
          <w:color w:val="auto"/>
        </w:rPr>
      </w:pPr>
    </w:p>
    <w:p>
      <w:pPr>
        <w:ind w:left="481" w:right="60" w:hanging="481"/>
        <w:spacing w:after="0" w:line="256" w:lineRule="auto"/>
        <w:tabs>
          <w:tab w:leader="none" w:pos="481"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accompanies the Annual Report on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1"/>
      </w:cols>
      <w:pgMar w:left="239"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1)"/>
      <w:numFmt w:val="decimal"/>
      <w:start w:val="2"/>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1."/>
      <w:numFmt w:val="decimal"/>
      <w:start w:val="72"/>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lowerRoman"/>
      <w:start w:val="1"/>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9"/>
    </w:lvl>
    <w:lvl w:ilvl="1">
      <w:lvlJc w:val="left"/>
      <w:lvlText w:val="•"/>
      <w:numFmt w:val="bullet"/>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2"/>
    </w:lvl>
  </w:abstractNum>
  <w:abstractNum w:abstractNumId="66">
    <w:nsid w:val="11447B73"/>
    <w:multiLevelType w:val="hybridMultilevel"/>
    <w:lvl w:ilvl="0">
      <w:lvlJc w:val="left"/>
      <w:lvlText w:val="(%1)"/>
      <w:numFmt w:val="decimal"/>
      <w:start w:val="3"/>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decimal"/>
      <w:start w:val="2"/>
    </w:lvl>
  </w:abstractNum>
  <w:abstractNum w:abstractNumId="72">
    <w:nsid w:val="68EB2F63"/>
    <w:multiLevelType w:val="hybridMultilevel"/>
    <w:lvl w:ilvl="0">
      <w:lvlJc w:val="left"/>
      <w:lvlText w:val="%1."/>
      <w:numFmt w:val="decimal"/>
      <w:start w:val="4"/>
    </w:lvl>
  </w:abstractNum>
  <w:abstractNum w:abstractNumId="73">
    <w:nsid w:val="4962813B"/>
    <w:multiLevelType w:val="hybridMultilevel"/>
    <w:lvl w:ilvl="0">
      <w:lvlJc w:val="left"/>
      <w:lvlText w:val="%1."/>
      <w:numFmt w:val="decimal"/>
      <w:start w:val="6"/>
    </w:lvl>
  </w:abstractNum>
  <w:abstractNum w:abstractNumId="74">
    <w:nsid w:val="60B6DF70"/>
    <w:multiLevelType w:val="hybridMultilevel"/>
    <w:lvl w:ilvl="0">
      <w:lvlJc w:val="left"/>
      <w:lvlText w:val="%1."/>
      <w:numFmt w:val="decimal"/>
      <w:start w:val="7"/>
    </w:lvl>
  </w:abstractNum>
  <w:abstractNum w:abstractNumId="75">
    <w:nsid w:val="6A5EE64"/>
    <w:multiLevelType w:val="hybridMultilevel"/>
    <w:lvl w:ilvl="0">
      <w:lvlJc w:val="left"/>
      <w:lvlText w:val="%1."/>
      <w:numFmt w:val="decimal"/>
      <w:start w:val="11"/>
    </w:lvl>
  </w:abstractNum>
  <w:abstractNum w:abstractNumId="76">
    <w:nsid w:val="14330624"/>
    <w:multiLevelType w:val="hybridMultilevel"/>
    <w:lvl w:ilvl="0">
      <w:lvlJc w:val="left"/>
      <w:lvlText w:val="%1."/>
      <w:numFmt w:val="decimal"/>
      <w:start w:val="13"/>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decimal"/>
      <w:start w:val="5"/>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decimal"/>
      <w:start w:val="5"/>
    </w:lvl>
  </w:abstractNum>
  <w:abstractNum w:abstractNumId="84">
    <w:nsid w:val="94211F2"/>
    <w:multiLevelType w:val="hybridMultilevel"/>
    <w:lvl w:ilvl="0">
      <w:lvlJc w:val="left"/>
      <w:lvlText w:val="%1)"/>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20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jpeg"/><Relationship Id="rId224" Type="http://schemas.openxmlformats.org/officeDocument/2006/relationships/image" Target="media/image181.png"/><Relationship Id="rId225" Type="http://schemas.openxmlformats.org/officeDocument/2006/relationships/image" Target="media/image182.jpeg"/><Relationship Id="rId226" Type="http://schemas.openxmlformats.org/officeDocument/2006/relationships/image" Target="media/image183.png"/><Relationship Id="rId227" Type="http://schemas.openxmlformats.org/officeDocument/2006/relationships/image" Target="media/image184.jpeg"/><Relationship Id="rId228" Type="http://schemas.openxmlformats.org/officeDocument/2006/relationships/image" Target="media/image185.png"/><Relationship Id="rId229" Type="http://schemas.openxmlformats.org/officeDocument/2006/relationships/image" Target="media/image186.jpeg"/><Relationship Id="rId230" Type="http://schemas.openxmlformats.org/officeDocument/2006/relationships/image" Target="media/image187.png"/><Relationship Id="rId231" Type="http://schemas.openxmlformats.org/officeDocument/2006/relationships/image" Target="media/image188.jpeg"/><Relationship Id="rId232" Type="http://schemas.openxmlformats.org/officeDocument/2006/relationships/image" Target="media/image189.jpe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179" Type="http://schemas.openxmlformats.org/officeDocument/2006/relationships/hyperlink" Target="http://www.sec.gov/Archives/edgar/data/0001501989/000119312515347080/d78795dex31.htm" TargetMode="External"/><Relationship Id="rId180" Type="http://schemas.openxmlformats.org/officeDocument/2006/relationships/hyperlink" Target="http://www.sec.gov/Archives/edgar/data/0001501989/000119312515347080/d78795dex32.htm" TargetMode="External"/><Relationship Id="rId181" Type="http://schemas.openxmlformats.org/officeDocument/2006/relationships/hyperlink" Target="http://www.sec.gov/Archives/edgar/data/0001501989/000119312515329662/d948537dex41.htm" TargetMode="External"/><Relationship Id="rId182" Type="http://schemas.openxmlformats.org/officeDocument/2006/relationships/hyperlink" Target="http://www.sec.gov/Archives/edgar/data/0001501989/000119312515307013/d948537dex42.htm" TargetMode="External"/><Relationship Id="rId183" Type="http://schemas.openxmlformats.org/officeDocument/2006/relationships/hyperlink" Target="http://www.sec.gov/Archives/edgar/data/0001501989/000156459017022252/ctmx-ex44_91.htm" TargetMode="External"/><Relationship Id="rId184" Type="http://schemas.openxmlformats.org/officeDocument/2006/relationships/hyperlink" Target="http://www.sec.gov/Archives/edgar/data/0001501989/000119312515307013/d948537dex103.htm" TargetMode="External"/><Relationship Id="rId185" Type="http://schemas.openxmlformats.org/officeDocument/2006/relationships/hyperlink" Target="http://www.sec.gov/Archives/edgar/data/0001501989/000119312515307013/d948537dex104.htm" TargetMode="External"/><Relationship Id="rId186" Type="http://schemas.openxmlformats.org/officeDocument/2006/relationships/hyperlink" Target="http://www.sec.gov/Archives/edgar/data/0001501989/000119312515307013/d948537dex101.htm" TargetMode="External"/><Relationship Id="rId187" Type="http://schemas.openxmlformats.org/officeDocument/2006/relationships/hyperlink" Target="http://www.sec.gov/Archives/edgar/data/0001501989/000119312515307013/d948537dex102.htm" TargetMode="External"/><Relationship Id="rId188" Type="http://schemas.openxmlformats.org/officeDocument/2006/relationships/hyperlink" Target="http://www.sec.gov/Archives/edgar/data/0001501989/000119312515338434/d948537dex105.htm" TargetMode="External"/><Relationship Id="rId189" Type="http://schemas.openxmlformats.org/officeDocument/2006/relationships/hyperlink" Target="http://www.sec.gov/Archives/edgar/data/0001501989/000156459015010977/ctmx-ex104_591.htm" TargetMode="External"/><Relationship Id="rId190" Type="http://schemas.openxmlformats.org/officeDocument/2006/relationships/hyperlink" Target="http://www.sec.gov/Archives/edgar/data/0001501989/000156459015010977/ctmx-ex105_592.htm" TargetMode="External"/><Relationship Id="rId191" Type="http://schemas.openxmlformats.org/officeDocument/2006/relationships/hyperlink" Target="http://www.sec.gov/Archives/edgar/data/0001501989/000119312515329662/d948537dex106.htm" TargetMode="External"/><Relationship Id="rId192" Type="http://schemas.openxmlformats.org/officeDocument/2006/relationships/hyperlink" Target="http://www.sec.gov/Archives/edgar/data/0001501989/000119312515307013/d948537dex107.htm" TargetMode="External"/><Relationship Id="rId195" Type="http://schemas.openxmlformats.org/officeDocument/2006/relationships/hyperlink" Target="http://www.sec.gov/Archives/edgar/data/0001501989/000156459017003229/ctmx-ex105c_888.htm" TargetMode="External"/><Relationship Id="rId196" Type="http://schemas.openxmlformats.org/officeDocument/2006/relationships/hyperlink" Target="http://www.sec.gov/Archives/edgar/data/0001501989/000156459017016005/ctmx-ex101_619.htm" TargetMode="External"/><Relationship Id="rId197" Type="http://schemas.openxmlformats.org/officeDocument/2006/relationships/hyperlink" Target="http://www.sec.gov/Archives/edgar/data/0001501989/000156459017003229/ctmx-ex107c_890.htm" TargetMode="External"/><Relationship Id="rId198" Type="http://schemas.openxmlformats.org/officeDocument/2006/relationships/hyperlink" Target="http://www.sec.gov/Archives/edgar/data/0001501989/000156459016018134/ctmx-ex102_450.htm" TargetMode="External"/><Relationship Id="rId199" Type="http://schemas.openxmlformats.org/officeDocument/2006/relationships/hyperlink" Target="http://www.sec.gov/Archives/edgar/data/0001501989/000156459017016005/ctmx-ex102_176.htm" TargetMode="External"/><Relationship Id="rId200" Type="http://schemas.openxmlformats.org/officeDocument/2006/relationships/hyperlink" Target="http://www.sec.gov/Archives/edgar/data/0001501989/000156459016014110/ctmx-ex101_14.htm" TargetMode="External"/><Relationship Id="rId201" Type="http://schemas.openxmlformats.org/officeDocument/2006/relationships/hyperlink" Target="http://www.sec.gov/Archives/edgar/data/0001501989/000119312515307013/d948537dex1016.htm" TargetMode="External"/><Relationship Id="rId202" Type="http://schemas.openxmlformats.org/officeDocument/2006/relationships/hyperlink" Target="http://www.sec.gov/Archives/edgar/data/0001501989/000119312515336443/d948537dex1017.htm" TargetMode="External"/><Relationship Id="rId203" Type="http://schemas.openxmlformats.org/officeDocument/2006/relationships/hyperlink" Target="http://www.sec.gov/Archives/edgar/data/0001501989/000119312515336443/d948537dex1018.htm" TargetMode="External"/><Relationship Id="rId204" Type="http://schemas.openxmlformats.org/officeDocument/2006/relationships/hyperlink" Target="http://www.sec.gov/Archives/edgar/data/0001501989/000156459017008943/ctmx-ex101_883.htm" TargetMode="External"/><Relationship Id="rId205" Type="http://schemas.openxmlformats.org/officeDocument/2006/relationships/hyperlink" Target="http://www.sec.gov/Archives/edgar/data/0001501989/000156459016022364/ctmx-ex101_550.htm" TargetMode="External"/><Relationship Id="rId206" Type="http://schemas.openxmlformats.org/officeDocument/2006/relationships/hyperlink" Target="http://www.sec.gov/Archives/edgar/data/0001501989/000156459016022364/ctmx-ex102_549.htm" TargetMode="External"/><Relationship Id="rId208" Type="http://schemas.openxmlformats.org/officeDocument/2006/relationships/hyperlink" Target="http://www.sec.gov/Archives/edgar/data/0001501989/000119312515322694/d948537dex1021.html" TargetMode="External"/><Relationship Id="rId209" Type="http://schemas.openxmlformats.org/officeDocument/2006/relationships/hyperlink" Target="http://www.sec.gov/Archives/edgar/data/0001501989/000156459017022252/ctmx-ex101_92.htm" TargetMode="External"/><Relationship Id="rId210" Type="http://schemas.openxmlformats.org/officeDocument/2006/relationships/hyperlink" Target="http://www.sec.gov/Archives/edgar/data/0001501989/000156459015011520/ctmx-ex101_6.htm" TargetMode="External"/><Relationship Id="rId211" Type="http://schemas.openxmlformats.org/officeDocument/2006/relationships/hyperlink" Target="http://www.sec.gov/Archives/edgar/data/1501989/000156459018027387/ctmx-ex101_175.htm" TargetMode="External"/><Relationship Id="rId212" Type="http://schemas.openxmlformats.org/officeDocument/2006/relationships/hyperlink" Target="http://www.sec.gov/Archives/edgar/data/1501989/000156459018027387/ctmx-ex102_176.htm" TargetMode="External"/><Relationship Id="rId213" Type="http://schemas.openxmlformats.org/officeDocument/2006/relationships/hyperlink" Target="http://www.sec.gov/Archives/edgar/data/1501989/000156459018027387/ctmx-ex103_177.htm" TargetMode="External"/><Relationship Id="rId214" Type="http://schemas.openxmlformats.org/officeDocument/2006/relationships/hyperlink" Target="http://www.sec.gov/Archives/edgar/data/1501989/000156459018027387/ctmx-ex104_178.htm" TargetMode="External"/><Relationship Id="rId215" Type="http://schemas.openxmlformats.org/officeDocument/2006/relationships/hyperlink" Target="http://www.sec.gov/Archives/edgar/data/1501989/000156459018027387/ctmx-ex105_179.htm" TargetMode="External"/><Relationship Id="rId216" Type="http://schemas.openxmlformats.org/officeDocument/2006/relationships/hyperlink" Target="http://www.sec.gov/Archives/edgar/data/1501989/000156459018027387/ctmx-ex106_180.htm" TargetMode="External"/><Relationship Id="rId217" Type="http://schemas.openxmlformats.org/officeDocument/2006/relationships/hyperlink" Target="http://www.sec.gov/Archives/edgar/data/1501989/000156459018020448/ctmx-ex101_6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2019-12-28T16:00:56Z</dcterms:created>
  <dcterms:modified xsi:type="dcterms:W3CDTF">2019-12-28T16:00:56Z</dcterms:modified>
</cp:coreProperties>
</file>