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CytomX Therapeutics,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20" w:type="dxa"/>
            <w:vAlign w:val="bottom"/>
          </w:tcPr>
          <w:p>
            <w:pPr>
              <w:jc w:val="center"/>
              <w:ind w:right="2062"/>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center"/>
              <w:ind w:left="2042"/>
              <w:spacing w:after="0"/>
              <w:rPr>
                <w:sz w:val="20"/>
                <w:szCs w:val="20"/>
                <w:color w:val="auto"/>
              </w:rPr>
            </w:pPr>
            <w:r>
              <w:rPr>
                <w:rFonts w:ascii="Arial" w:cs="Arial" w:eastAsia="Arial" w:hAnsi="Arial"/>
                <w:sz w:val="18"/>
                <w:szCs w:val="18"/>
                <w:b w:val="1"/>
                <w:bCs w:val="1"/>
                <w:color w:val="auto"/>
                <w:w w:val="91"/>
              </w:rPr>
              <w:t>27-3521219</w:t>
            </w:r>
          </w:p>
        </w:tc>
      </w:tr>
      <w:tr>
        <w:trPr>
          <w:trHeight w:val="149"/>
        </w:trPr>
        <w:tc>
          <w:tcPr>
            <w:tcW w:w="4020" w:type="dxa"/>
            <w:vAlign w:val="bottom"/>
          </w:tcPr>
          <w:p>
            <w:pPr>
              <w:jc w:val="center"/>
              <w:ind w:right="20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62"/>
              <w:spacing w:after="0"/>
              <w:rPr>
                <w:sz w:val="20"/>
                <w:szCs w:val="20"/>
                <w:color w:val="auto"/>
              </w:rPr>
            </w:pPr>
            <w:r>
              <w:rPr>
                <w:rFonts w:ascii="Arial" w:cs="Arial" w:eastAsia="Arial" w:hAnsi="Arial"/>
                <w:sz w:val="14"/>
                <w:szCs w:val="14"/>
                <w:b w:val="1"/>
                <w:bCs w:val="1"/>
                <w:color w:val="auto"/>
                <w:w w:val="94"/>
              </w:rPr>
              <w:t>incorporation or organization)</w:t>
            </w:r>
          </w:p>
        </w:tc>
        <w:tc>
          <w:tcPr>
            <w:tcW w:w="3240" w:type="dxa"/>
            <w:vAlign w:val="bottom"/>
          </w:tcPr>
          <w:p>
            <w:pPr>
              <w:jc w:val="center"/>
              <w:ind w:left="204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151 Oyster Point Blvd., Suite 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(650) 515-3185</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jc w:val="both"/>
        <w:ind w:right="180"/>
        <w:spacing w:after="0" w:line="227" w:lineRule="exact"/>
        <w:rPr>
          <w:sz w:val="20"/>
          <w:szCs w:val="20"/>
          <w:color w:val="auto"/>
        </w:rPr>
      </w:pPr>
      <w:r>
        <w:rPr>
          <w:rFonts w:ascii="Arial" w:cs="Arial" w:eastAsia="Arial" w:hAnsi="Arial"/>
          <w:sz w:val="18"/>
          <w:szCs w:val="18"/>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490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4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9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6, 2018, 44,963,692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502285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 FOR THE QUARTER ENDED JUNE 30, 2018</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PART I – FINANCIAL INFORMATION</w:t>
            </w:r>
          </w:p>
        </w:tc>
        <w:tc>
          <w:tcPr>
            <w:tcW w:w="3940" w:type="dxa"/>
            <w:vAlign w:val="bottom"/>
          </w:tcPr>
          <w:p>
            <w:pPr>
              <w:spacing w:after="0"/>
              <w:rPr>
                <w:sz w:val="20"/>
                <w:szCs w:val="20"/>
                <w:color w:val="auto"/>
              </w:rPr>
            </w:pP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w:t>
              </w:r>
            </w:hyperlink>
          </w:p>
        </w:tc>
        <w:tc>
          <w:tcPr>
            <w:tcW w:w="4940" w:type="dxa"/>
            <w:vAlign w:val="bottom"/>
            <w:gridSpan w:val="9"/>
          </w:tcPr>
          <w:p>
            <w:pPr>
              <w:spacing w:after="0"/>
              <w:rPr>
                <w:sz w:val="24"/>
                <w:szCs w:val="24"/>
                <w:color w:val="auto"/>
              </w:rPr>
            </w:pPr>
          </w:p>
        </w:tc>
        <w:tc>
          <w:tcPr>
            <w:tcW w:w="3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6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Balance Sheets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Statements of Operations and Comprehensive Loss</w:t>
              </w:r>
            </w:hyperlink>
          </w:p>
        </w:tc>
        <w:tc>
          <w:tcPr>
            <w:tcW w:w="1920" w:type="dxa"/>
            <w:vAlign w:val="bottom"/>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60" w:type="dxa"/>
            <w:vAlign w:val="bottom"/>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Statements of Cash Flows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6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Financial Statements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2080" w:type="dxa"/>
            <w:vAlign w:val="bottom"/>
            <w:gridSpan w:val="2"/>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6460" w:type="dxa"/>
            <w:vAlign w:val="bottom"/>
            <w:gridSpan w:val="1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358"/>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rPr>
              <w:t>PART II – OTHER INFORMATION</w:t>
            </w:r>
          </w:p>
        </w:tc>
        <w:tc>
          <w:tcPr>
            <w:tcW w:w="3940" w:type="dxa"/>
            <w:vAlign w:val="bottom"/>
          </w:tcPr>
          <w:p>
            <w:pPr>
              <w:spacing w:after="0"/>
              <w:rPr>
                <w:sz w:val="24"/>
                <w:szCs w:val="24"/>
                <w:color w:val="auto"/>
              </w:rPr>
            </w:pP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6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3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5120" w:type="dxa"/>
            <w:vAlign w:val="bottom"/>
            <w:gridSpan w:val="10"/>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Unregistered Sales of Equity Securities and Use of Proceeds</w:t>
              </w:r>
            </w:hyperlink>
          </w:p>
        </w:tc>
        <w:tc>
          <w:tcPr>
            <w:tcW w:w="2100" w:type="dxa"/>
            <w:vAlign w:val="bottom"/>
            <w:gridSpan w:val="3"/>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Defaults Upon Senior Securities</w:t>
              </w:r>
            </w:hyperlink>
          </w:p>
        </w:tc>
        <w:tc>
          <w:tcPr>
            <w:tcW w:w="4120" w:type="dxa"/>
            <w:vAlign w:val="bottom"/>
            <w:gridSpan w:val="6"/>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Mine Safety Disclosures</w:t>
              </w:r>
            </w:hyperlink>
          </w:p>
        </w:tc>
        <w:tc>
          <w:tcPr>
            <w:tcW w:w="4680" w:type="dxa"/>
            <w:vAlign w:val="bottom"/>
            <w:gridSpan w:val="8"/>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6460" w:type="dxa"/>
            <w:vAlign w:val="bottom"/>
            <w:gridSpan w:val="1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Exhibits</w:t>
              </w:r>
            </w:hyperlink>
          </w:p>
        </w:tc>
        <w:tc>
          <w:tcPr>
            <w:tcW w:w="5140" w:type="dxa"/>
            <w:vAlign w:val="bottom"/>
            <w:gridSpan w:val="11"/>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040" w:type="dxa"/>
            <w:vAlign w:val="bottom"/>
            <w:gridSpan w:val="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885"/>
        </w:trPr>
        <w:tc>
          <w:tcPr>
            <w:tcW w:w="7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460" w:type="dxa"/>
            <w:vAlign w:val="bottom"/>
            <w:gridSpan w:val="14"/>
          </w:tcPr>
          <w:p>
            <w:pPr>
              <w:jc w:val="center"/>
              <w:ind w:left="2790"/>
              <w:spacing w:after="0"/>
              <w:rPr>
                <w:sz w:val="20"/>
                <w:szCs w:val="20"/>
                <w:color w:val="auto"/>
              </w:rPr>
            </w:pPr>
            <w:r>
              <w:rPr>
                <w:rFonts w:ascii="Arial" w:cs="Arial" w:eastAsia="Arial" w:hAnsi="Arial"/>
                <w:sz w:val="18"/>
                <w:szCs w:val="18"/>
                <w:color w:val="auto"/>
                <w:w w:val="99"/>
              </w:rPr>
              <w:t>2</w:t>
            </w:r>
          </w:p>
        </w:tc>
        <w:tc>
          <w:tcPr>
            <w:tcW w:w="394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29" w:lineRule="exact"/>
        <w:rPr>
          <w:sz w:val="20"/>
          <w:szCs w:val="20"/>
          <w:color w:val="auto"/>
        </w:rPr>
      </w:pPr>
    </w:p>
    <w:p>
      <w:pPr>
        <w:ind w:left="1040" w:right="6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 and therapeutics developed utilizing our Probody platform technology;</w:t>
      </w:r>
    </w:p>
    <w:p>
      <w:pPr>
        <w:spacing w:after="0" w:line="75" w:lineRule="exact"/>
        <w:rPr>
          <w:rFonts w:ascii="Arial" w:cs="Arial" w:eastAsia="Arial" w:hAnsi="Arial"/>
          <w:sz w:val="18"/>
          <w:szCs w:val="18"/>
          <w:color w:val="auto"/>
        </w:rPr>
      </w:pPr>
    </w:p>
    <w:p>
      <w:pPr>
        <w:ind w:left="1040" w:right="340" w:hanging="519"/>
        <w:spacing w:after="0" w:line="26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86"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completion of our ongoing clinical trials and the timing and availability of clinical data from such clinical trials;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collaborators for developing, obtaining regulatory approval for and commercializing product candidates in the collaboration;</w:t>
      </w:r>
    </w:p>
    <w:p>
      <w:pPr>
        <w:spacing w:after="0" w:line="153" w:lineRule="exact"/>
        <w:rPr>
          <w:rFonts w:ascii="Arial" w:cs="Arial" w:eastAsia="Arial" w:hAnsi="Arial"/>
          <w:sz w:val="16"/>
          <w:szCs w:val="16"/>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 collaborator’s ability to obtain and maintain regulatory approval of any of our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receipt and timing of any milestone payments or royalties under any research collaboration and license agreements or arrangements;</w:t>
      </w:r>
    </w:p>
    <w:p>
      <w:pPr>
        <w:spacing w:after="0" w:line="142"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and beliefs regarding the evolution of the market for cancer therapies and development of the immuno-oncology industry;</w:t>
      </w:r>
    </w:p>
    <w:p>
      <w:pPr>
        <w:spacing w:after="0" w:line="153" w:lineRule="exact"/>
        <w:rPr>
          <w:rFonts w:ascii="Arial" w:cs="Arial" w:eastAsia="Arial" w:hAnsi="Arial"/>
          <w:sz w:val="16"/>
          <w:szCs w:val="16"/>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approved products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any approved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and retain commercial rights for our product candidates in such collaborations;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technologies and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funds for our operations;</w:t>
      </w:r>
    </w:p>
    <w:p>
      <w:pPr>
        <w:spacing w:after="0" w:line="130"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our preclinical studies or any future clinical trials;</w:t>
      </w:r>
    </w:p>
    <w:p>
      <w:pPr>
        <w:spacing w:after="0" w:line="130"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key management and technical personnel;</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transition from an emerging growth company under the Jumpstart Our Business Startups Act of 2012 to a large accelerated filer;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secure and maintain licenses of intellectual property to protect our technologies and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or our industry.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“we,” “us,” “our” and the “Company” refer to CytomX Therapeutics, Inc., a Delaware corporation.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560" w:type="dxa"/>
            <w:vAlign w:val="bottom"/>
          </w:tcPr>
          <w:p>
            <w:pPr>
              <w:jc w:val="center"/>
              <w:ind w:left="2510"/>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6560" w:type="dxa"/>
            <w:vAlign w:val="bottom"/>
          </w:tcPr>
          <w:p>
            <w:pPr>
              <w:jc w:val="center"/>
              <w:ind w:left="2490"/>
              <w:spacing w:after="0"/>
              <w:rPr>
                <w:sz w:val="20"/>
                <w:szCs w:val="20"/>
                <w:color w:val="auto"/>
              </w:rPr>
            </w:pPr>
            <w:r>
              <w:rPr>
                <w:rFonts w:ascii="Arial" w:cs="Arial" w:eastAsia="Arial" w:hAnsi="Arial"/>
                <w:sz w:val="18"/>
                <w:szCs w:val="18"/>
                <w:b w:val="1"/>
                <w:bCs w:val="1"/>
                <w:color w:val="auto"/>
              </w:rPr>
              <w:t>CYTOMX THERAPEUTICS, INC.</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560" w:type="dxa"/>
            <w:vAlign w:val="bottom"/>
          </w:tcPr>
          <w:p>
            <w:pPr>
              <w:jc w:val="center"/>
              <w:ind w:left="2510"/>
              <w:spacing w:after="0"/>
              <w:rPr>
                <w:sz w:val="20"/>
                <w:szCs w:val="20"/>
                <w:color w:val="auto"/>
              </w:rPr>
            </w:pPr>
            <w:r>
              <w:rPr>
                <w:rFonts w:ascii="Arial" w:cs="Arial" w:eastAsia="Arial" w:hAnsi="Arial"/>
                <w:sz w:val="18"/>
                <w:szCs w:val="18"/>
                <w:b w:val="1"/>
                <w:bCs w:val="1"/>
                <w:color w:val="auto"/>
                <w:w w:val="98"/>
              </w:rPr>
              <w:t>CONDENSED BALANCE SHEETS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560" w:type="dxa"/>
            <w:vAlign w:val="bottom"/>
          </w:tcPr>
          <w:p>
            <w:pPr>
              <w:jc w:val="center"/>
              <w:ind w:left="24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632"/>
              <w:spacing w:after="0"/>
              <w:rPr>
                <w:sz w:val="20"/>
                <w:szCs w:val="20"/>
                <w:color w:val="auto"/>
              </w:rPr>
            </w:pPr>
            <w:r>
              <w:rPr>
                <w:rFonts w:ascii="Arial" w:cs="Arial" w:eastAsia="Arial" w:hAnsi="Arial"/>
                <w:sz w:val="12"/>
                <w:szCs w:val="12"/>
                <w:b w:val="1"/>
                <w:bCs w:val="1"/>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1"/>
              </w:rPr>
              <w:t>Current assets:</w:t>
            </w:r>
          </w:p>
        </w:tc>
        <w:tc>
          <w:tcPr>
            <w:tcW w:w="6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132,908</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202,238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Goodwill</w:t>
            </w:r>
          </w:p>
        </w:tc>
        <w:tc>
          <w:tcPr>
            <w:tcW w:w="6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spacing w:after="0"/>
              <w:rPr>
                <w:sz w:val="20"/>
                <w:szCs w:val="20"/>
                <w:color w:val="auto"/>
              </w:rPr>
            </w:pPr>
            <w:r>
              <w:rPr>
                <w:rFonts w:ascii="Arial" w:cs="Arial" w:eastAsia="Arial" w:hAnsi="Arial"/>
                <w:sz w:val="18"/>
                <w:szCs w:val="18"/>
                <w:color w:val="auto"/>
                <w:w w:val="90"/>
              </w:rPr>
              <w:t>Restricted cash</w:t>
            </w:r>
          </w:p>
        </w:tc>
        <w:tc>
          <w:tcPr>
            <w:tcW w:w="6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5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376,942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397,644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4,240</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 payable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revenue, current portion</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83,212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250,316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shd w:val="clear" w:color="auto" w:fill="CFF0FC"/>
          </w:tcPr>
          <w:p>
            <w:pPr>
              <w:spacing w:after="0"/>
              <w:rPr>
                <w:sz w:val="20"/>
                <w:szCs w:val="20"/>
                <w:color w:val="auto"/>
              </w:rPr>
            </w:pPr>
            <w:r>
              <w:rPr>
                <w:rFonts w:ascii="Arial" w:cs="Arial" w:eastAsia="Arial" w:hAnsi="Arial"/>
                <w:sz w:val="18"/>
                <w:szCs w:val="18"/>
                <w:color w:val="auto"/>
                <w:w w:val="99"/>
              </w:rPr>
              <w:t>Total liabilities</w:t>
            </w:r>
          </w:p>
        </w:tc>
        <w:tc>
          <w:tcPr>
            <w:tcW w:w="6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00" w:type="dxa"/>
            <w:vAlign w:val="bottom"/>
            <w:gridSpan w:val="2"/>
          </w:tcPr>
          <w:p>
            <w:pPr>
              <w:spacing w:after="0"/>
              <w:rPr>
                <w:sz w:val="20"/>
                <w:szCs w:val="20"/>
                <w:color w:val="auto"/>
              </w:rPr>
            </w:pPr>
            <w:r>
              <w:rPr>
                <w:rFonts w:ascii="Arial" w:cs="Arial" w:eastAsia="Arial" w:hAnsi="Arial"/>
                <w:sz w:val="18"/>
                <w:szCs w:val="18"/>
                <w:color w:val="auto"/>
              </w:rPr>
              <w:t>Convertible preferred stock, $0.00001 par value; 10,000,000 shares authorized and no</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shares issued and outstanding at June 30, 2018 and December 31, 2017.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$0.00001 par value; 75,000,000 shares authorized; 39,011,779 and</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38,478,560 shares issued and outstanding at June 30, 2018 and December 31, 2017,</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6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300,627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289,454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(259,317)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(219,465)</w:t>
            </w: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41,133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w:t>
            </w: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right="40" w:hanging="512"/>
        <w:spacing w:after="0" w:line="277" w:lineRule="auto"/>
        <w:tabs>
          <w:tab w:leader="none" w:pos="52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condensed balance sheet as of December 31, 2017 was derived from the audited financial statements included in the Company's Annual Report on Form 10-K for the year ended December 31,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21,338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8,283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35,522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19,459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Revenue from related party</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revenues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21,338</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8,752</w:t>
            </w: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35,522</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20,405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spacing w:after="0"/>
              <w:rPr>
                <w:sz w:val="20"/>
                <w:szCs w:val="20"/>
                <w:color w:val="auto"/>
              </w:rPr>
            </w:pPr>
            <w:r>
              <w:rPr>
                <w:rFonts w:ascii="Arial" w:cs="Arial" w:eastAsia="Arial" w:hAnsi="Arial"/>
                <w:sz w:val="17"/>
                <w:szCs w:val="17"/>
                <w:color w:val="auto"/>
              </w:rPr>
              <w:t>Operating expenses: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Research and development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25,553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28,076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48,011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42,652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General and administrative</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9,042</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6,049</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16,398</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11,740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operating expenses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34,595</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34,125</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64,409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54,392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7"/>
                <w:szCs w:val="17"/>
                <w:color w:val="auto"/>
              </w:rPr>
              <w:t>Loss from operations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(13,257)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(25,373)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(28,887)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Interest income</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60"/>
              <w:spacing w:after="0"/>
              <w:rPr>
                <w:sz w:val="20"/>
                <w:szCs w:val="20"/>
                <w:color w:val="auto"/>
              </w:rPr>
            </w:pPr>
            <w:r>
              <w:rPr>
                <w:rFonts w:ascii="Arial" w:cs="Arial" w:eastAsia="Arial" w:hAnsi="Arial"/>
                <w:sz w:val="17"/>
                <w:szCs w:val="17"/>
                <w:color w:val="auto"/>
              </w:rPr>
              <w:t>Other income (expense),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(174)</w:t>
            </w:r>
          </w:p>
        </w:tc>
        <w:tc>
          <w:tcPr>
            <w:tcW w:w="2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0"/>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Loss before provision for income taxes</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(11,656)</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(25,190)</w:t>
            </w: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(26,051)</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(33,447)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Provision for income taxes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1,791</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2,889</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(13,447)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(25,216)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(28,940)</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(33,473)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7"/>
                <w:szCs w:val="17"/>
                <w:color w:val="auto"/>
              </w:rPr>
              <w:t>Net loss per share, basic and diluted</w:t>
            </w: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tcBorders>
              <w:bottom w:val="single" w:sz="8" w:color="CFF0FC"/>
            </w:tcBorders>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(0.35)</w:t>
            </w:r>
          </w:p>
        </w:tc>
        <w:tc>
          <w:tcPr>
            <w:tcW w:w="24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(0.69)</w:t>
            </w:r>
          </w:p>
        </w:tc>
        <w:tc>
          <w:tcPr>
            <w:tcW w:w="24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(0.75)</w:t>
            </w:r>
          </w:p>
        </w:tc>
        <w:tc>
          <w:tcPr>
            <w:tcW w:w="2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(0.91)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Shares used to compute net loss per share, basic and diluted</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38,961,021</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36,780,897</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38,805,317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36,660,548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unrealized gains (losses) on short-term investments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(84)</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7"/>
                <w:szCs w:val="17"/>
                <w:color w:val="auto"/>
              </w:rPr>
              <w:t>Comprehensive loss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(13,397)</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(25,226)</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(29,024)</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(28,940)</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(33,473)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480"/>
              <w:spacing w:after="0"/>
              <w:rPr>
                <w:sz w:val="20"/>
                <w:szCs w:val="20"/>
                <w:color w:val="auto"/>
              </w:rPr>
            </w:pPr>
            <w:r>
              <w:rPr>
                <w:rFonts w:ascii="Arial" w:cs="Arial" w:eastAsia="Arial" w:hAnsi="Arial"/>
                <w:sz w:val="18"/>
                <w:szCs w:val="18"/>
                <w:color w:val="auto"/>
              </w:rPr>
              <w:t>Gain on disposal of property and equipment</w:t>
            </w:r>
          </w:p>
        </w:tc>
        <w:tc>
          <w:tcPr>
            <w:tcW w:w="340" w:type="dxa"/>
            <w:vAlign w:val="bottom"/>
          </w:tcPr>
          <w:p>
            <w:pPr>
              <w:spacing w:after="0"/>
              <w:rPr>
                <w:sz w:val="19"/>
                <w:szCs w:val="19"/>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802</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of premiums (accretion of discounts) on investments</w:t>
            </w: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(643)</w:t>
            </w: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4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7,849</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(14,998)</w:t>
            </w: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720"/>
              <w:spacing w:after="0"/>
              <w:rPr>
                <w:sz w:val="20"/>
                <w:szCs w:val="20"/>
                <w:color w:val="auto"/>
              </w:rPr>
            </w:pPr>
            <w:r>
              <w:rPr>
                <w:rFonts w:ascii="Arial" w:cs="Arial" w:eastAsia="Arial" w:hAnsi="Arial"/>
                <w:sz w:val="18"/>
                <w:szCs w:val="18"/>
                <w:color w:val="auto"/>
              </w:rPr>
              <w:t>Related party accounts receivable</w:t>
            </w:r>
          </w:p>
        </w:tc>
        <w:tc>
          <w:tcPr>
            <w:tcW w:w="340" w:type="dxa"/>
            <w:vAlign w:val="bottom"/>
          </w:tcPr>
          <w:p>
            <w:pPr>
              <w:spacing w:after="0"/>
              <w:rPr>
                <w:sz w:val="19"/>
                <w:szCs w:val="19"/>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(1,878)</w:t>
            </w:r>
          </w:p>
        </w:tc>
        <w:tc>
          <w:tcPr>
            <w:tcW w:w="4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(429)</w:t>
            </w: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720"/>
              <w:spacing w:after="0"/>
              <w:rPr>
                <w:sz w:val="20"/>
                <w:szCs w:val="20"/>
                <w:color w:val="auto"/>
              </w:rPr>
            </w:pPr>
            <w:r>
              <w:rPr>
                <w:rFonts w:ascii="Arial" w:cs="Arial" w:eastAsia="Arial" w:hAnsi="Arial"/>
                <w:sz w:val="18"/>
                <w:szCs w:val="18"/>
                <w:color w:val="auto"/>
              </w:rPr>
              <w:t>Accrued liabilities, income tax payable and other long-term liabilities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11,303</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(14,347)</w:t>
            </w: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(41,228)</w:t>
            </w:r>
          </w:p>
        </w:tc>
        <w:tc>
          <w:tcPr>
            <w:tcW w:w="4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9"/>
                <w:szCs w:val="19"/>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(1,619)</w:t>
            </w: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(99,630)</w:t>
            </w:r>
          </w:p>
        </w:tc>
        <w:tc>
          <w:tcPr>
            <w:tcW w:w="4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Maturities of short-term investments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94,513</w:t>
            </w:r>
          </w:p>
        </w:tc>
        <w:tc>
          <w:tcPr>
            <w:tcW w:w="4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(6,736)</w:t>
            </w:r>
          </w:p>
        </w:tc>
        <w:tc>
          <w:tcPr>
            <w:tcW w:w="4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w:t>
            </w:r>
          </w:p>
        </w:tc>
        <w:tc>
          <w:tcPr>
            <w:tcW w:w="4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4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(44,640)</w:t>
            </w: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178,465</w:t>
            </w:r>
          </w:p>
        </w:tc>
        <w:tc>
          <w:tcPr>
            <w:tcW w:w="4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133,825</w:t>
            </w:r>
          </w:p>
        </w:tc>
        <w:tc>
          <w:tcPr>
            <w:tcW w:w="4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273,777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investing and financing items: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240"/>
              <w:spacing w:after="0"/>
              <w:rPr>
                <w:sz w:val="20"/>
                <w:szCs w:val="20"/>
                <w:color w:val="auto"/>
              </w:rPr>
            </w:pPr>
            <w:r>
              <w:rPr>
                <w:rFonts w:ascii="Arial" w:cs="Arial" w:eastAsia="Arial" w:hAnsi="Arial"/>
                <w:sz w:val="18"/>
                <w:szCs w:val="18"/>
                <w:color w:val="auto"/>
              </w:rPr>
              <w:t>Purchases of property and equipment in accounts payable and accrued liabilities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adjustment to deferred revenue resulting from the adoption of ASC 606</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10,912</w:t>
            </w: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CytomX Therapeutics, Inc. (the “Company”) is a clinical-stage, oncology-focused biopharmaceutical company with a vision of transforming lives with safer, more effective therapeutics. The Company is pioneering a novel class of investigational antibody therapeutics, based on its Probody™ therapeutic technology platform, for the treatment of cancer. The Probody therapeutic approach is designed to more specifically target antibody therapeutics to the tumor microenvironment and reduce drug activity in healthy tissue and in circulation. The Company is located in South San Francisco, California and was incorporated in the state of Delaware in September 2010.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22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condensed balance sheet data as of December 31, 2017 was derived from audited financial statements, but does not include all disclosures required by U.S. GAAP. The condensed results of operations for the three and six months ended June 30, 2018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2017 filed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 liquid investments purchased with original maturities of three months or less at the date of purchase to be cash equivalents.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balance sheets that sum to the total of the amounts shown in the statements of cash flows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r>
      <w:tr>
        <w:trPr>
          <w:trHeight w:val="171"/>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December 31, 2017</w:t>
            </w:r>
          </w:p>
        </w:tc>
      </w:tr>
      <w:tr>
        <w:trPr>
          <w:trHeight w:val="223"/>
        </w:trPr>
        <w:tc>
          <w:tcPr>
            <w:tcW w:w="8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132,908</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177,548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 non-current assets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FF0FC"/>
            </w:tcBorders>
          </w:tcPr>
          <w:p>
            <w:pPr>
              <w:spacing w:after="0"/>
              <w:rPr>
                <w:sz w:val="19"/>
                <w:szCs w:val="19"/>
                <w:color w:val="auto"/>
              </w:rPr>
            </w:pPr>
          </w:p>
        </w:tc>
      </w:tr>
      <w:tr>
        <w:trPr>
          <w:trHeight w:val="223"/>
        </w:trPr>
        <w:tc>
          <w:tcPr>
            <w:tcW w:w="8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133,825</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represents a standby letter of credit issued pursuant to an office lease entered in December 2015.</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Customer payments are recorded as deferred revenue upon receipt or when due and may require deferral of revenue recognition to a future period until the Company performs its obligations under these arrangements. Amounts payable to the Company are recorded as accounts receivable when the Company’s right to consideration is unconditional.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unrealized gains and losses on short-term investments represent the only component of other comprehensive income (loss) that is excluded from the reported net loss.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 adopted ASC Topic 606 effective January 1, 2018 on a modified retrospective basis. As such, the prior period amounts were not restated and continue to be presented in accordance with ASC Topic 605. For the Company’s accounting policy on revenue recognition prior to January 1, 2018, refer to the 2017 Form 10-K filed with the SEC on March 7, 2018. The policy disclosed in this Quarterly Report on Form 10-Q is the Company’s policy under ASC Topic 606, which was to be applied from January 1, 2018 forward.</w:t>
      </w:r>
    </w:p>
    <w:p>
      <w:pPr>
        <w:spacing w:after="0" w:line="22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recognizes revenue when the customer obtains control of the promised goods or services, in an amount that reflects the consideration which the Company has received or expects to receive in exchange for those goods or services.</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assesses whether the promises in its arrangements with customers are considered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2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transaction price in each arrangement is allocated to the identified performance obligations based on the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1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collaboration and license agreements may include contingent payments related to specified research, development and regulatory milestones. Such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At each reporting date, the Company evaluates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Once determined, the transaction price is allocated to each performance obligation on a relative SSP basis. At the end of each subsequent reporting period, the Company re-evaluates the probability or achievement of each such milestone and any related constraint, and if necessary, adjusts its estimate of the overall transaction price.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AbbVie Ireland Unlimited Company (“AbbVie”), one of the Company’s collaboration partners, entered into a license agreement with Seattle Genetics, Inc. (“SGEN”) to license certain intellectual property rights. As part of the Company’s collaboration agreement with AbbVie, the Company pays SGEN sublicense fees. These sublicense fees are treated as reductions of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63238"/>
        </w:rPr>
        <w:t>Adopted Accounting Pronouncements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which requires an entity to recognize the amount of revenue to which it expects to be entitled for the transfer of promised goods or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customers. ASU 2014-09 replaced most existing revenue recognition guidance in U.S. GAAP. The standard permits the use of either the retrospective or cumulative effect transition method. Additionally, in March 2016, the FASB issued ASU No. 2016-08,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t>
      </w:r>
      <w:r>
        <w:rPr>
          <w:rFonts w:ascii="Arial" w:cs="Arial" w:eastAsia="Arial" w:hAnsi="Arial"/>
          <w:sz w:val="16"/>
          <w:szCs w:val="16"/>
          <w:i w:val="1"/>
          <w:iCs w:val="1"/>
          <w:color w:val="auto"/>
        </w:rPr>
        <w:t>Principal versus Agent Considerations (Reporting Revenue Gross versus Net</w:t>
      </w:r>
      <w:r>
        <w:rPr>
          <w:rFonts w:ascii="Arial" w:cs="Arial" w:eastAsia="Arial" w:hAnsi="Arial"/>
          <w:sz w:val="16"/>
          <w:szCs w:val="16"/>
          <w:color w:val="auto"/>
        </w:rPr>
        <w:t>), which clarifies the implementation guidance on principal versus 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considerations in ASU No. 2014-09. In April 2016, the FASB issued ASU No. 2016-10, </w:t>
      </w:r>
      <w:r>
        <w:rPr>
          <w:rFonts w:ascii="Arial" w:cs="Arial" w:eastAsia="Arial" w:hAnsi="Arial"/>
          <w:sz w:val="16"/>
          <w:szCs w:val="16"/>
          <w:i w:val="1"/>
          <w:iCs w:val="1"/>
          <w:color w:val="auto"/>
        </w:rPr>
        <w:t>Revenue from Contracts with Customers (Topic 606): Identifying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 Obligations and Licensing</w:t>
      </w:r>
      <w:r>
        <w:rPr>
          <w:rFonts w:ascii="Arial" w:cs="Arial" w:eastAsia="Arial" w:hAnsi="Arial"/>
          <w:sz w:val="16"/>
          <w:szCs w:val="16"/>
          <w:color w:val="auto"/>
        </w:rPr>
        <w:t>, which clarifies certain aspects of identifying performance obligations and licensing implementation guidance.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May 2016, the FASB issued ASU No.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which relates to disclosures of remaining performance obligations, as well as other amendments to guidance on collectability, non-cash consideration and the presentation of sales and other similar taxes collected from customers. These standards (collectively Accounting Standard Codification Topic 606 (“ASC 606”) have the same effective date and transition date of January 1, 2018. The Company adopted ASC 606 on January 1, 2018, using the cumulative effect transition method. The Company elected to use the practical expedient for contract modifications whereby the aggregate effect of all modifications that occurred prior to the transition date can be reflected when identifying performance obligations and determining and allocating the transaction price.</w:t>
      </w:r>
    </w:p>
    <w:p>
      <w:pPr>
        <w:spacing w:after="0" w:line="21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evaluated its contracts with customers under ASC 606. The impact of adopting ASC 606 on the Company’s results of operations, financial condition, and cash flows varies depending on the contract. The Company recorded adjustments upon the adoption of ASC 606 as a result of the different accounting treatment of its revenue agreements with respect to the inclusion of milestone payments in the initial transaction price and the method to be used to recognize upfront fees. Under the prior revenue recognition standard, milestone payments were recognized when earned and upfront fees were generally recognized as revenue over the research term on a straight-line basis if another method of revenue recognition did not more clearly match the pattern of delivery of goods or services to the customer. Under ASC 606, milestone payments are included in the initial transaction price when it is probable that a significant reversal of the milestone payment will not occur. In addition, the Company can no longer default to the straight-line method as the default method in recognizing revenue for goods or services delivered over time. As such, the amount and timing of revenue recognition for its collaboration agreements changed under the new revenue recognition standard. The impact of the adoption of ASC 606 was an increase in the balance of deferred revenue and an increase in the accumulated deficit balance of $10.9 million on January 1, 2018.</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impact of adopting ASC 606 on select unaudited condensed balance sheet line items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5"/>
              </w:rPr>
              <w:t>As of June 30, 2018</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w w:val="94"/>
              </w:rPr>
              <w:t>Balances Under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1"/>
                <w:szCs w:val="11"/>
                <w:color w:val="auto"/>
              </w:rPr>
            </w:pPr>
          </w:p>
        </w:tc>
        <w:tc>
          <w:tcPr>
            <w:tcW w:w="134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7"/>
              </w:rPr>
              <w:t>As Reported Under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ASC 605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ASC 606</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Income tax payable</w:t>
            </w:r>
          </w:p>
        </w:tc>
        <w:tc>
          <w:tcPr>
            <w:tcW w:w="2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1,636</w:t>
            </w:r>
          </w:p>
        </w:tc>
        <w:tc>
          <w:tcPr>
            <w:tcW w:w="160" w:type="dxa"/>
            <w:vAlign w:val="bottom"/>
          </w:tcPr>
          <w:p>
            <w:pPr>
              <w:spacing w:after="0"/>
              <w:rPr>
                <w:sz w:val="19"/>
                <w:szCs w:val="19"/>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19"/>
                <w:szCs w:val="19"/>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current</w:t>
            </w:r>
          </w:p>
        </w:tc>
        <w:tc>
          <w:tcPr>
            <w:tcW w:w="2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Deferred revenue - long-term</w:t>
            </w: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235,899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2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(237,296)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(259,317)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summarize the impact of adopting ASC 606 on select unaudited condensed statement of operations line items (in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8"/>
          </w:tcPr>
          <w:p>
            <w:pPr>
              <w:jc w:val="center"/>
              <w:ind w:left="836"/>
              <w:spacing w:after="0"/>
              <w:rPr>
                <w:sz w:val="20"/>
                <w:szCs w:val="20"/>
                <w:color w:val="auto"/>
              </w:rPr>
            </w:pPr>
            <w:r>
              <w:rPr>
                <w:rFonts w:ascii="Arial" w:cs="Arial" w:eastAsia="Arial" w:hAnsi="Arial"/>
                <w:sz w:val="14"/>
                <w:szCs w:val="14"/>
                <w:b w:val="1"/>
                <w:bCs w:val="1"/>
                <w:color w:val="auto"/>
                <w:w w:val="93"/>
              </w:rPr>
              <w:t>Three Months Ended June 30, 2018</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Balances Under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1"/>
                <w:szCs w:val="11"/>
                <w:color w:val="auto"/>
              </w:rPr>
            </w:pPr>
          </w:p>
        </w:tc>
        <w:tc>
          <w:tcPr>
            <w:tcW w:w="13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As Reported Under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ASC 605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32,423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(11,085)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(13,257)</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(11,085)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(11,656)</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(12,260)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(13,447)</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458"/>
        </w:trPr>
        <w:tc>
          <w:tcPr>
            <w:tcW w:w="6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left="816"/>
              <w:spacing w:after="0"/>
              <w:rPr>
                <w:sz w:val="20"/>
                <w:szCs w:val="20"/>
                <w:color w:val="auto"/>
              </w:rPr>
            </w:pPr>
            <w:r>
              <w:rPr>
                <w:rFonts w:ascii="Arial" w:cs="Arial" w:eastAsia="Arial" w:hAnsi="Arial"/>
                <w:sz w:val="14"/>
                <w:szCs w:val="14"/>
                <w:b w:val="1"/>
                <w:bCs w:val="1"/>
                <w:color w:val="auto"/>
                <w:w w:val="92"/>
              </w:rPr>
              <w:t>Six Months Ended June 30, 2018</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Balances Under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1"/>
                <w:szCs w:val="11"/>
                <w:color w:val="auto"/>
              </w:rPr>
            </w:pPr>
          </w:p>
        </w:tc>
        <w:tc>
          <w:tcPr>
            <w:tcW w:w="13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As Reported Under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ASC 605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45,049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(19,360)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(28,887)</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(16,524)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(9,527)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(26,051)</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(18,357)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(10,583)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(28,940)</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adopting ASC 606 on select unaudited condensed statement of cash flows line items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right"/>
              <w:ind w:right="108"/>
              <w:spacing w:after="0"/>
              <w:rPr>
                <w:sz w:val="20"/>
                <w:szCs w:val="20"/>
                <w:color w:val="auto"/>
              </w:rPr>
            </w:pPr>
            <w:r>
              <w:rPr>
                <w:rFonts w:ascii="Arial" w:cs="Arial" w:eastAsia="Arial" w:hAnsi="Arial"/>
                <w:sz w:val="14"/>
                <w:szCs w:val="14"/>
                <w:b w:val="1"/>
                <w:bCs w:val="1"/>
                <w:color w:val="auto"/>
              </w:rPr>
              <w:t>Six Months Ended June 30, 2018</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w w:val="94"/>
              </w:rPr>
              <w:t>Balances Under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1"/>
                <w:szCs w:val="11"/>
                <w:color w:val="auto"/>
              </w:rPr>
            </w:pPr>
          </w:p>
        </w:tc>
        <w:tc>
          <w:tcPr>
            <w:tcW w:w="134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7"/>
              </w:rPr>
              <w:t>As Reported Under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ASC 605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ASC 606</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(18,357)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(10,583)</w:t>
            </w:r>
          </w:p>
        </w:tc>
        <w:tc>
          <w:tcPr>
            <w:tcW w:w="3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(28,940)</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80" w:type="dxa"/>
            <w:vAlign w:val="bottom"/>
          </w:tcPr>
          <w:p>
            <w:pPr>
              <w:ind w:left="500"/>
              <w:spacing w:after="0"/>
              <w:rPr>
                <w:sz w:val="20"/>
                <w:szCs w:val="20"/>
                <w:color w:val="auto"/>
              </w:rPr>
            </w:pPr>
            <w:r>
              <w:rPr>
                <w:rFonts w:ascii="Arial" w:cs="Arial" w:eastAsia="Arial" w:hAnsi="Arial"/>
                <w:sz w:val="18"/>
                <w:szCs w:val="18"/>
                <w:color w:val="auto"/>
              </w:rPr>
              <w:t>Accrued liabilities, income tax payable and other long-term</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640"/>
              <w:spacing w:after="0"/>
              <w:rPr>
                <w:sz w:val="20"/>
                <w:szCs w:val="20"/>
                <w:color w:val="auto"/>
              </w:rPr>
            </w:pPr>
            <w:r>
              <w:rPr>
                <w:rFonts w:ascii="Arial" w:cs="Arial" w:eastAsia="Arial" w:hAnsi="Arial"/>
                <w:sz w:val="18"/>
                <w:szCs w:val="18"/>
                <w:color w:val="auto"/>
              </w:rPr>
              <w:t>liabilities</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10,247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(23,874)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(14,347)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The new standard provides clarification on the cash flow presentation and classification of certain transactions, including debt prepayment or extinguishment, settlement of certain debt instruments, contingent consideration payments made after a business combination, proceeds from the settlement of certain insurance claims and distributions received from equity method investees. The Company adopted this standard in its first quarter ended March 31, 2018. The adoption of this standard had no impact on the Company’s financial statements for the three months and six months ended June 30, 2018.</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63238"/>
        </w:rPr>
        <w:t xml:space="preserve">In November 2016, the FASB issued ASU No. 2016-18, </w:t>
      </w:r>
      <w:r>
        <w:rPr>
          <w:rFonts w:ascii="Arial" w:cs="Arial" w:eastAsia="Arial" w:hAnsi="Arial"/>
          <w:sz w:val="18"/>
          <w:szCs w:val="18"/>
          <w:i w:val="1"/>
          <w:iCs w:val="1"/>
          <w:color w:val="263238"/>
        </w:rPr>
        <w:t>Restricted Cash, Statement of Cash Flows (Topic 230)</w:t>
      </w:r>
      <w:r>
        <w:rPr>
          <w:rFonts w:ascii="Arial" w:cs="Arial" w:eastAsia="Arial" w:hAnsi="Arial"/>
          <w:sz w:val="18"/>
          <w:szCs w:val="18"/>
          <w:color w:val="263238"/>
        </w:rPr>
        <w:t xml:space="preserve">. ASU 2016-18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w:t>
      </w:r>
      <w:r>
        <w:rPr>
          <w:rFonts w:ascii="Arial" w:cs="Arial" w:eastAsia="Arial" w:hAnsi="Arial"/>
          <w:sz w:val="18"/>
          <w:szCs w:val="18"/>
          <w:color w:val="000000"/>
        </w:rPr>
        <w:t>The Company adopted this standard in its first</w:t>
      </w:r>
      <w:r>
        <w:rPr>
          <w:rFonts w:ascii="Arial" w:cs="Arial" w:eastAsia="Arial" w:hAnsi="Arial"/>
          <w:sz w:val="18"/>
          <w:szCs w:val="18"/>
          <w:color w:val="263238"/>
        </w:rPr>
        <w:t xml:space="preserve"> </w:t>
      </w:r>
      <w:r>
        <w:rPr>
          <w:rFonts w:ascii="Arial" w:cs="Arial" w:eastAsia="Arial" w:hAnsi="Arial"/>
          <w:sz w:val="18"/>
          <w:szCs w:val="18"/>
          <w:color w:val="000000"/>
        </w:rPr>
        <w:t>quarter ended March 31, 2018. The Company has revised the presentation of restricted cash in its Statements of Cash Flows and provided the additional disclosures required under this standard.</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This accounting standard update provides clarity when a change to terms or conditions of a share-based payment award must be accounted for as a modification. The new guidance requires modification accounting if the vesting condition, fair value or the award classification is not the same both before and after a change to the terms and conditions of the award. The Company adopted this standard on January 1, 2018. The adoption of this standard had no impact on the Company’s financial statements for the three months and six months ended June 30,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Under ASU 2016-2, an entity will be required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For public companies, ASU 2016-02 is effective for annual reporting periods beginning after December 15, 2018, including interim periods within that reporting period, and requires a modified retrospective adoption, with early adoption permitted. The Company plans to adopt this guidance beginning with its first quarter ending March 31, 2019. The Company is in the process of evaluating the future impact of ASU 2016-02 on its financial statements.</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The new standard changes the impairment model for most financial assets and certain other instruments. Under the new standard, entities 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The new standard will be effective for the Company on January 1, 2020. The Company is currently assessing the impact of this new guidance.</w:t>
      </w:r>
    </w:p>
    <w:p>
      <w:pPr>
        <w:spacing w:after="0" w:line="23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The new standard simplifies the measurement of goodwill by eliminating the Step 2 impairment test. Step 2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new guidance becomes effective for goodwill impairment tests in fiscal years beginning after December 15, 2019, though early adoption is permitted. The Company is currently assessing the impact of this new guidance.</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 – 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from Accumulated Other Comprehensive Income</w:t>
      </w:r>
      <w:r>
        <w:rPr>
          <w:rFonts w:ascii="Arial" w:cs="Arial" w:eastAsia="Arial" w:hAnsi="Arial"/>
          <w:sz w:val="18"/>
          <w:szCs w:val="18"/>
          <w:color w:val="auto"/>
        </w:rPr>
        <w:t>. The amendments in this standard allows a reclassification from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to retained earnings for stranded tax effects resulting from the Tax Cuts and Jobs Act. The new standard will be effective for the Company on January 1, 2019.</w:t>
      </w:r>
    </w:p>
    <w:p>
      <w:pPr>
        <w:spacing w:after="0" w:line="2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March 2018, the FASB issued ASU No. 2018-05, </w:t>
      </w:r>
      <w:r>
        <w:rPr>
          <w:rFonts w:ascii="Arial" w:cs="Arial" w:eastAsia="Arial" w:hAnsi="Arial"/>
          <w:sz w:val="17"/>
          <w:szCs w:val="17"/>
          <w:i w:val="1"/>
          <w:iCs w:val="1"/>
          <w:color w:val="auto"/>
        </w:rPr>
        <w:t>Income Taxes (Topic 740): Amendments to SEC Paragraphs Pursuant to SEC Staff Accounting Bulletin</w:t>
      </w:r>
      <w:r>
        <w:rPr>
          <w:rFonts w:ascii="Arial" w:cs="Arial" w:eastAsia="Arial" w:hAnsi="Arial"/>
          <w:sz w:val="17"/>
          <w:szCs w:val="17"/>
          <w:color w:val="auto"/>
        </w:rPr>
        <w:t xml:space="preserve"> </w:t>
      </w:r>
      <w:r>
        <w:rPr>
          <w:rFonts w:ascii="Arial" w:cs="Arial" w:eastAsia="Arial" w:hAnsi="Arial"/>
          <w:sz w:val="17"/>
          <w:szCs w:val="17"/>
          <w:i w:val="1"/>
          <w:iCs w:val="1"/>
          <w:color w:val="auto"/>
        </w:rPr>
        <w:t>No. 118 (SEC Update)</w:t>
      </w:r>
      <w:r>
        <w:rPr>
          <w:rFonts w:ascii="Arial" w:cs="Arial" w:eastAsia="Arial" w:hAnsi="Arial"/>
          <w:sz w:val="17"/>
          <w:szCs w:val="17"/>
          <w:color w:val="auto"/>
        </w:rPr>
        <w:t>. This standard adds various SEC paragraphs pursuant to the issuance of SEC Staff Accounting Bulletin No. 118, which clarifies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SEC Staff’s views on income tax accounting implications of the Tax Cuts and Jobs Act. It requires reporting of provisional amounts for specific income tax effects of the Act for which the accounting under ASC Topic 740 will be incomplete, but a reasonable estimate can be determined. Provision amounts for income tax effects of the Act for which a reasonable estimate cannot be determined, ASC Topic 740 should be applied based on provisions of the tax laws that were in effect immediately prior to the Act being enacted. Provisional amounts for income tax effects for which a reasonable estimate cannot be determined would be reported in the first reporting period in which a reasonable estimate can be determined. The Company continues to analyze the impact of the Tax Cuts and Jobs Act and reported provisional amounts for which it can reasonably estimate in the three months and six months ended June 30, 2018. See Note 9, Income Tax Expense.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June 2018, the FASB issued ASU No. 2018-07, Compensation – </w:t>
      </w:r>
      <w:r>
        <w:rPr>
          <w:rFonts w:ascii="Arial" w:cs="Arial" w:eastAsia="Arial" w:hAnsi="Arial"/>
          <w:sz w:val="17"/>
          <w:szCs w:val="17"/>
          <w:i w:val="1"/>
          <w:iCs w:val="1"/>
          <w:color w:val="auto"/>
        </w:rPr>
        <w:t>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amendments in this ASU expand the scope of Topic 718 to include share-based payment transactions for acquiring goods and services from</w:t>
      </w:r>
      <w:r>
        <w:rPr>
          <w:rFonts w:ascii="Arial" w:cs="Arial" w:eastAsia="Arial" w:hAnsi="Arial"/>
          <w:sz w:val="17"/>
          <w:szCs w:val="17"/>
          <w:i w:val="1"/>
          <w:iCs w:val="1"/>
          <w:color w:val="auto"/>
        </w:rPr>
        <w:t xml:space="preserve"> </w:t>
      </w:r>
      <w:r>
        <w:rPr>
          <w:rFonts w:ascii="Arial" w:cs="Arial" w:eastAsia="Arial" w:hAnsi="Arial"/>
          <w:sz w:val="17"/>
          <w:szCs w:val="17"/>
          <w:color w:val="auto"/>
        </w:rPr>
        <w:t>nonemployees. This new guidance is effective for the Company in fiscal years beginning after December 15, 2018, including interim periods within that fiscal year. Early adoption is permitted. The Company is currently assessing the impact of this new guidance.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and Short-Term Investments</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accordance with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38"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117" w:lineRule="exact"/>
        <w:rPr>
          <w:rFonts w:ascii="Arial" w:cs="Arial" w:eastAsia="Arial" w:hAnsi="Arial"/>
          <w:sz w:val="18"/>
          <w:szCs w:val="18"/>
          <w:color w:val="auto"/>
        </w:rPr>
      </w:pPr>
    </w:p>
    <w:p>
      <w:pPr>
        <w:jc w:val="both"/>
        <w:ind w:left="1040" w:right="12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3"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Level I assets consist primarily of highly liquid money market funds, some of which are included in restricted cash, and U.S. Government bonds that are included in short-term investments.</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set forth the fair value of the Company’s short-term investments subject to fair value measurements on a recurring basis and the level of inputs used in such measurements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Holding Gains</w:t>
            </w:r>
          </w:p>
        </w:tc>
        <w:tc>
          <w:tcPr>
            <w:tcW w:w="220" w:type="dxa"/>
            <w:vAlign w:val="bottom"/>
          </w:tcPr>
          <w:p>
            <w:pPr>
              <w:spacing w:after="0"/>
              <w:rPr>
                <w:sz w:val="14"/>
                <w:szCs w:val="14"/>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Holding 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131,450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 (money market funds)</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Level I</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Arial" w:cs="Arial" w:eastAsia="Arial" w:hAnsi="Arial"/>
                <w:sz w:val="18"/>
                <w:szCs w:val="18"/>
                <w:color w:val="auto"/>
              </w:rPr>
              <w:t>U.S. Government bonds</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202,389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202,238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334,756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334,605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December 31, 2017</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Holding Gains</w:t>
            </w:r>
          </w:p>
        </w:tc>
        <w:tc>
          <w:tcPr>
            <w:tcW w:w="220" w:type="dxa"/>
            <w:vAlign w:val="bottom"/>
          </w:tcPr>
          <w:p>
            <w:pPr>
              <w:spacing w:after="0"/>
              <w:rPr>
                <w:sz w:val="14"/>
                <w:szCs w:val="14"/>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Holding 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164,440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 (money market funds)</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Level I</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Arial" w:cs="Arial" w:eastAsia="Arial" w:hAnsi="Arial"/>
                <w:sz w:val="18"/>
                <w:szCs w:val="18"/>
                <w:color w:val="auto"/>
              </w:rPr>
              <w:t>U.S. Government bonds</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196,629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361,986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361,919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no securities have contractual maturities of longer than one year.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5"/>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clinical expenses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Legal and professional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Research and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Ireland Unlimited Company</w:t>
      </w:r>
    </w:p>
    <w:p>
      <w:pPr>
        <w:spacing w:after="0" w:line="11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 April 2016, the Company and AbbVie entered into two agreements, a CD71 Co-Development and Licensing Agreement (the “CD71 Agreement”) and a Discovery Collaboration and Licensing Agreement (the “Discovery Agreement” and together with the CD71 Agreement the “AbbVie Agreements”). Under the terms of the CD71 Agreement, the Company and AbbVie will co-develop a Probody Drug Conjugates (“PDC”)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unless it opts-out. If the Company opts-out from participation of co-development of the CD71 PDC, AbbVie will have sole right and responsibility for the further development, manufacturing and commercialization of such CD71 PDC. AbbVie, at its sole discretion, may stop development of any CD71 PDC and terminate the CD71 Agreement if the Company does not meet certain preclinical research criteria by the applicable deadline. In such case, the Company and AbbVie may evaluate and approve an alternate CD71 PDC. If such alternate CD71 PDC is approved, then the Company and AbbVie will, in good faith, negotiate amendments to the timelines and, if necessary, the content in the research and development plan and budget and extensions to the deadlines to achieve defined success criteria.</w:t>
      </w:r>
    </w:p>
    <w:p>
      <w:pPr>
        <w:spacing w:after="0" w:line="2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CD71 Agreement, the Company received an upfront payment of $20.0 million in April 2016, and is eligible to receive up to $470.0 million in development, regulatory and commercial milestone payments and royalties on ex-US sales in the high teens to low twenties if the Company participates in the co-development of the CD71 Licensed Product subject to a reduction in such royalties if the Company opts-out from the co-development of the CD71 PDC. The Company’s share of later stage co-development costs for each CD71 PDC are capped, provided that AbbVie may offset the Company’s co-development cost above the capped amounts from future payments such as milestone payments and royalties. In July 2017, the Company received a milestone payment of $14.0 million (net of the associated sublicense fee of $1.0 million) from AbbVie for achieving certain milestones required to be met to begin GLP toxicology studies under the CD71 Agreement. In May 2018, the United States Food and Drug Administration (“FDA”) cleared the IND application for CX-2029, a PDC targeting CD71 that the Company is developing in partnership with AbbVie. As a result, the Company achieved the IND success criteria under the CD71 Agreement and earned a $25.0 million of milestone payment. The milestone also triggered a required payment by the Company of $4.0 million under the Seattle Genetics Agreement. The Company commenced enrollment of our Phase 1/2 clinical trial and dosed the first patient in a clinical trial at the end of the second quarter of 2018.</w:t>
      </w:r>
    </w:p>
    <w:p>
      <w:pPr>
        <w:spacing w:after="0" w:line="2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terms of the Discovery Agreement, AbbVie receives exclusive worldwide rights to develop and commercialize PDCs against up to two targets, one of which was selected in March 2017. The Company shall perform research services to discover the Probody therapeutics and create PDCs for the nominated collaboration targets. From that point, AbbVie shall have sole right and responsibility for development and commercialization of products comprising or containing such PDCs (“Discovery Licensed Products”).</w:t>
      </w: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Discovery Agreement, the Company received an upfront payment of $10.0 million in April 2016 and may receive an additional payment upon the selection by AbbVie of the second target and the satisfaction of certain success criteria under the CD71 Agreement. AbbVie has not selected the second target, but the success criteria under the CD71 Agreement were met in September 2016. The Company is also eligible to receive up to $275.0 million in target nomination, development, regulatory and commercial milestone payments and royalties in the high single to low teens from commercial sales of any resulting PDCs.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has determined that the CD71 and Discovery Agreements with AbbVie should be combined and evaluated as a single arrangement in determining revenue recognition, because both agreements were concurrently negotiated and executed.</w:t>
      </w:r>
    </w:p>
    <w:p>
      <w:pPr>
        <w:spacing w:after="0" w:line="19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Company identified the following performance obligations at the inception of the AbbVie Agreements: (1) the research, development and commercialization license for CD71 Probody therapeutic, (2) the research services related to CD71 Probody therapeutic, (3) the obligation to participate in the CD71 Agreement joint research committee, (4) the research services related to the first discovery target (5) the research, development and commercialization license for the first discovery target, and (6) the obligation to participate in the Discovery Agreement joint research committee. The Company concluded that, at the inception of the agreement, AbbVie’s option for the second discovery target is not a material right and is therefore not a performance obligation.</w:t>
      </w:r>
    </w:p>
    <w:p>
      <w:pPr>
        <w:spacing w:after="0" w:line="23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determined that the research, development and commercialization licenses for CD71 and discovery targets are not distinct from the Company’s respective research services and expertise. The Company considered factors such as novelty of the Probody therapeutic and PDC technology and lack of other parties’ expertise in this space, the Company’s rights to technology relating to a proprietary platform to enable the Probody therapeutic development and AbbVie’s contractual obligation to use the Company’s research services. The Company determined that the CD71 Agreement research, development and commercialization license, related research service and participation in the joint research committee were a combined performance obligation and were distinct from the Discovery Agreement research, development and commercialization license, related research service and participation in the joint research committee. Therefore, the Company concluded that there are two distinct performance obligations: CD71 Agreement performance obligation consisting of the CD71 Agreement research, development and commercialization license, related research service and participation in the joint research committee, and the Discovery Agreement performance obligation consisting of the Discovery Agreement research, development and commercialization license, related research service and participation in the joint research committee.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transaction price at the inception of the contract consists of $30.0 million in upfront payments, $14.0 million milestone payment received (net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associated sublicense fee of $1.0 million) less $4.2 million of estimated sublicense fees. The upfront payments under the AbbVie Agreements are allocated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between the two performance obligations based on the estimated relative standalone selling prices. The $30.0 million of upfront payments is allocated $20.0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to the CD71 Agreement, with the remaining $10.0 million allocated to the Discovery Agreement. The $14.0 million milestone payment received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associated sublicense fee of $1.0 million) and estimated sublicense fees are allocated to the CD71 Agreement performance obligation as they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directly related to the development of the CD71 Probody therapeutic. In May 2018, the Company earned a $21.0 million milestone payment (net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associated sublicense fee of $4.0 million). The $21.0 million milestone payment was included as part of the transaction price in May 2018 and a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 of $9.9 million was recognized in the second quarter of 2018 reflecting the percentage completed to-date on the project related to this milestone.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determined that the remaining potential milestone payments are probable of significant revenue reversal as their achievement is highly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dependent on factors outside the Company’s control. Therefore, these payments have been fully constrained and are not included in the transaction price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June 30, 2018. Under the UCSB Agreement, the Company is obligated to make royalty payments to UCSB equal to 5% of certain sublicense revenue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payments owed to or received by the Company. The Company determined that the calculation of the sublicense fee is not specifically addressed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sublicense agreement when the Company simultaneously licenses the UCSB technology along with the technology the Company has developed internally.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December 31, 2017, the Company recorded a liability of $0.5 million, which represents the Company’s best estimate of the amount to be remitted to UCSB</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to the $14.0 million milestone earned in July 2017. The Company recorded an additional $0.4 million of liability related to the $21.0 million (net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associated sublicense fees) milestone earned in the second quarter of 2018. The Company recognized the initial transaction price of $29.8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allocated to the CD71 Agreement performance obligation using a cost-based input measure. In applying the cost-based input method of revenue recognition,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actual costs incurred relative to budgeted costs expected to be incurred for the combined performance obligation. These costs consist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of internal full-time employee (“FTE”) effort and third-party contract costs. Revenue is recognized based on actual costs incurred as a percentage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 budgeted costs as the Company completes its performance obligation over the five-year service period. As the Discovery Agreement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 represents an obligation to continuously make the Company’s Probody therapeutic technology platform available to AbbVie, the initial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$10.0 million allocated to this performance obligation is recognized over the common measure of progress for the entire performance obligation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estimated research service period of five years. The Company recognized revenue of $10.8 million and $1.4 million for the three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2018 and 2017, respectively, and $13.4 million and $2.8 million for the six months ended June 30, 2018 and 2017, respectively, related to the AbbVie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Agreements. As of June 30, 2018 and December 31, 2017, deferred revenue related to the CD71 Agreement performance obligation was $27.7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$11.2 million, respectively, and deferred revenue related to the Discovery Agreement performance obligation was $5.7 million and $6.8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2018, the amount due from AbbVie under the AbbVie Agreements was $25.0 million, which was received in July 2018. No amount was due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AbbVie as of December 31, 2017.</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Amgen, Inc.</w:t>
      </w:r>
    </w:p>
    <w:p>
      <w:pPr>
        <w:spacing w:after="0" w:line="1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September 29, 2017, the Company and Amgen, Inc. (“Amgen”) entered into a Collaboration and License Agreement (the “Amgen Agreement”). Pursuant to the Amgen Agreement, the Company received an upfront payment of $40.0 million in October 2017. Concurrent with the entry into the Amgen Agreement, the Company and Amgen entered into a Share Purchase Agreement (the “Purchase Agreement”) pursuant to which Amgen purchased 1,156,069 shares of the Company’s common stock, par value $0.00001 per share, at a price of $17.30 per share (calculated based on a 20-day volume-weighted average price), for total proceeds of $20.0 million, which the Company received on October 6, 2017, the closing date of the transaction. On the closing date, the Registration Rights Agreement (the “Registration Rights Agreement”) between the Company and Amgen went into effect. Pursuant to the Registration Rights Agreement, Amgen agreed not to dispose of any of the shares purchased during the six-month period following the closing date (the “lock-up period”) without the prior approval of a majority of the Company’s Board of Directors. The Company estimated a premium on the stock sold to Amgen of $0.5 million, which takes into account a discount due to the lack of marketability resulting from the six-month lockup period.</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terms of the Amgen Agreement, the Company and Amgen will co-develop a Probody T-cell engaging bi-specific therapeutic targeting EGFR (“EGFR Products”). The Company will be responsible for early-stage development of EGFR Products and all related costs (up to certain pre-set costs and certain limits based on clinical study size). Amgen will be responsible for late-stage development, commercialization, and all related costs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eligible to receive up to $455.0 million in development, regulatory, and commercial milestone payments for EGFR Products, and royalties in the low-double-digit to mid-teen percentage of worldwide commercial sales, provided that if the Company exercises its EGFR Co-Development option, it shall only receive royalties in the low-double-digit to mid-teen percentage of commercial sales outside of the United States.</w:t>
      </w:r>
    </w:p>
    <w:p>
      <w:pPr>
        <w:spacing w:after="0" w:line="2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Amgen also has the right to select a total of up to three targets, including the two additional targets discussed below. The Company and Amgen will collaborate in the research and development of Probody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will be responsible, at its expense, for converting this program to a Probody T-cell engaging bispecific product, and thereafter,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17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considered the criteria for combining contracts in ASC 606 and determined that the Amgen Agreement and the Purchase Agreement should be combined into one contract. The Company accounted for the Amgen Agreement based on the fair values of the assets and services exchanged. The Company identified the following performance obligations at the inception of the Amgen Agreement: (1) the research, development and commercialization license, (2) the research and development services for the EGFR Products and the Amgen Other Product, and (3) the obligation to participate in the joint steering committee (“JSC”) and the joint research committee (“JRC”). The Company determined that research, development and commercialization license and the participation in the JSC and JRC are not distinct from the research and development services and therefore those performance obligations were combined into one combined performance obligation. The Amgen Other Products will be accounted for as a separate performance obligation from the EGFR Products as the nature of the services being performed is not the same and the value that Amgen can derive from one program is not dependent on the success of the other.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Concurrent with the execution of the Amgen Agreement, the Company entered into a sublicense agreement whereby the Company granted Amgen a sublicense of its rights to one patent family that it co-owns with the Regents of the University of California, acting through its Santa Barbara campus (“UCSB”), that is exclusively licensed to us under the UCSB Agreement covering Probody antibodies and other pro-proteins in the fields of therapeutics, in vivo diagnostics and prophylactics. This sublicense was incremental to the patents, patent applications and know-how covering T-cell engaging bispecific Probody molecules that were developed and owned by the Company and licensed to Amgen. Under the UCSB Agreement, the Company is obligated to make a royalty payment to UCSB equal to 15% of certain sublicense revenue payments owed to or received by the Company. The Company determined that the calculation of the sublicense fee is not specifically addressed in the sublicense agreement when the Company simultaneously licenses the UCSB technology along with the technology the Company has developed internally. As of December 31, 2017, the Company recorded a liability of $2.1 million, which represents the Company’s best estimate of the amount to be remitted to UCSB. As of June 30, 2018, the Company determined that the estimated liability of $2.1 million is still appropriate.</w:t>
      </w:r>
    </w:p>
    <w:p>
      <w:pPr>
        <w:spacing w:after="0" w:line="2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total transaction price of $51.2 million, consisting of the $40.0 million upfront payment, an estimated fair value of $10.7 million for the CytomX Product and $0.5 million of premium on the sale of the Company’s equity, was allocated between two performance obligations based on the relative standalone selling price of each performance obligation. To determine the standalone selling price, the Company used the discounted cash flow method by calculating risk-adjusted net present values of estimated cash flows. The Company determined that the remaining potential milestone payments are probable of significant revenue reversal as their achievement is highly dependent on factors outside the Company’s control. Therefore, these payments have been fully constrained and are not included in the transaction price as of June 30, 2018. The Company recognizes the transaction price of $45.8 million allocated to the EGFR Products performance obligation using a cost-based input measure. In applying the cost-based input method of revenue recognition, the Company uses actual costs incurred relative to budgeted costs expected to be incurred for the combined performance obligation. These costs consist primarily of internal FTE effort and third-party contract costs. Revenue is recognized based on actual costs incurred as a percentage of total budgeted costs as the Company completes its performance obligation over the six-year service period. As the Amgen Other Product performance obligation represents an obligation to continuously make the Probody therapeutic technology platform available to Amgen, the initial transaction price of $4.7 million allocated to this performance obligation is recognized over the common measure of progress for the entire performance obligation over the estimated research service period of six years.</w:t>
      </w:r>
    </w:p>
    <w:p>
      <w:pPr>
        <w:spacing w:after="0" w:line="20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recognized revenue of $1.6 million and $2.9 million for the three and six months ended June 30, 2018, respectively, related to the Amgen Agreement. As of June 30, 2018 and December 31, 2017, deferred revenue related to the EGFR Products performance obligation was $42.3 million and $45.3 million, respectively. As of June 30, 2018 and December 31, 2017, deferred revenue related to the Amgen Other Products performance obligation was $4.2 million and $4.6 million, respectively. As of June 30, 2018, no amount was due from Amgen under the Amgen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Bristol-Myers Squibb Company</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May 23, 2014, the Company and Bristol-Myers Squibb Company (“BMS”)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terms of the BMS Agreement, the Company granted BMS exclusive worldwide rights to develop and commercialize Probody therapeutics for up to four oncology targets. BMS had additional rights to substitute up to two collaboration targets within three years of the effective date of the BMS Agreement. These rights expired in May 2017. Each collaboration target has a two-year research term and the two additional targets must be nominated by BMS within five years of the effective date of the BMS Agreement. The research term for each collaboration target can be extended in one year increments up to three times.</w:t>
      </w:r>
    </w:p>
    <w:p>
      <w:pPr>
        <w:spacing w:after="0" w:line="21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BMS Agreement, the financial consideration from BMS was comprised of an upfront payment of $50.0 million and the Company was initially entitled to receive contingent payments of up to an aggregate of $1,217.0 million as follows: (i) up to $25.0 million for additional targets; (ii) up to</w:t>
      </w:r>
    </w:p>
    <w:p>
      <w:pPr>
        <w:spacing w:after="0"/>
        <w:rPr>
          <w:sz w:val="20"/>
          <w:szCs w:val="20"/>
          <w:color w:val="auto"/>
        </w:rPr>
      </w:pPr>
      <w:r>
        <w:rPr>
          <w:rFonts w:ascii="Arial" w:cs="Arial" w:eastAsia="Arial" w:hAnsi="Arial"/>
          <w:sz w:val="16"/>
          <w:szCs w:val="16"/>
          <w:color w:val="auto"/>
        </w:rPr>
        <w:t>$114.0 million in development milestone payments per research target program or up to $456.0 million if the maximum of four research targets are selected;</w:t>
      </w:r>
    </w:p>
    <w:p>
      <w:pPr>
        <w:spacing w:after="0" w:line="32" w:lineRule="exact"/>
        <w:rPr>
          <w:sz w:val="20"/>
          <w:szCs w:val="20"/>
          <w:color w:val="auto"/>
        </w:rPr>
      </w:pPr>
    </w:p>
    <w:p>
      <w:pPr>
        <w:ind w:right="20" w:firstLine="8"/>
        <w:spacing w:after="0" w:line="253"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$124.0 million in milestone payments for the first commercial sale in various territories for up to three indications per research target program or up to $496.0 million if the maximum of four research targets are selected, and (iv) up to $60.0 million in sales milestones payments per research target program or up to $240.0 million if maximum of four research targets are selected. The Company is entitled to royalty payments in the mid-single digits to low double-digit percentages from potential future sales. The Company will also receive research and development service fees based on a prescribed FTE rate that is capped.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identified the following performance obligations at the inception of the BMS Agreement: (1) the exclusive research, development and commercialization license, (2) the research and development services and (3) the obligation to participate in the joint research committee. The Company determined that the license, the Company’s research services and expertise related to the development of the product candidates should be combined with the research services and participation in the joint research committee as one combined performance obligation. The Company concluded that, at the inception of the agreement, BMS’ options for the third and fourth targets were not material rights and not performance obligations. As such, each option was accounted for as a separate arrangement upon exercise. Additionally, the Company considered whether the services performed for each target should be considered separate performance obligations and concluded that all targets should be accounted for as one combined performance obligation.</w:t>
      </w:r>
    </w:p>
    <w:p>
      <w:pPr>
        <w:spacing w:after="0" w:line="1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received an upfront payment of $50.0 million from BMS in July 2014. In January and December 2016, BMS selected the third and fourth targets, respectively, and paid the Company $10.0 million and $15.0 million, respectively, pursuant to the terms of the BMS Agreement. In December 2016, BMS selected a clinical candidate pursuant to the BMS Agreement, which triggered a $2.0 million pre-clinical milestone payment to the Company. In November 2017, the Company recognized a $10.0 million milestone payment from BMS upon approval of the investigational new drug application for the CTLA-4-directed Probody therapeutic.</w:t>
      </w:r>
    </w:p>
    <w:p>
      <w:pPr>
        <w:spacing w:after="0" w:line="22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On March 17, 2017, the Company and BMS entered into Amendment Number 1 to Extend Collaboration and License Agreement (the “Amendment”). The Amendment grants BMS exclusive worldwide rights to develop and commercialize Probody therapeutics for up to six additional oncology targets and two non-oncology targets. The effective date of the Amendment was April 25, 2017 (“Amendment Effective Date”).</w:t>
      </w:r>
    </w:p>
    <w:p>
      <w:pPr>
        <w:spacing w:after="0" w:line="20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Under the terms of the Amendment, the Company will continue to collaborate with BMS to discover and conduct preclinical development of Probody therapeutics against targets selected by BMS under the terms of the Amendment.</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Amendment, the financial consideration from BMS was comprised of an upfront payment of $200.0 million and the Company will be eligible to receive up to an aggregate of $3,586.0 million as follows: (i) up to $116.0 million in development milestone payments per target or up to $928.0 million if the maximum of eight targets are selected for the first product modality; (ii) up to $124.0 million in milestone payments for the first commercial sale in various territories for up to three indications per target program or up to $992.0 million if the maximum of eight targets are selected for the first product modality; (iii) up to $60.0 million in sales milestone payments per target or up to $480.0 million if maximum of eight targets are selected for the first product modality; and (iv) up to $56.3 million in development milestone payments or up to $450.0 million if the maximum of eight targets are selected for the second product modality; (v) up to $62.0 million in milestone payments for the first commercial sale in various territories for up to three indications per target program or up to $496.0 million if the maximum of eight targets are selected for the second product modality; (iii) up to $30.0 million in sales milestone payments per target or up to $240.0 million if maximum of eight targets are selected for the second product modality. The Company is also entitled to tiered mid-single to low double-digit percentage royalties from potential future sales. The Amendment does not change the term of the BMS’ royalty obligation under the BMS Agreement. BMS’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initial transaction price is $272.8 million consisting of the upfront fees of $250.0 million, research and development service fees of $10.8 million and milestone payments received to date of $12.0 million. The Company determined that the remaining potential milestone payments are probable of significant revenue reversal as their achievement is highly dependent on factors outside the Company’s control. Therefore, these payments have been fully constrained and are not included in the transaction price as of June 30, 2018. The BMS Agreement represents an obligation to continuously make the Probody therapeutic technology platform available to BMS. Therefore, the initial transaction price is recognized over the estimated research service period which ends on April 25, 2023.</w:t>
      </w:r>
    </w:p>
    <w:p>
      <w:pPr>
        <w:spacing w:after="0" w:line="23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 recognized revenue of $8.2 million and $6.9 million for the three months ended June 30, 2018 and 2017, respectively, and $16.4 million and $10.2 million for the six months ended June 30, 2018 and 2017, respectively. As of June 30, 2018 and December 31, 2017, deferred revenue relating to the BMS Agreement was $221.9 million and $235.0 million, respectively. The amount due from BMS under the BMS Agreement was $0.1 million and $10.1 million as of June 30, 2018 and December 31, 2017, respectively.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ImmunoGen, Inc.</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January 2014, the Company and ImmunoGen, Inc. (“ImmunoGen”) entered into the Research Collaboration Agreement (the “ImmunoGen Agreement”). The ImmunoGen Agreement provides the Company with the right to use ImmunoGen’s Antibody Drug Conjugate (“ADC”) technology in combination with the Company’s Probody therapeutic technology to create a PDC directed at one specified target under a research license, and to subsequently obtain an exclusive, worldwide development and commercialization license to use ImmunoGen’s ADC technology to develop and commercialize such PDCs. The Company made no upfront cash payment in connection with the execution of the agreement. Instead, the Company provided ImmunoGen with the rights to CytomX’s Probody therapeutic technology to create PDCs directed at two targets under the research license and to subsequently obtain exclusive, worldwide development and commercialization licenses to develop and commercialize such PDCs. In February 2017, ImmunoGen exercised its option to obtain a development and commercialization license for one of the two targets. ImmunoGen discontinued one of the two programs being developed under the ImmunoGen Agreement in July 2017 and substitution rights for this program terminated in February 2017. The Company recognized the remaining deferred revenue related to the discontinued program upon the termination of the program. ImmunoGen continues research work on the second collaboration target; however, as of June 30, 2018, the Company has no further research obligation under the ImmunoGen Agreement.</w:t>
      </w:r>
    </w:p>
    <w:p>
      <w:pPr>
        <w:spacing w:after="0" w:line="21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Under the terms of the agreement, both the Company and ImmunoGen were required to perform research activities on behalf of the other party for no monetary consideration. The research activities for a particular target were to last until January 2018 unless they were terminated by one of the parties or when a development and commercialization license is obtained with respect to that target. This arrangement was extended to June 2018, as discussed below. Each party is solely responsible for the development, manufacturing and commercialization of any products resulting from the exclusive development and commercialization license obtained by such party under the agreement. Each party may be liable to pay annual maintenance fees to the other party if the licensed product candidate covered under each development and commercialization license has not progressed to the clinical stage of development within six years of the exercise of the development and commercialization license.</w:t>
      </w:r>
    </w:p>
    <w:p>
      <w:pPr>
        <w:spacing w:after="0" w:line="20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consideration for the exclusive development and commercialization license that may be obtained by ImmunoGen, the Company is entitled to receive up to $30.0 million in development and regulatory milestone payments per the research program target, up to $50.0 million in sales milestone payments per target and royalties in the mid-single digits on the commercial sales of any resulting product. For the development and commercialization license that may be obtained by the Company, ImmunoGen is entitled to receive up to $60.0 million in development and regulatory milestone payments, up to $100.0 million in sales milestone payments and royalties in the mid to high single digits on the commercial sales of any resulting product. In August 2017, the Company made a milestone payment of $1.0 million to ImmunoGen for the first patient dosing with CX-2009.</w:t>
      </w:r>
    </w:p>
    <w:p>
      <w:pPr>
        <w:spacing w:after="0" w:line="21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accounted for the ImmunoGen Agreement based on the fair value of the assets and services exchanged. The Company identified the following performance obligations at the inception of the ImmunoGen Agreement: (1) the research license, (2) the research services, (3) the obligation to participate in the joint research committee, (4) the exclusive research, development and commercialization license and (5) the obligation to provide future technology improvements, when available. The Company determined that the research license, participation in the joint steering committee, the research services, and the technology improvements are not distinct from the development and commercialization license and therefore those performance obligations were combined into one combined performance obligation. The Company considered factors such the limited economic benefits to ImmunoGen if the development and commercialization license is not obtained and the lack of sublicensing rights in the research license.</w:t>
      </w: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estimated total fair value of the consideration of $13.2 million was recorded as deferred revenue at the inception of the agreement. In December 2017, the Company entered into a license agreement with ImmunoGen (the “ImmunoGen Amendment”) pursuant to ImmunoGen’s exercise of its option to obtain a development and commercialization license for the second research program target under the ImmunoGen Agreement. The ImmunoGen Amendment extended the Company’s obligation to provide research services from January 8, 2018 to June 30, 2018. The fair value of the consideration for the combined performance obligation was recognized as revenue over the research period that ended on June 30, 2018. The Company has no further research obligation under the ImmunoGen Agreement.</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fair value of assets and services received was also $13.2 million, of which $12.7 million was allocated to the licenses received and was charged to research and development expense, with the remaining amount of $0.5 million allocated to the research services, joint research committee participation and technology improvements, which was expensed over the period of services provided.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recognized revenue of $0.7 million and $40,000 for the three months ended June 30, 2018 and June 30, 2017, respectively and $1.5 million and $6.5 million for the six months ended June 30, 2018 and 2017, respectively. As of June 30, 2018 and December 31, 2017, deferred revenue relating to the ImmunoGen Agreement was $0 and $0.7 million, respectively. As of both June 30, 2018 and December 31, 2017, no amount was due from ImmunoGen under the ImmunoGen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MD Anderson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November 2015, the Company entered into a research collaboration agreement with MD Anderson to research Probody-enabled chimeric antigen receptor killer (CAR-NK) cell therapies, known as ProCAR-NK cell therapies. Under this collaboration, MD Anderson will use the Company’s Probody technology to conduct research of ProCAR-NK cell therapies against certain targets selected by the Company in cancer immunotherapy. Under the research collaboration agreement, the Company has the right to exercise an option, during the option period expiring on November 2, 2019 and upon payment of an option exercise fee, to negotiate and acquire a worldwide, exclusive, sublicensable license from MD Anderson for development and commercialization of products directed against any of the selected targets. The research collaboration agreement will continue in effect until the earlier of (i) the date that the Company exercises the option to acquire the license from MD Anderson and (ii) the expiration of the option period. The expenses related to this agreement were not material to the financial statements for the three and six months ended June 30, 2018 and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Pfizer Inc.</w:t>
      </w:r>
    </w:p>
    <w:p>
      <w:pPr>
        <w:spacing w:after="0" w:line="11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May 2013, the Company and Pfizer Inc. (“Pfizer”) entered into a Research Collaboration, Option and License Agreement (the “Pfizer Agreement”) to collaborate on the discovery and preclinical research activities related to Probody therapeutics, and PDCs for research project targets nominated by Pfizer. Pfizer nominated two research targets in 2013 and, pursuant to the Pfizer Agreement, had the option of nominating two additional research targets. In December 2014, Pfizer selected an additional research target and paid the Company $1.5 million. The option to select a fourth target lapsed in May 2016. Pfizer has discontinued the epidermal growth factor receptor (“EGFR”) program and decided to terminate the remaining two targets in February and March 2018. On March 6, 2018, Pfizer notified the Company that it was terminating the Pfizer Agreement. As such, the Company had no further performance obligations under this agreement following March 6, 2018 and recognized the remaining deferred revenue of $1.1 million during the three months ended March 31, 2018.</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Pursuant to the Pfizer Agreement, the Company received an upfront payment of $6.0 million and research and development service fees based on a prescribed FTE rate per year that is capped. The Company identified the following performance obligations at the inception of the Pfizer Agreement: (1) the research license, (2) the research services and (3) the obligation to participate in the joint research committee. The Company determined that the research license was not distinct from the research services and participation in the joint research committee due to the specialized nature of the research services to be provided by the Company, and accordingly, this deliverable was combined with the research services and participation in the joint research committee as a combined performance obligation. The Company concluded that, at the inception of the agreement, Pfizer’s options to obtain an exclusive development and commercialization license for each research project target do not represent a material right and are not performance obligations.</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the combined performance obligation represented an obligation to continuously make the Probody therapeutic technology platform available to Pfizer, the initial transaction price was recognized over the common measure of progress for the entire performance obligation over the estimated research service period of five and a half years.</w:t>
      </w:r>
    </w:p>
    <w:p>
      <w:pPr>
        <w:spacing w:after="0" w:line="22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recognized revenue of $0 and $0.5 million for the three months ended June 30, 2018 and 2017, respectively and $1.4 million and $0.9 million for the six months ended June 30, 2018 and 2017, respectively. As of June 30, 2018 and December 31, 2017, deferred revenue relating to the Pfizer Agreement was $0 and $1.6 million, respectively. The amount due from Pfizer under the Agreement was $0 and $13,000 as of June 30, 2018 and December 31, 2017,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the Company’s total contract assets and liabilities during the six months ended June 30, 2018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1"/>
                <w:szCs w:val="11"/>
                <w:color w:val="auto"/>
              </w:rPr>
            </w:pPr>
          </w:p>
        </w:tc>
        <w:tc>
          <w:tcPr>
            <w:tcW w:w="1060" w:type="dxa"/>
            <w:vAlign w:val="bottom"/>
          </w:tcPr>
          <w:p>
            <w:pPr>
              <w:jc w:val="center"/>
              <w:ind w:right="46"/>
              <w:spacing w:after="0" w:line="133" w:lineRule="exact"/>
              <w:rPr>
                <w:sz w:val="20"/>
                <w:szCs w:val="20"/>
                <w:color w:val="auto"/>
              </w:rPr>
            </w:pPr>
            <w:r>
              <w:rPr>
                <w:rFonts w:ascii="Arial" w:cs="Arial" w:eastAsia="Arial" w:hAnsi="Arial"/>
                <w:sz w:val="14"/>
                <w:szCs w:val="14"/>
                <w:b w:val="1"/>
                <w:bCs w:val="1"/>
                <w:color w:val="auto"/>
                <w:w w:val="92"/>
              </w:rPr>
              <w:t>Revenue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to</w:t>
            </w: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from Amounts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Transaction</w:t>
            </w: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from an</w:t>
            </w: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Included in</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4"/>
              </w:rPr>
              <w:t>ASC 606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from</w:t>
            </w: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Adjustment to</w:t>
            </w: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Contract</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at</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Transaction</w:t>
            </w: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Liability at the</w:t>
            </w:r>
          </w:p>
        </w:tc>
        <w:tc>
          <w:tcPr>
            <w:tcW w:w="16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Adoption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Obligation</w:t>
            </w: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 During</w:t>
            </w: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12/31/2017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Adjustment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Satisfied</w:t>
            </w:r>
          </w:p>
        </w:tc>
        <w:tc>
          <w:tcPr>
            <w:tcW w:w="10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the Period</w:t>
            </w: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the Period</w:t>
            </w:r>
          </w:p>
        </w:tc>
        <w:tc>
          <w:tcPr>
            <w:tcW w:w="160" w:type="dxa"/>
            <w:vAlign w:val="bottom"/>
          </w:tcPr>
          <w:p>
            <w:pPr>
              <w:spacing w:after="0"/>
              <w:rPr>
                <w:sz w:val="14"/>
                <w:szCs w:val="14"/>
                <w:color w:val="auto"/>
              </w:rPr>
            </w:pPr>
          </w:p>
        </w:tc>
        <w:tc>
          <w:tcPr>
            <w:tcW w:w="1000" w:type="dxa"/>
            <w:vAlign w:val="bottom"/>
          </w:tcPr>
          <w:p>
            <w:pPr>
              <w:jc w:val="right"/>
              <w:ind w:right="222"/>
              <w:spacing w:after="0"/>
              <w:rPr>
                <w:sz w:val="20"/>
                <w:szCs w:val="20"/>
                <w:color w:val="auto"/>
              </w:rPr>
            </w:pPr>
            <w:r>
              <w:rPr>
                <w:rFonts w:ascii="Arial" w:cs="Arial" w:eastAsia="Arial" w:hAnsi="Arial"/>
                <w:sz w:val="14"/>
                <w:szCs w:val="14"/>
                <w:b w:val="1"/>
                <w:bCs w:val="1"/>
                <w:color w:val="auto"/>
              </w:rPr>
              <w:t>6/30/2018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tcBorders>
            <w:shd w:val="clear" w:color="auto" w:fill="CFF0FC"/>
          </w:tcPr>
          <w:p>
            <w:pPr>
              <w:jc w:val="center"/>
              <w:ind w:right="1950"/>
              <w:spacing w:after="0"/>
              <w:rPr>
                <w:sz w:val="20"/>
                <w:szCs w:val="20"/>
                <w:color w:val="auto"/>
              </w:rPr>
            </w:pPr>
            <w:r>
              <w:rPr>
                <w:rFonts w:ascii="Arial" w:cs="Arial" w:eastAsia="Arial" w:hAnsi="Arial"/>
                <w:sz w:val="18"/>
                <w:szCs w:val="18"/>
                <w:b w:val="1"/>
                <w:bCs w:val="1"/>
                <w:color w:val="auto"/>
                <w:w w:val="92"/>
              </w:rPr>
              <w:t>Contract liabilities:</w:t>
            </w: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jc w:val="center"/>
              <w:ind w:right="1930"/>
              <w:spacing w:after="0"/>
              <w:rPr>
                <w:sz w:val="20"/>
                <w:szCs w:val="20"/>
                <w:color w:val="auto"/>
              </w:rPr>
            </w:pPr>
            <w:r>
              <w:rPr>
                <w:rFonts w:ascii="Arial" w:cs="Arial" w:eastAsia="Arial" w:hAnsi="Arial"/>
                <w:sz w:val="18"/>
                <w:szCs w:val="18"/>
                <w:color w:val="auto"/>
                <w:w w:val="88"/>
              </w:rPr>
              <w:t>Deferred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305,263</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21,000</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(9,901)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(25,446)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301,828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Additions of $31.9 million consists of the ASC 606 adoption adjustment of $10.9 million and $21.0 million earned (net of the associated sublicense fees) resulting from the achievement of the IND milestone under the CD71 Agreement. The $21.0 million milestone payment is included in the transaction price and is being recognized over the research period of the CD71 Agreement. Of the $21.0 million, $9.9 million was recognized as revenue during the second quarter of 2018 based on the estimated percentage completed to-date of the CD71 project. Deductions also includes $25.4 million of revenue recognized during the six months ended June 30, 2018 that was included in the contract liability balance at the beginning of the period.</w:t>
      </w:r>
    </w:p>
    <w:p>
      <w:pPr>
        <w:spacing w:after="0" w:line="1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estimates that the $301.8 million of deferred revenue related to the following contracts as of June 30, 2018 will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92" w:lineRule="exact"/>
        <w:rPr>
          <w:sz w:val="20"/>
          <w:szCs w:val="20"/>
          <w:color w:val="auto"/>
        </w:rPr>
      </w:pPr>
    </w:p>
    <w:p>
      <w:pPr>
        <w:ind w:left="900" w:right="180" w:hanging="514"/>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$27.7 million of deferred revenue related to the AbbVie CD71 Agreement as of June 30, 2018 is expected to be recognized based on actual FTE effort and program progress over the next three years until April 2021.</w:t>
      </w:r>
    </w:p>
    <w:p>
      <w:pPr>
        <w:spacing w:after="0" w:line="62" w:lineRule="exact"/>
        <w:rPr>
          <w:rFonts w:ascii="Arial" w:cs="Arial" w:eastAsia="Arial" w:hAnsi="Arial"/>
          <w:sz w:val="18"/>
          <w:szCs w:val="18"/>
          <w:color w:val="auto"/>
        </w:rPr>
      </w:pPr>
    </w:p>
    <w:p>
      <w:pPr>
        <w:ind w:left="900" w:right="200" w:hanging="514"/>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$5.7 million of deferred revenue related to the Discovery Agreement as of June 30, 2018 is expected to be recognized ratably over the next three years until April 2021.</w:t>
      </w:r>
    </w:p>
    <w:p>
      <w:pPr>
        <w:spacing w:after="0" w:line="62" w:lineRule="exact"/>
        <w:rPr>
          <w:rFonts w:ascii="Arial" w:cs="Arial" w:eastAsia="Arial" w:hAnsi="Arial"/>
          <w:sz w:val="18"/>
          <w:szCs w:val="18"/>
          <w:color w:val="auto"/>
        </w:rPr>
      </w:pPr>
    </w:p>
    <w:p>
      <w:pPr>
        <w:ind w:left="900" w:right="360" w:hanging="514"/>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$42.3 million of deferred revenue related to the Amgen EGFR Products as of June 30, 2018 is expected to be recognized based on actual FTE effort and program progress over the next five years until September 2023.</w:t>
      </w:r>
    </w:p>
    <w:p>
      <w:pPr>
        <w:spacing w:after="0" w:line="62" w:lineRule="exact"/>
        <w:rPr>
          <w:rFonts w:ascii="Arial" w:cs="Arial" w:eastAsia="Arial" w:hAnsi="Arial"/>
          <w:sz w:val="18"/>
          <w:szCs w:val="18"/>
          <w:color w:val="auto"/>
        </w:rPr>
      </w:pPr>
    </w:p>
    <w:p>
      <w:pPr>
        <w:ind w:left="900" w:right="120" w:hanging="514"/>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$4.2 million of deferred revenue related to the Amgen Other Products as of June 30, 2018 is expected to be recognized ratably over the next five years until September 2023.</w:t>
      </w:r>
    </w:p>
    <w:p>
      <w:pPr>
        <w:spacing w:after="0" w:line="62" w:lineRule="exact"/>
        <w:rPr>
          <w:rFonts w:ascii="Arial" w:cs="Arial" w:eastAsia="Arial" w:hAnsi="Arial"/>
          <w:sz w:val="18"/>
          <w:szCs w:val="18"/>
          <w:color w:val="auto"/>
        </w:rPr>
      </w:pPr>
    </w:p>
    <w:p>
      <w:pPr>
        <w:ind w:left="900" w:right="380" w:hanging="514"/>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$221.9 million of deferred revenue related to the BMS Agreement as of June 30, 2018 is expected to be recognized ratably over the next seven years until April 2025.</w:t>
      </w:r>
    </w:p>
    <w:p>
      <w:pPr>
        <w:spacing w:after="0" w:line="274"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has an exclusive, worldwide license agreement (the “UCSB Agreement”) with UCSB, relating to the use of certain patents and technology relating to its core technology, including its therapeutic antibodies, and to certain patent rights the Company co-owns with UCSB covering Probody antibodies and other pro-proteins.</w:t>
      </w: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If the Company sublicenses its rights under the UCSB Agreement, it is obligated to pay UCSB a percentage of the total sublicense revenue received, which total amount would be first reduced by the aggregate amount of certain research and development related expenses incurred by the Company and other permitted deductions.</w:t>
      </w:r>
    </w:p>
    <w:p>
      <w:pPr>
        <w:spacing w:after="0" w:line="22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2013, the Company amended the UCSB Agreement to reduce certain amounts due to UCSB upon receipt by the Company of upfront payments, milestone payments and royalties from sublicensees. In exchange for this amendment, the Company issued to UCSB 157,332 shares of common stock. The UCSB Agreement, as amended, will remain in effect until the expiration or abandonment of the last to expire of the licensed patents.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5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Company incurred expenses of $0.5 million and $10.0 million for the three months ended June 30, 2018 and 2017, respectively, and $0.5 million and $10.3 million for the six months ended June 30, 2018 and 2017, respectively, to UCSB under the provisions of the UCSB Agreement.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obligations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has annual minimum royalty obligations of $150,000 under the terms of certain exclusive licensed patent rights. The royalty obligations are cancellable any time by giving notice to the licensor, with the termination being effective 60 days after giving notice.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Activities under the Company’s stock option plans for the three months ended June 30, 2018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200" w:type="dxa"/>
            <w:vAlign w:val="bottom"/>
            <w:gridSpan w:val="6"/>
          </w:tcPr>
          <w:p>
            <w:pPr>
              <w:ind w:left="90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133"/>
        </w:trPr>
        <w:tc>
          <w:tcPr>
            <w:tcW w:w="708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17"/>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2017</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6,503,458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1,776,500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(513,386)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Option forfeited/expired</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(87,652)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June 30, 2018</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7,678,920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Options exercisable at June 30, 2018</w:t>
            </w: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3,935,504</w:t>
            </w:r>
          </w:p>
        </w:tc>
        <w:tc>
          <w:tcPr>
            <w:tcW w:w="24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stock-based compensation recorded related to options granted to employees and non-employees and employee stock purchase plan was as follows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36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2,050</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1,319</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3,858</w:t>
            </w:r>
          </w:p>
        </w:tc>
        <w:tc>
          <w:tcPr>
            <w:tcW w:w="200" w:type="dxa"/>
            <w:vAlign w:val="bottom"/>
          </w:tcPr>
          <w:p>
            <w:pPr>
              <w:spacing w:after="0"/>
              <w:rPr>
                <w:sz w:val="19"/>
                <w:szCs w:val="19"/>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2,547</w:t>
            </w:r>
          </w:p>
        </w:tc>
        <w:tc>
          <w:tcPr>
            <w:tcW w:w="120" w:type="dxa"/>
            <w:vAlign w:val="bottom"/>
          </w:tcPr>
          <w:p>
            <w:pPr>
              <w:spacing w:after="0"/>
              <w:rPr>
                <w:sz w:val="19"/>
                <w:szCs w:val="19"/>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3,210</w:t>
            </w:r>
          </w:p>
        </w:tc>
        <w:tc>
          <w:tcPr>
            <w:tcW w:w="120" w:type="dxa"/>
            <w:vAlign w:val="bottom"/>
            <w:shd w:val="clear" w:color="auto" w:fill="CFF0FC"/>
          </w:tcPr>
          <w:p>
            <w:pPr>
              <w:spacing w:after="0"/>
              <w:rPr>
                <w:sz w:val="19"/>
                <w:szCs w:val="19"/>
                <w:color w:val="auto"/>
              </w:rPr>
            </w:pPr>
          </w:p>
        </w:tc>
      </w:tr>
      <w:tr>
        <w:trPr>
          <w:trHeight w:val="223"/>
        </w:trPr>
        <w:tc>
          <w:tcPr>
            <w:tcW w:w="436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w:t>
            </w:r>
          </w:p>
        </w:tc>
        <w:tc>
          <w:tcPr>
            <w:tcW w:w="12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Share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net loss per share for the periods presented, because including them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4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701"/>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0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5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7,351,681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6,907,038</w:t>
            </w:r>
          </w:p>
        </w:tc>
        <w:tc>
          <w:tcPr>
            <w:tcW w:w="2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7,329,531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7,048,959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7,351,681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6,907,038</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7,329,531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7,048,959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80" w:type="dxa"/>
            <w:vAlign w:val="bottom"/>
            <w:vMerge w:val="restart"/>
          </w:tcPr>
          <w:p>
            <w:pPr>
              <w:jc w:val="right"/>
              <w:ind w:right="70"/>
              <w:spacing w:after="0"/>
              <w:rPr>
                <w:sz w:val="20"/>
                <w:szCs w:val="20"/>
                <w:color w:val="auto"/>
              </w:rPr>
            </w:pPr>
            <w:r>
              <w:rPr>
                <w:rFonts w:ascii="Arial" w:cs="Arial" w:eastAsia="Arial" w:hAnsi="Arial"/>
                <w:sz w:val="18"/>
                <w:szCs w:val="18"/>
                <w:color w:val="auto"/>
              </w:rPr>
              <w:t>22</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 Expense</w:t>
      </w:r>
    </w:p>
    <w:p>
      <w:pPr>
        <w:spacing w:after="0" w:line="13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recorded a provision for income taxes of $1.8 million and $2.9 million during the three and six months ended June 30, 2018. The income tax expense was generated as a result of a timing difference in the recognition of revenue between tax and U.S. GAAP purposes, primarily related to the upfront payment received from the BMS Agreement and the Amgen Agreement. This timing difference will be recognized as revenue for tax purposes in 2018, which will generate taxable income and therefore, tax expense. The Company’s effective tax rate was -15.4% and 0.0% for the three months ended June 30, 2018 and 2017, respectively, and -11.1% and 0.0% for the six months ended June 30, 2018 and 2017, respectively. Income tax expense for the three and six months ended June 30, 2018 was accrued based on the newly-enacted statutory federal tax rate of 21%, which was effective for tax years starting January 1, 2018. The Company maintains a full valuation allowance against its net deferred tax assets due to the Company’s history of losses as of June 30, 2018.</w:t>
      </w:r>
    </w:p>
    <w:p>
      <w:pPr>
        <w:spacing w:after="0" w:line="2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December 22, 2017, the Tax Cuts and Jobs Act (“Tax Act”) of 2017 was signed into law making significant changes to the Internal Revenue Code. The Tax Act contains significant changes to corporate income tax, including among other things, a reduction to the corporate income tax rate from a top marginal rate of 35% to a flat rate of 21%. Since further guidance, interpretations and rulings are expected in the 12 months following enactment, the Company has made certain provisional estimates, as permitted by SAB 118 and continues to analyze the impact of the Tax Act. As of June 30, 2018, the Company has not completed its accounting for all of the effects of the Tax Act due to pending guidance, interpretations and rulings to be issued. The Company did not make any adjustments during the three and six months ended June 30, 2018 to the tax amounts recorded during the year ended December 31, 2017. As the Company collects and prepares the necessary data and obtains further guidance or interpretation of the Tax Act, it may make adjustments to the provisional amounts that it has recorded that may materially impact the provision for income taxes in the period in which the adjustments are made. The Company will complete its accounting analysis when the interpretations, guidance and rulings are finalized by the various tax and standard-setting bodies, which is expected by the end of December 2018.</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 – Stock Offering</w:t>
      </w:r>
    </w:p>
    <w:p>
      <w:pPr>
        <w:spacing w:after="0" w:line="13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July 2018, the Company completed an underwritten public offering of 5,867,347 shares of common stock at a price of $24.50 per share, which included 765,306 shares issued pursuant to the underwriters’ exercise of their option to purchase additional shares of common stock. The aggregate net proceeds received by the Company from the offering were approximately $134.5 million after deducting underwriting discounts and commissions and offering expenses payable by the Company.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2017, included in our Annual Report on Forms 10-K and 10-K/A, as filed with the U.S. Securities and Exchange Commission (“SEC”) on March 7, 2018 and March 14, 2018,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 clinical-stage, oncology-focused biopharmaceutical company pioneering a novel class of investigational antibody therapeutics based on our Probody therapeutic technology platform. We use our platform to create proprietary cancer immunotherapies against clinically-validated targets, such as PD-L1, and develop first-in-class cancer therapeutics against difficult-to-drug targets, such as CD166. Probody therapeutics are designed to take advantage of unique conditions in the tumor microenvironment to enhance the tumor-targeting features of an antibody and reduce drug activity in healthy tissues. Our two lead programs, CX-072, a wholly owned PD-L1-targeting Probody therapeutic and CX-2009, wholly owned CD166-targeting Probody drug conjugate, are both currently being evaluated in Phase 1/2 clinical trials. Both CX-072 and CX-2009 are part of PROCLAIM (Probody Clinical Assessment in Man) (“PROCLAIM”), an international umbrella clinical trial program that provides clinical trial sites with access to our novel therapies under one central protocol. We recently announced initial clinical data regarding CX-072 from our PROCLAIM-CX-072 clinical trial on June 4, 2018 at the 2018 Annual Meeting of the American Society of Clinical Oncology in Chicago, Illinois and expect to disclose initial clinical data regarding CX-2009 in the second half of 2018.</w:t>
      </w:r>
    </w:p>
    <w:p>
      <w:pPr>
        <w:spacing w:after="0" w:line="2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to our proprietary programs, we are collaborating with strategic partners, including AbbVie Ireland Unlimited Company (“AbbVie”), Amgen, Inc. (“Amgen”), Bristol-Myers Squibb Company (“BMS”), ImmunoGen, Inc. (“ImmunoGen”) and others. The two most advanced programs from our collaborations are a Probody therapeutic directed against CTLA-4, partnered with BMS, and CX-2029, a CD71 directed Probody Drug Conjugate partnered with AbbVie. BMS is currently evaluating the CTLA-4-directed Probody therapeutic, BMS-986249, in a Phase 1/2 clinical trial that it initiated in January 2018. In May 2018, our IND filing for CX-2029 was cleared by the FDA and we commenced enrollment of our Phase 1/2 and dosed our first patient in the clinical trial for CX-2029 in the second quarter of 2018. In October 2016, we initiated IND-enabling studies of CX-188, our wholly owned PD-1-targeting Probody therapeutic. We anticipate an IND filing in the second half of 2018 and expect to initiate a clinical trial shortly thereafter. We have also extended our Probody platform to the T-cell engaging bispecific modality. Our most advanced program in that modality is an Epidermal Growth Factor Receptor-CD3 (“EGFR-CD3”) T-cell bispecific, which is currently in lead optimization stage, and which we are developing in partnership with Amgen.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currently have three product candidates in clinical trials that we are conducting and one product candidate in clinical trials which our partner, BMS, 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conducting, but we do not have any product candidates approved for sale, and we continue to incur significant research and development and general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related to our operations. We are not profitable and have incurred losses in each year since our founding in 2008. Our net loss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$13.4 million and $28.9 million for the three and six months ended June 30, 2018, respectively. As of June 30, 2018, we had an accumulated deficit of $259.3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We expect to continue to incur significant losses for the foreseeable future.</w:t>
      </w:r>
    </w:p>
    <w:p>
      <w:pPr>
        <w:spacing w:after="0" w:line="25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Regulatory agencies, including the U.S. Food and Drug Administration (“FDA”), regulate many aspects of a product candidate’s life cycle, including research and development and preclinical and clinical testing. We will need to commit significant time, resources, and funding to develop our wholly owned and partnered product candidates in clinical trials, including CX-072, CX-2009, and CX-2029 as well as any additional product candidates for which we initiate clinical trials in 2018 and beyond. We are unable to provide the nature, timing, and estimated costs of the efforts necessary to complete the development of our product candidates because, among other reasons, we cannot predict with any certainty the pace of enrollment of our clinical trials, which is a function of many factors, including the availability and proximity of patients with the relevant condition.</w:t>
      </w:r>
    </w:p>
    <w:p>
      <w:pPr>
        <w:spacing w:after="0" w:line="2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2017. Other than the adoption of ASC 606, there have been no material changes to our critical accounting policies and estimates during the six months ended June 30,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January 1, 2018, we adopted Auditing Standards Update, or ASU, No. 2014-09, Revenue from Contracts with Customers (ASC 606) using the cumulative effect transition method.</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recognize revenue when our customer obtains control of the promised goods or services, in an amount that reflects the consideration which we have received or expect to receive in exchange for those goods or services.</w:t>
      </w:r>
    </w:p>
    <w:p>
      <w:pPr>
        <w:spacing w:after="0" w:line="19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revenues are primarily derived through our license, research, development and commercialization agreements. The terms of these types of agreements may include (i) licenses for our technology or programs, (ii) research and development services,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to us for the achievement of defined collaboration objectives and certain preclinical, clinical, regulatory and sales-based events, as well as royalties on sales of any commercialized products.</w:t>
      </w:r>
    </w:p>
    <w:p>
      <w:pPr>
        <w:spacing w:after="0" w:line="19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assess whether the promises in these arrangements are considered distinct performance obligations that should be accounted for separately. Judgment is required to determine whether the license to our Probody therapeutic technology platform is distinct from the research and development services or participation on development committees.</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transaction price in each arrangement is allocated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 Due to the early stage of our licensed technology, the license of such technology is typically combined with the research and development services and committee participation as one performance obligation. In these cases,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w:t>
      </w:r>
    </w:p>
    <w:p>
      <w:pPr>
        <w:spacing w:after="0" w:line="21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collaboration and license agreements may include contingent payments related to specified research, development and regulatory milestones and sales-based milestones. Such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upon receipt of actual marketing approvals of a covered product or for additional indications, or upon the first commercial sale of a covered product. Sales-based milestones are typically payable when annual sales of a covered product reach specified levels. At the inception of each agreement that includes such milestone payments, we evaluate whether the milestones are considered probable of being reached and estimate the amount to be included in the transaction price by using the most likely amount method. If it is probable that a significant revenue reversal would not occur, the associated milestone value is included in the transaction price. Milestone payments that are not within our control or the licensee, such as regulatory approvals, are not considered probable of being achieved until those approvals are received. The transaction price is then allocated to each performance obligation based on a relative SSP basis. At the end of each subsequent reporting period, we re-evaluate the probability or achievement of each such milestone and any related constraint, and if necessary, adjusts its estimate of the overall transaction price.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Pfizer and BMS for research and development costs incurred under our research, collaboration and license agreements with them are classified as revenue.</w:t>
      </w:r>
    </w:p>
    <w:p>
      <w:pPr>
        <w:spacing w:after="0" w:line="23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do generate in the foreseeable future will fluctuate from year to year as a result of the timing and amount of milestones and other payments from our collaborations with AbbVie, Amgen, BMS, ImmunoGen and any future collaboration partners, and as a result of the fluctuations in the research and development expenses we incur in the performance of assigned activities under these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research and development expenses consist primarily of costs incurred to conduct research, such as the discovery and development of our product candidates, clinical development including activities with third parties, such as clinical research organizations (“CROs”) and contract manufacturing organizations (“CMOs”), drug products we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they are incurred.</w:t>
      </w:r>
    </w:p>
    <w:p>
      <w:pPr>
        <w:spacing w:after="0" w:line="22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expect our research and development expenses to increase substantially in absolute dollars in the future as we advance our product candidates through clinical trials, initiate additional clinical trials, and pursue regulatory approval of our product candidates. For example, we commenced enrollment of our Phase 1/2 clinical trial of CX-072, our candidate directed against PD-L1, for cancer and treated our first patient in January 2017, and our Phase 1/2 clinical trial of CX-2009, our PDC candidate directed against CD-166, for cancer in June 2017. In June 2018, we commenced enrollment of our Phase 1/2 clinical trial for CX-2029, our CD71 Probody Drug Conjugate being developed in collaboration with AbbVie Inc. Furthermore, we currently expect to file an IND for CX-188, our wholly owned PD-1-targeting Probody therapeutic, in the second half of 2018; however, the filing and clearance of such INDs and the initiation of clinical enrollment for CX-188 is subject to the satisfaction of certain conditions.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those of any national securities exchange on which our securities are traded, additional insurance expenses, investor relations activities and other administrative and professional services. We also expect to increase our administrative headcount to operate as a public company and as we advance our product candidates through clinical development, which will also increase our general and administrative expenses.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Interest income primarily consists of interest income from our cash equivalents and short-term investments, and accretion of discounts or amortization of premiums on our short-term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gains and losses from changes in currency exchange rates.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and Six Months Ended June 30, 2018 and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2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3"/>
          </w:tcPr>
          <w:p>
            <w:pPr>
              <w:jc w:val="right"/>
              <w:ind w:right="622"/>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3"/>
          </w:tcPr>
          <w:p>
            <w:pPr>
              <w:jc w:val="right"/>
              <w:ind w:right="622"/>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21,338</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35,522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20,405</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15,117</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Revenue increased $12.6 million and $15.1 million during the three and six months ended June 30, 2018, respectively, compared to the corresponding periods in 2017. The following table summarizes our revenue by collaboration partner during the respective periods: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94"/>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94"/>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2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2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AbbVie</w:t>
            </w:r>
          </w:p>
        </w:tc>
        <w:tc>
          <w:tcPr>
            <w:tcW w:w="17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10,677</w:t>
            </w:r>
          </w:p>
        </w:tc>
        <w:tc>
          <w:tcPr>
            <w:tcW w:w="100" w:type="dxa"/>
            <w:vAlign w:val="bottom"/>
            <w:shd w:val="clear" w:color="auto" w:fill="CFF0FC"/>
          </w:tcPr>
          <w:p>
            <w:pPr>
              <w:spacing w:after="0"/>
              <w:rPr>
                <w:sz w:val="19"/>
                <w:szCs w:val="19"/>
                <w:color w:val="auto"/>
              </w:rPr>
            </w:pPr>
          </w:p>
        </w:tc>
      </w:tr>
      <w:tr>
        <w:trPr>
          <w:trHeight w:val="230"/>
        </w:trPr>
        <w:tc>
          <w:tcPr>
            <w:tcW w:w="2640" w:type="dxa"/>
            <w:vAlign w:val="bottom"/>
          </w:tcPr>
          <w:p>
            <w:pPr>
              <w:ind w:left="260"/>
              <w:spacing w:after="0"/>
              <w:rPr>
                <w:sz w:val="20"/>
                <w:szCs w:val="20"/>
                <w:color w:val="auto"/>
              </w:rPr>
            </w:pPr>
            <w:r>
              <w:rPr>
                <w:rFonts w:ascii="Arial" w:cs="Arial" w:eastAsia="Arial" w:hAnsi="Arial"/>
                <w:sz w:val="18"/>
                <w:szCs w:val="18"/>
                <w:color w:val="auto"/>
              </w:rPr>
              <w:t>Amgen</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2,852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19"/>
                <w:szCs w:val="19"/>
                <w:color w:val="auto"/>
              </w:rPr>
            </w:pPr>
          </w:p>
        </w:tc>
      </w:tr>
      <w:tr>
        <w:trPr>
          <w:trHeight w:val="230"/>
        </w:trPr>
        <w:tc>
          <w:tcPr>
            <w:tcW w:w="2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BMS</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6,244</w:t>
            </w:r>
          </w:p>
        </w:tc>
        <w:tc>
          <w:tcPr>
            <w:tcW w:w="100" w:type="dxa"/>
            <w:vAlign w:val="bottom"/>
            <w:shd w:val="clear" w:color="auto" w:fill="CFF0FC"/>
          </w:tcPr>
          <w:p>
            <w:pPr>
              <w:spacing w:after="0"/>
              <w:rPr>
                <w:sz w:val="19"/>
                <w:szCs w:val="19"/>
                <w:color w:val="auto"/>
              </w:rPr>
            </w:pPr>
          </w:p>
        </w:tc>
      </w:tr>
      <w:tr>
        <w:trPr>
          <w:trHeight w:val="230"/>
        </w:trPr>
        <w:tc>
          <w:tcPr>
            <w:tcW w:w="2640" w:type="dxa"/>
            <w:vAlign w:val="bottom"/>
          </w:tcPr>
          <w:p>
            <w:pPr>
              <w:ind w:left="260"/>
              <w:spacing w:after="0"/>
              <w:rPr>
                <w:sz w:val="20"/>
                <w:szCs w:val="20"/>
                <w:color w:val="auto"/>
              </w:rPr>
            </w:pPr>
            <w:r>
              <w:rPr>
                <w:rFonts w:ascii="Arial" w:cs="Arial" w:eastAsia="Arial" w:hAnsi="Arial"/>
                <w:sz w:val="18"/>
                <w:szCs w:val="18"/>
                <w:color w:val="auto"/>
              </w:rPr>
              <w:t>ImmunoGen</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(5,065)</w:t>
            </w:r>
          </w:p>
        </w:tc>
      </w:tr>
      <w:tr>
        <w:trPr>
          <w:trHeight w:val="230"/>
        </w:trPr>
        <w:tc>
          <w:tcPr>
            <w:tcW w:w="2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Pfizer</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(469)</w:t>
            </w: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FF0FC"/>
          </w:tcPr>
          <w:p>
            <w:pPr>
              <w:spacing w:after="0"/>
              <w:rPr>
                <w:sz w:val="19"/>
                <w:szCs w:val="19"/>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Total Revenue</w:t>
            </w:r>
          </w:p>
        </w:tc>
        <w:tc>
          <w:tcPr>
            <w:tcW w:w="1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21,338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12,586</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35,522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15,117</w:t>
            </w:r>
          </w:p>
        </w:tc>
        <w:tc>
          <w:tcPr>
            <w:tcW w:w="100" w:type="dxa"/>
            <w:vAlign w:val="bottom"/>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The variances in revenue for the three and six months ended June 30, 2018 compared to the comparable periods in 2017 were partially due to the adoption of Accounting Standards Codification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The total revenue for the three and six months ended June 30, 2018 would have been $32.4 million and $45.0 million, respectively, under Accounting Standards Codification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The difference between the amounts of revenue recognized under ASC 606 and the amounts that would have been recognized under ASC 605 for the three and six months ended June 30, 2018 was primarily a result of the difference in how revenue is recognized related to the $21.0 million (net of the associated sublicense fee of $4.0 million) CD71 milestone payment. Under ASC 606, the milestone payment is included in the transaction price and recognized based on the total estimated percentage completed to-date. Under ASC 605, the entire $21.0 million (net of the associated sublicense fee of $4.0 million) would have been recognized in income upon satisfaction of the performance criteria.</w:t>
      </w:r>
    </w:p>
    <w:p>
      <w:pPr>
        <w:spacing w:after="0" w:line="21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increase in revenue from AbbVie of $9.4 million for the three months ended June 30, 2018 compared to the corresponding period in 2017 was primarily due to the recognition of $9.9 million of revenue during the second quarter of 2018 (reflecting the percentage completed to-date on the project) of the $21.0 million milestone earned (net of the associated sublicense fee of $4.0 million) and added to the transaction price in May 2018 for the IND success criteria under the CD71 Co-Development and Licensing Agreement we entered into with AbbVie in April 2016 (the “CD71 Agreement”). The $9.9 million revenue recognized was partially offset by $0.5 million resulting from the change in the method of revenue recognition for the CD71 Agreement from straight-line under ASC 605 to percentage-of-completion under ASC 606, which we adopted on January 1, 2018.</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ind w:right="80"/>
        <w:spacing w:after="0" w:line="297" w:lineRule="auto"/>
        <w:rPr>
          <w:sz w:val="20"/>
          <w:szCs w:val="20"/>
          <w:color w:val="auto"/>
        </w:rPr>
      </w:pPr>
      <w:r>
        <w:rPr>
          <w:rFonts w:ascii="Arial" w:cs="Arial" w:eastAsia="Arial" w:hAnsi="Arial"/>
          <w:sz w:val="16"/>
          <w:szCs w:val="16"/>
          <w:color w:val="auto"/>
        </w:rPr>
        <w:t>The increase in revenue from AbbVie of $10.7 million for the six months ended June 30, 2018 compared to the corresponding period in 2017 was primarily due to the recognition of $9.9 million of revenue during the second quarter of 2018 (reflecting the percentage completed to-date on the project) of the $21.0 million milestone earned (net of the associated sublicense fee of $4.0 million) and added to the transaction price in May 2018 for the achievement of the IND filing success criteria under the CD71 Agreement. The remaining $0.8 million increase was due to the change in the method of revenue recognition for the CD71 Agreement from straight-line under ASC 605 to percentage-of-completion under ASC 606, which we adopted on January 1, 2018.</w:t>
      </w:r>
    </w:p>
    <w:p>
      <w:pPr>
        <w:spacing w:after="0" w:line="1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Revenue from Amgen increased by $1.6 million and $2.8 million for the three and six months ended June 30, 2018, respectively. We entered into our Collaboration and License Agreement with Amgen in September 2017 (the “Amgen Agreement”). As such, no revenue was recognized during the three and six months ended June 30, 2017.</w:t>
      </w:r>
    </w:p>
    <w:p>
      <w:pPr>
        <w:spacing w:after="0" w:line="22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increase in revenue from BMS of $1.4 million for the three months ended June 30, 2018 compared to the corresponding period in 2017 was primarily due to an increase of $1.7 million in amortization of deferred revenue related to the $200.0 million of upfront payment we received as a result of the Amendment Number 1 to Extend Collaboration and License Agreement (the “BMS Amendment”), which includes additional targets, which amount was partially offset by a decrease of $0.3 million in amortization of deferred revenue resulting from an increase in the estimated length of the research terms during late April 2017, which caused monthly amortization subsequent to April 2017 to be less than amounts reported in previous periods.</w:t>
      </w:r>
    </w:p>
    <w:p>
      <w:pPr>
        <w:spacing w:after="0" w:line="19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increase in revenue from BMS of $6.2 million for the six months ended June 30, 2018 compared to the corresponding period in 2017 was primarily due to an increase of $7.9 million in amortization of deferred revenue related to the $200.0 million of upfront payment we received as a result of the BMS Amendment, which amount was partially offset by a decrease of $1.5 million in amortization of deferred revenue resulting from an increase in the estimated length of the research terms during late April 2017, which caused monthly amortization subsequent to April 2017 to be less than amounts reported in previous periods.</w:t>
      </w:r>
    </w:p>
    <w:p>
      <w:pPr>
        <w:spacing w:after="0" w:line="21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increase in revenue from ImmunoGen of $0.7 million for the three months ended June 30, 2018 compared to the corresponding period in 2017 was a result of the extension of our Research Collaboration Agreement with Immunogen (the “Immunogen Agreement”) from January 2018 to June 2018, which caused the estimated fair value allocated to the second target under the ImmunoGen Agreement to be amortized over the research term until June 2018.</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decrease in revenue from ImmunoGen of $5.1 million for the six months ended June 30, 2018 compared to the corresponding period in 2017 was a result of the recognition of $6.5 million in revenue related to the delivery of a Development and Commercialization License to ImmunoGen in connection with the Immunogen Agreement during the six months ended June 30, 2017, which amount was partially offset by an increase of $1.4 million in revenue during the six months ended June 30, 2018 resulting from the extension of the research term under the ImmunoGen Agreement to June 2018.</w:t>
      </w:r>
    </w:p>
    <w:p>
      <w:pPr>
        <w:spacing w:after="0" w:line="1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decrease in revenue from Pfizer of $0.5 million for the three months ended June 30, 2018 compared to the corresponding period in 2017 was a result of the termination of our Research Collaboration, Option and License Agreement with Pfizer in March 2018.</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increase in revenue from Pfizer of $0.4 million for the six months ended June 30, 2018 compared to the corresponding period in 2017 was primarily the result of the recognition $1.1 million of the remaining unamortized upfront payments arising from the termination of our Research Collaboration, Option and License Agreement with Pfizer Inc. in March 2018, which amount was partially offset by a decrease in monthly amortization of $0.6 million due to the termination of the Pfizer Agreement in March 2018.</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62"/>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3"/>
          </w:tcPr>
          <w:p>
            <w:pPr>
              <w:jc w:val="right"/>
              <w:ind w:right="542"/>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3"/>
          </w:tcPr>
          <w:p>
            <w:pPr>
              <w:jc w:val="right"/>
              <w:ind w:right="482"/>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25,553</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(2,523)</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48,011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Research and development expenses decreased by $2.5 million during the three months ended June 30, 2018 compared to the corresponding period in 2017. The decrease was attributable to a $10.0 million sublicense payment made to UCSB during the second quarter of 2017, which was triggered by the receipt of the $200 million upfront payment made by BMS in connection with our expanded collaboration and a $1.0 million sublicense payment to ImmunoGen upon the commencement of enrollment of Phase 1/2 and first patient dosing in the clinical trial for CX-2009 during the second quarter of 2017, which amount was partially offset by 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8" w:name="page29"/>
    <w:bookmarkEnd w:id="28"/>
    <w:p>
      <w:pPr>
        <w:ind w:right="200"/>
        <w:spacing w:after="0" w:line="259" w:lineRule="auto"/>
        <w:rPr>
          <w:sz w:val="20"/>
          <w:szCs w:val="20"/>
          <w:color w:val="auto"/>
        </w:rPr>
      </w:pPr>
      <w:r>
        <w:rPr>
          <w:rFonts w:ascii="Arial" w:cs="Arial" w:eastAsia="Arial" w:hAnsi="Arial"/>
          <w:sz w:val="18"/>
          <w:szCs w:val="18"/>
          <w:color w:val="auto"/>
        </w:rPr>
        <w:t>increase of $4.6 million in lab contracts and services and clinical trial expenses related to CX-072 and CX-2009 Phase 1/2 clinical development, an increase of $2.5 million in personnel-related expenses resulting from an increase in headcount, $0.4 million of sublicense fee payable to UCSB for the IND success criteria achieved under the CD71 Agreement during the second quarter of 2018, and various other smaller increases totaling $0.7 million in consulting services, lab supplies and facilities-related expenses.</w:t>
      </w:r>
    </w:p>
    <w:p>
      <w:pPr>
        <w:spacing w:after="0" w:line="2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Research and development expenses increased by $5.4 million during the six months ended June 30, 2018 compared to the corresponding period in 2017. The increase was attributable to an increase of $10.3 million in lab contracts and services and clinical trial expenses related to CX-072 and CX-2009 Phase 1/2 clinical development and to the ramp up CX-188 for IND filing, an increase of $5.2 million in personnel-related expenses and allocation of information technology and facilities-related expenses resulting from an increase in headcount, an increase of $1.0 million of consulting expenses and $0.4 million of sublicense fee payable to UCSB for the IND success criteria achieved under the CD71 Agreement during the second quarter of 2018. These increases were partially offset by a $10.0 million sublicense fee payment made to UCSB in 2017, which was triggered by the $200 million upfront payment made by BMS in connection with our expanded collaboration, a $1.0 million sublicense payment to ImmunoGen upon the commencement of enrollment of Phase 1/2 and first patient dosing in the clinical trial for CX-2009 during the second quarter of 2017 and $0.6 million in expenses related to acquisitions with respect to our patent portfolios.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by program incurred during the respective periods presented:</w:t>
      </w:r>
    </w:p>
    <w:p>
      <w:pPr>
        <w:sectPr>
          <w:pgSz w:w="11900" w:h="16838" w:orient="portrait"/>
          <w:cols w:equalWidth="0" w:num="1">
            <w:col w:w="11440"/>
          </w:cols>
          <w:pgMar w:left="240" w:top="341" w:right="219" w:bottom="1440" w:gutter="0" w:footer="0" w:header="0"/>
        </w:sectPr>
      </w:pPr>
    </w:p>
    <w:p>
      <w:pPr>
        <w:spacing w:after="0" w:line="298"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6350</wp:posOffset>
            </wp:positionV>
            <wp:extent cx="20669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5" w:lineRule="exact"/>
        <w:rPr>
          <w:sz w:val="20"/>
          <w:szCs w:val="20"/>
          <w:color w:val="auto"/>
        </w:rPr>
      </w:pPr>
    </w:p>
    <w:p>
      <w:pPr>
        <w:ind w:left="5040"/>
        <w:spacing w:after="0"/>
        <w:tabs>
          <w:tab w:leader="none" w:pos="6180" w:val="left"/>
          <w:tab w:leader="none" w:pos="72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6350</wp:posOffset>
            </wp:positionV>
            <wp:extent cx="19812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 w:lineRule="exact"/>
        <w:rPr>
          <w:sz w:val="20"/>
          <w:szCs w:val="20"/>
          <w:color w:val="auto"/>
        </w:rPr>
      </w:pPr>
    </w:p>
    <w:p>
      <w:pPr>
        <w:spacing w:after="0"/>
        <w:tabs>
          <w:tab w:leader="none" w:pos="1080" w:val="left"/>
          <w:tab w:leader="none" w:pos="21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2"/>
          <w:szCs w:val="12"/>
          <w:b w:val="1"/>
          <w:bCs w:val="1"/>
          <w:color w:val="auto"/>
        </w:rPr>
        <w:t>Change</w:t>
      </w:r>
    </w:p>
    <w:p>
      <w:pPr>
        <w:spacing w:after="0" w:line="1" w:lineRule="exact"/>
        <w:rPr>
          <w:sz w:val="20"/>
          <w:szCs w:val="20"/>
          <w:color w:val="auto"/>
        </w:rPr>
      </w:pPr>
    </w:p>
    <w:p>
      <w:pPr>
        <w:sectPr>
          <w:pgSz w:w="11900" w:h="16838" w:orient="portrait"/>
          <w:cols w:equalWidth="0" w:num="2">
            <w:col w:w="7800" w:space="720"/>
            <w:col w:w="2920"/>
          </w:cols>
          <w:pgMar w:left="240" w:top="341" w:right="21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460" w:type="dxa"/>
            <w:vAlign w:val="bottom"/>
          </w:tcPr>
          <w:p>
            <w:pPr>
              <w:spacing w:after="0"/>
              <w:rPr>
                <w:sz w:val="20"/>
                <w:szCs w:val="20"/>
                <w:color w:val="auto"/>
              </w:rPr>
            </w:pPr>
            <w:r>
              <w:rPr>
                <w:rFonts w:ascii="Arial" w:cs="Arial" w:eastAsia="Arial" w:hAnsi="Arial"/>
                <w:sz w:val="18"/>
                <w:szCs w:val="18"/>
                <w:b w:val="1"/>
                <w:bCs w:val="1"/>
                <w:color w:val="auto"/>
                <w:w w:val="96"/>
              </w:rPr>
              <w:t>External costs incurred by product candidate (target):</w:t>
            </w:r>
          </w:p>
        </w:tc>
        <w:tc>
          <w:tcPr>
            <w:tcW w:w="2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CX-072 (PD-L1)</w:t>
            </w:r>
          </w:p>
        </w:tc>
        <w:tc>
          <w:tcPr>
            <w:tcW w:w="5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5,321</w:t>
            </w:r>
          </w:p>
        </w:tc>
        <w:tc>
          <w:tcPr>
            <w:tcW w:w="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3,075</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9,395</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4,603</w:t>
            </w:r>
          </w:p>
        </w:tc>
        <w:tc>
          <w:tcPr>
            <w:tcW w:w="12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CX-2009 (CD166)</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2,984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5,493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CX-2029 (CD71)</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2,345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3,522</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Other wholly owned and partnered programs</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1,990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2,966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General research and development expenses</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11,754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(8,909)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14,177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(9,196)</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17,081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22,148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31,300</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30,761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Internal Costs</w:t>
            </w:r>
          </w:p>
        </w:tc>
        <w:tc>
          <w:tcPr>
            <w:tcW w:w="2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5,928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16,711</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11,891</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60"/>
              <w:spacing w:after="0"/>
              <w:rPr>
                <w:sz w:val="20"/>
                <w:szCs w:val="20"/>
                <w:color w:val="auto"/>
              </w:rPr>
            </w:pPr>
            <w:r>
              <w:rPr>
                <w:rFonts w:ascii="Arial" w:cs="Arial" w:eastAsia="Arial" w:hAnsi="Arial"/>
                <w:sz w:val="18"/>
                <w:szCs w:val="18"/>
                <w:b w:val="1"/>
                <w:bCs w:val="1"/>
                <w:color w:val="auto"/>
              </w:rPr>
              <w:t>Total research and development expenses</w:t>
            </w:r>
          </w:p>
        </w:tc>
        <w:tc>
          <w:tcPr>
            <w:tcW w:w="2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28,076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42,652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i w:val="1"/>
                <w:iCs w:val="1"/>
                <w:color w:val="auto"/>
              </w:rPr>
              <w:t>General and Administrative Expenses</w:t>
            </w: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Six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w w:val="93"/>
              </w:rPr>
              <w:t>Change</w:t>
            </w:r>
          </w:p>
        </w:tc>
        <w:tc>
          <w:tcPr>
            <w:tcW w:w="22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3"/>
              <w:spacing w:after="0" w:line="155"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3"/>
              </w:rPr>
              <w:t>Change</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right"/>
              <w:ind w:right="493"/>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4"/>
          </w:tcPr>
          <w:p>
            <w:pPr>
              <w:jc w:val="right"/>
              <w:ind w:right="493"/>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9,042</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16,398</w:t>
            </w:r>
          </w:p>
        </w:tc>
        <w:tc>
          <w:tcPr>
            <w:tcW w:w="32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General and administrative expenses increased by $3.0 million during the three months ended June 30, 2018 compared to the corresponding period in 2017. The increase was attributable to an increase of $1.4 million in personnel-related expenses due to an increase in headcount, an increase of $1.0 million in consulting expenses related to strategic planning, tax and accounting compliance and infrastructure, and an increase of $0.5 million in legal fees.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General and administrative expenses increased by $4.7 million during the six months ended June 30, 2018 compared to the corresponding period in 2017. The increase was attributable to an increase of $2.6 million in personnel-related expense due to an increase in headcount, an increase of $1.5 million in consulting expenses related to tax and accounting compliance, strategic planning, legal compliance, infrastructure and information and an increase of $0.5 million related to patent filings.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Six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7"/>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7"/>
              <w:spacing w:after="0" w:line="155"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4"/>
          </w:tcPr>
          <w:p>
            <w:pPr>
              <w:jc w:val="right"/>
              <w:ind w:right="497"/>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right"/>
              <w:ind w:right="497"/>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23"/>
        </w:trPr>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and other income</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9"/>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Interest income increased $1.2 million during the three months ended June 30, 2018 compared to the corresponding period in 2017. The increase was primarily attributable to an increase in interest income earned on our short-term investments.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income increased $2.3 million during the six months ended June 30, 2018 compared to the corresponding period in 2017. The increase was primarily attributable to an increase in interest income earned on our short-term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Other income (expense), net increased $0.2 million during the three months ended June 30, 2018 compared to the corresponding period in 2017. The increase was primarily attributable to an increase in foreign currency gains resulting from the strengthening of the U.S. dollar against Euros and British Pound Sterling.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was relatively flat during the six months ended June 30, 2018 compared to the corresponding period in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left="284"/>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jc w:val="center"/>
              <w:ind w:left="344"/>
              <w:spacing w:after="0" w:line="155"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w w:val="97"/>
              </w:rPr>
              <w:t>Change</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jc w:val="center"/>
              <w:ind w:left="284"/>
              <w:spacing w:after="0" w:line="155"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jc w:val="right"/>
              <w:ind w:right="344"/>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right"/>
              <w:ind w:right="284"/>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960" w:type="dxa"/>
            <w:vAlign w:val="bottom"/>
            <w:shd w:val="clear" w:color="auto" w:fill="CFF0FC"/>
          </w:tcPr>
          <w:p>
            <w:pPr>
              <w:jc w:val="right"/>
              <w:ind w:right="564"/>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26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w:t>
            </w:r>
          </w:p>
        </w:tc>
        <w:tc>
          <w:tcPr>
            <w:tcW w:w="860" w:type="dxa"/>
            <w:vAlign w:val="bottom"/>
            <w:shd w:val="clear" w:color="auto" w:fill="CFF0FC"/>
          </w:tcPr>
          <w:p>
            <w:pPr>
              <w:jc w:val="right"/>
              <w:ind w:right="524"/>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2,863</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Provision for income taxes increased by $1.8 million during the three months ended June 30, 2018 compared to the corresponding period in 2017. The income tax expense was generated as a result of a timing difference in the recognition of revenue between tax and U.S. GAAP purposes, primarily related to the upfront payments received pursuant to the BMS Amendment entered into in March 2017 and the Amgen Agreement entered into in September 2017. This timing difference will be recognized as revenue for tax purposes in 2018, which will generate taxable income and therefore, tax expense.</w:t>
      </w:r>
    </w:p>
    <w:p>
      <w:pPr>
        <w:spacing w:after="0" w:line="19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Provision for income taxes increased $2.9 million during the six months ended June 30, 2018 compared to the corresponding period in 2017. The income tax expense was generated as a result of a timing difference in the recognition of revenue for tax and U.S. GAAP purposes, primarily related to the upfront payments received pursuant to the BMS Amendment entered into in March 2017 and the Amgen Agreement entered into in September 2017. This timing difference will be recognized as revenue for tax purposes in 2018, which will generate taxable income and therefore, tax expense.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Expenditures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As of June 30, 2018, we had cash, cash equivalents and short-term investments of $335.1 million and an accumulated deficit of $259.3 million, compared to cash and cash equivalents of $374.1 million and an accumulated deficit of $219.5 million as of December 31, 2017. To date, we have financed our operations primarily through sales of our common stock in conjunction with the IPO and subsequent stock offerings, sales of our convertible preferred securities prior to our IPO and payments received under our collaboration agreements. In July 2018, we issued 5,867,347 shares of our common stock, which included 765,306 shares issued pursuant to the underwriters’ exercise of their option to purchase additional shares of common stock, for net proceeds of $134.5 million (See Note 10 </w:t>
      </w:r>
      <w:r>
        <w:rPr>
          <w:rFonts w:ascii="Arial" w:cs="Arial" w:eastAsia="Arial" w:hAnsi="Arial"/>
          <w:sz w:val="18"/>
          <w:szCs w:val="18"/>
          <w:i w:val="1"/>
          <w:iCs w:val="1"/>
          <w:color w:val="auto"/>
        </w:rPr>
        <w:t>Subsequent Event – Stock Offering</w:t>
      </w:r>
      <w:r>
        <w:rPr>
          <w:rFonts w:ascii="Arial" w:cs="Arial" w:eastAsia="Arial" w:hAnsi="Arial"/>
          <w:sz w:val="18"/>
          <w:szCs w:val="18"/>
          <w:color w:val="auto"/>
        </w:rPr>
        <w:t xml:space="preserve"> for details).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0" w:name="page31"/>
    <w:bookmarkEnd w:id="30"/>
    <w:p>
      <w:pPr>
        <w:spacing w:after="0" w:line="269" w:lineRule="auto"/>
        <w:rPr>
          <w:sz w:val="20"/>
          <w:szCs w:val="20"/>
          <w:color w:val="auto"/>
        </w:rPr>
      </w:pPr>
      <w:r>
        <w:rPr>
          <w:rFonts w:ascii="Arial" w:cs="Arial" w:eastAsia="Arial" w:hAnsi="Arial"/>
          <w:sz w:val="17"/>
          <w:szCs w:val="17"/>
          <w:color w:val="auto"/>
        </w:rPr>
        <w:t>Based upon our current operating plan, we expect our existing capital resources will be sufficient to fund operations for at least the next 12 months. However, if the anticipated operating results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development efforts, the results of any clinical trials and other studies, our operating costs and expenditures and other factors described under the caption “Risk Factors” in this Quarterly Report on Form 10-Q. The cost and timing of developing our products, including CX-072, CX-2009, CX-2029 and CX-188 are highly uncertain, are subject to substantial risks and many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a more promising product candidate in our research efforts or unexpected operating costs and expenditures. We will need to raise additional funds in the future. There can be no assurance, however, that such efforts will be successful or that, in the event that they are successful, the terms and conditions of such financing will be favorable to us.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3"/>
                <w:szCs w:val="13"/>
                <w:color w:val="auto"/>
              </w:rPr>
            </w:pPr>
          </w:p>
        </w:tc>
      </w:tr>
      <w:tr>
        <w:trPr>
          <w:trHeight w:val="156"/>
        </w:trPr>
        <w:tc>
          <w:tcPr>
            <w:tcW w:w="4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4"/>
          </w:tcPr>
          <w:p>
            <w:pPr>
              <w:jc w:val="center"/>
              <w:ind w:left="399"/>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11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(41,228)</w:t>
            </w:r>
          </w:p>
        </w:tc>
        <w:tc>
          <w:tcPr>
            <w:tcW w:w="3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154,109</w:t>
            </w:r>
          </w:p>
        </w:tc>
        <w:tc>
          <w:tcPr>
            <w:tcW w:w="6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(6,736)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12,549</w:t>
            </w:r>
          </w:p>
        </w:tc>
        <w:tc>
          <w:tcPr>
            <w:tcW w:w="6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8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60" w:type="dxa"/>
            <w:vAlign w:val="bottom"/>
            <w:shd w:val="clear" w:color="auto" w:fill="CFF0FC"/>
          </w:tcPr>
          <w:p>
            <w:pPr>
              <w:spacing w:after="0"/>
              <w:rPr>
                <w:sz w:val="19"/>
                <w:szCs w:val="19"/>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8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168,215</w:t>
            </w:r>
          </w:p>
        </w:tc>
        <w:tc>
          <w:tcPr>
            <w:tcW w:w="6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six months ended June 30, 2018, cash used in operating activities was $41.2 million, which consisted of a net loss of $28.9 million, adjusted by non-cash charges of $8.1 million and a net decrease of $20.4 million in our net operating assets. The non-cash charges primarily consisted of $7.8 million in stock-based compensation, $0.9 million in depreciation and amortization and $0.6 million in accretion of discounts on our short-term investments. The change in our net operating assets and liabilities was primarily attributable to a net decrease in deferred revenue of $14.3 million resulting from the recognition of $35.3 million in upfront fees and milestone payments under ASC 606 pursuant to our collaboration agreements, offset by the $21.0 million (net of the associated sublicense fee of $4.0 million) of adjustment to deferred revenue resulting from the AbbVie CD71 milestone payment earned; a net decrease in accounts receivable of $15.0 million resulting from the $25.0 million of billing to AbbVie for the CD71 milestone payment earned, offset by $10.0 million from the payment we received from BMS for the IND filing of BMS-986249; and a decrease of $1.9 million in prepaid expenses and other current assets. These decreases were partially offset by an increase in accrued liabilities, income tax payable and other long-term liabilities of $11.3 million resulting primarily from an increase in income tax liability.</w:t>
      </w:r>
    </w:p>
    <w:p>
      <w:pPr>
        <w:spacing w:after="0" w:line="2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six months ended June 30, 2017, cash provided by operating activities was $154.1 million, which consisted of a net loss of $33.5 million, adjusted by non-cash charges of $6.9 million, and a net increase of $180.7 million in our net operating assets. The non-cash charges primarily consisted of $5.8 million in stock-based compensation, $0.8 million in depreciation and amortization and $0.3 million in amortization premiums on our short-term investments. The change in our net operating assets and liabilities was primarily attributable to an increase of $179.7 million in deferred revenue, which was primarily due to a $200.0 million upfront payment from BMS in connection with the BMS Amendment entered into in March 2017, which increase was partially offset by the recognition of upfront fees of $13.8 million under certain of our collaboration agreements and $6.5 million in recognized revenue from our delivery of a Development and Commercialization License to ImmunoGen in connection with our collaboration agreement and an increase of $2.1 million in accounts receivable. These increases were partially offset by $0.7 million in prepaid expenses and other current assets and $0.3 million in other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During the six months ended June 30, 2018, cash used in investing activities was $6.7 million, which consisted of $99.6 million used in purchases of short-term investments and $1.6 million of capital expenditures used to purchase property and equipment. Such decrease was offset by $94.5 million in proceeds received upon the maturity of marketable securities.</w:t>
      </w:r>
    </w:p>
    <w:p>
      <w:pPr>
        <w:spacing w:after="0" w:line="22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six months ended June 30, 2017, cash provided by investing activities was $12.5 million, which consisted of $68.0 million in proceeds received upon the maturity of marketable securities. Such increase was partially offset by $54.2 million used in the purchase of short-term investments and $1.3 million of capital expenditures used to purchase property and equipment.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six months ended June 30, 2018 and 2017, cash provided by financing activities primarily consisted of proceeds from the exercise of stock options and employee stock purchases under the employee stock purchase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were no material changes in contractual obligations from the amounts disclosed in our Annual Report on Form 10-K for the year ended December 31, 2017. Refer to our Annual Report on Form 10-K for the year ended December 31, 2017 filed with the SEC on March 7, 2018 and Amended on March 14,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one primary business activity and operate as one reportable segment.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We also rely on other exemptions provided by the JOBS Act, including without limitation, providing an auditor’s attestation report on our system of internal controls over financial reporting pursuant to Section 404(b) of the Sarbanes-Oxley Act. Based on our public float at June 30, 2018, we will cease to be an emerging growth company at December 31, 2018 and, accordingly, we will be required to comply with the auditor attestation requirements of Section 404 to include an opinion from our independent registered public accounting firm on the effectiveness of our internal controls over financial reporting for our 2018 Annual Report on Form 10-K.</w:t>
      </w:r>
    </w:p>
    <w:p>
      <w:pPr>
        <w:spacing w:after="0" w:line="30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 We had cash, cash equivalents and short-term investments of $335.1 million as of June 30, 2018 and cash, cash equivalents and short-term investments of $374.1 million as of December 31, 2017, which consists of bank deposits, money market funds and U.S. government bonds. Such interest-bearing instruments carry a degree of interest rate risk; however, historical fluctuations of interest income have not been significant. Our market risks have not changed materially from those disclosed in Item 7A of our Annual Report on Form 10-K for the year ended December 31, 2017.</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June 30, 2018, a hypothetical 100 basis point change in interest rates would not have material effect in the fair value of the portfolio. Any changes would only be realized if we sold the investments prior to maturity.</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line="276" w:lineRule="auto"/>
        <w:rPr>
          <w:sz w:val="20"/>
          <w:szCs w:val="20"/>
          <w:color w:val="auto"/>
        </w:rPr>
      </w:pPr>
      <w:r>
        <w:rPr>
          <w:rFonts w:ascii="Arial" w:cs="Arial" w:eastAsia="Arial" w:hAnsi="Arial"/>
          <w:sz w:val="17"/>
          <w:szCs w:val="17"/>
          <w:color w:val="auto"/>
        </w:rPr>
        <w:t xml:space="preserve">Our management, with the participation of our Chief Executive Officer and Chief Financial Officer, has evaluated the effectiveness of our disclosure controls and procedures as of June 30, 2018, the end of the period covered by this Quarterly Report on Form 10-Q. Management’s assessment of internal control over financial reporting was conducted using the criteria defined in the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Based upon such evaluation, our Chief Executive Officer and Chief Financial Officer have concluded that our disclosure controls and procedures were effective at the reasonable assurance level as of such date.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There was no change in our internal control over financial reporting (as defined in Rules 13a-15(f) and 15d-15(f) under the Exchange Act) that occurred during our most recent fiscal quarter that has materially affected, or is reasonably likely to materially affect, our internal control over financial reporting.</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73"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June 30, 2018 and December 31, 2017, we had an accumulated deficit of $259.3 million and $219.5 million, respectively. Substantially all of our losses have resulted from expenses incurred in connection with our research and development programs and from general and administrative costs associated with our operations.</w:t>
      </w:r>
    </w:p>
    <w:p>
      <w:pPr>
        <w:spacing w:after="0" w:line="2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clinical trials, including large-scale, pivotal clinical trials, obtain regulatory approvals, arrange for a third party to manufacture a commercial 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as we continue clinical development of our lead programs and advance additional programs into clinical development. In particular, during the second half of 2018, we expect our losses to increase substantially as we continue to enroll patients in our ongoing Phase 1/2 clinical trials of CX-072, our candidate directed against PD-L1, CX-2009, our PDC candidate directed against CD-166, and CX-2029, our PDC candidate directed against CD71 in collaboration with AbbVie Inc., and as we continue to conduct IND-enabling studies for CX-188, our wholly owned PD-1-targeting Probody therapeutic.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4" w:name="page35"/>
    <w:bookmarkEnd w:id="34"/>
    <w:p>
      <w:pPr>
        <w:jc w:val="both"/>
        <w:ind w:right="340"/>
        <w:spacing w:after="0" w:line="286" w:lineRule="auto"/>
        <w:rPr>
          <w:sz w:val="20"/>
          <w:szCs w:val="20"/>
          <w:color w:val="auto"/>
        </w:rPr>
      </w:pPr>
      <w:r>
        <w:rPr>
          <w:rFonts w:ascii="Arial" w:cs="Arial" w:eastAsia="Arial" w:hAnsi="Arial"/>
          <w:sz w:val="17"/>
          <w:szCs w:val="17"/>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5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w:t>
      </w:r>
    </w:p>
    <w:p>
      <w:pPr>
        <w:spacing w:after="0" w:line="19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June 30, 2018, we had $335.1 million in cash, cash equivalents and short-term investments. We believe that our existing capital resources will be sufficient to fund our planned operations for at least the next 12 months. Our future capital requirements and the period for which we expect our existing resources to support our operations may vary significantly from what we expect. Our monthly spending levels vary based on our ongoing clinical trials, new and ongoing research and development and other corporate activities. For example, during the second half of 2018, we expect our monthly spending to increase substantially as we continue to enroll patients in our ongoing Phase 1/2 clinical trials of CX-072, CX-2009, and CX-2029, and as we continue to conduct IND-enabling studies for CX-188.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timing and progress of our ongoing clinical trials as well as any other preclinical and clinical development activities;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size and type of clinical trials and preclinical studies that we may be required to complete for our product candidates, as well as the cost and time of such studies and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scope and prioritization of preclinical and clinical programs we decide to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and cost necessary to produce clinical supplies of our product candidates;</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and cost necessary to scale our manufacturing capabilities following regulatory approval and commercial launch of any product candidates.</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have entered or may in the future enter into collaborations and research and development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and amount of payments we may receive or are obligated to pay under our collaboration agreements and license agreements;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maintain our current licenses and research and development programs and to establish new collaboration arrangements;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70"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Amgen in September 2017.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ind w:right="20"/>
        <w:spacing w:after="0" w:line="257" w:lineRule="auto"/>
        <w:rPr>
          <w:sz w:val="20"/>
          <w:szCs w:val="20"/>
          <w:color w:val="auto"/>
        </w:rPr>
      </w:pPr>
      <w:r>
        <w:rPr>
          <w:rFonts w:ascii="Arial" w:cs="Arial" w:eastAsia="Arial" w:hAnsi="Arial"/>
          <w:sz w:val="18"/>
          <w:szCs w:val="18"/>
          <w:color w:val="auto"/>
        </w:rPr>
        <w:t>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9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7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is the case with all oncology drugs, our product candidates in clinical development or preclinical development have a high risk of failure. We commenced enrollment of our Phase 1/2 clinical trial of CX-072, our candidate directed against PD-L1, for cancer and treated our first patient in January 2017. We also initiated our Phase 1/2 clinical trial of CX-2009, our PDC candidate directed against CD-166, for cancer in June 2017 and our Phase 1/2 clinical trial of CX-2029, our PDC candidate directed against CD71 in collaboration with AbbVie, for cancer and treated our first patient in June 2018. In addition, Bristol-Myers Squibb Company (“BMS”) commenced enrollment of a Phase 1/2 clinical trial for BMS-986249, a Probody therapeutic directed against CTLA-4, in 2018. It is impossible to predict when or if any of our or our partner’s product candidates will prove effective and safe in humans or will receive regulatory approval. Before obtaining marketing approval from regulatory authorities for the sale of any product candidate, we or our partners must complete extensive clinical trials to demonstrate the safety and efficacy of our product candidates in humans. Commencement of clinical trials for programs beyond CX-072, CX-2009, CX-2029 and BMS-986249 is subject to finalizing the trial design and filing an IND or similar filing with the FDA or similar foreign regulatory authority. We currently expect to file an IND application for CX-188, our wholly owned PD-1-targeting Probody therapeutic, in the second half of 2018; however, the filing and clearance of such INDs and the initiation of clinical enrollment is subject to the satisfaction of certain conditions. In addition, even if we file our IND or comparable submissions in other jurisdictions for these or other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be delayed for a variety of reasons, including delays related to:</w:t>
      </w:r>
    </w:p>
    <w:p>
      <w:pPr>
        <w:spacing w:after="0" w:line="50"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and validating any companion diagnostic to be used in a clinical trial;</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other regulatory authorities requiring us to submit additional data or imposing other requirements before permitting us to initiate a clinical trial;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17"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at each clinical trial site;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our product candidates in sufficient quality and quantity for use in clinical trials;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collaborators electing to not pursue development and commercialization of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6" w:name="page37"/>
    <w:bookmarkEnd w:id="36"/>
    <w:p>
      <w:pPr>
        <w:jc w:val="both"/>
        <w:ind w:right="20"/>
        <w:spacing w:after="0" w:line="259" w:lineRule="auto"/>
        <w:rPr>
          <w:sz w:val="20"/>
          <w:szCs w:val="20"/>
          <w:color w:val="auto"/>
        </w:rPr>
      </w:pPr>
      <w:r>
        <w:rPr>
          <w:rFonts w:ascii="Arial" w:cs="Arial" w:eastAsia="Arial" w:hAnsi="Arial"/>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32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5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very early in our development efforts, with only three product candidates, CX-072, CX-2009 and CX-2029, currently in early stage clinical development. In addition, BMS is currently evaluating BMS-986249, a CTLA-4-directed Probody therapeutic in a Phase 1/2 clinical trial that it initiated in January 2018.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and efficacy of our product candidates in patients.</w:t>
      </w:r>
    </w:p>
    <w:p>
      <w:pPr>
        <w:spacing w:after="0" w:line="234"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16" w:lineRule="exact"/>
        <w:rPr>
          <w:sz w:val="20"/>
          <w:szCs w:val="20"/>
          <w:color w:val="auto"/>
        </w:rPr>
      </w:pPr>
    </w:p>
    <w:p>
      <w:pPr>
        <w:ind w:left="1040" w:right="100" w:hanging="519"/>
        <w:spacing w:after="0" w:line="34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15" w:lineRule="exact"/>
        <w:rPr>
          <w:rFonts w:ascii="Arial" w:cs="Arial" w:eastAsia="Arial" w:hAnsi="Arial"/>
          <w:sz w:val="16"/>
          <w:szCs w:val="16"/>
          <w:color w:val="auto"/>
        </w:rPr>
      </w:pPr>
    </w:p>
    <w:p>
      <w:pPr>
        <w:ind w:left="1040" w:right="6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62"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conditions imposed by the United States Food and Drug Administration (“FDA”) or comparable foreign authorities regarding the scope or design of our clinical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inadequate supply or quality of product candidate components or materials or other supplies necessary for the conduct of our clinical trials or the clinical trials of our collaborators;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 in the development or approval of companion diagnostic tests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6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could find that the therapeutics we or our collaborators pursue are not safe or efficacious or that the safety.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contract research organizations (“CROs”) and clinical trial sites to ensure proper and timely conduct of our clinical trials and while we expect to enter into agreements governing their committed activities, we have limited influence over their actual performance.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7" w:name="page38"/>
    <w:bookmarkEnd w:id="37"/>
    <w:p>
      <w:pPr>
        <w:ind w:right="20"/>
        <w:spacing w:after="0" w:line="254" w:lineRule="auto"/>
        <w:rPr>
          <w:sz w:val="20"/>
          <w:szCs w:val="20"/>
          <w:color w:val="auto"/>
        </w:rPr>
      </w:pPr>
      <w:r>
        <w:rPr>
          <w:rFonts w:ascii="Arial" w:cs="Arial" w:eastAsia="Arial" w:hAnsi="Arial"/>
          <w:sz w:val="18"/>
          <w:szCs w:val="18"/>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32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CX-072, CX-2009 and CX-2029). We recently announced initial clinical data regarding CX-072 from our PROCLAIM-CX-072 clinical trial on June 4, 2018 at the 2018 Annual Meeting of the American Society of Clinical Oncology in Chicago, Illinois. While CX-072 appeared to be generally well tolerated, there can be no guaranty that unexpected adverse events will occur later in this trial or other trials. These results showed that the administration of monotherapy CX-072 was well tolerated with the majority of treatment-related adverse events (“TRAEs”) as Grade 1/2. However, Grade 3/4 TRAEs were reported in two patients (neutropenia and thrombocytopenia in a patient with thymic cancer (3 mg/kg) and transaminase elevation in a patient with breast cancer (30 mg/kg)) but both events were successfully managed with therapeutic intervention including steroids and discontinuation of CX-072. In addition, the results showed that the administration of CX-072 in combination with ipilimumab was well tolerated with the majority of TRAEs as Grade 1/2. Of the 16 treated patients, five (31%) reported a Grade 3/4 TRAE, a rate similar to that reported previously for 3 mg/kg ipilimumab monotherapy. These events included: Grade 3 colitis (n=1), Grade 3 dyspnea/pneumonitis (n=1), Grade 3 headache/Grade 3 hyponatremia (n=1), and Grade 3 amylase/Grade 4 lipase (n=1). A Grade 3 TRAE in one patient was designated as non-treatment related post data cutoff. A dose limiting toxicity of Grade 3 dyspnea was reported in one patient.</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results of our future clinical trials or the clinical trials of our collaborators could reveal a high and unacceptable severity of adverse side effects and it is possible that patients enrolled in such clinical trials could respond in unexpected ways. For instance, our Phase 1/2 clinical trial of CX-072 is being conducted in patients with advanced cancers, including metastatic or locally advanced unresectable solid tumors or lymphomas, who have failed other approved therapies for their disease, and as such, it may be difficult to establish safety and efficacy in this type of patient population. In addition, certain arms of our clinical trial of CX-072 enroll patients with tumor types that are not known to be responsive to PD-L1 agents and therefore may be less likely to show effectiveness. Because certain PD-1 and PD-L1 agents are already approved for the treatment of some tumor types, we cannot test CX-072 on those tumor types and will not be able to obtain clinical information about how CX-072 acts in these tumors. Comparing safety and efficacy of CX-072 against other PD-L1 or PD-1 antibodies (either in development or in the market) may be difficult since our Phase 1/2 study is enrolling a different patient population than other studies. Furthermore, a portion of our Phase 1/2 clinical trial of CX-072 includes the administration of CX-072 in combination with Yervoy (ipilimumab) or Zelboraf (vemurafenib), which could exacerbate immune system related adverse events, cause increased toxicity or otherwise lead to unexpected adverse events. The Phase 1/2 clinical trial of BMS-986249 being conducted by BMS includes the administration of the product candidate at relatively high dosage levels, which could further exacerbate such risks. In our Phase 1/2 clinical trials of CX-2009 and CX-2029, we are targeting CD-166 and CD71, respectively, targets that are broadly expressed on normal tissue, which could create unacceptable toxicity or fail to result in anti-tumor activity. For instance, CD71, which is a metabolic protein with high levels of expression in healthy tissues, and the consequences of targeting such protein in humans are unknown. Any future clinical trials of our product candidates could face similar or heightened risks depending on the modality.</w:t>
      </w: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event that our clinical trials or the clinical trials of our collaborators reveal these or other adverse side effects, our trials or the clinical trials of our collaborators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38" w:name="page39"/>
    <w:bookmarkEnd w:id="38"/>
    <w:p>
      <w:pPr>
        <w:jc w:val="both"/>
        <w:ind w:right="240"/>
        <w:spacing w:after="0" w:line="264" w:lineRule="auto"/>
        <w:rPr>
          <w:sz w:val="20"/>
          <w:szCs w:val="20"/>
          <w:color w:val="auto"/>
        </w:rPr>
      </w:pPr>
      <w:r>
        <w:rPr>
          <w:rFonts w:ascii="Arial" w:cs="Arial" w:eastAsia="Arial" w:hAnsi="Arial"/>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3"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our collaborators may be required to recall the product or change the way the product is administered to patients;</w:t>
      </w:r>
    </w:p>
    <w:p>
      <w:pPr>
        <w:spacing w:after="0" w:line="117"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addition, adverse side effects caused by any drugs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20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289"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7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87"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and nature of the target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For example, in our Phase 1/2 clinical trial of CX-072, which is directed against PD-L1, we are only permitted to enroll patients with cancer types for which there are no PD inhibitors available for sale. As there are currently several PD-1 and/or PD-L1 agents approved for a growing list of cancer types along with hundreds of clinical trials exploring the use of PD-1 and PD-L1 agents, there can be no assurance that patients will choose to enroll in our clinical trial. In addition, any arms of our Phase 1/2 clinical trial of CX-072 for indications with small population sizes could be particularly difficult to enroll. Furthermore, the part of our Phase 1/2 clinical trial of CX-072 in which patients are treated with the combination of CX-072 and vemurafenib can only enroll those patients who do</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9" w:name="page40"/>
    <w:bookmarkEnd w:id="39"/>
    <w:p>
      <w:pPr>
        <w:spacing w:after="0" w:line="269" w:lineRule="auto"/>
        <w:rPr>
          <w:sz w:val="20"/>
          <w:szCs w:val="20"/>
          <w:color w:val="auto"/>
        </w:rPr>
      </w:pPr>
      <w:r>
        <w:rPr>
          <w:rFonts w:ascii="Arial" w:cs="Arial" w:eastAsia="Arial" w:hAnsi="Arial"/>
          <w:sz w:val="17"/>
          <w:szCs w:val="17"/>
          <w:color w:val="auto"/>
        </w:rPr>
        <w:t>not have access to MEK inhibitors because the emerging standard of care in jurisdictions where MEK inhibitors are available in combination with a BRAF inhibitor (such as vemurafenib), which may have an impact on enrollment in this part of the trial. Our Phase 1/2 clinical trial of CX-2009 studies patients who have one of seven specific tumor types rather than patients suffering from any cancer, which may limit the rate of enrollment of the trial. As with the clinical trials of CX-072, our Phase 1/2 clinical trial of CX-2009 is also competing with hundreds of clinical trials with alternative anti-cancer drugs in a similar class (e.g. antibody drug conjugates), and certain arms of the clinical trial may be difficult to enroll due to the emerging standard of care for such indications in certain jurisdictions, including the United States. Any clinical trials of our product candidates initiated by our collaborators, including BMS’ ongoing Phase 1/2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clinical trials or the clinical trials of our collaborators, which may materially and adversely affect our business, financial condition, results of operations and prospects.</w:t>
      </w:r>
    </w:p>
    <w:p>
      <w:pPr>
        <w:spacing w:after="0" w:line="29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plan to continue to develop a pipeline of product candidates using our proprietary Probody platform. We believe that product candidates (including cancer immunotherapies, PDCs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Phase 1/2 clinical trials for CX-072, CX-2009 and CX-2029.</w:t>
      </w:r>
    </w:p>
    <w:p>
      <w:pPr>
        <w:spacing w:after="0" w:line="18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may ultimately discover that our Probody platform and any product candidates resulting from it do not possess certain properties required for therapeutic effectiveness or protection from toxicity. For example, when Probodies are administered to human subjects, protease levels in the tumor may not be sufficient and the peptide mask may not be cleaved, which would limit the potential efficacy of the antibody and reduce the potential to limit the toxicity of the anti-cancer agent. In addition, if the peptide mask is inappropriately released, for example, due to an inflammatory disease, it may result in unforeseen events when administered in humans. Binding of the peptide mask to the antigen binding domain of the Probody may not be constant, which could lead to intermittent periods when the antigen 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Probodies, that is, the precise manner and sequence in which they are activated and behave in vivo, is incomplete. Probodies are complex biological molecules and we are evaluating the performance of this new technology in cancer patients for the first time. Many specific elements of Probody therapeutic function may contribute their overall safety and efficacy profile including, but not limited to, the removal of only one mask from the dually masked antibody, the removal of both masks from the dually masked antibody, the binding strength of masks for the underlying antibody, and the binding strength of the underlying antibody for its target. We have no direct structural evidence for how masks interact with antibodies. It may take many years before we develop a full understanding of Probody pharmacology, and we may never know precisely how they function in vivo. As with any new biologic or product developed on a novel platform, our Probody product candidates have an unknown immunogenicity profile. As a result, our Probody product candidates may trigger immune responses that inhibit the ability of the antibody to reach the target tissue, cause adverse side effects in humans or cause hypersensitivity reactions.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228"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in both healthy and diseased tissues is still developing. As a result, we cannot provide any assurance that we will be able to successfully identify and advance any product candidates to target novel, difficult to drug targets.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ind w:right="40"/>
        <w:spacing w:after="0" w:line="286" w:lineRule="auto"/>
        <w:rPr>
          <w:sz w:val="20"/>
          <w:szCs w:val="20"/>
          <w:color w:val="auto"/>
        </w:rPr>
      </w:pPr>
      <w:r>
        <w:rPr>
          <w:rFonts w:ascii="Arial" w:cs="Arial" w:eastAsia="Arial" w:hAnsi="Arial"/>
          <w:sz w:val="16"/>
          <w:szCs w:val="16"/>
          <w:color w:val="auto"/>
        </w:rPr>
        <w:t>We believe the only clinical experience that the FDA and foreign regulatory authorities have with Probody-based therapeutics in oncology comes from CX-072, CX-2009, CX-2029 and BMS-986249. We believe that the FDA and foreign regulatory authorities, have no clinical experience in other disease areas, and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products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would have little, if any, value, which would have a material and adverse effect on our business, financial condition, results of operations and prospects.</w:t>
      </w:r>
    </w:p>
    <w:p>
      <w:pPr>
        <w:spacing w:after="0" w:line="2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CX-072, CX-188, and BMS-986249) for which there are existing approved therapies, such as approved agents targeting PD-L1, PD-1, or CTLA-4. Market acceptance of our product candidates will depend on, among other factors:</w:t>
      </w:r>
    </w:p>
    <w:p>
      <w:pPr>
        <w:spacing w:after="0" w:line="71"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safety and efficacy of our product candidates, including those being developed by our collaborators;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effective companion diagnostics;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adequate government and third-party payor reimbursement;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 indications our product candidates are intended to treat and the relative risks, benefits and costs of those treatments.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right="320"/>
        <w:spacing w:after="0" w:line="286"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Since 2013, we have entered into collaborations with AbbVie, Amgen, BMS, ImmunoGen and Pfizer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Probody Drug Conjugate. In July 2017, ImmunoGen discontinued the preclinical evaluation of one of its two programs being developed under our collaboration.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 may terminate the relevant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Overall, collaborations involving our product candidates currently pose, and will continue to pose, the following risks to us:</w:t>
      </w:r>
    </w:p>
    <w:p>
      <w:pPr>
        <w:spacing w:after="0" w:line="117" w:lineRule="exact"/>
        <w:rPr>
          <w:sz w:val="20"/>
          <w:szCs w:val="20"/>
          <w:color w:val="auto"/>
        </w:rPr>
      </w:pPr>
    </w:p>
    <w:p>
      <w:pPr>
        <w:ind w:left="1040" w:right="9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 including, with respect to BMS, BMS-986249;</w:t>
      </w:r>
    </w:p>
    <w:p>
      <w:pPr>
        <w:spacing w:after="0" w:line="62" w:lineRule="exact"/>
        <w:rPr>
          <w:rFonts w:ascii="Arial" w:cs="Arial" w:eastAsia="Arial" w:hAnsi="Arial"/>
          <w:sz w:val="18"/>
          <w:szCs w:val="18"/>
          <w:color w:val="auto"/>
        </w:rPr>
      </w:pPr>
    </w:p>
    <w:p>
      <w:pPr>
        <w:jc w:val="both"/>
        <w:ind w:left="1040" w:hanging="519"/>
        <w:spacing w:after="0" w:line="286"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57" w:lineRule="exact"/>
        <w:rPr>
          <w:rFonts w:ascii="Arial" w:cs="Arial" w:eastAsia="Arial" w:hAnsi="Arial"/>
          <w:sz w:val="17"/>
          <w:szCs w:val="17"/>
          <w:color w:val="auto"/>
        </w:rPr>
      </w:pPr>
    </w:p>
    <w:p>
      <w:pPr>
        <w:ind w:left="1040" w:right="6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have significant discretion in designing any clinical trials they operate pursuant to our collaboration agreements, including BMS’ ongoing Phase 1/2 clinical trial of BMS-986249, and may release data from such clinical trials, including with respect to our Probody therapeutics, without consulting us;</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3"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15" w:lineRule="exact"/>
        <w:rPr>
          <w:rFonts w:ascii="Arial" w:cs="Arial" w:eastAsia="Arial" w:hAnsi="Arial"/>
          <w:sz w:val="16"/>
          <w:szCs w:val="16"/>
          <w:color w:val="auto"/>
        </w:rPr>
      </w:pPr>
    </w:p>
    <w:p>
      <w:pPr>
        <w:ind w:left="1040" w:right="11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2" w:name="page43"/>
    <w:bookmarkEnd w:id="42"/>
    <w:p>
      <w:pPr>
        <w:ind w:right="20"/>
        <w:spacing w:after="0" w:line="259" w:lineRule="auto"/>
        <w:rPr>
          <w:sz w:val="20"/>
          <w:szCs w:val="20"/>
          <w:color w:val="auto"/>
        </w:rPr>
      </w:pPr>
      <w:r>
        <w:rPr>
          <w:rFonts w:ascii="Arial" w:cs="Arial" w:eastAsia="Arial" w:hAnsi="Arial"/>
          <w:sz w:val="18"/>
          <w:szCs w:val="18"/>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295"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Substantially all of our revenue to date has been derived from our existing collaboration agreements, including, most recently, the Amgen Agreement that we entered into with Amgen in September 2017,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we are unable to successfully advance the development of our product candidates or achieve milestones, revenue and cash resources from milestone payments under our collaboration agreements will be substantially less than expected.</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Probody Drug Conjugate. Any of the foregoing could result in a change to our business plan and have a material adverse effect on our business, financial condition, results of operations and prospects. If a collaboration is terminated, we would not be eligible to receive the milestone, royalty or other payments that would have been payable under the collaboration agreement.</w:t>
      </w:r>
    </w:p>
    <w:p>
      <w:pPr>
        <w:spacing w:after="0" w:line="2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70"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receipt of approvals by the FDA and other regulatory authorities and the timing thereof;</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we fail to achieve announced milestones in the timeframes we expect, the commercialization of any of our product candidates may be delayed, and our business and results of operations may be harmed.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ind w:right="200"/>
        <w:spacing w:after="0" w:line="375" w:lineRule="auto"/>
        <w:rPr>
          <w:sz w:val="20"/>
          <w:szCs w:val="20"/>
          <w:color w:val="auto"/>
        </w:rPr>
      </w:pPr>
      <w:r>
        <w:rPr>
          <w:rFonts w:ascii="Arial" w:cs="Arial" w:eastAsia="Arial" w:hAnsi="Arial"/>
          <w:sz w:val="15"/>
          <w:szCs w:val="15"/>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Since commencing operations, we have entered into several collaboration agreements, including, most recently, the Amgen Agreement that we entered into with Amgen in September 2017.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27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3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spacing w:after="0" w:line="270"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29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Because we rely on third-party manufacturing and supply partners, our supply of research and development, preclinical and clinical development materials may become limited or interrupted or may not be of satisfactory quantity or quality.</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rely on third-party contract manufacturers to manufacture our clinical trial and preclinical study product supplies. We do not own manufacturing facilities for producing such supplies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are dependent on ImmunoGen under our collaboration for certain steps in the manufacturing of clinical quantities of CX-2009. However, contract manufacturing is not ImmunoGen’s primary business and ImmunoGen may not have sufficient resources to commit to manufacturing for third parties. In February 2018, ImmunoGen announced the closure of their clinical manufacturing facility in Norwood, MA at the end of 2018. This site provided clinical manufacturing support for the CX-2009 program. We have initiated the transfer of the drug substance manufacturing process from ImmunoGen to a contract manufacturer, where we have an existing relationship and with expertise in the manufacture of antibody drug conjugates at a clinical and commercial scale. However, there can be no assurances that we will not experience a disruption to the supply of CX-2009 in connection with such transfer.</w:t>
      </w:r>
    </w:p>
    <w:p>
      <w:pPr>
        <w:spacing w:after="0" w:line="1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1"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supply chain for the manufacturing of our product candidates is complicated and can involve many parties. This is especially the case for our clinical stage Probody Drug Conjugates, CX-2009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29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3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It may prove more challenging than we anticipate to manufacture products that incorporate our Probody therapeutic technology. In order to conduct clinical trials of our product candidates, including our Phase 1/2 clinical trials for CX-072, CX-2009 and CX-2029, we will need to manufacture them in large quantities. We, or any manufacturing partners, may be unable to successfully increase the manufacturing capacity for any of our product candidates in a timely or cost-effective manner, or at all, although to date we have been able to successfully manufacture clinical quantities of CX-072, CX-2009 and CX-2029. In particular, we are dependent on ImmunoGen under our collaboration for certain steps in the manufacturing of clinical quantities of CX-2009. However, contract manufacturing is not ImmunoGen’s primary business and ImmunoGen may not have sufficient resources to commit to manufacturing for third parties. In addition, quality issues may arise during scale-up activities. In February 2018, ImmunoGen announced the closure of their clinical manufacturing facility in Norwood, Massachusetts at the end of 2018, which provided clinical manufacturing support for the CX-2009 program. We have initiated the transfer of the drug substance manufacturing process from ImmunoGen to a contract manufacturer, where we have an existing relationship and with expertise in the manufacture of antibody drug conjugates at a clinical and commercial scale. However, there can be no assurances that we will not experience a disruption to the supply of CX-2009 in connection with such transfer.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assets or form strategic alliances in the future, and we may not realize the benefits of such acquisitions</w:t>
      </w:r>
      <w:r>
        <w:rPr>
          <w:rFonts w:ascii="Arial" w:cs="Arial" w:eastAsia="Arial" w:hAnsi="Arial"/>
          <w:sz w:val="18"/>
          <w:szCs w:val="18"/>
          <w:color w:val="auto"/>
        </w:rPr>
        <w:t>.</w:t>
      </w:r>
    </w:p>
    <w:p>
      <w:pPr>
        <w:spacing w:after="0" w:line="117"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6" w:name="page47"/>
    <w:bookmarkEnd w:id="46"/>
    <w:p>
      <w:pPr>
        <w:ind w:right="100"/>
        <w:spacing w:after="0" w:line="342" w:lineRule="auto"/>
        <w:rPr>
          <w:sz w:val="20"/>
          <w:szCs w:val="20"/>
          <w:color w:val="auto"/>
        </w:rPr>
      </w:pPr>
      <w:r>
        <w:rPr>
          <w:rFonts w:ascii="Arial" w:cs="Arial" w:eastAsia="Arial" w:hAnsi="Arial"/>
          <w:sz w:val="16"/>
          <w:szCs w:val="16"/>
          <w:color w:val="auto"/>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spacing w:after="0" w:line="16"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disruption of our historical business and our activities under our collaboration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strain on, and need to expand, our existing operational, technical, financial and administrative infrastructure;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lack of experience in late-stage product development and commercialization;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difficulties in hiring qualified personnel and establishing necessary development and/or commercialization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to retain key management and other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the acquisition;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Because we have limited financial and managerial resources, we focus on specific product candidates, including CX-072, CX-2009, CX-2029 and CX-188. As a result, we may forgo or delay pursuit of opportunities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 successfully.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need to grow our organization substantially to continue development and pursue the potential commercialization of CX-072, CX-2009, CX-2029, CX-188 and our other product candidates,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ind w:right="260"/>
        <w:spacing w:after="0" w:line="312"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3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For instance,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lead product candidates, including CX-072 and CX-2009, are approved, they will compete with a range of therapeutic treatments that are either in development or currently marketed. A variety of oncology drugs and therapeutic biologics are currently on the market or in clinical development. The market for immunotherapies like CX-072 is, in particular, highly competitive and the field is changing quickly.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7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face substantial competition from pharmaceutical companies developing products in immuno-oncology, including companies, such as Amgen, AstraZeneca PLC, BMS, Celgene, GlaxoSmithKline plc, Merck &amp; Co., Inc. Novartis AG, Pfizer, Roche Holding Ltd. and Sanofi SA. Many large and mid-sized biotech companies, including BeiGene, Incyte, TESARO, Inc., Nektar, and Alkermes have ongoing efforts in cancer immunotherapy. Finally, numerous small companies are also working in the space. Several companies, including Akriveia, Amgen, Amunix, BioAtla, Halozyme, Maverick Therapeutics, Revitope, Roche, and Seattle Genetics are exploring antibody masking and/or conditional activation strategies, which could compete with our Probody Platform. We are also aware of several companies that are developing ADCs, such as Abbvie, Pfizer, Roche Holding Ltd. and Taekda. In addition, two mid-sized companies, ImmunoGen and Seattle Genetics, Inc. are also leaders in the development of ADCs and we are aware of numerous small companies with ongoing efforts in this field.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well-capitalized and may have significant clinical experience. In addition, these companies include our collaborators.</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14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success largely depends on the continued service of key management, advisors and other specialized personnel, including Sean A. McCarthy, D.Phil., our president and chief executive officer, W. Michael Kavanaugh, M.D., our chief scientific officer and Rachel W. Humphrey, M.D., our chief medical officer.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w:t>
      </w:r>
    </w:p>
    <w:p>
      <w:pPr>
        <w:spacing w:after="0" w:line="27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imposed in foreign markets may adversely affect our future profitability.</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ind w:right="120"/>
        <w:spacing w:after="0" w:line="286" w:lineRule="auto"/>
        <w:rPr>
          <w:sz w:val="20"/>
          <w:szCs w:val="20"/>
          <w:color w:val="auto"/>
        </w:rPr>
      </w:pPr>
      <w:r>
        <w:rPr>
          <w:rFonts w:ascii="Arial" w:cs="Arial" w:eastAsia="Arial" w:hAnsi="Arial"/>
          <w:sz w:val="17"/>
          <w:szCs w:val="17"/>
          <w:color w:val="auto"/>
        </w:rPr>
        <w:t>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2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exposed to significant product liability risks inherent in the development, testing, manufacturing and marketing of therapeutic treatments, including as a result of the clinical testing of CX-072, CX-2009, CX-2029, and BMS-986249 and any other product candidates we or our collaborators may conduct clinical trials for.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CROs or other contractors or consultants we may utilize, may fail or suffer security breaches, which could result in a material disruption of our product development programs.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we may utilize, may be vulnerable to damage from computer viruses, unauthorized access, natural disasters, terrorism, war and telecommunication and electrical failures. Such events could cause interruptions of our operations. For instance, the loss of data from any current or future clinical trial or data from any preclinical studies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product candidates could be delayed.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information technology systems could face serious disruptions that could adversely affect our business.</w:t>
      </w:r>
    </w:p>
    <w:p>
      <w:pPr>
        <w:spacing w:after="0" w:line="11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including as the result of cybersecurity incidents that could disrupt our operations. A significant disruption in the availability of our information technology and other internal infrastructure systems could cause interruptions and delays in our research and development work.</w:t>
      </w:r>
    </w:p>
    <w:p>
      <w:pPr>
        <w:spacing w:after="0" w:line="29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Cybersecurity breaches could expose us to liability, damage our reputation, compromise our confidential information or otherwise adversely affect our business.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sensitive company data on our computer networks, including our intellectual property and proprietary business information. We face a number of threats to our networks from unauthorized access, security breaches and other system disruptions. Despite our security measures, our infrastructure may be vulnerable to attacks by hackers or other disruptive problems. Any such security breach may compromise information stored on our networks and may result in significant data losses or theft of our intellectual property or proprietary business information. A cybersecurity breach could adversely affect our reputation and could result in other negative consequences, including disruption of our internal operations, increased cyber security protection costs, lost revenues or litigation.</w:t>
      </w:r>
    </w:p>
    <w:p>
      <w:pPr>
        <w:spacing w:after="0" w:line="301"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We prepare our financial statements in conformity with accounting principles generally accepted in the U.S. These accounting principles are subject to interpretation by the Financial Accounting Standards Board (“FASB”) and the Securities and Exchange Commission.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In May 2014, the FASB issued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have evaluated the impact of ASU 2014-09 on our financial statements. Adoption of the standard had a significant impact on our financial statements and retroactively affected the accounting treatment of transactions completed before adoption. See “Note 2 – Basis of Presentation and Summary of Significant Accounting Policies” for additional discussion of the accounting changes and the impact of this accounting standard upon adoption.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 California has similar rules. We have performed an IRC Section 382 analysis and determined there was an ownership change in 2017. As a result, the federal and state carryforwards associated with the net operating loss and credit deferred tax assets were reduced by the amount of tax attributes estimated to expire during their respective carryforward periods. We may experience ownership changes in the future as a result of shifts in our stock ownership, some of which are outside our control. As of December 31, 2017, we had federal and state net operating loss carryforwards of approximately $105.6 million and $58.5 million, respectively, and our ability to utilize those net operating loss carryforwards could be limited by an “ownership change” as described above, which could result in increased tax liability to our company.</w:t>
      </w:r>
    </w:p>
    <w:p>
      <w:pPr>
        <w:spacing w:after="0" w:line="2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Recent U.S. tax legislation and future changes to applicable U.S. or foreign tax laws and regulations may have a material adverse effect on our business, financial condition and results of operations.</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subject to income and other taxes in the U.S. and foreign jurisdictions. Changes in laws and policy relating to taxes or trade may have an adverse effect on our business, financial condition and results of operations. For example, the U.S. government recently enacted significant tax reform, and certain provisions of the new law may adversely affect us. Changes include, but are not limited to, a federal corporate tax rate decrease from 34% to 21% for tax years beginning after December 31, 2017, the transition of U.S. international taxation from a worldwide tax system to a more generally territorial system, and a one-time transition tax on the mandatory deemed repatriation of foreign earnings. The legislation is unclear in many respects and could be subject to potential amendments and technical corrections, and will be subject to interpretations and implementing regulations by the Treasury and Internal Revenue Service, any of which could mitigate or increase certain adverse effects of the legislation. In addition, it is unclear how these U.S. federal income tax changes will affect state and local taxation. Generally, future changes in applicable U.S. or foreign tax laws and regulations, or their interpretation and application could have an adverse effect on our business, financial conditions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As of July 15, 2018, we have more than 60 issued patents (8 of which are co-owned with a third party), and more than 245 pending patent applications (14 of which are co-owned with a third party) covering our Probody platforms and products as well as methods of use and production thereof; we have exclusively licensed UCSB’s interest in the patent family co-owned with UCSB (currently comprising 6 issued patents and 7 pending applications) that covers Probody and other pro-protein technology in the fields of therapeutics,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diagnostics and prophylactics. In addition, we have exclusively licensed a patent portfolio of three patent families from UCSB that includes 23 issued patents and eight pending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ind w:right="80"/>
        <w:spacing w:after="0" w:line="254" w:lineRule="auto"/>
        <w:rPr>
          <w:sz w:val="20"/>
          <w:szCs w:val="20"/>
          <w:color w:val="auto"/>
        </w:rPr>
      </w:pPr>
      <w:r>
        <w:rPr>
          <w:rFonts w:ascii="Arial" w:cs="Arial" w:eastAsia="Arial" w:hAnsi="Arial"/>
          <w:sz w:val="18"/>
          <w:szCs w:val="18"/>
          <w:color w:val="auto"/>
        </w:rPr>
        <w:t>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19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46" w:lineRule="exact"/>
        <w:rPr>
          <w:sz w:val="20"/>
          <w:szCs w:val="20"/>
          <w:color w:val="auto"/>
        </w:rPr>
      </w:pPr>
    </w:p>
    <w:p>
      <w:pPr>
        <w:ind w:left="1040" w:right="40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make the inventions covered by each of our issued patents and pending patent applications that we own or license.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file patent applications covering certain aspects of our inventions.</w:t>
      </w:r>
    </w:p>
    <w:p>
      <w:pPr>
        <w:spacing w:after="0" w:line="117" w:lineRule="exact"/>
        <w:rPr>
          <w:rFonts w:ascii="Arial" w:cs="Arial" w:eastAsia="Arial" w:hAnsi="Arial"/>
          <w:sz w:val="18"/>
          <w:szCs w:val="18"/>
          <w:color w:val="auto"/>
        </w:rPr>
      </w:pPr>
    </w:p>
    <w:p>
      <w:pPr>
        <w:ind w:left="1040" w:right="8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develop additional proprietary technologies that are patentable.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28" w:lineRule="exact"/>
        <w:rPr>
          <w:rFonts w:ascii="Arial" w:cs="Arial" w:eastAsia="Arial" w:hAnsi="Arial"/>
          <w:sz w:val="17"/>
          <w:szCs w:val="17"/>
          <w:color w:val="auto"/>
        </w:rPr>
      </w:pPr>
    </w:p>
    <w:p>
      <w:pPr>
        <w:ind w:left="1040" w:right="160" w:hanging="519"/>
        <w:spacing w:after="0" w:line="30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5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6"/>
          <w:szCs w:val="16"/>
          <w:i w:val="1"/>
          <w:iCs w:val="1"/>
          <w:color w:val="auto"/>
        </w:rPr>
        <w:t>inter alia</w:t>
      </w:r>
      <w:r>
        <w:rPr>
          <w:rFonts w:ascii="Arial" w:cs="Arial" w:eastAsia="Arial" w:hAnsi="Arial"/>
          <w:sz w:val="16"/>
          <w:szCs w:val="16"/>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4" w:name="page55"/>
    <w:bookmarkEnd w:id="54"/>
    <w:p>
      <w:pPr>
        <w:ind w:right="60"/>
        <w:spacing w:after="0" w:line="271"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7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29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 claims. Our competitive position may suffer if patents issued to third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spacing w:after="0" w:line="290" w:lineRule="auto"/>
        <w:rPr>
          <w:sz w:val="20"/>
          <w:szCs w:val="20"/>
          <w:color w:val="auto"/>
        </w:rPr>
      </w:pPr>
      <w:r>
        <w:rPr>
          <w:rFonts w:ascii="Arial" w:cs="Arial" w:eastAsia="Arial" w:hAnsi="Arial"/>
          <w:sz w:val="16"/>
          <w:szCs w:val="16"/>
          <w:color w:val="auto"/>
        </w:rPr>
        <w:t>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16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and adverse effect on our ability to compete in the marketplace.</w:t>
      </w:r>
    </w:p>
    <w:p>
      <w:pPr>
        <w:spacing w:after="0" w:line="29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or otherwise violating the licensor’s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6" w:name="page57"/>
    <w:bookmarkEnd w:id="56"/>
    <w:p>
      <w:pPr>
        <w:ind w:right="60"/>
        <w:spacing w:after="0" w:line="279" w:lineRule="auto"/>
        <w:rPr>
          <w:sz w:val="20"/>
          <w:szCs w:val="20"/>
          <w:color w:val="auto"/>
        </w:rPr>
      </w:pPr>
      <w:r>
        <w:rPr>
          <w:rFonts w:ascii="Arial" w:cs="Arial" w:eastAsia="Arial" w:hAnsi="Arial"/>
          <w:sz w:val="17"/>
          <w:szCs w:val="17"/>
          <w:color w:val="auto"/>
        </w:rPr>
        <w:t>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32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205"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6"/>
          <w:szCs w:val="16"/>
          <w:color w:val="auto"/>
        </w:rPr>
        <w:t>‑</w:t>
      </w:r>
      <w:r>
        <w:rPr>
          <w:rFonts w:ascii="Arial" w:cs="Arial" w:eastAsia="Arial" w:hAnsi="Arial"/>
          <w:sz w:val="16"/>
          <w:szCs w:val="16"/>
          <w:color w:val="auto"/>
        </w:rPr>
        <w:t>executing or may be breached, and we may be forced to bring claims against third parties, or defend claims they may bring against us, to determine the ownership of what we regard as our intellectual property.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301"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7" w:name="page58"/>
    <w:bookmarkEnd w:id="57"/>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U.S. or foreign regulatory approval and, as a result, unable to commercialize our product candidates.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It is possible that none of the product candidates we may develop will obtain the regulatory approvals necessary for us or our existing or future collaborators to begin selling them.</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9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Because the product candidates we are developing may represent a new class of therapeutic biologics, the FDA and its foreign counterparts have not yet established any definitive policies, practices or guidelines in relation to these product candidates. While we believe the product candidates that we are currently developing are regulated as therapeutic biologics that are subject to requirements for review and approval of a BLA by the FDA’s Center for Drug Evaluation and Research (“CDER”), the FDA could decide to regulate them as drugs that are subject to requirements for review and approval of an NDA by CDER or as biological products that are subject to requirements for review and approval of a BLA by the FDA’s Center for Biologics Evaluation and Research (“CBER”). The lack of policies, practices or guidelines may hinder or slow review by the FDA of any regulatory filings that we may submit. Moreover, the FDA may respond to these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risk evaluation and mitigation strategies (“REMS”) plan as part of an NDA or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ind w:right="180"/>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4" w:lineRule="exact"/>
        <w:rPr>
          <w:sz w:val="20"/>
          <w:szCs w:val="20"/>
          <w:color w:val="auto"/>
        </w:rPr>
      </w:pPr>
    </w:p>
    <w:p>
      <w:pPr>
        <w:ind w:left="1040" w:right="2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strategic partners;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or revocation of product license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biologics and to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and adverse effect on our business and results of operations.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will be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9" w:name="page60"/>
    <w:bookmarkEnd w:id="59"/>
    <w:p>
      <w:pPr>
        <w:ind w:right="20"/>
        <w:spacing w:after="0" w:line="268"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and we expect there will be additional challenges and amendments to the ACA in the future. The current Presidential Administration and U.S. Congress will likely continue to seek to modify, repeal, or otherwise invalidate all, or certain provisions of, the ACA. Since taking office, President Trump has continued to support the repeal of all or portions of the ACA. On October 12, 2017, President Trump issued an executive order that expands the use of association health plans and allows anyone to purchase short-term health plans that provide temporary, limited insurance. This executive order also calls for the halt of federal payments to health insurers for cost-sharing reductions previously available to lower-income Americans to afford coverage. There is still uncertainty with respect to the impact this executive order could have on coverage and reimbursement for healthcare items and services covered by plans that were authorized by the ACA. In addition, the Tax Cuts and Jobs Act was enacted, which, among other things, removes penalties for not complying with the Affordable Care Act’s individual mandate to carry health insurance. On January 22, 2018, President Trump signed a continuing resolution on appropriations for fiscal year 2018 that delayed the implementation of certain mandated fees under the Affordable Care Act, including the so-called “Cadillac” tax on certain high cost employer-sponsored insurance plans, the annual fee imposed on certain health insurance providers based on market share, and the medical device excise tax on non-exempt medical devices. Congress may consider other legislation to repeal or replace other elements of the Affordable Care Act. It is uncertain the extent to which any such changes may impact our business or financial condition.</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Moreover, payment methodologies, including payment for companion diagnostics, may be subject to changes in healthcare legislation and regulatory initiatives. For example, the Centers for Medicare &amp; Medicaid Services (“CMS”) has begun bundling the Medicare payments for certain laboratory tests ordered while a patient received services in a hospital outpatient setting and, beginning in 2018, CMS will pay for clinical laboratory services based on a weighted average of reported prices that private payors, Medicare Advantage plans, and Medicaid Managed Care plans pay for laboratory services. Further, in March 2018,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0" w:name="page61"/>
    <w:bookmarkEnd w:id="60"/>
    <w:p>
      <w:pPr>
        <w:ind w:right="700"/>
        <w:spacing w:after="0" w:line="342"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In addition, we may be subject to patient data privacy and security regulation by both the U.S. federal government and the states in which we conduct our business. Restrictions under applicable federal and state healthcare laws and regulations, include the following:</w:t>
      </w:r>
    </w:p>
    <w:p>
      <w:pPr>
        <w:spacing w:after="0" w:line="71" w:lineRule="exact"/>
        <w:rPr>
          <w:sz w:val="20"/>
          <w:szCs w:val="20"/>
          <w:color w:val="auto"/>
        </w:rPr>
      </w:pPr>
    </w:p>
    <w:p>
      <w:pPr>
        <w:ind w:left="1040" w:right="100" w:hanging="519"/>
        <w:spacing w:after="0" w:line="25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80" w:lineRule="exact"/>
        <w:rPr>
          <w:rFonts w:ascii="Arial" w:cs="Arial" w:eastAsia="Arial" w:hAnsi="Arial"/>
          <w:sz w:val="18"/>
          <w:szCs w:val="18"/>
          <w:color w:val="auto"/>
        </w:rPr>
      </w:pPr>
    </w:p>
    <w:p>
      <w:pPr>
        <w:ind w:left="1040" w:right="60" w:hanging="519"/>
        <w:spacing w:after="0" w:line="255"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85" w:lineRule="exact"/>
        <w:rPr>
          <w:rFonts w:ascii="Arial" w:cs="Arial" w:eastAsia="Arial" w:hAnsi="Arial"/>
          <w:sz w:val="18"/>
          <w:szCs w:val="18"/>
          <w:color w:val="auto"/>
        </w:rPr>
      </w:pPr>
    </w:p>
    <w:p>
      <w:pPr>
        <w:ind w:left="1040" w:right="40" w:hanging="519"/>
        <w:spacing w:after="0" w:line="276"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4" w:lineRule="exact"/>
        <w:rPr>
          <w:rFonts w:ascii="Arial" w:cs="Arial" w:eastAsia="Arial" w:hAnsi="Arial"/>
          <w:sz w:val="17"/>
          <w:szCs w:val="17"/>
          <w:color w:val="auto"/>
        </w:rPr>
      </w:pPr>
    </w:p>
    <w:p>
      <w:pPr>
        <w:ind w:left="1040" w:right="100" w:hanging="519"/>
        <w:spacing w:after="0" w:line="276"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(“HITECH”), which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64" w:lineRule="exact"/>
        <w:rPr>
          <w:rFonts w:ascii="Arial" w:cs="Arial" w:eastAsia="Arial" w:hAnsi="Arial"/>
          <w:sz w:val="17"/>
          <w:szCs w:val="17"/>
          <w:color w:val="auto"/>
        </w:rPr>
      </w:pPr>
    </w:p>
    <w:p>
      <w:pPr>
        <w:ind w:left="1040" w:right="80" w:hanging="519"/>
        <w:spacing w:after="0" w:line="25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new EU General Data Protection Regulation (“GDPR”) which came into effect on May 25, 2018 and imposes obligations and restrictions on how we collect and use personal data relating to individuals located in the EU (including health data), and introduces fines of up to 4% total worldwide annual turnover or up to €20 million (whichever is higher) for non-compliance with its requirements. The GDPR also provides that EU member states may make their own further laws and regulations limiting the processing of special categories of personal data such as genetic, biometric or health data;</w:t>
      </w:r>
    </w:p>
    <w:p>
      <w:pPr>
        <w:spacing w:after="0" w:line="80" w:lineRule="exact"/>
        <w:rPr>
          <w:rFonts w:ascii="Arial" w:cs="Arial" w:eastAsia="Arial" w:hAnsi="Arial"/>
          <w:sz w:val="18"/>
          <w:szCs w:val="18"/>
          <w:color w:val="auto"/>
        </w:rPr>
      </w:pPr>
    </w:p>
    <w:p>
      <w:pPr>
        <w:ind w:left="1040" w:hanging="519"/>
        <w:spacing w:after="0" w:line="276"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 and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ind w:left="1040" w:right="60" w:hanging="519"/>
        <w:spacing w:after="0" w:line="272"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 and state laws governing the privacy and security of health information in certain circumstances, many of which differ from each other in significant ways and often are not preempted by HIPAA, thus complicating compliance efforts.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Ensuring that our future business arrangements with third-parties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3"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seizures or administrative detention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civil and criminal penalties and fines.</w:t>
      </w:r>
    </w:p>
    <w:p>
      <w:pPr>
        <w:spacing w:after="0" w:line="3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62" w:name="page63"/>
    <w:bookmarkEnd w:id="62"/>
    <w:p>
      <w:pPr>
        <w:ind w:right="80"/>
        <w:spacing w:after="0" w:line="273" w:lineRule="auto"/>
        <w:rPr>
          <w:sz w:val="20"/>
          <w:szCs w:val="20"/>
          <w:color w:val="auto"/>
        </w:rPr>
      </w:pPr>
      <w:r>
        <w:rPr>
          <w:rFonts w:ascii="Arial" w:cs="Arial" w:eastAsia="Arial" w:hAnsi="Arial"/>
          <w:sz w:val="17"/>
          <w:szCs w:val="17"/>
          <w:color w:val="auto"/>
        </w:rPr>
        <w:t>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32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face regulation and potential liability related to the privacy, data protection and information security which may require significant resources and may adversely affect our business, operations and financial performance.</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regulatory environment surrounding information security, data collection and privacy is increasingly demanding. We are subject to numerous U.S. federal and state laws and non-U.S. regulations governing the protection of personal and confidential information of our clinical subjects, clinical investigators, employees and vendors/business contacts, including in relation to medical records, credit card data and financial information. For example, on May 25, 2018, the European General Data Protection Regulation, or GDPR, became effective, implementing more stringent requirements in relation to our use of personal data relating to individuals located in the E.U. (and E.E.A.). The GDPR repeals the Data Protection Directive (95/46/EC) and is directly applicable in all E.U. member states. The GDPR significantly increased fining levels to up to 4% total worldwide annual turnover or up to €20 million (whichever is higher) for non-compliance with its requirements. We will be subject to the GDPR where we have an E.U. presence or “establishment” (</w:t>
      </w:r>
      <w:r>
        <w:rPr>
          <w:rFonts w:ascii="Arial" w:cs="Arial" w:eastAsia="Arial" w:hAnsi="Arial"/>
          <w:sz w:val="17"/>
          <w:szCs w:val="17"/>
          <w:i w:val="1"/>
          <w:iCs w:val="1"/>
          <w:color w:val="auto"/>
        </w:rPr>
        <w:t>e.g</w:t>
      </w:r>
      <w:r>
        <w:rPr>
          <w:rFonts w:ascii="Arial" w:cs="Arial" w:eastAsia="Arial" w:hAnsi="Arial"/>
          <w:sz w:val="17"/>
          <w:szCs w:val="17"/>
          <w:color w:val="auto"/>
        </w:rPr>
        <w:t>., E.U. based subsidiary or operations), when conducting clinical trials with E.U. based data subjects (whether the trials are conducted directly by us or through a clinical vendor or collaborator) or offering approved products or services (if relevant) to E.U. based data subjects (regardless of whether involving our E.U. based subsidiary or operations).</w:t>
      </w:r>
    </w:p>
    <w:p>
      <w:pPr>
        <w:spacing w:after="0" w:line="17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GDPR sets out a number of requirements that must be complied with when handling the personal data of such E.U. 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the new mandatory data breach regime. In particular, medical or health data, genetic data and biometric data where the latter is used to uniquely identify an individual (even, in certain situations, where such data is key coded) are all classified as “special category” data under GDPR and afford greater protection and require additional compliance obligations. Further, E.U. member states have a broad right to impose additional conditions – including restrictions – on these data categories. This is because the GDPR allows E.U. member states to derogate from the requirements of the GDPR mainly in regard to specific processing situations (including special category data and processing for scientific or statistical purposes). As the E.U. member states reframe their national legislation to harmonize with the GDPR, we will need to monitor compliance with all relevant E.U. member states' laws and regulations, including where permitted derogations from the GDPR are introduced.</w:t>
      </w: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will also be subject to evolving E.U. laws on data export, where we transfer data outside the E.U. (or E.E.A.) to group companies or third parties. The GDPR only permits exports of data outside the E.U. (and E.E.A.) where there is a suitable data transfer solution in place to safeguard personal data (e.g., the EU Commission approved Standard Contractual Clauses). Some of the approved current data transfer mechanisms are under review in the E.U. courts and by the E.U. Commission and therefore we need to monitor this space for any future changes.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Where we rely on third parties to carry out a number of services for us, including processing personal data on our behalf, we are required under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our customers to lose trust in us, which could have an adverse impact on our reputation and business.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recent years, U.S. and European lawmakers and regulators have expressed concern over electronic marketing and the use of third-party cookies, web beacons and similar technology for online behavioral advertising. In the E.U., marketing is defined broadly to include any promotional material and the rules specifically on e-marketing are currently set out in the ePrivacy Directive which will be replaced by a new ePrivacy Regulation. While the ePrivacy Regulation was originally intended to be adopted on May 25, 2018 (alongside the GDPR), it is still going through the European legislative process and commentators now expect it to be adopted during the middle or second half of 2019. The current draft of the ePrivacy Regulation imposes strict opt-in e-marketing rules with limited exceptions to business to business communications and significantly increases fining powers to the same levels as GDPR (see above).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3" w:name="page64"/>
    <w:bookmarkEnd w:id="63"/>
    <w:p>
      <w:pPr>
        <w:ind w:right="620"/>
        <w:spacing w:after="0" w:line="277" w:lineRule="auto"/>
        <w:rPr>
          <w:sz w:val="20"/>
          <w:szCs w:val="20"/>
          <w:color w:val="auto"/>
        </w:rPr>
      </w:pPr>
      <w:r>
        <w:rPr>
          <w:rFonts w:ascii="Arial" w:cs="Arial" w:eastAsia="Arial" w:hAnsi="Arial"/>
          <w:sz w:val="18"/>
          <w:szCs w:val="18"/>
          <w:color w:val="auto"/>
        </w:rPr>
        <w:t>We may find it necessary or desirable to join self-regulatory bodies or other privacy-related organizations, particularly relating to biopharmacy and/or scientific research, that require compliance with their rules pertaining to privacy and data security.</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introduction of the GDPR, and any resultant changes in E.U. member states’ national laws and regulations and the ePrivacy Regulation, will increase our compliance obligations and will necessitate the review and implementation of policies and processes relating to our collection and use of data. This increase in compliance obligations could also lead to an increase in compliance costs which may have an adverse impact on our business, financial condition or results of operations.</w:t>
      </w:r>
    </w:p>
    <w:p>
      <w:pPr>
        <w:spacing w:after="0" w:line="18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If any person, including any of our employees, clinical vendors or collaborators or those with whom we share such information, negligently disregards or intentionally breaches our established controls with respect to our clinical subject, clinical investigator or employee data, or otherwise mismanages or misappropriates that data, we could be subject to significant monetary damages, regulatory enforcement actions, fines and/or criminal prosecution in one or more jurisdictions. As above, under the GDPR there are significant new punishments for non-compliance which could result in a penalty of up to 4% of a firm’s global annual revenue. In addition, a data breach could result in negative publicity which could damage our reputation and have an adverse effect on our business, financial condition or results of operations.</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strive to comply with all applicable laws, but they may conflict with each other, and by complying with the laws or regulations of one jurisdiction, we may find that we are violating the laws or regulations of another jurisdiction. Despite our efforts, we may not have fully complied in the past and may not in the future. If we become liable under laws or regulations applicable to us, we could be required to pay significant fines and penalties, our reputation may be harmed and we may be forced to change the way we operate. That could require us to incur significant expenses or to discontinue certain services, which could negatively affect our business.</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8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4" w:name="page65"/>
    <w:bookmarkEnd w:id="64"/>
    <w:p>
      <w:pPr>
        <w:ind w:right="620"/>
        <w:spacing w:after="0" w:line="342" w:lineRule="auto"/>
        <w:rPr>
          <w:sz w:val="20"/>
          <w:szCs w:val="20"/>
          <w:color w:val="auto"/>
        </w:rPr>
      </w:pPr>
      <w:r>
        <w:rPr>
          <w:rFonts w:ascii="Arial" w:cs="Arial" w:eastAsia="Arial" w:hAnsi="Arial"/>
          <w:sz w:val="16"/>
          <w:szCs w:val="16"/>
          <w:b w:val="1"/>
          <w:bCs w:val="1"/>
          <w:i w:val="1"/>
          <w:iCs w:val="1"/>
          <w:color w:val="auto"/>
        </w:rPr>
        <w:t>A Breakthrough Therapy Designation by the FDA for any of our product candidates may not lead to a faster development or regulatory review or approval process, and it does not increase the likelihood that our product candidates will receive marketing approval.</w:t>
      </w:r>
    </w:p>
    <w:p>
      <w:pPr>
        <w:spacing w:after="0" w:line="1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product that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can also be eligible for accelerated approval.</w:t>
      </w:r>
    </w:p>
    <w:p>
      <w:pPr>
        <w:spacing w:after="0" w:line="1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and rescind the breakthrough designation.</w:t>
      </w:r>
    </w:p>
    <w:p>
      <w:pPr>
        <w:spacing w:after="0" w:line="3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Fast Track Designation by the FDA for any of our product candidates may not actually lead to a faster development or regulatory review or approval process.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seek Fast Track Designation for some of our product candidates. If a product is intended for the treatment of a serious or life-threatening condition and the product demonstrates the potential to address unmet medical needs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30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NDA or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or therapeutic biologics with different active moieties can be approved for the same condition. Even after an orphan product is approved, the FDA can subsequently approve the same drug or therapeutic biologic with the same active moiety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5" w:name="page66"/>
    <w:bookmarkEnd w:id="65"/>
    <w:p>
      <w:pPr>
        <w:ind w:right="200"/>
        <w:spacing w:after="0" w:line="264" w:lineRule="auto"/>
        <w:rPr>
          <w:sz w:val="20"/>
          <w:szCs w:val="20"/>
          <w:color w:val="auto"/>
        </w:rPr>
      </w:pPr>
      <w:r>
        <w:rPr>
          <w:rFonts w:ascii="Arial" w:cs="Arial" w:eastAsia="Arial" w:hAnsi="Arial"/>
          <w:sz w:val="18"/>
          <w:szCs w:val="18"/>
          <w:color w:val="auto"/>
        </w:rPr>
        <w:t>The recent tax reform legislation, which was signed into law on December 22,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40" w:right="1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Probody platform, our product candidates or future development programs;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common stock could incur substantial losses.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stock price is volatile. From October 8, 2015, the first day of trading our common stock, through August 6, 2018, our stock had high and low sales prices in the range of $9.01 and $35.00 per share. The market price for our common stock may be influenced by many factors, including the other risks described in this section titled “Risk Factors” and the following:</w:t>
      </w:r>
    </w:p>
    <w:p>
      <w:pPr>
        <w:spacing w:after="0" w:line="73"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of our product candidates, or those of our competitors or our collaborators;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66" w:name="page67"/>
    <w:bookmarkEnd w:id="66"/>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concerning any future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449" w:right="379" w:bottom="1440" w:gutter="0" w:footer="0" w:header="0"/>
        </w:sectPr>
      </w:pPr>
    </w:p>
    <w:bookmarkStart w:id="67" w:name="page68"/>
    <w:bookmarkEnd w:id="67"/>
    <w:p>
      <w:pPr>
        <w:ind w:right="900"/>
        <w:spacing w:after="0" w:line="277" w:lineRule="auto"/>
        <w:rPr>
          <w:sz w:val="20"/>
          <w:szCs w:val="20"/>
          <w:color w:val="auto"/>
        </w:rPr>
      </w:pPr>
      <w:r>
        <w:rPr>
          <w:rFonts w:ascii="Arial" w:cs="Arial" w:eastAsia="Arial" w:hAnsi="Arial"/>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Each of our executive officers is entitled to receive a lump sum payment equal to nine months or one year of his or her base salary as well as continued medical and dental coverage for a period of nine months or one year following his or her termination of employment due to good reason or without cause. In the event of a change in control and a termination of employment without cause or due to good reason, each of our executive officers would similarly receive nine months or one year of his or her base salary as well as continued medical and dental coverage for a period of nine months or one year, as well as an additional lump sum payment equal to three-fourths or 100%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market for our common stock may not be maintained.</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3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3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of June 30, 2018, our executive officers, directors, holders of 5% or more of our capital stock based on publicly available filings made with the SEC and their respective affiliates beneficially owned approximately 38.8%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301" w:lineRule="exact"/>
        <w:rPr>
          <w:sz w:val="20"/>
          <w:szCs w:val="20"/>
          <w:color w:val="auto"/>
        </w:rPr>
      </w:pPr>
    </w:p>
    <w:p>
      <w:pPr>
        <w:ind w:right="10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0" w:lineRule="exact"/>
        <w:rPr>
          <w:sz w:val="20"/>
          <w:szCs w:val="20"/>
          <w:color w:val="auto"/>
        </w:rPr>
      </w:pPr>
    </w:p>
    <w:p>
      <w:pPr>
        <w:ind w:left="5620" w:right="5620" w:hanging="5099"/>
        <w:spacing w:after="0" w:line="432" w:lineRule="auto"/>
        <w:tabs>
          <w:tab w:leader="none" w:pos="1031"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prohibition on actions by our stockholders by written consent;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8" w:name="page69"/>
    <w:bookmarkEnd w:id="68"/>
    <w:p>
      <w:pPr>
        <w:ind w:left="1040" w:right="60" w:hanging="519"/>
        <w:spacing w:after="0" w:line="25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80"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2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62"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As a public company, and particularly after we are no longer an emerging growth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not able to implement the requirements of Section 404 of the Sarbanes-Oxley Act of 2002 in a timely manner or with adequate compliance, we may be subject to sanctions by regulatory authorities.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will be evaluating our internal controls systems to allow management to report on, and eventually our independent auditors will attest to, the effectiveness of the operation of our internal controls. We will be performing the system and process evaluation and testing (and any necessary remediation) required to comply with the management certification and eventual auditor attestation requirements of Section 404 of the Sarbanes-Oxley Act of 2002. Based on our market capitalization at June 30, 2018, we will cease to be an emerging growth company at December 31, 2018 and, accordingly, we will be required to comply with the auditor attestation requirements of Section 404 to include an opinion from our independent registered public accounting firm on the effectiveness of our internal controls over financial reporting for our 2018 Annual Report.</w:t>
      </w:r>
    </w:p>
    <w:p>
      <w:pPr>
        <w:spacing w:after="0" w:line="18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cannot be certain as to the timing of completion of our evaluation, testing and remediation action or the impact of the same on our operations. If we are not able to comply with the requirements of Section 404 in a timely manner,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2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our expected stock volatility.</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81"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If any of our stockholders were to bring a lawsuit of this type against us, even if the lawsuit is without merit, we could incur substantial costs defending the lawsuit. The lawsuit could also divert the time and attention of our management.</w:t>
      </w:r>
    </w:p>
    <w:p>
      <w:pPr>
        <w:spacing w:after="0" w:line="26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Shares or of Company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380" w:type="dxa"/>
            <w:vAlign w:val="bottom"/>
            <w:gridSpan w:val="11"/>
          </w:tcPr>
          <w:p>
            <w:pPr>
              <w:ind w:left="40"/>
              <w:spacing w:after="0"/>
              <w:rPr>
                <w:sz w:val="20"/>
                <w:szCs w:val="20"/>
                <w:color w:val="auto"/>
              </w:rPr>
            </w:pPr>
            <w:r>
              <w:rPr>
                <w:rFonts w:ascii="Arial" w:cs="Arial" w:eastAsia="Arial" w:hAnsi="Arial"/>
                <w:sz w:val="18"/>
                <w:szCs w:val="18"/>
                <w:b w:val="1"/>
                <w:bCs w:val="1"/>
                <w:color w:val="auto"/>
              </w:rPr>
              <w:t>Exhibits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6"/>
              </w:rPr>
              <w:t>Incorporated by Reference</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1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80" w:type="dxa"/>
            <w:vAlign w:val="bottom"/>
            <w:gridSpan w:val="7"/>
            <w:vMerge w:val="restart"/>
          </w:tcPr>
          <w:p>
            <w:pPr>
              <w:ind w:left="9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0"/>
                <w:szCs w:val="10"/>
                <w:color w:val="auto"/>
              </w:rPr>
            </w:pPr>
          </w:p>
        </w:tc>
        <w:tc>
          <w:tcPr>
            <w:tcW w:w="9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Form</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0"/>
                <w:szCs w:val="10"/>
                <w:color w:val="auto"/>
              </w:rPr>
            </w:pPr>
          </w:p>
        </w:tc>
        <w:tc>
          <w:tcPr>
            <w:tcW w:w="240" w:type="dxa"/>
            <w:vAlign w:val="bottom"/>
            <w:vMerge w:val="restart"/>
          </w:tcPr>
          <w:p>
            <w:pPr>
              <w:spacing w:after="0"/>
              <w:rPr>
                <w:sz w:val="10"/>
                <w:szCs w:val="10"/>
                <w:color w:val="auto"/>
              </w:rPr>
            </w:pPr>
          </w:p>
        </w:tc>
        <w:tc>
          <w:tcPr>
            <w:tcW w:w="9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7"/>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1"/>
        </w:trPr>
        <w:tc>
          <w:tcPr>
            <w:tcW w:w="1160" w:type="dxa"/>
            <w:vAlign w:val="bottom"/>
          </w:tcPr>
          <w:p>
            <w:pPr>
              <w:jc w:val="center"/>
              <w:ind w:left="54"/>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3740" w:type="dxa"/>
            <w:vAlign w:val="bottom"/>
            <w:tcBorders>
              <w:bottom w:val="single" w:sz="8" w:color="0000EE"/>
            </w:tcBorders>
            <w:gridSpan w:val="5"/>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Amended and Restated Certificate of Incorporation.</w:t>
              </w:r>
            </w:hyperlink>
          </w:p>
        </w:tc>
        <w:tc>
          <w:tcPr>
            <w:tcW w:w="1520" w:type="dxa"/>
            <w:vAlign w:val="bottom"/>
            <w:gridSpan w:val="5"/>
          </w:tcPr>
          <w:p>
            <w:pPr>
              <w:spacing w:after="0"/>
              <w:rPr>
                <w:sz w:val="24"/>
                <w:szCs w:val="24"/>
                <w:color w:val="auto"/>
              </w:rPr>
            </w:pPr>
          </w:p>
        </w:tc>
        <w:tc>
          <w:tcPr>
            <w:tcW w:w="920" w:type="dxa"/>
            <w:vAlign w:val="bottom"/>
          </w:tcPr>
          <w:p>
            <w:pPr>
              <w:jc w:val="center"/>
              <w:ind w:left="274"/>
              <w:spacing w:after="0"/>
              <w:rPr>
                <w:sz w:val="20"/>
                <w:szCs w:val="20"/>
                <w:color w:val="auto"/>
              </w:rPr>
            </w:pPr>
            <w:r>
              <w:rPr>
                <w:rFonts w:ascii="Arial" w:cs="Arial" w:eastAsia="Arial" w:hAnsi="Arial"/>
                <w:sz w:val="18"/>
                <w:szCs w:val="18"/>
                <w:color w:val="auto"/>
                <w:w w:val="99"/>
              </w:rPr>
              <w:t>8-K</w:t>
            </w:r>
          </w:p>
        </w:tc>
        <w:tc>
          <w:tcPr>
            <w:tcW w:w="1580" w:type="dxa"/>
            <w:vAlign w:val="bottom"/>
            <w:gridSpan w:val="4"/>
          </w:tcPr>
          <w:p>
            <w:pPr>
              <w:jc w:val="right"/>
              <w:ind w:right="100"/>
              <w:spacing w:after="0"/>
              <w:rPr>
                <w:sz w:val="20"/>
                <w:szCs w:val="20"/>
                <w:color w:val="auto"/>
              </w:rPr>
            </w:pPr>
            <w:r>
              <w:rPr>
                <w:rFonts w:ascii="Arial" w:cs="Arial" w:eastAsia="Arial" w:hAnsi="Arial"/>
                <w:sz w:val="18"/>
                <w:szCs w:val="18"/>
                <w:color w:val="auto"/>
              </w:rPr>
              <w:t>10/19/2015</w:t>
            </w:r>
          </w:p>
        </w:tc>
        <w:tc>
          <w:tcPr>
            <w:tcW w:w="240" w:type="dxa"/>
            <w:vAlign w:val="bottom"/>
          </w:tcPr>
          <w:p>
            <w:pPr>
              <w:spacing w:after="0"/>
              <w:rPr>
                <w:sz w:val="24"/>
                <w:szCs w:val="24"/>
                <w:color w:val="auto"/>
              </w:rPr>
            </w:pPr>
          </w:p>
        </w:tc>
        <w:tc>
          <w:tcPr>
            <w:tcW w:w="900" w:type="dxa"/>
            <w:vAlign w:val="bottom"/>
          </w:tcPr>
          <w:p>
            <w:pPr>
              <w:jc w:val="right"/>
              <w:ind w:right="31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54"/>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2300" w:type="dxa"/>
            <w:vAlign w:val="bottom"/>
            <w:tcBorders>
              <w:bottom w:val="single" w:sz="8" w:color="0000EE"/>
            </w:tcBorders>
            <w:gridSpan w:val="3"/>
          </w:tcPr>
          <w:p>
            <w:pPr>
              <w:spacing w:after="0"/>
              <w:rPr>
                <w:rFonts w:ascii="Arial" w:cs="Arial" w:eastAsia="Arial" w:hAnsi="Arial"/>
                <w:sz w:val="18"/>
                <w:szCs w:val="18"/>
                <w:color w:val="0000EE"/>
                <w:w w:val="88"/>
              </w:rPr>
            </w:pPr>
            <w:hyperlink r:id="rId93">
              <w:r>
                <w:rPr>
                  <w:rFonts w:ascii="Arial" w:cs="Arial" w:eastAsia="Arial" w:hAnsi="Arial"/>
                  <w:sz w:val="18"/>
                  <w:szCs w:val="18"/>
                  <w:color w:val="0000EE"/>
                  <w:w w:val="88"/>
                </w:rPr>
                <w:t>Amended and Restated Bylaws.</w:t>
              </w:r>
            </w:hyperlink>
          </w:p>
        </w:tc>
        <w:tc>
          <w:tcPr>
            <w:tcW w:w="2960" w:type="dxa"/>
            <w:vAlign w:val="bottom"/>
            <w:gridSpan w:val="7"/>
          </w:tcPr>
          <w:p>
            <w:pPr>
              <w:spacing w:after="0"/>
              <w:rPr>
                <w:sz w:val="24"/>
                <w:szCs w:val="24"/>
                <w:color w:val="auto"/>
              </w:rPr>
            </w:pPr>
          </w:p>
        </w:tc>
        <w:tc>
          <w:tcPr>
            <w:tcW w:w="920" w:type="dxa"/>
            <w:vAlign w:val="bottom"/>
          </w:tcPr>
          <w:p>
            <w:pPr>
              <w:jc w:val="center"/>
              <w:ind w:left="274"/>
              <w:spacing w:after="0"/>
              <w:rPr>
                <w:sz w:val="20"/>
                <w:szCs w:val="20"/>
                <w:color w:val="auto"/>
              </w:rPr>
            </w:pPr>
            <w:r>
              <w:rPr>
                <w:rFonts w:ascii="Arial" w:cs="Arial" w:eastAsia="Arial" w:hAnsi="Arial"/>
                <w:sz w:val="18"/>
                <w:szCs w:val="18"/>
                <w:color w:val="auto"/>
                <w:w w:val="99"/>
              </w:rPr>
              <w:t>8-K</w:t>
            </w:r>
          </w:p>
        </w:tc>
        <w:tc>
          <w:tcPr>
            <w:tcW w:w="1580" w:type="dxa"/>
            <w:vAlign w:val="bottom"/>
            <w:gridSpan w:val="4"/>
          </w:tcPr>
          <w:p>
            <w:pPr>
              <w:jc w:val="right"/>
              <w:ind w:right="100"/>
              <w:spacing w:after="0"/>
              <w:rPr>
                <w:sz w:val="20"/>
                <w:szCs w:val="20"/>
                <w:color w:val="auto"/>
              </w:rPr>
            </w:pPr>
            <w:r>
              <w:rPr>
                <w:rFonts w:ascii="Arial" w:cs="Arial" w:eastAsia="Arial" w:hAnsi="Arial"/>
                <w:sz w:val="18"/>
                <w:szCs w:val="18"/>
                <w:color w:val="auto"/>
              </w:rPr>
              <w:t>10/19/2015</w:t>
            </w:r>
          </w:p>
        </w:tc>
        <w:tc>
          <w:tcPr>
            <w:tcW w:w="240" w:type="dxa"/>
            <w:vAlign w:val="bottom"/>
          </w:tcPr>
          <w:p>
            <w:pPr>
              <w:spacing w:after="0"/>
              <w:rPr>
                <w:sz w:val="24"/>
                <w:szCs w:val="24"/>
                <w:color w:val="auto"/>
              </w:rPr>
            </w:pPr>
          </w:p>
        </w:tc>
        <w:tc>
          <w:tcPr>
            <w:tcW w:w="900" w:type="dxa"/>
            <w:vAlign w:val="bottom"/>
          </w:tcPr>
          <w:p>
            <w:pPr>
              <w:jc w:val="right"/>
              <w:ind w:right="31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60" w:type="dxa"/>
            <w:vAlign w:val="bottom"/>
          </w:tcPr>
          <w:p>
            <w:pPr>
              <w:jc w:val="center"/>
              <w:ind w:left="54"/>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5260" w:type="dxa"/>
            <w:vAlign w:val="bottom"/>
            <w:gridSpan w:val="10"/>
          </w:tcPr>
          <w:p>
            <w:pPr>
              <w:spacing w:after="0"/>
              <w:rPr>
                <w:sz w:val="20"/>
                <w:szCs w:val="20"/>
                <w:color w:val="auto"/>
              </w:rPr>
            </w:pPr>
            <w:r>
              <w:rPr>
                <w:rFonts w:ascii="Arial" w:cs="Arial" w:eastAsia="Arial" w:hAnsi="Arial"/>
                <w:sz w:val="18"/>
                <w:szCs w:val="18"/>
                <w:color w:val="auto"/>
              </w:rPr>
              <w:t>Reference is made to Exhibits 3.1 through 3.2.</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60" w:type="dxa"/>
            <w:vAlign w:val="bottom"/>
          </w:tcPr>
          <w:p>
            <w:pPr>
              <w:jc w:val="center"/>
              <w:ind w:left="54"/>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5260" w:type="dxa"/>
            <w:vAlign w:val="bottom"/>
            <w:gridSpan w:val="10"/>
          </w:tcPr>
          <w:p>
            <w:pPr>
              <w:spacing w:after="0"/>
              <w:rPr>
                <w:rFonts w:ascii="Arial" w:cs="Arial" w:eastAsia="Arial" w:hAnsi="Arial"/>
                <w:sz w:val="18"/>
                <w:szCs w:val="18"/>
                <w:color w:val="0000EE"/>
              </w:rPr>
            </w:pPr>
            <w:hyperlink r:id="rId94">
              <w:r>
                <w:rPr>
                  <w:rFonts w:ascii="Arial" w:cs="Arial" w:eastAsia="Arial" w:hAnsi="Arial"/>
                  <w:sz w:val="18"/>
                  <w:szCs w:val="18"/>
                  <w:color w:val="0000EE"/>
                </w:rPr>
                <w:t>Specimen Common Stock Certificate</w:t>
              </w:r>
            </w:hyperlink>
          </w:p>
        </w:tc>
        <w:tc>
          <w:tcPr>
            <w:tcW w:w="920" w:type="dxa"/>
            <w:vAlign w:val="bottom"/>
          </w:tcPr>
          <w:p>
            <w:pPr>
              <w:jc w:val="center"/>
              <w:ind w:left="274"/>
              <w:spacing w:after="0"/>
              <w:rPr>
                <w:sz w:val="20"/>
                <w:szCs w:val="20"/>
                <w:color w:val="auto"/>
              </w:rPr>
            </w:pPr>
            <w:r>
              <w:rPr>
                <w:rFonts w:ascii="Arial" w:cs="Arial" w:eastAsia="Arial" w:hAnsi="Arial"/>
                <w:sz w:val="18"/>
                <w:szCs w:val="18"/>
                <w:color w:val="auto"/>
                <w:w w:val="97"/>
              </w:rPr>
              <w:t>S-1/A</w:t>
            </w:r>
          </w:p>
        </w:tc>
        <w:tc>
          <w:tcPr>
            <w:tcW w:w="1580" w:type="dxa"/>
            <w:vAlign w:val="bottom"/>
            <w:gridSpan w:val="4"/>
          </w:tcPr>
          <w:p>
            <w:pPr>
              <w:jc w:val="right"/>
              <w:ind w:right="100"/>
              <w:spacing w:after="0"/>
              <w:rPr>
                <w:sz w:val="20"/>
                <w:szCs w:val="20"/>
                <w:color w:val="auto"/>
              </w:rPr>
            </w:pPr>
            <w:r>
              <w:rPr>
                <w:rFonts w:ascii="Arial" w:cs="Arial" w:eastAsia="Arial" w:hAnsi="Arial"/>
                <w:sz w:val="18"/>
                <w:szCs w:val="18"/>
                <w:color w:val="auto"/>
              </w:rPr>
              <w:t>9/28/2015</w:t>
            </w:r>
          </w:p>
        </w:tc>
        <w:tc>
          <w:tcPr>
            <w:tcW w:w="240" w:type="dxa"/>
            <w:vAlign w:val="bottom"/>
          </w:tcPr>
          <w:p>
            <w:pPr>
              <w:spacing w:after="0"/>
              <w:rPr>
                <w:sz w:val="24"/>
                <w:szCs w:val="24"/>
                <w:color w:val="auto"/>
              </w:rPr>
            </w:pPr>
          </w:p>
        </w:tc>
        <w:tc>
          <w:tcPr>
            <w:tcW w:w="900" w:type="dxa"/>
            <w:vAlign w:val="bottom"/>
          </w:tcPr>
          <w:p>
            <w:pPr>
              <w:jc w:val="right"/>
              <w:ind w:right="31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54"/>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5000" w:type="dxa"/>
            <w:vAlign w:val="bottom"/>
            <w:tcBorders>
              <w:bottom w:val="single" w:sz="8" w:color="0000EE"/>
            </w:tcBorders>
            <w:gridSpan w:val="8"/>
          </w:tcPr>
          <w:p>
            <w:pPr>
              <w:spacing w:after="0"/>
              <w:rPr>
                <w:rFonts w:ascii="Arial" w:cs="Arial" w:eastAsia="Arial" w:hAnsi="Arial"/>
                <w:sz w:val="18"/>
                <w:szCs w:val="18"/>
                <w:color w:val="0000EE"/>
                <w:w w:val="89"/>
              </w:rPr>
            </w:pPr>
            <w:hyperlink r:id="rId95">
              <w:r>
                <w:rPr>
                  <w:rFonts w:ascii="Arial" w:cs="Arial" w:eastAsia="Arial" w:hAnsi="Arial"/>
                  <w:sz w:val="18"/>
                  <w:szCs w:val="18"/>
                  <w:color w:val="0000EE"/>
                  <w:w w:val="89"/>
                </w:rPr>
                <w:t>Amended and Restated Investors’ Rights Agreement dated as of June</w:t>
              </w:r>
            </w:hyperlink>
          </w:p>
        </w:tc>
        <w:tc>
          <w:tcPr>
            <w:tcW w:w="2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gridSpan w:val="10"/>
          </w:tcPr>
          <w:p>
            <w:pPr>
              <w:spacing w:after="0" w:line="196" w:lineRule="exact"/>
              <w:rPr>
                <w:rFonts w:ascii="Arial" w:cs="Arial" w:eastAsia="Arial" w:hAnsi="Arial"/>
                <w:sz w:val="18"/>
                <w:szCs w:val="18"/>
                <w:color w:val="0000EE"/>
                <w:w w:val="94"/>
              </w:rPr>
            </w:pPr>
            <w:hyperlink r:id="rId95">
              <w:r>
                <w:rPr>
                  <w:rFonts w:ascii="Arial" w:cs="Arial" w:eastAsia="Arial" w:hAnsi="Arial"/>
                  <w:sz w:val="18"/>
                  <w:szCs w:val="18"/>
                  <w:color w:val="0000EE"/>
                  <w:w w:val="94"/>
                </w:rPr>
                <w:t>12, 2015, by and among CytomX Therapeutics, Inc. and the investors</w:t>
              </w:r>
            </w:hyperlink>
          </w:p>
        </w:tc>
        <w:tc>
          <w:tcPr>
            <w:tcW w:w="920" w:type="dxa"/>
            <w:vAlign w:val="bottom"/>
          </w:tcPr>
          <w:p>
            <w:pPr>
              <w:jc w:val="center"/>
              <w:ind w:left="274"/>
              <w:spacing w:after="0" w:line="196" w:lineRule="exact"/>
              <w:rPr>
                <w:sz w:val="20"/>
                <w:szCs w:val="20"/>
                <w:color w:val="auto"/>
              </w:rPr>
            </w:pPr>
            <w:r>
              <w:rPr>
                <w:rFonts w:ascii="Arial" w:cs="Arial" w:eastAsia="Arial" w:hAnsi="Arial"/>
                <w:sz w:val="18"/>
                <w:szCs w:val="18"/>
                <w:color w:val="auto"/>
                <w:w w:val="85"/>
              </w:rPr>
              <w:t>S-1</w:t>
            </w:r>
          </w:p>
        </w:tc>
        <w:tc>
          <w:tcPr>
            <w:tcW w:w="1580" w:type="dxa"/>
            <w:vAlign w:val="bottom"/>
            <w:gridSpan w:val="4"/>
          </w:tcPr>
          <w:p>
            <w:pPr>
              <w:jc w:val="right"/>
              <w:ind w:right="100"/>
              <w:spacing w:after="0" w:line="196" w:lineRule="exact"/>
              <w:rPr>
                <w:sz w:val="20"/>
                <w:szCs w:val="20"/>
                <w:color w:val="auto"/>
              </w:rPr>
            </w:pPr>
            <w:r>
              <w:rPr>
                <w:rFonts w:ascii="Arial" w:cs="Arial" w:eastAsia="Arial" w:hAnsi="Arial"/>
                <w:sz w:val="18"/>
                <w:szCs w:val="18"/>
                <w:color w:val="auto"/>
              </w:rPr>
              <w:t>8/28/2015</w:t>
            </w:r>
          </w:p>
        </w:tc>
        <w:tc>
          <w:tcPr>
            <w:tcW w:w="240" w:type="dxa"/>
            <w:vAlign w:val="bottom"/>
          </w:tcPr>
          <w:p>
            <w:pPr>
              <w:spacing w:after="0"/>
              <w:rPr>
                <w:sz w:val="17"/>
                <w:szCs w:val="17"/>
                <w:color w:val="auto"/>
              </w:rPr>
            </w:pPr>
          </w:p>
        </w:tc>
        <w:tc>
          <w:tcPr>
            <w:tcW w:w="900" w:type="dxa"/>
            <w:vAlign w:val="bottom"/>
          </w:tcPr>
          <w:p>
            <w:pPr>
              <w:jc w:val="right"/>
              <w:ind w:right="314"/>
              <w:spacing w:after="0" w:line="196"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named therein.</w:t>
              </w:r>
            </w:hyperlink>
          </w:p>
        </w:tc>
        <w:tc>
          <w:tcPr>
            <w:tcW w:w="2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34"/>
              <w:spacing w:after="0"/>
              <w:rPr>
                <w:sz w:val="20"/>
                <w:szCs w:val="20"/>
                <w:color w:val="auto"/>
              </w:rPr>
            </w:pPr>
            <w:r>
              <w:rPr>
                <w:rFonts w:ascii="Arial" w:cs="Arial" w:eastAsia="Arial" w:hAnsi="Arial"/>
                <w:sz w:val="18"/>
                <w:szCs w:val="18"/>
                <w:color w:val="auto"/>
                <w:w w:val="91"/>
              </w:rPr>
              <w:t>10.1</w:t>
            </w:r>
            <w:r>
              <w:rPr>
                <w:rFonts w:ascii="Arial" w:cs="Arial" w:eastAsia="Arial" w:hAnsi="Arial"/>
                <w:sz w:val="15"/>
                <w:szCs w:val="15"/>
                <w:color w:val="auto"/>
                <w:w w:val="91"/>
              </w:rPr>
              <w:t>+</w:t>
            </w:r>
          </w:p>
        </w:tc>
        <w:tc>
          <w:tcPr>
            <w:tcW w:w="120" w:type="dxa"/>
            <w:vAlign w:val="bottom"/>
          </w:tcPr>
          <w:p>
            <w:pPr>
              <w:spacing w:after="0"/>
              <w:rPr>
                <w:sz w:val="24"/>
                <w:szCs w:val="24"/>
                <w:color w:val="auto"/>
              </w:rPr>
            </w:pPr>
          </w:p>
        </w:tc>
        <w:tc>
          <w:tcPr>
            <w:tcW w:w="45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Severance and Change of Control Agreement, by and between</w:t>
              </w:r>
            </w:hyperlink>
          </w:p>
        </w:tc>
        <w:tc>
          <w:tcPr>
            <w:tcW w:w="76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gridSpan w:val="10"/>
          </w:tcPr>
          <w:p>
            <w:pPr>
              <w:spacing w:after="0" w:line="196"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CytomX Therapeutics, Inc. and Lloyd Rowland, dated as of May 16,</w:t>
              </w:r>
            </w:hyperlink>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20" w:type="dxa"/>
            <w:vAlign w:val="bottom"/>
            <w:gridSpan w:val="2"/>
          </w:tcPr>
          <w:p>
            <w:pPr>
              <w:ind w:left="120"/>
              <w:spacing w:after="0" w:line="196" w:lineRule="exact"/>
              <w:rPr>
                <w:rFonts w:ascii="Arial" w:cs="Arial" w:eastAsia="Arial" w:hAnsi="Arial"/>
                <w:sz w:val="18"/>
                <w:szCs w:val="18"/>
                <w:color w:val="0000EE"/>
                <w:w w:val="84"/>
              </w:rPr>
            </w:pPr>
            <w:hyperlink w:anchor="page73">
              <w:r>
                <w:rPr>
                  <w:rFonts w:ascii="Arial" w:cs="Arial" w:eastAsia="Arial" w:hAnsi="Arial"/>
                  <w:sz w:val="18"/>
                  <w:szCs w:val="18"/>
                  <w:color w:val="0000EE"/>
                  <w:w w:val="84"/>
                </w:rPr>
                <w:t>2018.</w:t>
              </w:r>
            </w:hyperlink>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337" w:right="239" w:bottom="1440" w:gutter="0" w:footer="0" w:header="0"/>
        </w:sectPr>
      </w:pPr>
    </w:p>
    <w:p>
      <w:pPr>
        <w:ind w:left="1280" w:right="3720" w:hanging="787"/>
        <w:spacing w:after="0" w:line="277"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80">
        <w:r>
          <w:rPr>
            <w:rFonts w:ascii="Arial" w:cs="Arial" w:eastAsia="Arial" w:hAnsi="Arial"/>
            <w:sz w:val="18"/>
            <w:szCs w:val="18"/>
            <w:u w:val="single" w:color="auto"/>
            <w:color w:val="0000EE"/>
          </w:rPr>
          <w:t>Certification of Chief Executive Officer required by Rule 13a-14(a) or</w:t>
        </w:r>
      </w:hyperlink>
      <w:r>
        <w:rPr>
          <w:rFonts w:ascii="Arial" w:cs="Arial" w:eastAsia="Arial" w:hAnsi="Arial"/>
          <w:sz w:val="18"/>
          <w:szCs w:val="18"/>
          <w:u w:val="single" w:color="auto"/>
          <w:color w:val="0000EE"/>
        </w:rPr>
        <w:t xml:space="preserve"> </w:t>
      </w:r>
      <w:hyperlink w:anchor="page80">
        <w:r>
          <w:rPr>
            <w:rFonts w:ascii="Arial" w:cs="Arial" w:eastAsia="Arial" w:hAnsi="Arial"/>
            <w:sz w:val="18"/>
            <w:szCs w:val="18"/>
            <w:u w:val="single" w:color="auto"/>
            <w:color w:val="0000EE"/>
          </w:rPr>
          <w:t>Rule 15d-14(a).</w:t>
        </w:r>
      </w:hyperlink>
    </w:p>
    <w:p>
      <w:pPr>
        <w:spacing w:after="0" w:line="76" w:lineRule="exact"/>
        <w:rPr>
          <w:sz w:val="20"/>
          <w:szCs w:val="20"/>
          <w:color w:val="auto"/>
        </w:rPr>
      </w:pPr>
    </w:p>
    <w:p>
      <w:pPr>
        <w:ind w:left="1280" w:right="3760" w:hanging="784"/>
        <w:spacing w:after="0" w:line="277"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81">
        <w:r>
          <w:rPr>
            <w:rFonts w:ascii="Arial" w:cs="Arial" w:eastAsia="Arial" w:hAnsi="Arial"/>
            <w:sz w:val="18"/>
            <w:szCs w:val="18"/>
            <w:u w:val="single" w:color="auto"/>
            <w:color w:val="0000EE"/>
          </w:rPr>
          <w:t>Certification of Chief Financial Officer required by Rule 13a-14(a) or</w:t>
        </w:r>
      </w:hyperlink>
      <w:r>
        <w:rPr>
          <w:rFonts w:ascii="Arial" w:cs="Arial" w:eastAsia="Arial" w:hAnsi="Arial"/>
          <w:sz w:val="18"/>
          <w:szCs w:val="18"/>
          <w:u w:val="single" w:color="auto"/>
          <w:color w:val="0000EE"/>
        </w:rPr>
        <w:t xml:space="preserve"> </w:t>
      </w:r>
      <w:hyperlink w:anchor="page81">
        <w:r>
          <w:rPr>
            <w:rFonts w:ascii="Arial" w:cs="Arial" w:eastAsia="Arial" w:hAnsi="Arial"/>
            <w:sz w:val="18"/>
            <w:szCs w:val="18"/>
            <w:u w:val="single" w:color="auto"/>
            <w:color w:val="0000EE"/>
          </w:rPr>
          <w:t>Rule 15d-14(a).</w:t>
        </w:r>
      </w:hyperlink>
    </w:p>
    <w:p>
      <w:pPr>
        <w:spacing w:after="0" w:line="76" w:lineRule="exact"/>
        <w:rPr>
          <w:sz w:val="20"/>
          <w:szCs w:val="20"/>
          <w:color w:val="auto"/>
        </w:rPr>
      </w:pPr>
    </w:p>
    <w:p>
      <w:pPr>
        <w:ind w:left="1280" w:right="3700" w:hanging="832"/>
        <w:spacing w:after="0" w:line="264"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82">
        <w:r>
          <w:rPr>
            <w:rFonts w:ascii="Arial" w:cs="Arial" w:eastAsia="Arial" w:hAnsi="Arial"/>
            <w:sz w:val="18"/>
            <w:szCs w:val="18"/>
            <w:u w:val="single" w:color="auto"/>
            <w:color w:val="0000EE"/>
          </w:rPr>
          <w:t>Certification of Chief Executive Officer required by Rule 13a-14(b) or</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Rule 15d-14(b) and Section 1350 of Chapter 63 of Title 18 of the</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United States Code (18 U.S.C. §1350).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88"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X</w:t>
      </w:r>
    </w:p>
    <w:p>
      <w:pPr>
        <w:spacing w:after="0" w:line="347"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EE"/>
        </w:rPr>
      </w:pPr>
    </w:p>
    <w:p>
      <w:pPr>
        <w:spacing w:after="0" w:line="25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X</w:t>
      </w:r>
    </w:p>
    <w:p>
      <w:pPr>
        <w:spacing w:after="0" w:line="329" w:lineRule="exact"/>
        <w:rPr>
          <w:rFonts w:ascii="Arial" w:cs="Arial" w:eastAsia="Arial" w:hAnsi="Arial"/>
          <w:sz w:val="18"/>
          <w:szCs w:val="18"/>
          <w:u w:val="single" w:color="auto"/>
          <w:color w:val="0000EE"/>
        </w:rPr>
      </w:pPr>
    </w:p>
    <w:p>
      <w:pPr>
        <w:sectPr>
          <w:pgSz w:w="11900" w:h="16838" w:orient="portrait"/>
          <w:cols w:equalWidth="0" w:num="2">
            <w:col w:w="10060" w:space="720"/>
            <w:col w:w="640"/>
          </w:cols>
          <w:pgMar w:left="240" w:top="337" w:right="239" w:bottom="1440" w:gutter="0" w:footer="0" w:header="0"/>
          <w:type w:val="continuous"/>
        </w:sectPr>
      </w:pPr>
    </w:p>
    <w:tbl>
      <w:tblPr>
        <w:tblLayout w:type="fixed"/>
        <w:tblInd w:w="300" w:type="dxa"/>
        <w:tblCellMar>
          <w:top w:w="0" w:type="dxa"/>
          <w:left w:w="0" w:type="dxa"/>
          <w:bottom w:w="0" w:type="dxa"/>
          <w:right w:w="0" w:type="dxa"/>
        </w:tblCellMar>
      </w:tblPr>
      <w:tr>
        <w:trPr>
          <w:trHeight w:val="207"/>
        </w:trPr>
        <w:tc>
          <w:tcPr>
            <w:tcW w:w="980" w:type="dxa"/>
            <w:vAlign w:val="bottom"/>
          </w:tcPr>
          <w:p>
            <w:pPr>
              <w:jc w:val="center"/>
              <w:ind w:right="190"/>
              <w:spacing w:after="0"/>
              <w:rPr>
                <w:sz w:val="20"/>
                <w:szCs w:val="20"/>
                <w:color w:val="auto"/>
              </w:rPr>
            </w:pPr>
            <w:r>
              <w:rPr>
                <w:rFonts w:ascii="Arial" w:cs="Arial" w:eastAsia="Arial" w:hAnsi="Arial"/>
                <w:sz w:val="18"/>
                <w:szCs w:val="18"/>
                <w:color w:val="auto"/>
                <w:w w:val="99"/>
              </w:rPr>
              <w:t>32.2*</w:t>
            </w:r>
          </w:p>
        </w:tc>
        <w:tc>
          <w:tcPr>
            <w:tcW w:w="7260" w:type="dxa"/>
            <w:vAlign w:val="bottom"/>
            <w:gridSpan w:val="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Certification of Chief Financial Officer required by Rule 13a-14(b) or</w:t>
              </w:r>
            </w:hyperlink>
          </w:p>
        </w:tc>
        <w:tc>
          <w:tcPr>
            <w:tcW w:w="23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020" w:type="dxa"/>
            <w:vAlign w:val="bottom"/>
            <w:tcBorders>
              <w:top w:val="single" w:sz="8" w:color="0000EE"/>
            </w:tcBorders>
            <w:gridSpan w:val="3"/>
          </w:tcPr>
          <w:p>
            <w:pPr>
              <w:spacing w:after="0" w:line="196"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Rule 15d-14(b) and Section 1350 of Chapter 63 of Title 18 of the</w:t>
              </w:r>
            </w:hyperlink>
          </w:p>
        </w:tc>
        <w:tc>
          <w:tcPr>
            <w:tcW w:w="2240" w:type="dxa"/>
            <w:vAlign w:val="bottom"/>
          </w:tcPr>
          <w:p>
            <w:pPr>
              <w:spacing w:after="0"/>
              <w:rPr>
                <w:sz w:val="17"/>
                <w:szCs w:val="17"/>
                <w:color w:val="auto"/>
              </w:rPr>
            </w:pPr>
          </w:p>
        </w:tc>
        <w:tc>
          <w:tcPr>
            <w:tcW w:w="2380" w:type="dxa"/>
            <w:vAlign w:val="bottom"/>
          </w:tcPr>
          <w:p>
            <w:pPr>
              <w:ind w:left="2240"/>
              <w:spacing w:after="0" w:line="196" w:lineRule="exact"/>
              <w:rPr>
                <w:sz w:val="20"/>
                <w:szCs w:val="20"/>
                <w:color w:val="auto"/>
              </w:rPr>
            </w:pPr>
            <w:r>
              <w:rPr>
                <w:rFonts w:ascii="Arial" w:cs="Arial" w:eastAsia="Arial" w:hAnsi="Arial"/>
                <w:sz w:val="18"/>
                <w:szCs w:val="18"/>
                <w:color w:val="auto"/>
                <w:w w:val="99"/>
              </w:rPr>
              <w:t>X</w:t>
            </w:r>
          </w:p>
        </w:tc>
      </w:tr>
      <w:tr>
        <w:trPr>
          <w:trHeight w:val="196"/>
        </w:trPr>
        <w:tc>
          <w:tcPr>
            <w:tcW w:w="980" w:type="dxa"/>
            <w:vAlign w:val="bottom"/>
          </w:tcPr>
          <w:p>
            <w:pPr>
              <w:spacing w:after="0"/>
              <w:rPr>
                <w:sz w:val="17"/>
                <w:szCs w:val="17"/>
                <w:color w:val="auto"/>
              </w:rPr>
            </w:pPr>
          </w:p>
        </w:tc>
        <w:tc>
          <w:tcPr>
            <w:tcW w:w="46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United States Code (18 U.S.C. §1350).</w:t>
              </w:r>
            </w:hyperlink>
          </w:p>
        </w:tc>
        <w:tc>
          <w:tcPr>
            <w:tcW w:w="2580" w:type="dxa"/>
            <w:vAlign w:val="bottom"/>
            <w:gridSpan w:val="2"/>
          </w:tcPr>
          <w:p>
            <w:pPr>
              <w:spacing w:after="0"/>
              <w:rPr>
                <w:sz w:val="17"/>
                <w:szCs w:val="17"/>
                <w:color w:val="auto"/>
              </w:rPr>
            </w:pPr>
          </w:p>
        </w:tc>
        <w:tc>
          <w:tcPr>
            <w:tcW w:w="2380" w:type="dxa"/>
            <w:vAlign w:val="bottom"/>
          </w:tcPr>
          <w:p>
            <w:pPr>
              <w:spacing w:after="0"/>
              <w:rPr>
                <w:sz w:val="17"/>
                <w:szCs w:val="17"/>
                <w:color w:val="auto"/>
              </w:rPr>
            </w:pPr>
          </w:p>
        </w:tc>
      </w:tr>
      <w:tr>
        <w:trPr>
          <w:trHeight w:val="358"/>
        </w:trPr>
        <w:tc>
          <w:tcPr>
            <w:tcW w:w="980" w:type="dxa"/>
            <w:vAlign w:val="bottom"/>
          </w:tcPr>
          <w:p>
            <w:pPr>
              <w:jc w:val="center"/>
              <w:ind w:right="190"/>
              <w:spacing w:after="0"/>
              <w:rPr>
                <w:sz w:val="20"/>
                <w:szCs w:val="20"/>
                <w:color w:val="auto"/>
              </w:rPr>
            </w:pPr>
            <w:r>
              <w:rPr>
                <w:rFonts w:ascii="Arial" w:cs="Arial" w:eastAsia="Arial" w:hAnsi="Arial"/>
                <w:sz w:val="18"/>
                <w:szCs w:val="18"/>
                <w:color w:val="auto"/>
                <w:w w:val="95"/>
              </w:rPr>
              <w:t>101.INS</w:t>
            </w:r>
          </w:p>
        </w:tc>
        <w:tc>
          <w:tcPr>
            <w:tcW w:w="28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4460" w:type="dxa"/>
            <w:vAlign w:val="bottom"/>
            <w:gridSpan w:val="3"/>
          </w:tcPr>
          <w:p>
            <w:pPr>
              <w:spacing w:after="0"/>
              <w:rPr>
                <w:sz w:val="24"/>
                <w:szCs w:val="24"/>
                <w:color w:val="auto"/>
              </w:rPr>
            </w:pPr>
          </w:p>
        </w:tc>
        <w:tc>
          <w:tcPr>
            <w:tcW w:w="2380" w:type="dxa"/>
            <w:vAlign w:val="bottom"/>
          </w:tcPr>
          <w:p>
            <w:pPr>
              <w:ind w:left="2240"/>
              <w:spacing w:after="0"/>
              <w:rPr>
                <w:sz w:val="20"/>
                <w:szCs w:val="20"/>
                <w:color w:val="auto"/>
              </w:rPr>
            </w:pPr>
            <w:r>
              <w:rPr>
                <w:rFonts w:ascii="Arial" w:cs="Arial" w:eastAsia="Arial" w:hAnsi="Arial"/>
                <w:sz w:val="18"/>
                <w:szCs w:val="18"/>
                <w:color w:val="auto"/>
                <w:w w:val="99"/>
              </w:rPr>
              <w:t>X</w:t>
            </w:r>
          </w:p>
        </w:tc>
      </w:tr>
      <w:tr>
        <w:trPr>
          <w:trHeight w:val="338"/>
        </w:trPr>
        <w:tc>
          <w:tcPr>
            <w:tcW w:w="980" w:type="dxa"/>
            <w:vAlign w:val="bottom"/>
          </w:tcPr>
          <w:p>
            <w:pPr>
              <w:jc w:val="center"/>
              <w:ind w:right="190"/>
              <w:spacing w:after="0"/>
              <w:rPr>
                <w:sz w:val="20"/>
                <w:szCs w:val="20"/>
                <w:color w:val="auto"/>
              </w:rPr>
            </w:pPr>
            <w:r>
              <w:rPr>
                <w:rFonts w:ascii="Arial" w:cs="Arial" w:eastAsia="Arial" w:hAnsi="Arial"/>
                <w:sz w:val="18"/>
                <w:szCs w:val="18"/>
                <w:color w:val="auto"/>
                <w:w w:val="90"/>
              </w:rPr>
              <w:t>101.SCH</w:t>
            </w:r>
          </w:p>
        </w:tc>
        <w:tc>
          <w:tcPr>
            <w:tcW w:w="72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2380" w:type="dxa"/>
            <w:vAlign w:val="bottom"/>
          </w:tcPr>
          <w:p>
            <w:pPr>
              <w:ind w:left="2240"/>
              <w:spacing w:after="0"/>
              <w:rPr>
                <w:sz w:val="20"/>
                <w:szCs w:val="20"/>
                <w:color w:val="auto"/>
              </w:rPr>
            </w:pPr>
            <w:r>
              <w:rPr>
                <w:rFonts w:ascii="Arial" w:cs="Arial" w:eastAsia="Arial" w:hAnsi="Arial"/>
                <w:sz w:val="18"/>
                <w:szCs w:val="18"/>
                <w:color w:val="auto"/>
                <w:w w:val="99"/>
              </w:rPr>
              <w:t>X</w:t>
            </w:r>
          </w:p>
        </w:tc>
      </w:tr>
      <w:tr>
        <w:trPr>
          <w:trHeight w:val="338"/>
        </w:trPr>
        <w:tc>
          <w:tcPr>
            <w:tcW w:w="980" w:type="dxa"/>
            <w:vAlign w:val="bottom"/>
          </w:tcPr>
          <w:p>
            <w:pPr>
              <w:jc w:val="center"/>
              <w:ind w:right="210"/>
              <w:spacing w:after="0"/>
              <w:rPr>
                <w:sz w:val="20"/>
                <w:szCs w:val="20"/>
                <w:color w:val="auto"/>
              </w:rPr>
            </w:pPr>
            <w:r>
              <w:rPr>
                <w:rFonts w:ascii="Arial" w:cs="Arial" w:eastAsia="Arial" w:hAnsi="Arial"/>
                <w:sz w:val="18"/>
                <w:szCs w:val="18"/>
                <w:color w:val="auto"/>
                <w:w w:val="97"/>
              </w:rPr>
              <w:t>101.CAL</w:t>
            </w:r>
          </w:p>
        </w:tc>
        <w:tc>
          <w:tcPr>
            <w:tcW w:w="72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380" w:type="dxa"/>
            <w:vAlign w:val="bottom"/>
          </w:tcPr>
          <w:p>
            <w:pPr>
              <w:ind w:left="2240"/>
              <w:spacing w:after="0"/>
              <w:rPr>
                <w:sz w:val="20"/>
                <w:szCs w:val="20"/>
                <w:color w:val="auto"/>
              </w:rPr>
            </w:pPr>
            <w:r>
              <w:rPr>
                <w:rFonts w:ascii="Arial" w:cs="Arial" w:eastAsia="Arial" w:hAnsi="Arial"/>
                <w:sz w:val="18"/>
                <w:szCs w:val="18"/>
                <w:color w:val="auto"/>
                <w:w w:val="99"/>
              </w:rPr>
              <w:t>X</w:t>
            </w:r>
          </w:p>
        </w:tc>
      </w:tr>
      <w:tr>
        <w:trPr>
          <w:trHeight w:val="338"/>
        </w:trPr>
        <w:tc>
          <w:tcPr>
            <w:tcW w:w="980" w:type="dxa"/>
            <w:vAlign w:val="bottom"/>
          </w:tcPr>
          <w:p>
            <w:pPr>
              <w:jc w:val="center"/>
              <w:ind w:right="190"/>
              <w:spacing w:after="0"/>
              <w:rPr>
                <w:sz w:val="20"/>
                <w:szCs w:val="20"/>
                <w:color w:val="auto"/>
              </w:rPr>
            </w:pPr>
            <w:r>
              <w:rPr>
                <w:rFonts w:ascii="Arial" w:cs="Arial" w:eastAsia="Arial" w:hAnsi="Arial"/>
                <w:sz w:val="18"/>
                <w:szCs w:val="18"/>
                <w:color w:val="auto"/>
                <w:w w:val="92"/>
              </w:rPr>
              <w:t>101.DEF</w:t>
            </w:r>
          </w:p>
        </w:tc>
        <w:tc>
          <w:tcPr>
            <w:tcW w:w="72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380" w:type="dxa"/>
            <w:vAlign w:val="bottom"/>
          </w:tcPr>
          <w:p>
            <w:pPr>
              <w:ind w:left="2240"/>
              <w:spacing w:after="0"/>
              <w:rPr>
                <w:sz w:val="20"/>
                <w:szCs w:val="20"/>
                <w:color w:val="auto"/>
              </w:rPr>
            </w:pPr>
            <w:r>
              <w:rPr>
                <w:rFonts w:ascii="Arial" w:cs="Arial" w:eastAsia="Arial" w:hAnsi="Arial"/>
                <w:sz w:val="18"/>
                <w:szCs w:val="18"/>
                <w:color w:val="auto"/>
                <w:w w:val="99"/>
              </w:rPr>
              <w:t>X</w:t>
            </w:r>
          </w:p>
        </w:tc>
      </w:tr>
      <w:tr>
        <w:trPr>
          <w:trHeight w:val="338"/>
        </w:trPr>
        <w:tc>
          <w:tcPr>
            <w:tcW w:w="980" w:type="dxa"/>
            <w:vAlign w:val="bottom"/>
          </w:tcPr>
          <w:p>
            <w:pPr>
              <w:jc w:val="center"/>
              <w:ind w:right="210"/>
              <w:spacing w:after="0"/>
              <w:rPr>
                <w:sz w:val="20"/>
                <w:szCs w:val="20"/>
                <w:color w:val="auto"/>
              </w:rPr>
            </w:pPr>
            <w:r>
              <w:rPr>
                <w:rFonts w:ascii="Arial" w:cs="Arial" w:eastAsia="Arial" w:hAnsi="Arial"/>
                <w:sz w:val="18"/>
                <w:szCs w:val="18"/>
                <w:color w:val="auto"/>
                <w:w w:val="98"/>
              </w:rPr>
              <w:t>101.LAB</w:t>
            </w:r>
          </w:p>
        </w:tc>
        <w:tc>
          <w:tcPr>
            <w:tcW w:w="72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2380" w:type="dxa"/>
            <w:vAlign w:val="bottom"/>
          </w:tcPr>
          <w:p>
            <w:pPr>
              <w:ind w:left="2240"/>
              <w:spacing w:after="0"/>
              <w:rPr>
                <w:sz w:val="20"/>
                <w:szCs w:val="20"/>
                <w:color w:val="auto"/>
              </w:rPr>
            </w:pPr>
            <w:r>
              <w:rPr>
                <w:rFonts w:ascii="Arial" w:cs="Arial" w:eastAsia="Arial" w:hAnsi="Arial"/>
                <w:sz w:val="18"/>
                <w:szCs w:val="18"/>
                <w:color w:val="auto"/>
                <w:w w:val="99"/>
              </w:rPr>
              <w:t>X</w:t>
            </w:r>
          </w:p>
        </w:tc>
      </w:tr>
      <w:tr>
        <w:trPr>
          <w:trHeight w:val="338"/>
        </w:trPr>
        <w:tc>
          <w:tcPr>
            <w:tcW w:w="980" w:type="dxa"/>
            <w:vAlign w:val="bottom"/>
          </w:tcPr>
          <w:p>
            <w:pPr>
              <w:jc w:val="center"/>
              <w:ind w:right="210"/>
              <w:spacing w:after="0"/>
              <w:rPr>
                <w:sz w:val="20"/>
                <w:szCs w:val="20"/>
                <w:color w:val="auto"/>
              </w:rPr>
            </w:pPr>
            <w:r>
              <w:rPr>
                <w:rFonts w:ascii="Arial" w:cs="Arial" w:eastAsia="Arial" w:hAnsi="Arial"/>
                <w:sz w:val="18"/>
                <w:szCs w:val="18"/>
                <w:color w:val="auto"/>
                <w:w w:val="88"/>
              </w:rPr>
              <w:t>101.PRE</w:t>
            </w:r>
          </w:p>
        </w:tc>
        <w:tc>
          <w:tcPr>
            <w:tcW w:w="72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380" w:type="dxa"/>
            <w:vAlign w:val="bottom"/>
          </w:tcPr>
          <w:p>
            <w:pPr>
              <w:ind w:left="2240"/>
              <w:spacing w:after="0"/>
              <w:rPr>
                <w:sz w:val="20"/>
                <w:szCs w:val="20"/>
                <w:color w:val="auto"/>
              </w:rPr>
            </w:pPr>
            <w:r>
              <w:rPr>
                <w:rFonts w:ascii="Arial" w:cs="Arial" w:eastAsia="Arial" w:hAnsi="Arial"/>
                <w:sz w:val="18"/>
                <w:szCs w:val="18"/>
                <w:color w:val="auto"/>
                <w:w w:val="99"/>
              </w:rPr>
              <w:t>X</w:t>
            </w:r>
          </w:p>
        </w:tc>
      </w:tr>
    </w:tbl>
    <w:p>
      <w:pPr>
        <w:spacing w:after="0" w:line="202"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5"/>
          <w:szCs w:val="15"/>
          <w:color w:val="auto"/>
        </w:rPr>
      </w:pPr>
      <w:r>
        <w:rPr>
          <w:rFonts w:ascii="Arial" w:cs="Arial" w:eastAsia="Arial" w:hAnsi="Arial"/>
          <w:sz w:val="18"/>
          <w:szCs w:val="18"/>
          <w:color w:val="auto"/>
        </w:rPr>
        <w:t>Indicates a management contract or compensatory plan.</w:t>
      </w:r>
    </w:p>
    <w:p>
      <w:pPr>
        <w:spacing w:after="0" w:line="225" w:lineRule="exact"/>
        <w:rPr>
          <w:sz w:val="20"/>
          <w:szCs w:val="20"/>
          <w:color w:val="auto"/>
        </w:rPr>
      </w:pPr>
    </w:p>
    <w:p>
      <w:pPr>
        <w:ind w:left="520" w:right="280" w:hanging="512"/>
        <w:spacing w:after="0" w:line="259" w:lineRule="auto"/>
        <w:tabs>
          <w:tab w:leader="none" w:pos="520" w:val="left"/>
        </w:tabs>
        <w:numPr>
          <w:ilvl w:val="0"/>
          <w:numId w:val="32"/>
        </w:numPr>
        <w:rPr>
          <w:rFonts w:ascii="Arial" w:cs="Arial" w:eastAsia="Arial" w:hAnsi="Arial"/>
          <w:sz w:val="15"/>
          <w:szCs w:val="15"/>
          <w:color w:val="auto"/>
        </w:rPr>
      </w:pPr>
      <w:r>
        <w:rPr>
          <w:rFonts w:ascii="Arial" w:cs="Arial" w:eastAsia="Arial" w:hAnsi="Arial"/>
          <w:sz w:val="18"/>
          <w:szCs w:val="18"/>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420" w:type="dxa"/>
            <w:vAlign w:val="bottom"/>
            <w:gridSpan w:val="2"/>
          </w:tcPr>
          <w:p>
            <w:pPr>
              <w:ind w:left="2480"/>
              <w:spacing w:after="0"/>
              <w:rPr>
                <w:sz w:val="20"/>
                <w:szCs w:val="20"/>
                <w:color w:val="auto"/>
              </w:rPr>
            </w:pPr>
            <w:r>
              <w:rPr>
                <w:rFonts w:ascii="Arial" w:cs="Arial" w:eastAsia="Arial" w:hAnsi="Arial"/>
                <w:sz w:val="18"/>
                <w:szCs w:val="18"/>
                <w:b w:val="1"/>
                <w:bCs w:val="1"/>
                <w:color w:val="auto"/>
              </w:rPr>
              <w:t>CytomX Therapeutics, Inc.</w:t>
            </w: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Date: August 8, 2018</w:t>
            </w:r>
          </w:p>
        </w:tc>
        <w:tc>
          <w:tcPr>
            <w:tcW w:w="2860" w:type="dxa"/>
            <w:vAlign w:val="bottom"/>
          </w:tcPr>
          <w:p>
            <w:pPr>
              <w:ind w:left="24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Sean A. McCarthy</w:t>
            </w:r>
          </w:p>
        </w:tc>
      </w:tr>
      <w:tr>
        <w:trPr>
          <w:trHeight w:val="191"/>
        </w:trPr>
        <w:tc>
          <w:tcPr>
            <w:tcW w:w="40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5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Sean A. McCarthy, D. Phil.</w:t>
            </w:r>
          </w:p>
        </w:tc>
      </w:tr>
      <w:tr>
        <w:trPr>
          <w:trHeight w:val="220"/>
        </w:trPr>
        <w:tc>
          <w:tcPr>
            <w:tcW w:w="40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Chief Executive Officer and Director</w:t>
            </w:r>
          </w:p>
        </w:tc>
      </w:tr>
      <w:tr>
        <w:trPr>
          <w:trHeight w:val="230"/>
        </w:trPr>
        <w:tc>
          <w:tcPr>
            <w:tcW w:w="40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Date: August 8, 2018</w:t>
            </w:r>
          </w:p>
        </w:tc>
        <w:tc>
          <w:tcPr>
            <w:tcW w:w="2860" w:type="dxa"/>
            <w:vAlign w:val="bottom"/>
          </w:tcPr>
          <w:p>
            <w:pPr>
              <w:ind w:left="24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Debanjan Ray</w:t>
            </w:r>
          </w:p>
        </w:tc>
      </w:tr>
      <w:tr>
        <w:trPr>
          <w:trHeight w:val="211"/>
        </w:trPr>
        <w:tc>
          <w:tcPr>
            <w:tcW w:w="4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4"/>
              </w:rPr>
              <w:t>Debanjan Ray</w:t>
            </w:r>
          </w:p>
        </w:tc>
      </w:tr>
    </w:tbl>
    <w:p>
      <w:pPr>
        <w:jc w:val="center"/>
        <w:ind w:left="6860"/>
        <w:spacing w:after="0"/>
        <w:rPr>
          <w:sz w:val="20"/>
          <w:szCs w:val="20"/>
          <w:color w:val="auto"/>
        </w:rPr>
      </w:pPr>
      <w:r>
        <w:rPr>
          <w:rFonts w:ascii="Arial" w:cs="Arial" w:eastAsia="Arial" w:hAnsi="Arial"/>
          <w:sz w:val="18"/>
          <w:szCs w:val="18"/>
          <w:b w:val="1"/>
          <w:bCs w:val="1"/>
          <w:color w:val="auto"/>
        </w:rPr>
        <w:t>Chief Financial Officer</w:t>
      </w:r>
    </w:p>
    <w:p>
      <w:pPr>
        <w:spacing w:after="0" w:line="7" w:lineRule="exact"/>
        <w:rPr>
          <w:sz w:val="20"/>
          <w:szCs w:val="20"/>
          <w:color w:val="auto"/>
        </w:rPr>
      </w:pPr>
    </w:p>
    <w:p>
      <w:pPr>
        <w:jc w:val="center"/>
        <w:ind w:left="6860"/>
        <w:spacing w:after="0"/>
        <w:rPr>
          <w:sz w:val="20"/>
          <w:szCs w:val="20"/>
          <w:color w:val="auto"/>
        </w:rPr>
      </w:pPr>
      <w:r>
        <w:rPr>
          <w:rFonts w:ascii="Arial" w:cs="Arial" w:eastAsia="Arial" w:hAnsi="Arial"/>
          <w:sz w:val="17"/>
          <w:szCs w:val="17"/>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3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637665" cy="926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163766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color w:val="auto"/>
        </w:rPr>
        <w:t>Severance and Change of Control Agreement</w:t>
      </w:r>
    </w:p>
    <w:p>
      <w:pPr>
        <w:spacing w:after="0" w:line="220"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This Severance and Change of Control Agreement (the “Agreement”) is made and entered into, effective as of May 16, 2018 (the “Effective Date”), by and between CytomX Therapeutics, Inc. a Delaware corporation (the “Company”), and Lloyd Rowland (“Employee”).</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Upon acceptance of this Agreement, the following terms and conditions shall apply to your employment:</w:t>
      </w:r>
    </w:p>
    <w:p>
      <w:pPr>
        <w:spacing w:after="0" w:line="208" w:lineRule="exact"/>
        <w:rPr>
          <w:sz w:val="20"/>
          <w:szCs w:val="20"/>
          <w:color w:val="auto"/>
        </w:rPr>
      </w:pPr>
    </w:p>
    <w:p>
      <w:pPr>
        <w:jc w:val="both"/>
        <w:ind w:left="880" w:hanging="440"/>
        <w:spacing w:after="0" w:line="269"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Term of Employment and Severance Benefits</w:t>
      </w:r>
      <w:r>
        <w:rPr>
          <w:rFonts w:ascii="Arial" w:cs="Arial" w:eastAsia="Arial" w:hAnsi="Arial"/>
          <w:sz w:val="17"/>
          <w:szCs w:val="17"/>
          <w:color w:val="auto"/>
        </w:rPr>
        <w:t>. It is important for you to understand that California is an "at will" employment state. This</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that you will have the right to terminate your employment relationship with the Company at any time for any reason. Similarly, the Company will have the right to terminate its employment relationship with you at any time for any reason. Your employment and this Agreement will be governed by the laws of California. Notwithstanding the foregoing, in the event that the Company terminates your employment at any time without Cause (as defined below), or if you terminate your employment for Good Reason (as defined below), then the Company shall pay a lump sum amount equal to your then current base salary for a period of nine (9) months, which will be payable within thirty (30) days following your termination of employment. In addition, the Company will provide and pay the premium cost for you and your dependents, for a period of nine (9) months after termination of your employment, of medical and dental insurance benefits to the extent you were receiving such benefits immediately prior to your termination date and provided that either (a) the Company is able to provide you with such benefits at a cost that is not in excess of the cost that the Company was paying for such benefits for you immediately prior to your termination, or (b) you timely elect "COBRA" coverage under the Company group health insurance plan under which coverage was being provided to you at the time when your employment terminates. If the Company is unable to provide such medical and dental insurance benefits and "COBRA" coverage is not available to you as of the time when your employment is terminated, then the Company will pay to you a lump sum equal to the premium cost of the benefits provided for the six months prior to your termination, payable within thirty (30) days following your termination of employment.</w:t>
      </w:r>
    </w:p>
    <w:p>
      <w:pPr>
        <w:spacing w:after="0" w:line="170" w:lineRule="exact"/>
        <w:rPr>
          <w:rFonts w:ascii="Arial" w:cs="Arial" w:eastAsia="Arial" w:hAnsi="Arial"/>
          <w:sz w:val="17"/>
          <w:szCs w:val="17"/>
          <w:color w:val="auto"/>
        </w:rPr>
      </w:pPr>
    </w:p>
    <w:p>
      <w:pPr>
        <w:jc w:val="both"/>
        <w:ind w:left="880" w:hanging="440"/>
        <w:spacing w:after="0" w:line="274"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Change of Control</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a Change of Control (as defined below) occurs during your employment relationship and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twelve (12) months following such Change of Control, the Company, or any successor thereto terminates your employment without Cause (as defined below) or you terminate your employment for Good Reason (as defined below), then the Company shall (i) pay a lump sum amount equal to your then current base salary for a period of nine (9) months, which will be payable within thirty (30) days following your termination of employment, (ii) pay a lump sum amount equal to three fourths (3/4) of the Annual Bonus you are eligible to receive for the current Calendar year, which will be payable within thirty (30) days following your termination of employment, and (iii) accelerate in full your vesting in all Company options and other equity that you then hold and such options and other equity shall immediately become exercisable in full. In addition, the Company will provide and pay the premium cost for you and your dependents,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p>
      <w:pPr>
        <w:ind w:left="1074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73" w:name="page74"/>
    <w:bookmarkEnd w:id="73"/>
    <w:p>
      <w:pPr>
        <w:jc w:val="both"/>
        <w:ind w:left="880"/>
        <w:spacing w:after="0" w:line="271" w:lineRule="auto"/>
        <w:rPr>
          <w:sz w:val="20"/>
          <w:szCs w:val="20"/>
          <w:color w:val="auto"/>
        </w:rPr>
      </w:pPr>
      <w:r>
        <w:rPr>
          <w:rFonts w:ascii="Arial" w:cs="Arial" w:eastAsia="Arial" w:hAnsi="Arial"/>
          <w:sz w:val="17"/>
          <w:szCs w:val="17"/>
          <w:color w:val="auto"/>
        </w:rPr>
        <w:t>period of nine (9) months after termination of your employment, of medical and dental insurance benefits to the extent you were receiving such benefits immediately prior to your termination date and provided that either (a) the Company is able to provide you with such benefits at a cost that is not in excess of the cost that the Company was paying for such benefits for you immediately prior to your termination, or</w:t>
      </w:r>
    </w:p>
    <w:p>
      <w:pPr>
        <w:spacing w:after="0" w:line="2" w:lineRule="exact"/>
        <w:rPr>
          <w:sz w:val="20"/>
          <w:szCs w:val="20"/>
          <w:color w:val="auto"/>
        </w:rPr>
      </w:pPr>
    </w:p>
    <w:p>
      <w:pPr>
        <w:jc w:val="both"/>
        <w:ind w:left="880"/>
        <w:spacing w:after="0" w:line="239" w:lineRule="auto"/>
        <w:rPr>
          <w:sz w:val="20"/>
          <w:szCs w:val="20"/>
          <w:color w:val="auto"/>
        </w:rPr>
      </w:pPr>
      <w:r>
        <w:rPr>
          <w:rFonts w:ascii="Arial" w:cs="Arial" w:eastAsia="Arial" w:hAnsi="Arial"/>
          <w:sz w:val="19"/>
          <w:szCs w:val="19"/>
          <w:color w:val="auto"/>
        </w:rPr>
        <w:t>(b) you timely elect "COBRA" coverage under the Company group health insurance plan under which coverage was being provided to you at the time when your employment terminates. If the Company is unable to provide such medical and dental insurance benefits and "COBRA" coverage is not available to you as of the time when your employment is terminated, then the Company will pay to you a lump sum equal to the premium cost of the benefits provided for the nine months prior to your termination, payable within thirty (30) days following your termination of employment.</w:t>
      </w:r>
    </w:p>
    <w:p>
      <w:pPr>
        <w:spacing w:after="0" w:line="186" w:lineRule="exact"/>
        <w:rPr>
          <w:sz w:val="20"/>
          <w:szCs w:val="20"/>
          <w:color w:val="auto"/>
        </w:rPr>
      </w:pPr>
    </w:p>
    <w:p>
      <w:pPr>
        <w:jc w:val="both"/>
        <w:ind w:left="880" w:hanging="440"/>
        <w:spacing w:after="0" w:line="242" w:lineRule="auto"/>
        <w:tabs>
          <w:tab w:leader="none" w:pos="880" w:val="left"/>
        </w:tabs>
        <w:numPr>
          <w:ilvl w:val="0"/>
          <w:numId w:val="34"/>
        </w:numPr>
        <w:rPr>
          <w:rFonts w:ascii="Arial" w:cs="Arial" w:eastAsia="Arial" w:hAnsi="Arial"/>
          <w:sz w:val="19"/>
          <w:szCs w:val="19"/>
          <w:color w:val="auto"/>
        </w:rPr>
      </w:pPr>
      <w:r>
        <w:rPr>
          <w:rFonts w:ascii="Arial" w:cs="Arial" w:eastAsia="Arial" w:hAnsi="Arial"/>
          <w:sz w:val="19"/>
          <w:szCs w:val="19"/>
          <w:b w:val="1"/>
          <w:bCs w:val="1"/>
          <w:color w:val="auto"/>
        </w:rPr>
        <w:t>Release</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obligations to make such payments and provide such benefits shall be contingent upon your execution of a</w:t>
      </w:r>
      <w:r>
        <w:rPr>
          <w:rFonts w:ascii="Arial" w:cs="Arial" w:eastAsia="Arial" w:hAnsi="Arial"/>
          <w:sz w:val="19"/>
          <w:szCs w:val="19"/>
          <w:b w:val="1"/>
          <w:bCs w:val="1"/>
          <w:color w:val="auto"/>
        </w:rPr>
        <w:t xml:space="preserve"> </w:t>
      </w:r>
      <w:r>
        <w:rPr>
          <w:rFonts w:ascii="Arial" w:cs="Arial" w:eastAsia="Arial" w:hAnsi="Arial"/>
          <w:sz w:val="19"/>
          <w:szCs w:val="19"/>
          <w:color w:val="auto"/>
        </w:rPr>
        <w:t>release in a form reasonably acceptable to the Company (the "Release") which Release must be signed and any applicable revocation period with respect thereto must have expired by the 30th day following your termination of employment. If the Release has been signed and any applicable revocation period has expired prior to the 30th day following your termination of employment, then the severance payments above may be made on such earlier date; provided, however, that if the 30th day following your termination of employment occurs in the calendar year following the year of your termination date, then the payments shall not be made earlier than January 1 of such subsequent calendar year.</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purposes of this Agreement, a "Change of Control" shall mean the occurrence of 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any merger or consolidation that results in the voting securities of the Company outstanding immediately prior thereto representing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 (ii) any sale of all or substantially all of the assets of the Company;</w:t>
      </w:r>
    </w:p>
    <w:p>
      <w:pPr>
        <w:spacing w:after="0" w:line="3" w:lineRule="exact"/>
        <w:rPr>
          <w:sz w:val="20"/>
          <w:szCs w:val="20"/>
          <w:color w:val="auto"/>
        </w:rPr>
      </w:pPr>
    </w:p>
    <w:p>
      <w:pPr>
        <w:jc w:val="both"/>
        <w:ind w:firstLine="8"/>
        <w:spacing w:after="0" w:line="238" w:lineRule="auto"/>
        <w:tabs>
          <w:tab w:leader="none" w:pos="351"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complete liquidation or dissolution of the Company; or (iv) the acquisition of "beneficial ownership" (as defined in Rule 13d-3 under the Exchange Act) of securities of the Company representing 50% or more of the combined voting power of the Company's then outstanding securities (other than through a merger or consolidation or an acquisition of securities directly from The Company) by any "person," as such term is used in Sections 13(d) and 14(d) of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9"/>
          <w:szCs w:val="19"/>
          <w:color w:val="auto"/>
        </w:rPr>
        <w:t>For purposes of this Agreement, "Cause" shall mean a termination of your employment based upon a finding by the Company or its successor, acting in good faith and based on its reasonable belief at the time, that you (a) have been negligent in the discharge of your duties to the Company or its successor, have refused to perform stated or assigned duties or are incompetent in or (other than by reason of a disability or analogous condition) incapable of performing those duties; (b) have been dishonest or committed or engaged in an act of theft, embezzlement or fraud, a breach of confidentiality, an unauthorized disclosure or use of inside information, customer lists, trade secrets or other confidential information; (c) have breached a fiduciary duty, or willfully and materially violated any other duty, law, rule, regulation or policy of the Company or its successor; or have been convicted of, or pled guilty or nolo contendere to, a felony or misdemeanor (other than minor traffic violations or similar offenses); (d) have materially breached any of the provisions of any agreement with the Company or its successor; (e) have engaged in unfair competition with,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ind w:left="10740"/>
        <w:spacing w:after="0"/>
        <w:rPr>
          <w:sz w:val="20"/>
          <w:szCs w:val="20"/>
          <w:color w:val="auto"/>
        </w:rPr>
      </w:pPr>
      <w:r>
        <w:rPr>
          <w:rFonts w:ascii="Arial" w:cs="Arial" w:eastAsia="Arial" w:hAnsi="Arial"/>
          <w:sz w:val="14"/>
          <w:szCs w:val="14"/>
          <w:color w:val="auto"/>
        </w:rPr>
        <w:t xml:space="preserve">2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74" w:name="page75"/>
    <w:bookmarkEnd w:id="74"/>
    <w:p>
      <w:pPr>
        <w:jc w:val="both"/>
        <w:spacing w:after="0" w:line="249" w:lineRule="auto"/>
        <w:rPr>
          <w:sz w:val="20"/>
          <w:szCs w:val="20"/>
          <w:color w:val="auto"/>
        </w:rPr>
      </w:pPr>
      <w:r>
        <w:rPr>
          <w:rFonts w:ascii="Arial" w:cs="Arial" w:eastAsia="Arial" w:hAnsi="Arial"/>
          <w:sz w:val="19"/>
          <w:szCs w:val="19"/>
          <w:color w:val="auto"/>
        </w:rPr>
        <w:t>acted intentionally in a manner injurious to the reputation, business or assets of, the Company or its successor; or (f) have improperly induced a vendor or customer to break or terminate any contract with the Company or its successor or induced a principal for whom the Company or its successor acts as agent to terminate such agency relationship.</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purposes of this Agreement, "Good Reason" shall mean the occurrence of any of the following events or circumstances (i) a reduction in the amount of your base salary of more than ten (10) percent (except where such reduction applies to all vice presidents and officers of the Company); (ii) the relocation of the Company's headquarters to a place outside of a 50-mile radius from the company's headquarters in South San Francisco, California; or (iii) the assignment, without your consent, to a position, responsibilities, or duties of a materially lesser status or degree than your position, responsibilities or duties as Senior Vice President, General Counsel, as of the commencement of your employment.</w:t>
      </w:r>
    </w:p>
    <w:p>
      <w:pPr>
        <w:spacing w:after="0" w:line="175"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order to establish a "Good Reason" for terminating employment, you must provide written notice to the Company of the existence of the condition giving rise to the Good Reason, which notice must be provided within 15 days of the initial existence of such condition, the Company must fail to cure the condition within 30 days thereafter, and your termination of employment must occur no later than seven (7) days following the expiration of that 30-day cure period.</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All severance or change of control payments shall be made in full compliance with Section 409A and shall begin only upon the date of your "separation from service" (as defined below), which occurs on or after the date of termination of the employment relationship, and shall be subject to the rules set forth below.</w:t>
      </w:r>
    </w:p>
    <w:p>
      <w:pPr>
        <w:spacing w:after="0" w:line="184" w:lineRule="exact"/>
        <w:rPr>
          <w:sz w:val="20"/>
          <w:szCs w:val="20"/>
          <w:color w:val="auto"/>
        </w:rPr>
      </w:pPr>
    </w:p>
    <w:p>
      <w:pPr>
        <w:jc w:val="both"/>
        <w:ind w:left="880" w:firstLine="5"/>
        <w:spacing w:after="0" w:line="245" w:lineRule="auto"/>
        <w:tabs>
          <w:tab w:leader="none" w:pos="1143" w:val="left"/>
        </w:tabs>
        <w:numPr>
          <w:ilvl w:val="0"/>
          <w:numId w:val="36"/>
        </w:numPr>
        <w:rPr>
          <w:rFonts w:ascii="Arial" w:cs="Arial" w:eastAsia="Arial" w:hAnsi="Arial"/>
          <w:sz w:val="19"/>
          <w:szCs w:val="19"/>
          <w:color w:val="auto"/>
        </w:rPr>
      </w:pPr>
      <w:r>
        <w:rPr>
          <w:rFonts w:ascii="Arial" w:cs="Arial" w:eastAsia="Arial" w:hAnsi="Arial"/>
          <w:sz w:val="19"/>
          <w:szCs w:val="19"/>
          <w:color w:val="auto"/>
        </w:rPr>
        <w:t>It is intended that each installment of the severance or change of control payments and benefits provided under the offer letter shall be treated as a separate "payment" for purposes of Section 409 A of the Internal Revenue Code and the guidance issued thereunder ("Section 409A"). Neither you nor the Company shall have the right to accelerate or defer the delivery of any such payments or benefits except to the extent specifically permitted or required by Section 409A.</w:t>
      </w:r>
    </w:p>
    <w:p>
      <w:pPr>
        <w:spacing w:after="0" w:line="188" w:lineRule="exact"/>
        <w:rPr>
          <w:rFonts w:ascii="Arial" w:cs="Arial" w:eastAsia="Arial" w:hAnsi="Arial"/>
          <w:sz w:val="19"/>
          <w:szCs w:val="19"/>
          <w:color w:val="auto"/>
        </w:rPr>
      </w:pPr>
    </w:p>
    <w:p>
      <w:pPr>
        <w:jc w:val="both"/>
        <w:ind w:left="880" w:firstLine="5"/>
        <w:spacing w:after="0" w:line="249" w:lineRule="auto"/>
        <w:tabs>
          <w:tab w:leader="none" w:pos="1169" w:val="left"/>
        </w:tabs>
        <w:numPr>
          <w:ilvl w:val="0"/>
          <w:numId w:val="36"/>
        </w:numPr>
        <w:rPr>
          <w:rFonts w:ascii="Arial" w:cs="Arial" w:eastAsia="Arial" w:hAnsi="Arial"/>
          <w:sz w:val="19"/>
          <w:szCs w:val="19"/>
          <w:color w:val="auto"/>
        </w:rPr>
      </w:pPr>
      <w:r>
        <w:rPr>
          <w:rFonts w:ascii="Arial" w:cs="Arial" w:eastAsia="Arial" w:hAnsi="Arial"/>
          <w:sz w:val="19"/>
          <w:szCs w:val="19"/>
          <w:color w:val="auto"/>
        </w:rPr>
        <w:t>If, as of the date of your "separation from service" from the Company, you are not a "specified employee" (within the meaning of Section 409A), then each installment of the severance or change of control payments and benefits shall be made on the dates and terms set forth in this offer letter.</w:t>
      </w:r>
    </w:p>
    <w:p>
      <w:pPr>
        <w:spacing w:after="0" w:line="184" w:lineRule="exact"/>
        <w:rPr>
          <w:rFonts w:ascii="Arial" w:cs="Arial" w:eastAsia="Arial" w:hAnsi="Arial"/>
          <w:sz w:val="19"/>
          <w:szCs w:val="19"/>
          <w:color w:val="auto"/>
        </w:rPr>
      </w:pPr>
    </w:p>
    <w:p>
      <w:pPr>
        <w:ind w:left="1140" w:hanging="255"/>
        <w:spacing w:after="0"/>
        <w:tabs>
          <w:tab w:leader="none" w:pos="1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as of the date of your "separation from service" from the Company, you are a "specified employee" (within the meaning of Section</w:t>
      </w:r>
    </w:p>
    <w:p>
      <w:pPr>
        <w:spacing w:after="0" w:line="36"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9"/>
          <w:szCs w:val="19"/>
          <w:color w:val="auto"/>
        </w:rPr>
        <w:t>409A), then:</w:t>
      </w:r>
    </w:p>
    <w:p>
      <w:pPr>
        <w:spacing w:after="0" w:line="197" w:lineRule="exact"/>
        <w:rPr>
          <w:rFonts w:ascii="Arial" w:cs="Arial" w:eastAsia="Arial" w:hAnsi="Arial"/>
          <w:sz w:val="17"/>
          <w:szCs w:val="17"/>
          <w:color w:val="auto"/>
        </w:rPr>
      </w:pPr>
    </w:p>
    <w:p>
      <w:pPr>
        <w:jc w:val="both"/>
        <w:ind w:left="1760" w:firstLine="3"/>
        <w:spacing w:after="0" w:line="283" w:lineRule="auto"/>
        <w:tabs>
          <w:tab w:leader="none" w:pos="1991" w:val="left"/>
        </w:tabs>
        <w:numPr>
          <w:ilvl w:val="1"/>
          <w:numId w:val="36"/>
        </w:numPr>
        <w:rPr>
          <w:rFonts w:ascii="Arial" w:cs="Arial" w:eastAsia="Arial" w:hAnsi="Arial"/>
          <w:sz w:val="17"/>
          <w:szCs w:val="17"/>
          <w:color w:val="auto"/>
        </w:rPr>
      </w:pPr>
      <w:r>
        <w:rPr>
          <w:rFonts w:ascii="Arial" w:cs="Arial" w:eastAsia="Arial" w:hAnsi="Arial"/>
          <w:sz w:val="17"/>
          <w:szCs w:val="17"/>
          <w:color w:val="auto"/>
        </w:rPr>
        <w:t>Each installment of the severance or change of control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1.409A-l(b)(4) to the maximum extent permissible under Section 409A; and</w:t>
      </w:r>
    </w:p>
    <w:p>
      <w:pPr>
        <w:spacing w:after="0" w:line="158" w:lineRule="exact"/>
        <w:rPr>
          <w:rFonts w:ascii="Arial" w:cs="Arial" w:eastAsia="Arial" w:hAnsi="Arial"/>
          <w:sz w:val="17"/>
          <w:szCs w:val="17"/>
          <w:color w:val="auto"/>
        </w:rPr>
      </w:pPr>
    </w:p>
    <w:p>
      <w:pPr>
        <w:jc w:val="both"/>
        <w:ind w:left="1760" w:firstLine="3"/>
        <w:spacing w:after="0" w:line="242" w:lineRule="auto"/>
        <w:tabs>
          <w:tab w:leader="none" w:pos="2076" w:val="left"/>
        </w:tabs>
        <w:numPr>
          <w:ilvl w:val="1"/>
          <w:numId w:val="36"/>
        </w:numPr>
        <w:rPr>
          <w:rFonts w:ascii="Arial" w:cs="Arial" w:eastAsia="Arial" w:hAnsi="Arial"/>
          <w:sz w:val="19"/>
          <w:szCs w:val="19"/>
          <w:color w:val="auto"/>
        </w:rPr>
      </w:pPr>
      <w:r>
        <w:rPr>
          <w:rFonts w:ascii="Arial" w:cs="Arial" w:eastAsia="Arial" w:hAnsi="Arial"/>
          <w:sz w:val="19"/>
          <w:szCs w:val="19"/>
          <w:color w:val="auto"/>
        </w:rPr>
        <w:t>Each installment of the severance or change of control payments and benefits due under this Agreement that is not described in paragraph (i) above and that would, absent this subsection, be paid within the six-month period following your "separation from service" from the Company shall not be paid until the date that is six months and one day after such separation from service (or, if earlier, upon your death), with any such installments that are required to be delayed being accumulated during the six-month period and paid in a lump sum on the date that is six months and one day following your separation from service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ind w:left="1074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75" w:name="page76"/>
    <w:bookmarkEnd w:id="75"/>
    <w:p>
      <w:pPr>
        <w:jc w:val="both"/>
        <w:ind w:left="1760"/>
        <w:spacing w:after="0" w:line="257" w:lineRule="auto"/>
        <w:rPr>
          <w:sz w:val="20"/>
          <w:szCs w:val="20"/>
          <w:color w:val="auto"/>
        </w:rPr>
      </w:pPr>
      <w:r>
        <w:rPr>
          <w:rFonts w:ascii="Arial" w:cs="Arial" w:eastAsia="Arial" w:hAnsi="Arial"/>
          <w:sz w:val="18"/>
          <w:szCs w:val="18"/>
          <w:color w:val="auto"/>
        </w:rPr>
        <w:t>any subsequent installments, if any, being paid in accordance with the dates and terms set forth herein; provided, however, that the preceding provisions of this sentence shall not apply to any installment of severance or change of control payments and benefits if and to the maximum extent that that such installment is deemed to be paid under a separation pay plan that does not provide for a deferral of compensation by reason of the application of Treasury Regulation Section 1.409A-l(b)(9)(iii) (relating to separation pay upon an involuntary separation from service). Any installments that qualify for the exception under Treasury Regulation Section 1.409A-l(b)(9)(iii) must be paid no later than the last day of your second taxable year following the taxable year in which the separation from service occurs.</w:t>
      </w:r>
    </w:p>
    <w:p>
      <w:pPr>
        <w:spacing w:after="0" w:line="177" w:lineRule="exact"/>
        <w:rPr>
          <w:sz w:val="20"/>
          <w:szCs w:val="20"/>
          <w:color w:val="auto"/>
        </w:rPr>
      </w:pPr>
    </w:p>
    <w:p>
      <w:pPr>
        <w:jc w:val="both"/>
        <w:ind w:left="880" w:firstLine="5"/>
        <w:spacing w:after="0" w:line="245" w:lineRule="auto"/>
        <w:tabs>
          <w:tab w:leader="none" w:pos="1156"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determination of whether and when your separation from service from the Company has occurred shall be made and in a manner consistent with and based on the presumptions set forth in, Treasury Regulation Section 1.409A-l(h). Solely for purposes of this paragraph (d), "the Company" shall include all persons with whom the Company would be considered a single employer under Sections 414(b) and 414(c) of the Code.</w:t>
      </w:r>
    </w:p>
    <w:p>
      <w:pPr>
        <w:spacing w:after="0" w:line="188" w:lineRule="exact"/>
        <w:rPr>
          <w:rFonts w:ascii="Arial" w:cs="Arial" w:eastAsia="Arial" w:hAnsi="Arial"/>
          <w:sz w:val="19"/>
          <w:szCs w:val="19"/>
          <w:color w:val="auto"/>
        </w:rPr>
      </w:pPr>
    </w:p>
    <w:p>
      <w:pPr>
        <w:jc w:val="both"/>
        <w:ind w:left="880" w:firstLine="5"/>
        <w:spacing w:after="0" w:line="241" w:lineRule="auto"/>
        <w:tabs>
          <w:tab w:leader="none" w:pos="1138" w:val="left"/>
        </w:tabs>
        <w:numPr>
          <w:ilvl w:val="0"/>
          <w:numId w:val="37"/>
        </w:numPr>
        <w:rPr>
          <w:rFonts w:ascii="Arial" w:cs="Arial" w:eastAsia="Arial" w:hAnsi="Arial"/>
          <w:sz w:val="19"/>
          <w:szCs w:val="19"/>
          <w:color w:val="auto"/>
        </w:rPr>
      </w:pPr>
      <w:r>
        <w:rPr>
          <w:rFonts w:ascii="Arial" w:cs="Arial" w:eastAsia="Arial" w:hAnsi="Arial"/>
          <w:sz w:val="19"/>
          <w:szCs w:val="19"/>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 that (i) any reimbursement is for expenses incurred during your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shall be governed by and construed in accordance with California law.</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If any provision of this Agreement is determined to be illegal or unenforceable, then the remainder of this Agreement nonetheless shall be fully enforceable and binding upon the parties hereto, and it is the intent of the parties that a court or arbitrator shall enforce the remainder of this Agreement to the maximum extent permitted by law.</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Agreement (a) represents our entire understanding regarding the subject matter hereof, and supersedes and replaces all prior and contemporaneous understandings regarding such subject matter, whether oral or written, and (b) may not be modified or amended, except by a written instrument executed by you and by the Company’s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ACCEPTANCE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agrees to and accepts the terms and conditions set forth above.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gridSpan w:val="2"/>
          </w:tcPr>
          <w:p>
            <w:pPr>
              <w:jc w:val="right"/>
              <w:ind w:right="2265"/>
              <w:spacing w:after="0"/>
              <w:rPr>
                <w:sz w:val="20"/>
                <w:szCs w:val="20"/>
                <w:color w:val="auto"/>
              </w:rPr>
            </w:pPr>
            <w:r>
              <w:rPr>
                <w:rFonts w:ascii="Arial" w:cs="Arial" w:eastAsia="Arial" w:hAnsi="Arial"/>
                <w:sz w:val="19"/>
                <w:szCs w:val="19"/>
                <w:color w:val="auto"/>
              </w:rPr>
              <w:t>5/16/2018</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9"/>
                <w:szCs w:val="19"/>
                <w:color w:val="auto"/>
              </w:rPr>
              <w:t>/s/ Lloyd Rowland</w:t>
            </w:r>
          </w:p>
        </w:tc>
      </w:tr>
      <w:tr>
        <w:trPr>
          <w:trHeight w:val="234"/>
        </w:trPr>
        <w:tc>
          <w:tcPr>
            <w:tcW w:w="20" w:type="dxa"/>
            <w:vAlign w:val="bottom"/>
          </w:tcPr>
          <w:p>
            <w:pPr>
              <w:spacing w:after="0"/>
              <w:rPr>
                <w:sz w:val="20"/>
                <w:szCs w:val="20"/>
                <w:color w:val="auto"/>
              </w:rPr>
            </w:pPr>
          </w:p>
        </w:tc>
        <w:tc>
          <w:tcPr>
            <w:tcW w:w="5480" w:type="dxa"/>
            <w:vAlign w:val="bottom"/>
            <w:tcBorders>
              <w:top w:val="single" w:sz="8" w:color="auto"/>
            </w:tcBorders>
          </w:tcPr>
          <w:p>
            <w:pPr>
              <w:jc w:val="right"/>
              <w:ind w:right="5045"/>
              <w:spacing w:after="0"/>
              <w:rPr>
                <w:sz w:val="20"/>
                <w:szCs w:val="20"/>
                <w:color w:val="auto"/>
              </w:rPr>
            </w:pPr>
            <w:r>
              <w:rPr>
                <w:rFonts w:ascii="Arial" w:cs="Arial" w:eastAsia="Arial" w:hAnsi="Arial"/>
                <w:sz w:val="19"/>
                <w:szCs w:val="19"/>
                <w:color w:val="auto"/>
                <w:w w:val="79"/>
              </w:rPr>
              <w:t>Date</w:t>
            </w:r>
          </w:p>
        </w:tc>
        <w:tc>
          <w:tcPr>
            <w:tcW w:w="460" w:type="dxa"/>
            <w:vAlign w:val="bottom"/>
          </w:tcPr>
          <w:p>
            <w:pPr>
              <w:spacing w:after="0"/>
              <w:rPr>
                <w:sz w:val="20"/>
                <w:szCs w:val="20"/>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Lloyd Rowland, Senior Vice President, General Counsel</w:t>
            </w:r>
          </w:p>
        </w:tc>
      </w:tr>
      <w:tr>
        <w:trPr>
          <w:trHeight w:val="408"/>
        </w:trPr>
        <w:tc>
          <w:tcPr>
            <w:tcW w:w="5500" w:type="dxa"/>
            <w:vAlign w:val="bottom"/>
            <w:gridSpan w:val="2"/>
          </w:tcPr>
          <w:p>
            <w:pPr>
              <w:jc w:val="right"/>
              <w:ind w:right="2265"/>
              <w:spacing w:after="0"/>
              <w:rPr>
                <w:sz w:val="20"/>
                <w:szCs w:val="20"/>
                <w:color w:val="auto"/>
              </w:rPr>
            </w:pPr>
            <w:r>
              <w:rPr>
                <w:rFonts w:ascii="Arial" w:cs="Arial" w:eastAsia="Arial" w:hAnsi="Arial"/>
                <w:sz w:val="19"/>
                <w:szCs w:val="19"/>
                <w:color w:val="auto"/>
              </w:rPr>
              <w:t>5/18/2018</w:t>
            </w:r>
          </w:p>
        </w:tc>
        <w:tc>
          <w:tcPr>
            <w:tcW w:w="4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9"/>
                <w:szCs w:val="19"/>
                <w:color w:val="auto"/>
              </w:rPr>
              <w:t>/s/ Sean McCarthy</w:t>
            </w:r>
          </w:p>
        </w:tc>
      </w:tr>
      <w:tr>
        <w:trPr>
          <w:trHeight w:val="234"/>
        </w:trPr>
        <w:tc>
          <w:tcPr>
            <w:tcW w:w="20" w:type="dxa"/>
            <w:vAlign w:val="bottom"/>
          </w:tcPr>
          <w:p>
            <w:pPr>
              <w:spacing w:after="0"/>
              <w:rPr>
                <w:sz w:val="20"/>
                <w:szCs w:val="20"/>
                <w:color w:val="auto"/>
              </w:rPr>
            </w:pPr>
          </w:p>
        </w:tc>
        <w:tc>
          <w:tcPr>
            <w:tcW w:w="5480" w:type="dxa"/>
            <w:vAlign w:val="bottom"/>
            <w:tcBorders>
              <w:top w:val="single" w:sz="8" w:color="auto"/>
            </w:tcBorders>
          </w:tcPr>
          <w:p>
            <w:pPr>
              <w:jc w:val="right"/>
              <w:ind w:right="5045"/>
              <w:spacing w:after="0"/>
              <w:rPr>
                <w:sz w:val="20"/>
                <w:szCs w:val="20"/>
                <w:color w:val="auto"/>
              </w:rPr>
            </w:pPr>
            <w:r>
              <w:rPr>
                <w:rFonts w:ascii="Arial" w:cs="Arial" w:eastAsia="Arial" w:hAnsi="Arial"/>
                <w:sz w:val="19"/>
                <w:szCs w:val="19"/>
                <w:color w:val="auto"/>
                <w:w w:val="79"/>
              </w:rPr>
              <w:t>Date</w:t>
            </w:r>
          </w:p>
        </w:tc>
        <w:tc>
          <w:tcPr>
            <w:tcW w:w="460" w:type="dxa"/>
            <w:vAlign w:val="bottom"/>
          </w:tcPr>
          <w:p>
            <w:pPr>
              <w:spacing w:after="0"/>
              <w:rPr>
                <w:sz w:val="20"/>
                <w:szCs w:val="20"/>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Sean McCarthy, President and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0740"/>
        <w:spacing w:after="0"/>
        <w:rPr>
          <w:sz w:val="20"/>
          <w:szCs w:val="20"/>
          <w:color w:val="auto"/>
        </w:rPr>
      </w:pPr>
      <w:r>
        <w:rPr>
          <w:rFonts w:ascii="Arial" w:cs="Arial" w:eastAsia="Arial" w:hAnsi="Arial"/>
          <w:sz w:val="14"/>
          <w:szCs w:val="14"/>
          <w:color w:val="auto"/>
        </w:rPr>
        <w:t xml:space="preserve">4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234315</wp:posOffset>
            </wp:positionV>
            <wp:extent cx="1637665" cy="926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637665" cy="9264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color w:val="auto"/>
        </w:rPr>
        <w:t>First Amendment to Severance and Change of Control Agreement</w:t>
      </w:r>
    </w:p>
    <w:p>
      <w:pPr>
        <w:spacing w:after="0" w:line="214" w:lineRule="exact"/>
        <w:rPr>
          <w:sz w:val="20"/>
          <w:szCs w:val="20"/>
          <w:color w:val="auto"/>
        </w:rPr>
      </w:pPr>
    </w:p>
    <w:p>
      <w:pPr>
        <w:jc w:val="both"/>
        <w:ind w:firstLine="877"/>
        <w:spacing w:after="0" w:line="265" w:lineRule="auto"/>
        <w:rPr>
          <w:sz w:val="20"/>
          <w:szCs w:val="20"/>
          <w:color w:val="auto"/>
        </w:rPr>
      </w:pPr>
      <w:r>
        <w:rPr>
          <w:rFonts w:ascii="Arial" w:cs="Arial" w:eastAsia="Arial" w:hAnsi="Arial"/>
          <w:sz w:val="18"/>
          <w:szCs w:val="18"/>
          <w:b w:val="1"/>
          <w:bCs w:val="1"/>
          <w:color w:val="auto"/>
        </w:rPr>
        <w:t xml:space="preserve">This First Amendment to Severance and Change of Control Agreement </w:t>
      </w:r>
      <w:r>
        <w:rPr>
          <w:rFonts w:ascii="Arial" w:cs="Arial" w:eastAsia="Arial" w:hAnsi="Arial"/>
          <w:sz w:val="18"/>
          <w:szCs w:val="18"/>
          <w:color w:val="auto"/>
        </w:rPr>
        <w:t>(the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effective as of</w:t>
      </w:r>
      <w:r>
        <w:rPr>
          <w:rFonts w:ascii="Arial" w:cs="Arial" w:eastAsia="Arial" w:hAnsi="Arial"/>
          <w:sz w:val="18"/>
          <w:szCs w:val="18"/>
          <w:b w:val="1"/>
          <w:bCs w:val="1"/>
          <w:color w:val="auto"/>
        </w:rPr>
        <w:t xml:space="preserve"> </w:t>
      </w:r>
      <w:r>
        <w:rPr>
          <w:rFonts w:ascii="Arial" w:cs="Arial" w:eastAsia="Arial" w:hAnsi="Arial"/>
          <w:sz w:val="18"/>
          <w:szCs w:val="18"/>
          <w:color w:val="auto"/>
        </w:rPr>
        <w:t>May 16,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CytomX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Lloyd Rowland (“</w:t>
      </w:r>
      <w:r>
        <w:rPr>
          <w:rFonts w:ascii="Arial" w:cs="Arial" w:eastAsia="Arial" w:hAnsi="Arial"/>
          <w:sz w:val="18"/>
          <w:szCs w:val="18"/>
          <w:u w:val="single" w:color="auto"/>
          <w:color w:val="auto"/>
        </w:rPr>
        <w:t>Employee</w:t>
      </w:r>
      <w:r>
        <w:rPr>
          <w:rFonts w:ascii="Arial" w:cs="Arial" w:eastAsia="Arial" w:hAnsi="Arial"/>
          <w:sz w:val="18"/>
          <w:szCs w:val="18"/>
          <w:color w:val="auto"/>
        </w:rPr>
        <w:t>”), with reference to the following facts. Capitalized terms not defined herein shall have the meanings specified in the Severance and Change of Control Agreement dated May 16, 2018 (the “</w:t>
      </w:r>
      <w:r>
        <w:rPr>
          <w:rFonts w:ascii="Arial" w:cs="Arial" w:eastAsia="Arial" w:hAnsi="Arial"/>
          <w:sz w:val="18"/>
          <w:szCs w:val="18"/>
          <w:u w:val="single" w:color="auto"/>
          <w:color w:val="auto"/>
        </w:rPr>
        <w:t>Severance Agreement</w:t>
      </w:r>
      <w:r>
        <w:rPr>
          <w:rFonts w:ascii="Arial" w:cs="Arial" w:eastAsia="Arial" w:hAnsi="Arial"/>
          <w:sz w:val="18"/>
          <w:szCs w:val="18"/>
          <w:color w:val="auto"/>
        </w:rPr>
        <w:t>”), between the Company and Employee.</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Recitals:</w:t>
      </w:r>
    </w:p>
    <w:p>
      <w:pPr>
        <w:spacing w:after="0" w:line="220" w:lineRule="exact"/>
        <w:rPr>
          <w:sz w:val="20"/>
          <w:szCs w:val="20"/>
          <w:color w:val="auto"/>
        </w:rPr>
      </w:pPr>
    </w:p>
    <w:p>
      <w:pPr>
        <w:jc w:val="both"/>
        <w:ind w:right="20" w:firstLine="877"/>
        <w:spacing w:after="0" w:line="261" w:lineRule="auto"/>
        <w:rPr>
          <w:sz w:val="20"/>
          <w:szCs w:val="20"/>
          <w:color w:val="auto"/>
        </w:rPr>
      </w:pPr>
      <w:r>
        <w:rPr>
          <w:rFonts w:ascii="Arial" w:cs="Arial" w:eastAsia="Arial" w:hAnsi="Arial"/>
          <w:sz w:val="19"/>
          <w:szCs w:val="19"/>
          <w:color w:val="auto"/>
        </w:rPr>
        <w:t>A. The parties previously executed the Severance Agreement, pursuant to which the Company provides Employee severance and change of control benefits following certain terminations of Employee’s employment with the Company.</w:t>
      </w:r>
    </w:p>
    <w:p>
      <w:pPr>
        <w:spacing w:after="0" w:line="173"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9"/>
          <w:szCs w:val="19"/>
          <w:color w:val="auto"/>
        </w:rPr>
        <w:t>B. The parties have agreed to execute this Amendment to address the treatment of “excess parachute payments” within the meaning of Section 280G of the Internal Revenue Code of 1986, as amended (the “Code”).</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Agreements:</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accordance with the foregoing recitals, the parties hereto, intending to be legally bound, do hereby agree as follows:</w:t>
      </w:r>
    </w:p>
    <w:p>
      <w:pPr>
        <w:spacing w:after="0" w:line="237" w:lineRule="exact"/>
        <w:rPr>
          <w:sz w:val="20"/>
          <w:szCs w:val="20"/>
          <w:color w:val="auto"/>
        </w:rPr>
      </w:pPr>
    </w:p>
    <w:p>
      <w:pPr>
        <w:ind w:firstLine="8"/>
        <w:spacing w:after="0" w:line="268" w:lineRule="auto"/>
        <w:tabs>
          <w:tab w:leader="none" w:pos="189"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Amendment of Severance Agreement</w:t>
      </w:r>
      <w:r>
        <w:rPr>
          <w:rFonts w:ascii="Arial" w:cs="Arial" w:eastAsia="Arial" w:hAnsi="Arial"/>
          <w:sz w:val="19"/>
          <w:szCs w:val="19"/>
          <w:color w:val="auto"/>
        </w:rPr>
        <w:t>. The Severance Agreement is hereby amended by adding the following new Section 4 directly after the last</w:t>
      </w:r>
      <w:r>
        <w:rPr>
          <w:rFonts w:ascii="Arial" w:cs="Arial" w:eastAsia="Arial" w:hAnsi="Arial"/>
          <w:sz w:val="19"/>
          <w:szCs w:val="19"/>
          <w:b w:val="1"/>
          <w:bCs w:val="1"/>
          <w:color w:val="auto"/>
        </w:rPr>
        <w:t xml:space="preserve"> </w:t>
      </w:r>
      <w:r>
        <w:rPr>
          <w:rFonts w:ascii="Arial" w:cs="Arial" w:eastAsia="Arial" w:hAnsi="Arial"/>
          <w:sz w:val="19"/>
          <w:szCs w:val="19"/>
          <w:color w:val="auto"/>
        </w:rPr>
        <w:t>sentence of Section 3(e):</w:t>
      </w:r>
    </w:p>
    <w:p>
      <w:pPr>
        <w:spacing w:after="0" w:line="16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9"/>
          <w:szCs w:val="19"/>
          <w:color w:val="auto"/>
        </w:rPr>
        <w:t>“4.</w:t>
      </w:r>
      <w:r>
        <w:rPr>
          <w:sz w:val="20"/>
          <w:szCs w:val="20"/>
          <w:color w:val="auto"/>
        </w:rPr>
        <w:tab/>
      </w:r>
      <w:r>
        <w:rPr>
          <w:rFonts w:ascii="Arial" w:cs="Arial" w:eastAsia="Arial" w:hAnsi="Arial"/>
          <w:sz w:val="19"/>
          <w:szCs w:val="19"/>
          <w:b w:val="1"/>
          <w:bCs w:val="1"/>
          <w:color w:val="auto"/>
        </w:rPr>
        <w:t>Section 280G of the Code</w:t>
      </w:r>
      <w:r>
        <w:rPr>
          <w:rFonts w:ascii="Arial" w:cs="Arial" w:eastAsia="Arial" w:hAnsi="Arial"/>
          <w:sz w:val="19"/>
          <w:szCs w:val="19"/>
          <w:color w:val="auto"/>
        </w:rPr>
        <w:t>.</w:t>
      </w:r>
    </w:p>
    <w:p>
      <w:pPr>
        <w:spacing w:after="0" w:line="220" w:lineRule="exact"/>
        <w:rPr>
          <w:sz w:val="20"/>
          <w:szCs w:val="20"/>
          <w:color w:val="auto"/>
        </w:rPr>
      </w:pPr>
    </w:p>
    <w:p>
      <w:pPr>
        <w:jc w:val="both"/>
        <w:ind w:firstLine="885"/>
        <w:spacing w:after="0" w:line="258" w:lineRule="auto"/>
        <w:tabs>
          <w:tab w:leader="none" w:pos="17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if any payment, distribution, or other benefit provided by the Company to or for the benefit of Employee, whether paid or payable or distributed or distributable pursuant to the terms of this Agreement or otherwise (collectively, the “Payments”), (x) constitute a “parachute payment” within the meaning of Section 280G of the Code, and (y) but for this Section 4 would be subject to the excise tax imposed by Section 4999 of the Code or any similar or successor provision thereto (the “Excise Tax”), then the Payments shall be either: (i) delivered in full pursuant to the terms of this Agreement, or (ii) delivered to such lesser extent as would result in no portion of the payment being subject to the Excise Tax, as determined in accordance with Section 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0"/>
          <w:szCs w:val="20"/>
          <w:color w:val="auto"/>
        </w:rPr>
      </w:pPr>
    </w:p>
    <w:p>
      <w:pPr>
        <w:ind w:left="10740"/>
        <w:spacing w:after="0"/>
        <w:rPr>
          <w:sz w:val="20"/>
          <w:szCs w:val="20"/>
          <w:color w:val="auto"/>
        </w:rPr>
      </w:pPr>
      <w:r>
        <w:rPr>
          <w:rFonts w:ascii="Arial" w:cs="Arial" w:eastAsia="Arial" w:hAnsi="Arial"/>
          <w:sz w:val="14"/>
          <w:szCs w:val="14"/>
          <w:color w:val="auto"/>
        </w:rPr>
        <w:t xml:space="preserve">5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7" w:name="page78"/>
    <w:bookmarkEnd w:id="77"/>
    <w:p>
      <w:pPr>
        <w:jc w:val="both"/>
        <w:ind w:firstLine="885"/>
        <w:spacing w:after="0" w:line="263" w:lineRule="auto"/>
        <w:tabs>
          <w:tab w:leader="none" w:pos="180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determination of whether Section 4(a)(i) or Section 4(a)(ii) shall be given effect shall be made by the Company on the basis of which of such clauses results in the receipt by Employee of the greater Net After-Tax Receipt (as defined herein) of the aggregate Payments. The term “Net After-Tax Receipt” shall mean the present value (as determined in accordance with Section 280G of the Code) of the payments net of all applicable federal, state and local income, employment, and other applicable taxes and the Excise Tax.</w:t>
      </w:r>
    </w:p>
    <w:p>
      <w:pPr>
        <w:spacing w:after="0" w:line="173" w:lineRule="exact"/>
        <w:rPr>
          <w:rFonts w:ascii="Arial" w:cs="Arial" w:eastAsia="Arial" w:hAnsi="Arial"/>
          <w:sz w:val="18"/>
          <w:szCs w:val="18"/>
          <w:color w:val="auto"/>
        </w:rPr>
      </w:pPr>
    </w:p>
    <w:p>
      <w:pPr>
        <w:ind w:left="1740" w:hanging="855"/>
        <w:spacing w:after="0"/>
        <w:tabs>
          <w:tab w:leader="none" w:pos="17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If Section 4(a)(ii) is given effect, the reduction shall be accomplished in accordance with Section 409A of the Code and the</w:t>
      </w:r>
    </w:p>
    <w:p>
      <w:pPr>
        <w:spacing w:after="0" w:line="36" w:lineRule="exact"/>
        <w:rPr>
          <w:rFonts w:ascii="Arial" w:cs="Arial" w:eastAsia="Arial" w:hAnsi="Arial"/>
          <w:sz w:val="17"/>
          <w:szCs w:val="17"/>
          <w:color w:val="auto"/>
        </w:rPr>
      </w:pPr>
    </w:p>
    <w:p>
      <w:pPr>
        <w:jc w:val="both"/>
        <w:ind w:right="20"/>
        <w:spacing w:after="0"/>
        <w:rPr>
          <w:rFonts w:ascii="Arial" w:cs="Arial" w:eastAsia="Arial" w:hAnsi="Arial"/>
          <w:sz w:val="17"/>
          <w:szCs w:val="17"/>
          <w:color w:val="auto"/>
        </w:rPr>
      </w:pPr>
      <w:r>
        <w:rPr>
          <w:rFonts w:ascii="Arial" w:cs="Arial" w:eastAsia="Arial" w:hAnsi="Arial"/>
          <w:sz w:val="19"/>
          <w:szCs w:val="19"/>
          <w:color w:val="auto"/>
        </w:rPr>
        <w:t>following: first by reducing, on a pro rata basis, cash Payments that are exempt from Section 409A of the Code; second by reducing, on a pro rata basis, other cash Payments; and third by forfeiting any equity-based awards that vest and become payable, starting with the most recent equity-based awards that vest, to the extent necessary to accomplish such reduction.</w:t>
      </w:r>
    </w:p>
    <w:p>
      <w:pPr>
        <w:spacing w:after="0" w:line="192" w:lineRule="exact"/>
        <w:rPr>
          <w:rFonts w:ascii="Arial" w:cs="Arial" w:eastAsia="Arial" w:hAnsi="Arial"/>
          <w:sz w:val="17"/>
          <w:szCs w:val="17"/>
          <w:color w:val="auto"/>
        </w:rPr>
      </w:pPr>
    </w:p>
    <w:p>
      <w:pPr>
        <w:jc w:val="both"/>
        <w:ind w:firstLine="885"/>
        <w:spacing w:after="0" w:line="243" w:lineRule="auto"/>
        <w:tabs>
          <w:tab w:leader="none" w:pos="1746" w:val="left"/>
        </w:tabs>
        <w:numPr>
          <w:ilvl w:val="1"/>
          <w:numId w:val="40"/>
        </w:numPr>
        <w:rPr>
          <w:rFonts w:ascii="Arial" w:cs="Arial" w:eastAsia="Arial" w:hAnsi="Arial"/>
          <w:sz w:val="19"/>
          <w:szCs w:val="19"/>
          <w:color w:val="auto"/>
        </w:rPr>
      </w:pPr>
      <w:r>
        <w:rPr>
          <w:rFonts w:ascii="Arial" w:cs="Arial" w:eastAsia="Arial" w:hAnsi="Arial"/>
          <w:sz w:val="19"/>
          <w:szCs w:val="19"/>
          <w:color w:val="auto"/>
        </w:rPr>
        <w:t>Unless the Company and Employee otherwise agree in writing, any determination required under this Section 4 shall be made by the Company’s independent accountants or compensation consultants (the “Third Party”), and all such determinations shall be conclusive, final and binding on the parties hereto. The Company and Employee shall furnish to the Third Party such information and documents as the Third Party may reasonably request in order to make a determination under this Section 4. The Company shall bear all fees and costs of the Third Party with respect to all determinations under or contemplated by this Section 4.”</w:t>
      </w:r>
    </w:p>
    <w:p>
      <w:pPr>
        <w:spacing w:after="0" w:line="184" w:lineRule="exact"/>
        <w:rPr>
          <w:rFonts w:ascii="Arial" w:cs="Arial" w:eastAsia="Arial" w:hAnsi="Arial"/>
          <w:sz w:val="19"/>
          <w:szCs w:val="19"/>
          <w:color w:val="auto"/>
        </w:rPr>
      </w:pPr>
    </w:p>
    <w:p>
      <w:pPr>
        <w:jc w:val="both"/>
        <w:ind w:firstLine="8"/>
        <w:spacing w:after="0" w:line="261" w:lineRule="auto"/>
        <w:tabs>
          <w:tab w:leader="none" w:pos="189"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Except as expressly modified by Section 1, above, the Severance Agreement is hereby ratified and confirmed and shall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force and effect. This Agreement may be executed in counterparts, each of which shall be deemed an original and both of which, taken together, shall constitute one and the same instrument, binding on each signatory thereto. A copy of this Amendment that is executed by a party and transmitted by that party to the other party by facsimile or as an attachment (e.g., in “.tif” or “.pdf” format) to an email shall be binding upon the signatory to the same extent as a copy hereof containing that party’s original signature.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Signatures appear on the following page.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0740"/>
        <w:spacing w:after="0"/>
        <w:rPr>
          <w:sz w:val="20"/>
          <w:szCs w:val="20"/>
          <w:color w:val="auto"/>
        </w:rPr>
      </w:pPr>
      <w:r>
        <w:rPr>
          <w:rFonts w:ascii="Arial" w:cs="Arial" w:eastAsia="Arial" w:hAnsi="Arial"/>
          <w:sz w:val="14"/>
          <w:szCs w:val="14"/>
          <w:color w:val="auto"/>
        </w:rPr>
        <w:t xml:space="preserve">6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78" w:name="page79"/>
    <w:bookmarkEnd w:id="78"/>
    <w:p>
      <w:pPr>
        <w:ind w:left="88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undersigned have executed this Amendment, effective as of the Effective Date set forth above.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5940" w:type="dxa"/>
            <w:vAlign w:val="bottom"/>
            <w:gridSpan w:val="2"/>
          </w:tcPr>
          <w:p>
            <w:pPr>
              <w:ind w:left="22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w:t>
            </w:r>
          </w:p>
        </w:tc>
        <w:tc>
          <w:tcPr>
            <w:tcW w:w="5460" w:type="dxa"/>
            <w:vAlign w:val="bottom"/>
          </w:tcPr>
          <w:p>
            <w:pPr>
              <w:ind w:left="22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Employee</w:t>
            </w:r>
            <w:r>
              <w:rPr>
                <w:rFonts w:ascii="Arial" w:cs="Arial" w:eastAsia="Arial" w:hAnsi="Arial"/>
                <w:sz w:val="19"/>
                <w:szCs w:val="19"/>
                <w:color w:val="auto"/>
              </w:rPr>
              <w:t>”</w:t>
            </w:r>
          </w:p>
        </w:tc>
      </w:tr>
      <w:tr>
        <w:trPr>
          <w:trHeight w:val="432"/>
        </w:trPr>
        <w:tc>
          <w:tcPr>
            <w:tcW w:w="5960" w:type="dxa"/>
            <w:vAlign w:val="bottom"/>
            <w:gridSpan w:val="3"/>
          </w:tcPr>
          <w:p>
            <w:pPr>
              <w:spacing w:after="0"/>
              <w:rPr>
                <w:sz w:val="20"/>
                <w:szCs w:val="20"/>
                <w:color w:val="auto"/>
              </w:rPr>
            </w:pPr>
            <w:r>
              <w:rPr>
                <w:rFonts w:ascii="Arial" w:cs="Arial" w:eastAsia="Arial" w:hAnsi="Arial"/>
                <w:sz w:val="19"/>
                <w:szCs w:val="19"/>
                <w:b w:val="1"/>
                <w:bCs w:val="1"/>
                <w:color w:val="auto"/>
              </w:rPr>
              <w:t xml:space="preserve">CytomX Therapeutics, Inc., </w:t>
            </w:r>
            <w:r>
              <w:rPr>
                <w:rFonts w:ascii="Arial" w:cs="Arial" w:eastAsia="Arial" w:hAnsi="Arial"/>
                <w:sz w:val="19"/>
                <w:szCs w:val="19"/>
                <w:color w:val="auto"/>
              </w:rPr>
              <w:t>a Delaware corporation</w:t>
            </w:r>
          </w:p>
        </w:tc>
        <w:tc>
          <w:tcPr>
            <w:tcW w:w="5460" w:type="dxa"/>
            <w:vAlign w:val="bottom"/>
          </w:tcPr>
          <w:p>
            <w:pPr>
              <w:spacing w:after="0"/>
              <w:rPr>
                <w:sz w:val="24"/>
                <w:szCs w:val="24"/>
                <w:color w:val="auto"/>
              </w:rPr>
            </w:pPr>
          </w:p>
        </w:tc>
      </w:tr>
      <w:tr>
        <w:trPr>
          <w:trHeight w:val="430"/>
        </w:trPr>
        <w:tc>
          <w:tcPr>
            <w:tcW w:w="5960" w:type="dxa"/>
            <w:vAlign w:val="bottom"/>
            <w:gridSpan w:val="3"/>
          </w:tcPr>
          <w:p>
            <w:pPr>
              <w:spacing w:after="0"/>
              <w:rPr>
                <w:sz w:val="20"/>
                <w:szCs w:val="20"/>
                <w:color w:val="auto"/>
              </w:rPr>
            </w:pPr>
            <w:r>
              <w:rPr>
                <w:rFonts w:ascii="Arial" w:cs="Arial" w:eastAsia="Arial" w:hAnsi="Arial"/>
                <w:sz w:val="19"/>
                <w:szCs w:val="19"/>
                <w:color w:val="auto"/>
              </w:rPr>
              <w:t>By: /s/ Sean McCarthy</w:t>
            </w:r>
          </w:p>
        </w:tc>
        <w:tc>
          <w:tcPr>
            <w:tcW w:w="5460" w:type="dxa"/>
            <w:vAlign w:val="bottom"/>
          </w:tcPr>
          <w:p>
            <w:pPr>
              <w:spacing w:after="0"/>
              <w:rPr>
                <w:sz w:val="20"/>
                <w:szCs w:val="20"/>
                <w:color w:val="auto"/>
              </w:rPr>
            </w:pPr>
            <w:r>
              <w:rPr>
                <w:rFonts w:ascii="Arial" w:cs="Arial" w:eastAsia="Arial" w:hAnsi="Arial"/>
                <w:sz w:val="19"/>
                <w:szCs w:val="19"/>
                <w:color w:val="auto"/>
              </w:rPr>
              <w:t>/s/ Lloyd Rowland</w:t>
            </w:r>
          </w:p>
        </w:tc>
      </w:tr>
      <w:tr>
        <w:trPr>
          <w:trHeight w:val="234"/>
        </w:trPr>
        <w:tc>
          <w:tcPr>
            <w:tcW w:w="20" w:type="dxa"/>
            <w:vAlign w:val="bottom"/>
          </w:tcPr>
          <w:p>
            <w:pPr>
              <w:spacing w:after="0"/>
              <w:rPr>
                <w:sz w:val="20"/>
                <w:szCs w:val="20"/>
                <w:color w:val="auto"/>
              </w:rPr>
            </w:pPr>
          </w:p>
        </w:tc>
        <w:tc>
          <w:tcPr>
            <w:tcW w:w="548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Sean McCarthy, President and CEO</w:t>
            </w:r>
          </w:p>
        </w:tc>
        <w:tc>
          <w:tcPr>
            <w:tcW w:w="460" w:type="dxa"/>
            <w:vAlign w:val="bottom"/>
          </w:tcPr>
          <w:p>
            <w:pPr>
              <w:spacing w:after="0"/>
              <w:rPr>
                <w:sz w:val="20"/>
                <w:szCs w:val="20"/>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Lloyd Rowland, Senior Vice President, General Counsel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0740"/>
        <w:spacing w:after="0"/>
        <w:rPr>
          <w:sz w:val="20"/>
          <w:szCs w:val="20"/>
          <w:color w:val="auto"/>
        </w:rPr>
      </w:pPr>
      <w:r>
        <w:rPr>
          <w:rFonts w:ascii="Arial" w:cs="Arial" w:eastAsia="Arial" w:hAnsi="Arial"/>
          <w:sz w:val="14"/>
          <w:szCs w:val="14"/>
          <w:color w:val="auto"/>
        </w:rPr>
        <w:t xml:space="preserve">7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ectPr>
          <w:pgSz w:w="11900" w:h="16838" w:orient="portrait"/>
          <w:cols w:equalWidth="0" w:num="1">
            <w:col w:w="11420"/>
          </w:cols>
          <w:pgMar w:left="240" w:top="34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President and Chief Executive Officer of CytomX Therapeutics, Inc., certify that:</w:t>
      </w:r>
    </w:p>
    <w:p>
      <w:pPr>
        <w:spacing w:after="0" w:line="117" w:lineRule="exact"/>
        <w:rPr>
          <w:sz w:val="20"/>
          <w:szCs w:val="20"/>
          <w:color w:val="auto"/>
        </w:rPr>
      </w:pPr>
    </w:p>
    <w:p>
      <w:pPr>
        <w:ind w:left="780" w:hanging="259"/>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25" w:lineRule="exact"/>
        <w:rPr>
          <w:rFonts w:ascii="Arial" w:cs="Arial" w:eastAsia="Arial" w:hAnsi="Arial"/>
          <w:sz w:val="18"/>
          <w:szCs w:val="18"/>
          <w:color w:val="auto"/>
        </w:rPr>
      </w:pPr>
    </w:p>
    <w:p>
      <w:pPr>
        <w:jc w:val="both"/>
        <w:ind w:left="780" w:right="180" w:hanging="259"/>
        <w:spacing w:after="0" w:line="264"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40" w:hanging="259"/>
        <w:spacing w:after="0" w:line="308" w:lineRule="auto"/>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160" w:hanging="259"/>
        <w:spacing w:after="0" w:line="221" w:lineRule="exact"/>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540" w:right="40" w:hanging="506"/>
        <w:spacing w:after="0" w:line="264" w:lineRule="auto"/>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80" w:right="60" w:hanging="259"/>
        <w:spacing w:after="0" w:line="308" w:lineRule="auto"/>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right="380" w:hanging="506"/>
        <w:spacing w:after="0" w:line="342" w:lineRule="auto"/>
        <w:tabs>
          <w:tab w:leader="none" w:pos="15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40" w:type="dxa"/>
            <w:vAlign w:val="bottom"/>
          </w:tcPr>
          <w:p>
            <w:pPr>
              <w:spacing w:after="0"/>
              <w:rPr>
                <w:sz w:val="20"/>
                <w:szCs w:val="20"/>
                <w:color w:val="auto"/>
              </w:rPr>
            </w:pPr>
            <w:r>
              <w:rPr>
                <w:rFonts w:ascii="Arial" w:cs="Arial" w:eastAsia="Arial" w:hAnsi="Arial"/>
                <w:sz w:val="18"/>
                <w:szCs w:val="18"/>
                <w:color w:val="auto"/>
              </w:rPr>
              <w:t>Date: August 8, 2018</w:t>
            </w:r>
          </w:p>
        </w:tc>
        <w:tc>
          <w:tcPr>
            <w:tcW w:w="2680" w:type="dxa"/>
            <w:vAlign w:val="bottom"/>
          </w:tcPr>
          <w:p>
            <w:pPr>
              <w:ind w:left="18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r>
      <w:tr>
        <w:trPr>
          <w:trHeight w:val="222"/>
        </w:trPr>
        <w:tc>
          <w:tcPr>
            <w:tcW w:w="3440" w:type="dxa"/>
            <w:vAlign w:val="bottom"/>
          </w:tcPr>
          <w:p>
            <w:pPr>
              <w:spacing w:after="0"/>
              <w:rPr>
                <w:sz w:val="19"/>
                <w:szCs w:val="19"/>
                <w:color w:val="auto"/>
              </w:rPr>
            </w:pPr>
          </w:p>
        </w:tc>
        <w:tc>
          <w:tcPr>
            <w:tcW w:w="2680" w:type="dxa"/>
            <w:vAlign w:val="bottom"/>
          </w:tcPr>
          <w:p>
            <w:pPr>
              <w:ind w:left="188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Sean A. McCarthy</w:t>
            </w:r>
          </w:p>
        </w:tc>
      </w:tr>
      <w:tr>
        <w:trPr>
          <w:trHeight w:val="230"/>
        </w:trPr>
        <w:tc>
          <w:tcPr>
            <w:tcW w:w="3440" w:type="dxa"/>
            <w:vAlign w:val="bottom"/>
          </w:tcPr>
          <w:p>
            <w:pPr>
              <w:spacing w:after="0"/>
              <w:rPr>
                <w:sz w:val="20"/>
                <w:szCs w:val="20"/>
                <w:color w:val="auto"/>
              </w:rPr>
            </w:pPr>
          </w:p>
        </w:tc>
        <w:tc>
          <w:tcPr>
            <w:tcW w:w="2680" w:type="dxa"/>
            <w:vAlign w:val="bottom"/>
          </w:tcPr>
          <w:p>
            <w:pPr>
              <w:ind w:left="188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3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Debanjan Ray, Chief Financial Officer of CytomX Therapeutics, Inc., certify that:</w:t>
      </w:r>
    </w:p>
    <w:p>
      <w:pPr>
        <w:spacing w:after="0" w:line="117" w:lineRule="exact"/>
        <w:rPr>
          <w:sz w:val="20"/>
          <w:szCs w:val="20"/>
          <w:color w:val="auto"/>
        </w:rPr>
      </w:pPr>
    </w:p>
    <w:p>
      <w:pPr>
        <w:ind w:left="780" w:hanging="25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25" w:lineRule="exact"/>
        <w:rPr>
          <w:rFonts w:ascii="Arial" w:cs="Arial" w:eastAsia="Arial" w:hAnsi="Arial"/>
          <w:sz w:val="18"/>
          <w:szCs w:val="18"/>
          <w:color w:val="auto"/>
        </w:rPr>
      </w:pPr>
    </w:p>
    <w:p>
      <w:pPr>
        <w:jc w:val="both"/>
        <w:ind w:left="780" w:right="180" w:hanging="259"/>
        <w:spacing w:after="0" w:line="264"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40" w:hanging="259"/>
        <w:spacing w:after="0" w:line="308" w:lineRule="auto"/>
        <w:tabs>
          <w:tab w:leader="none" w:pos="7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160" w:hanging="259"/>
        <w:spacing w:after="0" w:line="221" w:lineRule="exact"/>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540" w:right="40" w:hanging="506"/>
        <w:spacing w:after="0" w:line="264" w:lineRule="auto"/>
        <w:tabs>
          <w:tab w:leader="none" w:pos="1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80" w:right="60" w:hanging="259"/>
        <w:spacing w:after="0" w:line="308" w:lineRule="auto"/>
        <w:tabs>
          <w:tab w:leader="none" w:pos="7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right="380" w:hanging="506"/>
        <w:spacing w:after="0" w:line="342" w:lineRule="auto"/>
        <w:tabs>
          <w:tab w:leader="none" w:pos="15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40" w:type="dxa"/>
            <w:vAlign w:val="bottom"/>
          </w:tcPr>
          <w:p>
            <w:pPr>
              <w:spacing w:after="0"/>
              <w:rPr>
                <w:sz w:val="20"/>
                <w:szCs w:val="20"/>
                <w:color w:val="auto"/>
              </w:rPr>
            </w:pPr>
            <w:r>
              <w:rPr>
                <w:rFonts w:ascii="Arial" w:cs="Arial" w:eastAsia="Arial" w:hAnsi="Arial"/>
                <w:sz w:val="18"/>
                <w:szCs w:val="18"/>
                <w:color w:val="auto"/>
              </w:rPr>
              <w:t>Date: August 8, 2018</w:t>
            </w:r>
          </w:p>
        </w:tc>
        <w:tc>
          <w:tcPr>
            <w:tcW w:w="2680" w:type="dxa"/>
            <w:vAlign w:val="bottom"/>
          </w:tcPr>
          <w:p>
            <w:pPr>
              <w:ind w:left="18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Debanjan Ray</w:t>
            </w:r>
          </w:p>
        </w:tc>
      </w:tr>
      <w:tr>
        <w:trPr>
          <w:trHeight w:val="222"/>
        </w:trPr>
        <w:tc>
          <w:tcPr>
            <w:tcW w:w="3440" w:type="dxa"/>
            <w:vAlign w:val="bottom"/>
          </w:tcPr>
          <w:p>
            <w:pPr>
              <w:spacing w:after="0"/>
              <w:rPr>
                <w:sz w:val="19"/>
                <w:szCs w:val="19"/>
                <w:color w:val="auto"/>
              </w:rPr>
            </w:pPr>
          </w:p>
        </w:tc>
        <w:tc>
          <w:tcPr>
            <w:tcW w:w="2680" w:type="dxa"/>
            <w:vAlign w:val="bottom"/>
          </w:tcPr>
          <w:p>
            <w:pPr>
              <w:ind w:left="188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Debanjan Ray</w:t>
            </w:r>
          </w:p>
        </w:tc>
      </w:tr>
      <w:tr>
        <w:trPr>
          <w:trHeight w:val="230"/>
        </w:trPr>
        <w:tc>
          <w:tcPr>
            <w:tcW w:w="3440" w:type="dxa"/>
            <w:vAlign w:val="bottom"/>
          </w:tcPr>
          <w:p>
            <w:pPr>
              <w:spacing w:after="0"/>
              <w:rPr>
                <w:sz w:val="20"/>
                <w:szCs w:val="20"/>
                <w:color w:val="auto"/>
              </w:rPr>
            </w:pPr>
          </w:p>
        </w:tc>
        <w:tc>
          <w:tcPr>
            <w:tcW w:w="2680" w:type="dxa"/>
            <w:vAlign w:val="bottom"/>
          </w:tcPr>
          <w:p>
            <w:pPr>
              <w:ind w:left="188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3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June 30, 2018,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Sean A. McCarthy, President and Chief Executive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7"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August 8, 2018</w:t>
            </w:r>
          </w:p>
        </w:tc>
        <w:tc>
          <w:tcPr>
            <w:tcW w:w="2580" w:type="dxa"/>
            <w:vAlign w:val="bottom"/>
          </w:tcPr>
          <w:p>
            <w:pPr>
              <w:ind w:left="190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r>
      <w:tr>
        <w:trPr>
          <w:trHeight w:val="222"/>
        </w:trPr>
        <w:tc>
          <w:tcPr>
            <w:tcW w:w="3460" w:type="dxa"/>
            <w:vAlign w:val="bottom"/>
          </w:tcPr>
          <w:p>
            <w:pPr>
              <w:spacing w:after="0"/>
              <w:rPr>
                <w:sz w:val="19"/>
                <w:szCs w:val="19"/>
                <w:color w:val="auto"/>
              </w:rPr>
            </w:pPr>
          </w:p>
        </w:tc>
        <w:tc>
          <w:tcPr>
            <w:tcW w:w="2580" w:type="dxa"/>
            <w:vAlign w:val="bottom"/>
          </w:tcPr>
          <w:p>
            <w:pPr>
              <w:ind w:left="190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Sean A. McCarthy</w:t>
            </w:r>
          </w:p>
        </w:tc>
      </w:tr>
      <w:tr>
        <w:trPr>
          <w:trHeight w:val="230"/>
        </w:trPr>
        <w:tc>
          <w:tcPr>
            <w:tcW w:w="3460" w:type="dxa"/>
            <w:vAlign w:val="bottom"/>
          </w:tcPr>
          <w:p>
            <w:pPr>
              <w:spacing w:after="0"/>
              <w:rPr>
                <w:sz w:val="20"/>
                <w:szCs w:val="20"/>
                <w:color w:val="auto"/>
              </w:rPr>
            </w:pPr>
          </w:p>
        </w:tc>
        <w:tc>
          <w:tcPr>
            <w:tcW w:w="2580" w:type="dxa"/>
            <w:vAlign w:val="bottom"/>
          </w:tcPr>
          <w:p>
            <w:pPr>
              <w:ind w:left="190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June 30, 2018,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Debanjan Ray, Chief Financial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7"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August 8, 2018</w:t>
            </w:r>
          </w:p>
        </w:tc>
        <w:tc>
          <w:tcPr>
            <w:tcW w:w="2580" w:type="dxa"/>
            <w:vAlign w:val="bottom"/>
          </w:tcPr>
          <w:p>
            <w:pPr>
              <w:ind w:left="190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Debanjan Ray</w:t>
            </w:r>
          </w:p>
        </w:tc>
      </w:tr>
      <w:tr>
        <w:trPr>
          <w:trHeight w:val="222"/>
        </w:trPr>
        <w:tc>
          <w:tcPr>
            <w:tcW w:w="3460" w:type="dxa"/>
            <w:vAlign w:val="bottom"/>
          </w:tcPr>
          <w:p>
            <w:pPr>
              <w:spacing w:after="0"/>
              <w:rPr>
                <w:sz w:val="19"/>
                <w:szCs w:val="19"/>
                <w:color w:val="auto"/>
              </w:rPr>
            </w:pPr>
          </w:p>
        </w:tc>
        <w:tc>
          <w:tcPr>
            <w:tcW w:w="2580" w:type="dxa"/>
            <w:vAlign w:val="bottom"/>
          </w:tcPr>
          <w:p>
            <w:pPr>
              <w:ind w:left="190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Debanjan Ray</w:t>
            </w:r>
          </w:p>
        </w:tc>
      </w:tr>
      <w:tr>
        <w:trPr>
          <w:trHeight w:val="230"/>
        </w:trPr>
        <w:tc>
          <w:tcPr>
            <w:tcW w:w="3460" w:type="dxa"/>
            <w:vAlign w:val="bottom"/>
          </w:tcPr>
          <w:p>
            <w:pPr>
              <w:spacing w:after="0"/>
              <w:rPr>
                <w:sz w:val="20"/>
                <w:szCs w:val="20"/>
                <w:color w:val="auto"/>
              </w:rPr>
            </w:pPr>
          </w:p>
        </w:tc>
        <w:tc>
          <w:tcPr>
            <w:tcW w:w="2580" w:type="dxa"/>
            <w:vAlign w:val="bottom"/>
          </w:tcPr>
          <w:p>
            <w:pPr>
              <w:ind w:left="190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lowerRoman"/>
      <w:start w:val="3"/>
    </w:lvl>
  </w:abstractNum>
  <w:abstractNum w:abstractNumId="7">
    <w:nsid w:val="189A769B"/>
    <w:multiLevelType w:val="hybridMultilevel"/>
    <w:lvl w:ilvl="0">
      <w:lvlJc w:val="left"/>
      <w:lvlText w:val="%1."/>
      <w:numFmt w:val="decimal"/>
      <w:start w:val="5"/>
    </w:lvl>
    <w:lvl w:ilvl="1">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3"/>
    </w:lvl>
  </w:abstractNum>
  <w:abstractNum w:abstractNumId="34">
    <w:nsid w:val="2D517796"/>
    <w:multiLevelType w:val="hybridMultilevel"/>
    <w:lvl w:ilvl="0">
      <w:lvlJc w:val="left"/>
      <w:lvlText w:val="(%1)"/>
      <w:numFmt w:val="lowerRoman"/>
      <w:start w:val="3"/>
    </w:lvl>
  </w:abstractNum>
  <w:abstractNum w:abstractNumId="35">
    <w:nsid w:val="580BD78F"/>
    <w:multiLevelType w:val="hybridMultilevel"/>
    <w:lvl w:ilvl="0">
      <w:lvlJc w:val="left"/>
      <w:lvlText w:val="(%1)"/>
      <w:numFmt w:val="lowerLetter"/>
      <w:start w:val="1"/>
    </w:lvl>
    <w:lvl w:ilvl="1">
      <w:lvlJc w:val="left"/>
      <w:lvlText w:val="(%2)"/>
      <w:numFmt w:val="lowerRoman"/>
      <w:start w:val="1"/>
    </w:lvl>
  </w:abstractNum>
  <w:abstractNum w:abstractNumId="36">
    <w:nsid w:val="153EA438"/>
    <w:multiLevelType w:val="hybridMultilevel"/>
    <w:lvl w:ilvl="0">
      <w:lvlJc w:val="left"/>
      <w:lvlText w:val="(%1)"/>
      <w:numFmt w:val="lowerLetter"/>
      <w:start w:val="4"/>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1"/>
    </w:lvl>
    <w:lvl w:ilvl="1">
      <w:lvlJc w:val="left"/>
      <w:lvlText w:val="(%2)"/>
      <w:numFmt w:val="lowerLetter"/>
      <w:start w:val="2"/>
    </w:lvl>
  </w:abstractNum>
  <w:abstractNum w:abstractNumId="40">
    <w:nsid w:val="2A487CB0"/>
    <w:multiLevelType w:val="hybridMultilevel"/>
    <w:lvl w:ilvl="0">
      <w:lvlJc w:val="left"/>
      <w:lvlText w:val="%1."/>
      <w:numFmt w:val="decimal"/>
      <w:start w:val="2"/>
    </w:lvl>
    <w:lvl w:ilvl="1">
      <w:lvlJc w:val="left"/>
      <w:lvlText w:val="%2"/>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jpe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jpe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92" Type="http://schemas.openxmlformats.org/officeDocument/2006/relationships/hyperlink" Target="http://www.sec.gov/Archives/edgar/data/0001501989/000119312515347080/d78795dex31.htm" TargetMode="External"/><Relationship Id="rId93" Type="http://schemas.openxmlformats.org/officeDocument/2006/relationships/hyperlink" Target="http://www.sec.gov/Archives/edgar/data/0001501989/000119312515347080/d78795dex32.htm" TargetMode="External"/><Relationship Id="rId94" Type="http://schemas.openxmlformats.org/officeDocument/2006/relationships/hyperlink" Target="http://www.sec.gov/Archives/edgar/data/0001501989/000119312515329662/d948537dex41.htm" TargetMode="External"/><Relationship Id="rId95" Type="http://schemas.openxmlformats.org/officeDocument/2006/relationships/hyperlink" Target="http://www.sec.gov/Archives/edgar/data/0001501989/000119312515307013/d94853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2019-12-28T20:09:36Z</dcterms:created>
  <dcterms:modified xsi:type="dcterms:W3CDTF">2019-12-28T20:09:36Z</dcterms:modified>
</cp:coreProperties>
</file>