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165735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182880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 w:lineRule="exact"/>
        <w:rPr>
          <w:sz w:val="24"/>
          <w:szCs w:val="24"/>
          <w:color w:val="auto"/>
        </w:rPr>
      </w:pPr>
    </w:p>
    <w:p>
      <w:pPr>
        <w:ind w:left="480" w:right="340" w:hanging="459"/>
        <w:spacing w:after="0" w:line="237" w:lineRule="auto"/>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0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93" w:lineRule="exact"/>
        <w:rPr>
          <w:sz w:val="24"/>
          <w:szCs w:val="24"/>
          <w:color w:val="auto"/>
        </w:rPr>
      </w:pPr>
    </w:p>
    <w:p>
      <w:pPr>
        <w:ind w:left="480" w:right="320" w:hanging="459"/>
        <w:spacing w:after="0" w:line="251" w:lineRule="auto"/>
        <w:tabs>
          <w:tab w:leader="none" w:pos="4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6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4"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CytomX Therapeutics,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jc w:val="center"/>
              <w:ind w:left="1759"/>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40" w:type="dxa"/>
            <w:vAlign w:val="bottom"/>
          </w:tcPr>
          <w:p>
            <w:pPr>
              <w:jc w:val="center"/>
              <w:ind w:right="1681"/>
              <w:spacing w:after="0"/>
              <w:rPr>
                <w:sz w:val="20"/>
                <w:szCs w:val="20"/>
                <w:color w:val="auto"/>
              </w:rPr>
            </w:pPr>
            <w:r>
              <w:rPr>
                <w:rFonts w:ascii="Arial" w:cs="Arial" w:eastAsia="Arial" w:hAnsi="Arial"/>
                <w:sz w:val="18"/>
                <w:szCs w:val="18"/>
                <w:b w:val="1"/>
                <w:bCs w:val="1"/>
                <w:color w:val="auto"/>
                <w:w w:val="89"/>
              </w:rPr>
              <w:t>27-3521219</w:t>
            </w:r>
          </w:p>
        </w:tc>
      </w:tr>
      <w:tr>
        <w:trPr>
          <w:trHeight w:val="148"/>
        </w:trPr>
        <w:tc>
          <w:tcPr>
            <w:tcW w:w="3800" w:type="dxa"/>
            <w:vAlign w:val="bottom"/>
          </w:tcPr>
          <w:p>
            <w:pPr>
              <w:jc w:val="center"/>
              <w:ind w:left="1759"/>
              <w:spacing w:after="0" w:line="148" w:lineRule="exact"/>
              <w:rPr>
                <w:sz w:val="20"/>
                <w:szCs w:val="20"/>
                <w:color w:val="auto"/>
              </w:rPr>
            </w:pPr>
            <w:r>
              <w:rPr>
                <w:rFonts w:ascii="Arial" w:cs="Arial" w:eastAsia="Arial" w:hAnsi="Arial"/>
                <w:sz w:val="14"/>
                <w:szCs w:val="14"/>
                <w:b w:val="1"/>
                <w:bCs w:val="1"/>
                <w:color w:val="auto"/>
                <w:w w:val="93"/>
              </w:rPr>
              <w:t>(State or other jurisdiction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740" w:type="dxa"/>
            <w:vAlign w:val="bottom"/>
          </w:tcPr>
          <w:p>
            <w:pPr>
              <w:jc w:val="center"/>
              <w:ind w:right="1681"/>
              <w:spacing w:after="0" w:line="148"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3800" w:type="dxa"/>
            <w:vAlign w:val="bottom"/>
          </w:tcPr>
          <w:p>
            <w:pPr>
              <w:jc w:val="center"/>
              <w:ind w:left="1759"/>
              <w:spacing w:after="0"/>
              <w:rPr>
                <w:sz w:val="20"/>
                <w:szCs w:val="20"/>
                <w:color w:val="auto"/>
              </w:rPr>
            </w:pPr>
            <w:r>
              <w:rPr>
                <w:rFonts w:ascii="Arial" w:cs="Arial" w:eastAsia="Arial" w:hAnsi="Arial"/>
                <w:sz w:val="14"/>
                <w:szCs w:val="14"/>
                <w:b w:val="1"/>
                <w:bCs w:val="1"/>
                <w:color w:val="auto"/>
                <w:w w:val="94"/>
              </w:rPr>
              <w:t>incorporation or organization)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40" w:type="dxa"/>
            <w:vAlign w:val="bottom"/>
          </w:tcPr>
          <w:p>
            <w:pPr>
              <w:jc w:val="center"/>
              <w:ind w:right="1701"/>
              <w:spacing w:after="0"/>
              <w:rPr>
                <w:sz w:val="20"/>
                <w:szCs w:val="20"/>
                <w:color w:val="auto"/>
              </w:rPr>
            </w:pPr>
            <w:r>
              <w:rPr>
                <w:rFonts w:ascii="Arial" w:cs="Arial" w:eastAsia="Arial" w:hAnsi="Arial"/>
                <w:sz w:val="14"/>
                <w:szCs w:val="14"/>
                <w:b w:val="1"/>
                <w:bCs w:val="1"/>
                <w:color w:val="auto"/>
                <w:w w:val="94"/>
              </w:rPr>
              <w:t>Identification No.)</w:t>
            </w:r>
          </w:p>
        </w:tc>
      </w:tr>
      <w:tr>
        <w:trPr>
          <w:trHeight w:val="267"/>
        </w:trPr>
        <w:tc>
          <w:tcPr>
            <w:tcW w:w="3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2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9"/>
              </w:rPr>
              <w:t>151 Oyster Point Blvd., Suite 400</w:t>
            </w:r>
          </w:p>
        </w:tc>
        <w:tc>
          <w:tcPr>
            <w:tcW w:w="3740" w:type="dxa"/>
            <w:vAlign w:val="bottom"/>
          </w:tcPr>
          <w:p>
            <w:pPr>
              <w:spacing w:after="0"/>
              <w:rPr>
                <w:sz w:val="23"/>
                <w:szCs w:val="23"/>
                <w:color w:val="auto"/>
              </w:rPr>
            </w:pPr>
          </w:p>
        </w:tc>
      </w:tr>
      <w:tr>
        <w:trPr>
          <w:trHeight w:val="179"/>
        </w:trPr>
        <w:tc>
          <w:tcPr>
            <w:tcW w:w="3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5"/>
          </w:tcPr>
          <w:p>
            <w:pPr>
              <w:jc w:val="center"/>
              <w:ind w:right="660"/>
              <w:spacing w:after="0" w:line="179" w:lineRule="exact"/>
              <w:rPr>
                <w:sz w:val="20"/>
                <w:szCs w:val="20"/>
                <w:color w:val="auto"/>
              </w:rPr>
            </w:pPr>
            <w:r>
              <w:rPr>
                <w:rFonts w:ascii="Arial" w:cs="Arial" w:eastAsia="Arial" w:hAnsi="Arial"/>
                <w:sz w:val="18"/>
                <w:szCs w:val="18"/>
                <w:b w:val="1"/>
                <w:bCs w:val="1"/>
                <w:color w:val="auto"/>
                <w:w w:val="88"/>
              </w:rPr>
              <w:t>South San Francisco, CA 94080</w:t>
            </w:r>
          </w:p>
        </w:tc>
        <w:tc>
          <w:tcPr>
            <w:tcW w:w="3740" w:type="dxa"/>
            <w:vAlign w:val="bottom"/>
          </w:tcPr>
          <w:p>
            <w:pPr>
              <w:spacing w:after="0"/>
              <w:rPr>
                <w:sz w:val="15"/>
                <w:szCs w:val="15"/>
                <w:color w:val="auto"/>
              </w:rPr>
            </w:pPr>
          </w:p>
        </w:tc>
      </w:tr>
      <w:tr>
        <w:trPr>
          <w:trHeight w:val="143"/>
        </w:trPr>
        <w:tc>
          <w:tcPr>
            <w:tcW w:w="3800" w:type="dxa"/>
            <w:vAlign w:val="bottom"/>
          </w:tcPr>
          <w:p>
            <w:pPr>
              <w:spacing w:after="0"/>
              <w:rPr>
                <w:sz w:val="12"/>
                <w:szCs w:val="12"/>
                <w:color w:val="auto"/>
              </w:rPr>
            </w:pPr>
          </w:p>
        </w:tc>
        <w:tc>
          <w:tcPr>
            <w:tcW w:w="3700" w:type="dxa"/>
            <w:vAlign w:val="bottom"/>
            <w:gridSpan w:val="7"/>
          </w:tcPr>
          <w:p>
            <w:pPr>
              <w:jc w:val="center"/>
              <w:ind w:right="40"/>
              <w:spacing w:after="0" w:line="143" w:lineRule="exact"/>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740" w:type="dxa"/>
            <w:vAlign w:val="bottom"/>
          </w:tcPr>
          <w:p>
            <w:pPr>
              <w:spacing w:after="0"/>
              <w:rPr>
                <w:sz w:val="12"/>
                <w:szCs w:val="12"/>
                <w:color w:val="auto"/>
              </w:rPr>
            </w:pPr>
          </w:p>
        </w:tc>
      </w:tr>
      <w:tr>
        <w:trPr>
          <w:trHeight w:val="179"/>
        </w:trPr>
        <w:tc>
          <w:tcPr>
            <w:tcW w:w="3800" w:type="dxa"/>
            <w:vAlign w:val="bottom"/>
          </w:tcPr>
          <w:p>
            <w:pPr>
              <w:spacing w:after="0"/>
              <w:rPr>
                <w:sz w:val="15"/>
                <w:szCs w:val="15"/>
                <w:color w:val="auto"/>
              </w:rPr>
            </w:pPr>
          </w:p>
        </w:tc>
        <w:tc>
          <w:tcPr>
            <w:tcW w:w="2940" w:type="dxa"/>
            <w:vAlign w:val="bottom"/>
            <w:gridSpan w:val="4"/>
          </w:tcPr>
          <w:p>
            <w:pPr>
              <w:jc w:val="center"/>
              <w:ind w:left="582"/>
              <w:spacing w:after="0" w:line="179" w:lineRule="exact"/>
              <w:rPr>
                <w:sz w:val="20"/>
                <w:szCs w:val="20"/>
                <w:color w:val="auto"/>
              </w:rPr>
            </w:pPr>
            <w:r>
              <w:rPr>
                <w:rFonts w:ascii="Arial" w:cs="Arial" w:eastAsia="Arial" w:hAnsi="Arial"/>
                <w:sz w:val="18"/>
                <w:szCs w:val="18"/>
                <w:b w:val="1"/>
                <w:bCs w:val="1"/>
                <w:color w:val="auto"/>
                <w:w w:val="90"/>
              </w:rPr>
              <w:t>(650) 515-3185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85"/>
        </w:trPr>
        <w:tc>
          <w:tcPr>
            <w:tcW w:w="3800" w:type="dxa"/>
            <w:vAlign w:val="bottom"/>
          </w:tcPr>
          <w:p>
            <w:pPr>
              <w:spacing w:after="0"/>
              <w:rPr>
                <w:sz w:val="16"/>
                <w:szCs w:val="16"/>
                <w:color w:val="auto"/>
              </w:rPr>
            </w:pPr>
          </w:p>
        </w:tc>
        <w:tc>
          <w:tcPr>
            <w:tcW w:w="37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40" w:type="dxa"/>
            <w:vAlign w:val="bottom"/>
          </w:tcPr>
          <w:p>
            <w:pPr>
              <w:spacing w:after="0"/>
              <w:rPr>
                <w:sz w:val="16"/>
                <w:szCs w:val="16"/>
                <w:color w:val="auto"/>
              </w:rPr>
            </w:pPr>
          </w:p>
        </w:tc>
      </w:tr>
      <w:tr>
        <w:trPr>
          <w:trHeight w:val="146"/>
        </w:trPr>
        <w:tc>
          <w:tcPr>
            <w:tcW w:w="42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740" w:type="dxa"/>
            <w:vAlign w:val="bottom"/>
          </w:tcPr>
          <w:p>
            <w:pPr>
              <w:spacing w:after="0"/>
              <w:rPr>
                <w:sz w:val="12"/>
                <w:szCs w:val="12"/>
                <w:color w:val="auto"/>
              </w:rPr>
            </w:pPr>
          </w:p>
        </w:tc>
      </w:tr>
      <w:tr>
        <w:trPr>
          <w:trHeight w:val="288"/>
        </w:trPr>
        <w:tc>
          <w:tcPr>
            <w:tcW w:w="750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40" w:type="dxa"/>
            <w:vAlign w:val="bottom"/>
          </w:tcPr>
          <w:p>
            <w:pPr>
              <w:spacing w:after="0"/>
              <w:rPr>
                <w:sz w:val="24"/>
                <w:szCs w:val="24"/>
                <w:color w:val="auto"/>
              </w:rPr>
            </w:pPr>
          </w:p>
        </w:tc>
      </w:tr>
      <w:tr>
        <w:trPr>
          <w:trHeight w:val="202"/>
        </w:trPr>
        <w:tc>
          <w:tcPr>
            <w:tcW w:w="3800" w:type="dxa"/>
            <w:vAlign w:val="bottom"/>
          </w:tcPr>
          <w:p>
            <w:pPr>
              <w:jc w:val="center"/>
              <w:ind w:left="419"/>
              <w:spacing w:after="0"/>
              <w:rPr>
                <w:sz w:val="20"/>
                <w:szCs w:val="20"/>
                <w:color w:val="auto"/>
              </w:rPr>
            </w:pPr>
            <w:r>
              <w:rPr>
                <w:rFonts w:ascii="Arial" w:cs="Arial" w:eastAsia="Arial" w:hAnsi="Arial"/>
                <w:sz w:val="16"/>
                <w:szCs w:val="16"/>
                <w:b w:val="1"/>
                <w:bCs w:val="1"/>
                <w:color w:val="auto"/>
                <w:w w:val="88"/>
              </w:rPr>
              <w:t>Title of each class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4"/>
          </w:tcPr>
          <w:p>
            <w:pPr>
              <w:jc w:val="center"/>
              <w:ind w:right="720"/>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Pr>
          <w:p>
            <w:pPr>
              <w:jc w:val="center"/>
              <w:ind w:right="421"/>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99"/>
        </w:trPr>
        <w:tc>
          <w:tcPr>
            <w:tcW w:w="3800" w:type="dxa"/>
            <w:vAlign w:val="bottom"/>
            <w:tcBorders>
              <w:top w:val="single" w:sz="8" w:color="auto"/>
            </w:tcBorders>
          </w:tcPr>
          <w:p>
            <w:pPr>
              <w:jc w:val="center"/>
              <w:ind w:left="379"/>
              <w:spacing w:after="0"/>
              <w:rPr>
                <w:sz w:val="20"/>
                <w:szCs w:val="20"/>
                <w:color w:val="auto"/>
              </w:rPr>
            </w:pPr>
            <w:r>
              <w:rPr>
                <w:rFonts w:ascii="Arial" w:cs="Arial" w:eastAsia="Arial" w:hAnsi="Arial"/>
                <w:sz w:val="16"/>
                <w:szCs w:val="16"/>
                <w:color w:val="auto"/>
                <w:w w:val="89"/>
              </w:rPr>
              <w:t>Common Stock, $0.00001 par value per share</w:t>
            </w: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CTMX</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jc w:val="center"/>
              <w:ind w:right="421"/>
              <w:spacing w:after="0"/>
              <w:rPr>
                <w:sz w:val="20"/>
                <w:szCs w:val="20"/>
                <w:color w:val="auto"/>
              </w:rPr>
            </w:pPr>
            <w:r>
              <w:rPr>
                <w:rFonts w:ascii="Arial" w:cs="Arial" w:eastAsia="Arial" w:hAnsi="Arial"/>
                <w:sz w:val="16"/>
                <w:szCs w:val="16"/>
                <w:color w:val="auto"/>
                <w:w w:val="92"/>
              </w:rPr>
              <w:t>Nasdaq Global Select Market</w:t>
            </w:r>
          </w:p>
        </w:tc>
      </w:tr>
    </w:tbl>
    <w:p>
      <w:pPr>
        <w:spacing w:after="0" w:line="75" w:lineRule="exact"/>
        <w:rPr>
          <w:sz w:val="24"/>
          <w:szCs w:val="24"/>
          <w:color w:val="auto"/>
        </w:rPr>
      </w:pPr>
    </w:p>
    <w:p>
      <w:pPr>
        <w:jc w:val="both"/>
        <w:ind w:right="60"/>
        <w:spacing w:after="0" w:line="218"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9" w:lineRule="exact"/>
        <w:rPr>
          <w:sz w:val="24"/>
          <w:szCs w:val="24"/>
          <w:color w:val="auto"/>
        </w:rPr>
      </w:pPr>
    </w:p>
    <w:p>
      <w:pPr>
        <w:ind w:right="180"/>
        <w:spacing w:after="0" w:line="218"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9" w:lineRule="exact"/>
        <w:rPr>
          <w:sz w:val="24"/>
          <w:szCs w:val="24"/>
          <w:color w:val="auto"/>
        </w:rPr>
      </w:pPr>
    </w:p>
    <w:p>
      <w:pPr>
        <w:ind w:right="38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6"/>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9"/>
        </w:trPr>
        <w:tc>
          <w:tcPr>
            <w:tcW w:w="3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9"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7" w:lineRule="exact"/>
        <w:rPr>
          <w:sz w:val="24"/>
          <w:szCs w:val="24"/>
          <w:color w:val="auto"/>
        </w:rPr>
      </w:pPr>
    </w:p>
    <w:p>
      <w:pPr>
        <w:ind w:right="1760"/>
        <w:spacing w:after="0" w:line="28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29, 2022, the registrant had 65,398,355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132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68580</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268605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MARCH 31, 2022</w:t>
      </w: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9"/>
          </w:tcPr>
          <w:p>
            <w:pPr>
              <w:jc w:val="center"/>
              <w:ind w:right="1740"/>
              <w:spacing w:after="0"/>
              <w:rPr>
                <w:sz w:val="20"/>
                <w:szCs w:val="20"/>
                <w:color w:val="auto"/>
              </w:rPr>
            </w:pPr>
            <w:r>
              <w:rPr>
                <w:rFonts w:ascii="Arial" w:cs="Arial" w:eastAsia="Arial" w:hAnsi="Arial"/>
                <w:sz w:val="18"/>
                <w:szCs w:val="18"/>
                <w:b w:val="1"/>
                <w:bCs w:val="1"/>
                <w:color w:val="auto"/>
              </w:rPr>
              <w:t>PART I – FINANCIAL INFORMATION</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22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Financial Statements (Unaudited)</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tcBorders>
              <w:top w:val="single" w:sz="8" w:color="0000FF"/>
            </w:tcBorders>
            <w:gridSpan w:val="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Balance Sheets</w:t>
              </w:r>
            </w:hyperlink>
          </w:p>
        </w:tc>
        <w:tc>
          <w:tcPr>
            <w:tcW w:w="4980" w:type="dxa"/>
            <w:vAlign w:val="bottom"/>
            <w:gridSpan w:val="8"/>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2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Statements of Operations and Comprehensive Loss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Statements of Stockholders’ Equity</w:t>
              </w:r>
            </w:hyperlink>
          </w:p>
        </w:tc>
        <w:tc>
          <w:tcPr>
            <w:tcW w:w="1120" w:type="dxa"/>
            <w:vAlign w:val="bottom"/>
            <w:tcBorders>
              <w:top w:val="single" w:sz="8" w:color="0000FF"/>
            </w:tcBorders>
            <w:gridSpan w:val="5"/>
          </w:tcPr>
          <w:p>
            <w:pPr>
              <w:spacing w:after="0"/>
              <w:rPr>
                <w:sz w:val="15"/>
                <w:szCs w:val="15"/>
                <w:color w:val="auto"/>
              </w:rPr>
            </w:pPr>
          </w:p>
        </w:tc>
        <w:tc>
          <w:tcPr>
            <w:tcW w:w="19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2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Statements of Cash Flows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Financial Statements (Unaudited)</w:t>
              </w:r>
            </w:hyperlink>
          </w:p>
        </w:tc>
        <w:tc>
          <w:tcPr>
            <w:tcW w:w="20" w:type="dxa"/>
            <w:vAlign w:val="bottom"/>
            <w:tcBorders>
              <w:bottom w:val="single" w:sz="8" w:color="0000EE"/>
            </w:tcBorders>
          </w:tcPr>
          <w:p>
            <w:pPr>
              <w:spacing w:after="0"/>
              <w:rPr>
                <w:sz w:val="24"/>
                <w:szCs w:val="24"/>
                <w:color w:val="auto"/>
              </w:rPr>
            </w:pPr>
          </w:p>
        </w:tc>
        <w:tc>
          <w:tcPr>
            <w:tcW w:w="4300" w:type="dxa"/>
            <w:vAlign w:val="bottom"/>
            <w:gridSpan w:val="5"/>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2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18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Quantitative and Qualitative Disclosures About Market Risk</w:t>
              </w:r>
            </w:hyperlink>
          </w:p>
        </w:tc>
        <w:tc>
          <w:tcPr>
            <w:tcW w:w="388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220" w:type="dxa"/>
            <w:vAlign w:val="bottom"/>
            <w:gridSpan w:val="17"/>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9"/>
          </w:tcPr>
          <w:p>
            <w:pPr>
              <w:jc w:val="center"/>
              <w:ind w:right="1720"/>
              <w:spacing w:after="0"/>
              <w:rPr>
                <w:sz w:val="20"/>
                <w:szCs w:val="20"/>
                <w:color w:val="auto"/>
              </w:rPr>
            </w:pPr>
            <w:r>
              <w:rPr>
                <w:rFonts w:ascii="Arial" w:cs="Arial" w:eastAsia="Arial" w:hAnsi="Arial"/>
                <w:sz w:val="18"/>
                <w:szCs w:val="18"/>
                <w:b w:val="1"/>
                <w:bCs w:val="1"/>
                <w:color w:val="auto"/>
              </w:rPr>
              <w:t>PART II – OTHER INFORMATION</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220" w:type="dxa"/>
            <w:vAlign w:val="bottom"/>
            <w:gridSpan w:val="1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6900" w:type="dxa"/>
            <w:vAlign w:val="bottom"/>
            <w:gridSpan w:val="1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220" w:type="dxa"/>
            <w:vAlign w:val="bottom"/>
            <w:gridSpan w:val="1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Unregistered Sales of Equity Securities and Use of Proceeds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Defaults Upon Senior Securities</w:t>
              </w:r>
            </w:hyperlink>
          </w:p>
        </w:tc>
        <w:tc>
          <w:tcPr>
            <w:tcW w:w="2000" w:type="dxa"/>
            <w:vAlign w:val="bottom"/>
            <w:tcBorders>
              <w:top w:val="single" w:sz="8" w:color="0000FF"/>
            </w:tcBorders>
            <w:gridSpan w:val="6"/>
          </w:tcPr>
          <w:p>
            <w:pPr>
              <w:spacing w:after="0"/>
              <w:rPr>
                <w:sz w:val="24"/>
                <w:szCs w:val="24"/>
                <w:color w:val="auto"/>
              </w:rPr>
            </w:pPr>
          </w:p>
        </w:tc>
        <w:tc>
          <w:tcPr>
            <w:tcW w:w="3900" w:type="dxa"/>
            <w:vAlign w:val="bottom"/>
            <w:gridSpan w:val="4"/>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Mine Safety Disclosures</w:t>
              </w:r>
            </w:hyperlink>
          </w:p>
        </w:tc>
        <w:tc>
          <w:tcPr>
            <w:tcW w:w="6460" w:type="dxa"/>
            <w:vAlign w:val="bottom"/>
            <w:gridSpan w:val="12"/>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220" w:type="dxa"/>
            <w:vAlign w:val="bottom"/>
            <w:gridSpan w:val="1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24"/>
                <w:szCs w:val="24"/>
                <w:color w:val="auto"/>
              </w:rPr>
            </w:pPr>
          </w:p>
        </w:tc>
        <w:tc>
          <w:tcPr>
            <w:tcW w:w="6920" w:type="dxa"/>
            <w:vAlign w:val="bottom"/>
            <w:gridSpan w:val="14"/>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gridSpan w:val="2"/>
          </w:tcPr>
          <w:p>
            <w:pPr>
              <w:spacing w:after="0" w:line="182" w:lineRule="exact"/>
              <w:rPr>
                <w:rFonts w:ascii="Arial" w:cs="Arial" w:eastAsia="Arial" w:hAnsi="Arial"/>
                <w:sz w:val="18"/>
                <w:szCs w:val="18"/>
                <w:color w:val="0000FF"/>
              </w:rPr>
            </w:pPr>
            <w:hyperlink w:anchor="page68">
              <w:r>
                <w:rPr>
                  <w:rFonts w:ascii="Arial" w:cs="Arial" w:eastAsia="Arial" w:hAnsi="Arial"/>
                  <w:sz w:val="18"/>
                  <w:szCs w:val="18"/>
                  <w:color w:val="0000FF"/>
                </w:rPr>
                <w:t>Signatures</w:t>
              </w:r>
            </w:hyperlink>
          </w:p>
        </w:tc>
        <w:tc>
          <w:tcPr>
            <w:tcW w:w="6420" w:type="dxa"/>
            <w:vAlign w:val="bottom"/>
            <w:gridSpan w:val="16"/>
            <w:vMerge w:val="restart"/>
          </w:tcPr>
          <w:p>
            <w:pPr>
              <w:jc w:val="center"/>
              <w:ind w:left="2651"/>
              <w:spacing w:after="0"/>
              <w:rPr>
                <w:sz w:val="20"/>
                <w:szCs w:val="20"/>
                <w:color w:val="auto"/>
              </w:rPr>
            </w:pPr>
            <w:r>
              <w:rPr>
                <w:rFonts w:ascii="Arial" w:cs="Arial" w:eastAsia="Arial" w:hAnsi="Arial"/>
                <w:sz w:val="18"/>
                <w:szCs w:val="18"/>
                <w:color w:val="auto"/>
                <w:w w:val="79"/>
              </w:rPr>
              <w:t>2</w:t>
            </w:r>
          </w:p>
        </w:tc>
        <w:tc>
          <w:tcPr>
            <w:tcW w:w="1800" w:type="dxa"/>
            <w:vAlign w:val="bottom"/>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63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20" w:type="dxa"/>
            <w:vAlign w:val="bottom"/>
            <w:gridSpan w:val="16"/>
            <w:vMerge w:val="continue"/>
          </w:tcPr>
          <w:p>
            <w:pPr>
              <w:spacing w:after="0"/>
              <w:rPr>
                <w:sz w:val="24"/>
                <w:szCs w:val="24"/>
                <w:color w:val="auto"/>
              </w:rPr>
            </w:pPr>
          </w:p>
        </w:tc>
        <w:tc>
          <w:tcPr>
            <w:tcW w:w="1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0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43"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31" w:lineRule="exact"/>
        <w:rPr>
          <w:sz w:val="20"/>
          <w:szCs w:val="20"/>
          <w:color w:val="auto"/>
        </w:rPr>
      </w:pPr>
    </w:p>
    <w:p>
      <w:pPr>
        <w:ind w:left="1020" w:right="200" w:hanging="503"/>
        <w:spacing w:after="0" w:line="32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extent to which the COVID-19 pandemic and related governmental regulations and restrictions may impact our business, including our research, clinical trials, which include ongoing site initiation and patient enrollment, manufacturing and financial condition;</w:t>
      </w:r>
    </w:p>
    <w:p>
      <w:pPr>
        <w:spacing w:after="0" w:line="31" w:lineRule="exact"/>
        <w:rPr>
          <w:rFonts w:ascii="Arial" w:cs="Arial" w:eastAsia="Arial" w:hAnsi="Arial"/>
          <w:sz w:val="16"/>
          <w:szCs w:val="16"/>
          <w:color w:val="auto"/>
        </w:rPr>
      </w:pPr>
    </w:p>
    <w:p>
      <w:pPr>
        <w:ind w:left="1020" w:right="42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6" w:lineRule="exact"/>
        <w:rPr>
          <w:rFonts w:ascii="Arial" w:cs="Arial" w:eastAsia="Arial" w:hAnsi="Arial"/>
          <w:sz w:val="18"/>
          <w:szCs w:val="18"/>
          <w:color w:val="auto"/>
        </w:rPr>
      </w:pPr>
    </w:p>
    <w:p>
      <w:pPr>
        <w:ind w:left="1020" w:right="1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1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15" w:lineRule="exact"/>
        <w:rPr>
          <w:rFonts w:ascii="Arial" w:cs="Arial" w:eastAsia="Arial" w:hAnsi="Arial"/>
          <w:sz w:val="18"/>
          <w:szCs w:val="18"/>
          <w:color w:val="auto"/>
        </w:rPr>
      </w:pPr>
    </w:p>
    <w:p>
      <w:pPr>
        <w:ind w:left="1020" w:right="86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1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138"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38"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11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1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126"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1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w:t>
      </w:r>
    </w:p>
    <w:p>
      <w:pPr>
        <w:spacing w:after="0" w:line="11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15" w:lineRule="exact"/>
        <w:rPr>
          <w:rFonts w:ascii="Arial" w:cs="Arial" w:eastAsia="Arial" w:hAnsi="Arial"/>
          <w:sz w:val="18"/>
          <w:szCs w:val="18"/>
          <w:color w:val="auto"/>
        </w:rPr>
      </w:pPr>
    </w:p>
    <w:p>
      <w:pPr>
        <w:ind w:left="1020" w:right="18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15" w:lineRule="exact"/>
        <w:rPr>
          <w:rFonts w:ascii="Arial" w:cs="Arial" w:eastAsia="Arial" w:hAnsi="Arial"/>
          <w:sz w:val="18"/>
          <w:szCs w:val="18"/>
          <w:color w:val="auto"/>
        </w:rPr>
      </w:pPr>
    </w:p>
    <w:p>
      <w:pPr>
        <w:ind w:left="1020" w:right="4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3" w:name="page4"/>
    <w:bookmarkEnd w:id="3"/>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1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 or to international conflict and uncertainties.</w:t>
      </w:r>
    </w:p>
    <w:p>
      <w:pPr>
        <w:spacing w:after="0" w:line="16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0"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20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CONDENSED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7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92"/>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612"/>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7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line="201"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1"/>
              <w:spacing w:after="0" w:line="201"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163,488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205,530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99,042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99,696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1,016</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790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4,898</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4,285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268,444</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310,301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line="201" w:lineRule="exact"/>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6,093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5,960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984</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1,021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line="201" w:lineRule="exact"/>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949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949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917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917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line="201" w:lineRule="exact"/>
              <w:rPr>
                <w:sz w:val="20"/>
                <w:szCs w:val="20"/>
                <w:color w:val="auto"/>
              </w:rPr>
            </w:pPr>
            <w:r>
              <w:rPr>
                <w:rFonts w:ascii="Arial" w:cs="Arial" w:eastAsia="Arial" w:hAnsi="Arial"/>
                <w:sz w:val="18"/>
                <w:szCs w:val="18"/>
                <w:color w:val="auto"/>
              </w:rPr>
              <w:t>Operating lease right-of-use asset</w:t>
            </w:r>
          </w:p>
        </w:tc>
        <w:tc>
          <w:tcPr>
            <w:tcW w:w="2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18,536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19,362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Borders>
              <w:bottom w:val="single" w:sz="8" w:color="CFF0FC"/>
            </w:tcBorders>
            <w:shd w:val="clear" w:color="auto" w:fill="CFF0FC"/>
          </w:tcPr>
          <w:p>
            <w:pPr>
              <w:ind w:left="20"/>
              <w:spacing w:after="0" w:line="201" w:lineRule="exact"/>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902</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901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20"/>
              <w:spacing w:after="0" w:line="195"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1"/>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296,825</w:t>
            </w:r>
          </w:p>
        </w:tc>
        <w:tc>
          <w:tcPr>
            <w:tcW w:w="280" w:type="dxa"/>
            <w:vAlign w:val="bottom"/>
          </w:tcPr>
          <w:p>
            <w:pPr>
              <w:spacing w:after="0"/>
              <w:rPr>
                <w:sz w:val="16"/>
                <w:szCs w:val="16"/>
                <w:color w:val="auto"/>
              </w:rPr>
            </w:pPr>
          </w:p>
        </w:tc>
        <w:tc>
          <w:tcPr>
            <w:tcW w:w="240" w:type="dxa"/>
            <w:vAlign w:val="bottom"/>
            <w:tcBorders>
              <w:bottom w:val="single" w:sz="8" w:color="auto"/>
            </w:tcBorders>
          </w:tcPr>
          <w:p>
            <w:pPr>
              <w:jc w:val="right"/>
              <w:ind w:right="51"/>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339,411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line="201" w:lineRule="exact"/>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1"/>
              <w:spacing w:after="0" w:line="201"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1,721</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2,818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31,032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34,236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Borders>
              <w:bottom w:val="single" w:sz="8" w:color="CFF0FC"/>
            </w:tcBorders>
            <w:shd w:val="clear" w:color="auto" w:fill="CFF0FC"/>
          </w:tcPr>
          <w:p>
            <w:pPr>
              <w:ind w:left="200"/>
              <w:spacing w:after="0" w:line="201" w:lineRule="exact"/>
              <w:rPr>
                <w:sz w:val="20"/>
                <w:szCs w:val="20"/>
                <w:color w:val="auto"/>
              </w:rPr>
            </w:pPr>
            <w:r>
              <w:rPr>
                <w:rFonts w:ascii="Arial" w:cs="Arial" w:eastAsia="Arial" w:hAnsi="Arial"/>
                <w:sz w:val="18"/>
                <w:szCs w:val="18"/>
                <w:color w:val="auto"/>
              </w:rPr>
              <w:t>Deferred revenue, current portion</w:t>
            </w:r>
          </w:p>
        </w:tc>
        <w:tc>
          <w:tcPr>
            <w:tcW w:w="2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70,013</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69,262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20"/>
              <w:spacing w:after="0" w:line="195" w:lineRule="exact"/>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6"/>
                <w:szCs w:val="16"/>
                <w:color w:val="auto"/>
              </w:rPr>
            </w:pP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102,766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106,316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Deferred revenue, net of current portion</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108,788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125,660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line="201" w:lineRule="exact"/>
              <w:rPr>
                <w:sz w:val="20"/>
                <w:szCs w:val="20"/>
                <w:color w:val="auto"/>
              </w:rPr>
            </w:pPr>
            <w:r>
              <w:rPr>
                <w:rFonts w:ascii="Arial" w:cs="Arial" w:eastAsia="Arial" w:hAnsi="Arial"/>
                <w:sz w:val="18"/>
                <w:szCs w:val="18"/>
                <w:color w:val="auto"/>
              </w:rPr>
              <w:t>Operating lease liabilities - long term</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17,077</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18,056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228,631</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250,032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
              <w:spacing w:after="0" w:line="201" w:lineRule="exact"/>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700" w:type="dxa"/>
            <w:vAlign w:val="bottom"/>
          </w:tcPr>
          <w:p>
            <w:pPr>
              <w:ind w:left="20"/>
              <w:spacing w:after="0" w:line="161" w:lineRule="exact"/>
              <w:rPr>
                <w:sz w:val="20"/>
                <w:szCs w:val="20"/>
                <w:color w:val="auto"/>
              </w:rPr>
            </w:pPr>
            <w:r>
              <w:rPr>
                <w:rFonts w:ascii="Arial" w:cs="Arial" w:eastAsia="Arial" w:hAnsi="Arial"/>
                <w:sz w:val="18"/>
                <w:szCs w:val="18"/>
                <w:color w:val="auto"/>
                <w:w w:val="91"/>
              </w:rPr>
              <w:t>Convertible preferred stock, $0.00001 par value; 10,000,000 shares authorized and no shares issued and</w:t>
            </w:r>
          </w:p>
        </w:tc>
        <w:tc>
          <w:tcPr>
            <w:tcW w:w="280" w:type="dxa"/>
            <w:vAlign w:val="bottom"/>
          </w:tcPr>
          <w:p>
            <w:pPr>
              <w:spacing w:after="0"/>
              <w:rPr>
                <w:sz w:val="14"/>
                <w:szCs w:val="14"/>
                <w:color w:val="auto"/>
              </w:rPr>
            </w:pPr>
          </w:p>
        </w:tc>
        <w:tc>
          <w:tcPr>
            <w:tcW w:w="16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20"/>
              <w:spacing w:after="0"/>
              <w:rPr>
                <w:sz w:val="20"/>
                <w:szCs w:val="20"/>
                <w:color w:val="auto"/>
              </w:rPr>
            </w:pPr>
            <w:r>
              <w:rPr>
                <w:rFonts w:ascii="Arial" w:cs="Arial" w:eastAsia="Arial" w:hAnsi="Arial"/>
                <w:sz w:val="18"/>
                <w:szCs w:val="18"/>
                <w:color w:val="auto"/>
              </w:rPr>
              <w:t>outstanding at March 31, 2022 and December 31, 2021.</w:t>
            </w:r>
          </w:p>
        </w:tc>
        <w:tc>
          <w:tcPr>
            <w:tcW w:w="2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700" w:type="dxa"/>
            <w:vAlign w:val="bottom"/>
            <w:shd w:val="clear" w:color="auto" w:fill="CFF0FC"/>
          </w:tcPr>
          <w:p>
            <w:pPr>
              <w:ind w:left="20"/>
              <w:spacing w:after="0" w:line="161" w:lineRule="exact"/>
              <w:rPr>
                <w:sz w:val="20"/>
                <w:szCs w:val="20"/>
                <w:color w:val="auto"/>
              </w:rPr>
            </w:pPr>
            <w:r>
              <w:rPr>
                <w:rFonts w:ascii="Arial" w:cs="Arial" w:eastAsia="Arial" w:hAnsi="Arial"/>
                <w:sz w:val="18"/>
                <w:szCs w:val="18"/>
                <w:color w:val="auto"/>
              </w:rPr>
              <w:t>Common stock, $0.00001 par value; 150,000,000 shares authorized and 65,398,355 and</w:t>
            </w:r>
          </w:p>
        </w:tc>
        <w:tc>
          <w:tcPr>
            <w:tcW w:w="28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65,392,758 shares issued and outstanding at March 31, 2022 and December 31, 2021, respectively</w:t>
            </w:r>
          </w:p>
        </w:tc>
        <w:tc>
          <w:tcPr>
            <w:tcW w:w="28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626,721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623,344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0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201" w:lineRule="exact"/>
              <w:rPr>
                <w:sz w:val="20"/>
                <w:szCs w:val="20"/>
                <w:color w:val="auto"/>
              </w:rPr>
            </w:pPr>
            <w:r>
              <w:rPr>
                <w:rFonts w:ascii="Arial" w:cs="Arial" w:eastAsia="Arial" w:hAnsi="Arial"/>
                <w:sz w:val="18"/>
                <w:szCs w:val="18"/>
                <w:color w:val="auto"/>
              </w:rPr>
              <w:t>(919 )</w:t>
            </w: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01"/>
        </w:trPr>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7"/>
                <w:szCs w:val="17"/>
                <w:color w:val="auto"/>
              </w:rPr>
            </w:pPr>
          </w:p>
        </w:tc>
        <w:tc>
          <w:tcPr>
            <w:tcW w:w="16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(557,609 )</w:t>
            </w:r>
          </w:p>
        </w:tc>
        <w:tc>
          <w:tcPr>
            <w:tcW w:w="240" w:type="dxa"/>
            <w:vAlign w:val="bottom"/>
          </w:tcPr>
          <w:p>
            <w:pPr>
              <w:spacing w:after="0"/>
              <w:rPr>
                <w:sz w:val="17"/>
                <w:szCs w:val="17"/>
                <w:color w:val="auto"/>
              </w:rPr>
            </w:pPr>
          </w:p>
        </w:tc>
        <w:tc>
          <w:tcPr>
            <w:tcW w:w="1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(533,724 )</w:t>
            </w:r>
          </w:p>
        </w:tc>
        <w:tc>
          <w:tcPr>
            <w:tcW w:w="0" w:type="dxa"/>
            <w:vAlign w:val="bottom"/>
          </w:tcPr>
          <w:p>
            <w:pPr>
              <w:spacing w:after="0"/>
              <w:rPr>
                <w:sz w:val="1"/>
                <w:szCs w:val="1"/>
                <w:color w:val="auto"/>
              </w:rPr>
            </w:pPr>
          </w:p>
        </w:tc>
      </w:tr>
      <w:tr>
        <w:trPr>
          <w:trHeight w:val="195"/>
        </w:trPr>
        <w:tc>
          <w:tcPr>
            <w:tcW w:w="770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13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68,194</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13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89,379</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20"/>
              <w:spacing w:after="0" w:line="195" w:lineRule="exact"/>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1"/>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296,825</w:t>
            </w:r>
          </w:p>
        </w:tc>
        <w:tc>
          <w:tcPr>
            <w:tcW w:w="280" w:type="dxa"/>
            <w:vAlign w:val="bottom"/>
          </w:tcPr>
          <w:p>
            <w:pPr>
              <w:spacing w:after="0"/>
              <w:rPr>
                <w:sz w:val="16"/>
                <w:szCs w:val="16"/>
                <w:color w:val="auto"/>
              </w:rPr>
            </w:pPr>
          </w:p>
        </w:tc>
        <w:tc>
          <w:tcPr>
            <w:tcW w:w="240" w:type="dxa"/>
            <w:vAlign w:val="bottom"/>
            <w:tcBorders>
              <w:bottom w:val="single" w:sz="8" w:color="auto"/>
            </w:tcBorders>
          </w:tcPr>
          <w:p>
            <w:pPr>
              <w:jc w:val="right"/>
              <w:ind w:right="51"/>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339,411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5910580</wp:posOffset>
            </wp:positionH>
            <wp:positionV relativeFrom="paragraph">
              <wp:posOffset>-2877185</wp:posOffset>
            </wp:positionV>
            <wp:extent cx="5969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-2877185</wp:posOffset>
            </wp:positionV>
            <wp:extent cx="514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-2075815</wp:posOffset>
            </wp:positionV>
            <wp:extent cx="596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-2075815</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-294640</wp:posOffset>
            </wp:positionV>
            <wp:extent cx="596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-294640</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ind w:left="520" w:right="160" w:hanging="513"/>
        <w:spacing w:after="0" w:line="214" w:lineRule="auto"/>
        <w:tabs>
          <w:tab w:leader="none" w:pos="52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The condensed balance sheet as of December 31, 2021 was derived from the audited financial statements included in the Company's Annual Report on Form 10-K for the year ended December 31, 2021.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CYTOMX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ind w:right="20"/>
        <w:spacing w:after="0" w:line="233" w:lineRule="auto"/>
        <w:rPr>
          <w:sz w:val="20"/>
          <w:szCs w:val="20"/>
          <w:color w:val="auto"/>
        </w:rPr>
      </w:pPr>
      <w:r>
        <w:rPr>
          <w:rFonts w:ascii="Arial" w:cs="Arial" w:eastAsia="Arial" w:hAnsi="Arial"/>
          <w:sz w:val="18"/>
          <w:szCs w:val="18"/>
          <w:b w:val="1"/>
          <w:bCs w:val="1"/>
          <w:color w:val="auto"/>
        </w:rPr>
        <w:t>(in thousands, except share and per share data)</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7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5"/>
        </w:trPr>
        <w:tc>
          <w:tcPr>
            <w:tcW w:w="7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17,136</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391"/>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15,971</w:t>
            </w:r>
          </w:p>
        </w:tc>
        <w:tc>
          <w:tcPr>
            <w:tcW w:w="80" w:type="dxa"/>
            <w:vAlign w:val="bottom"/>
            <w:shd w:val="clear" w:color="auto" w:fill="CFF0FC"/>
          </w:tcPr>
          <w:p>
            <w:pPr>
              <w:spacing w:after="0"/>
              <w:rPr>
                <w:sz w:val="16"/>
                <w:szCs w:val="16"/>
                <w:color w:val="auto"/>
              </w:rPr>
            </w:pPr>
          </w:p>
        </w:tc>
      </w:tr>
      <w:tr>
        <w:trPr>
          <w:trHeight w:val="201"/>
        </w:trPr>
        <w:tc>
          <w:tcPr>
            <w:tcW w:w="760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7600" w:type="dxa"/>
            <w:vAlign w:val="bottom"/>
            <w:shd w:val="clear" w:color="auto" w:fill="CFF0FC"/>
          </w:tcPr>
          <w:p>
            <w:pPr>
              <w:ind w:left="180"/>
              <w:spacing w:after="0" w:line="201" w:lineRule="exact"/>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30,559</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22,371</w:t>
            </w:r>
          </w:p>
        </w:tc>
        <w:tc>
          <w:tcPr>
            <w:tcW w:w="80" w:type="dxa"/>
            <w:vAlign w:val="bottom"/>
            <w:shd w:val="clear" w:color="auto" w:fill="CFF0FC"/>
          </w:tcPr>
          <w:p>
            <w:pPr>
              <w:spacing w:after="0"/>
              <w:rPr>
                <w:sz w:val="17"/>
                <w:szCs w:val="17"/>
                <w:color w:val="auto"/>
              </w:rPr>
            </w:pPr>
          </w:p>
        </w:tc>
      </w:tr>
      <w:tr>
        <w:trPr>
          <w:trHeight w:val="201"/>
        </w:trPr>
        <w:tc>
          <w:tcPr>
            <w:tcW w:w="7600" w:type="dxa"/>
            <w:vAlign w:val="bottom"/>
          </w:tcPr>
          <w:p>
            <w:pPr>
              <w:ind w:left="180"/>
              <w:spacing w:after="0" w:line="201"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10,543</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9,227</w:t>
            </w:r>
          </w:p>
        </w:tc>
        <w:tc>
          <w:tcPr>
            <w:tcW w:w="80" w:type="dxa"/>
            <w:vAlign w:val="bottom"/>
          </w:tcPr>
          <w:p>
            <w:pPr>
              <w:spacing w:after="0"/>
              <w:rPr>
                <w:sz w:val="17"/>
                <w:szCs w:val="17"/>
                <w:color w:val="auto"/>
              </w:rPr>
            </w:pPr>
          </w:p>
        </w:tc>
      </w:tr>
      <w:tr>
        <w:trPr>
          <w:trHeight w:val="195"/>
        </w:trPr>
        <w:tc>
          <w:tcPr>
            <w:tcW w:w="7600" w:type="dxa"/>
            <w:vAlign w:val="bottom"/>
            <w:tcBorders>
              <w:bottom w:val="single" w:sz="8" w:color="CFF0FC"/>
            </w:tcBorders>
            <w:shd w:val="clear" w:color="auto" w:fill="CFF0FC"/>
          </w:tcPr>
          <w:p>
            <w:pPr>
              <w:ind w:left="360"/>
              <w:spacing w:after="0" w:line="195" w:lineRule="exact"/>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41,102</w:t>
            </w:r>
          </w:p>
        </w:tc>
        <w:tc>
          <w:tcPr>
            <w:tcW w:w="26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31,598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95"/>
        </w:trPr>
        <w:tc>
          <w:tcPr>
            <w:tcW w:w="7600" w:type="dxa"/>
            <w:vAlign w:val="bottom"/>
          </w:tcPr>
          <w:p>
            <w:pPr>
              <w:spacing w:after="0" w:line="195" w:lineRule="exact"/>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6"/>
                <w:szCs w:val="16"/>
                <w:color w:val="auto"/>
              </w:rPr>
            </w:pPr>
          </w:p>
        </w:tc>
        <w:tc>
          <w:tcPr>
            <w:tcW w:w="1480" w:type="dxa"/>
            <w:vAlign w:val="bottom"/>
            <w:gridSpan w:val="2"/>
          </w:tcPr>
          <w:p>
            <w:pPr>
              <w:jc w:val="right"/>
              <w:ind w:right="91"/>
              <w:spacing w:after="0" w:line="195" w:lineRule="exact"/>
              <w:rPr>
                <w:sz w:val="20"/>
                <w:szCs w:val="20"/>
                <w:color w:val="auto"/>
              </w:rPr>
            </w:pPr>
            <w:r>
              <w:rPr>
                <w:rFonts w:ascii="Arial" w:cs="Arial" w:eastAsia="Arial" w:hAnsi="Arial"/>
                <w:sz w:val="18"/>
                <w:szCs w:val="18"/>
                <w:color w:val="auto"/>
              </w:rPr>
              <w:t>(23,966 )</w:t>
            </w:r>
          </w:p>
        </w:tc>
        <w:tc>
          <w:tcPr>
            <w:tcW w:w="580" w:type="dxa"/>
            <w:vAlign w:val="bottom"/>
          </w:tcPr>
          <w:p>
            <w:pPr>
              <w:spacing w:after="0"/>
              <w:rPr>
                <w:sz w:val="16"/>
                <w:szCs w:val="16"/>
                <w:color w:val="auto"/>
              </w:rPr>
            </w:pPr>
          </w:p>
        </w:tc>
        <w:tc>
          <w:tcPr>
            <w:tcW w:w="10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(15,627 )</w:t>
            </w:r>
          </w:p>
        </w:tc>
      </w:tr>
      <w:tr>
        <w:trPr>
          <w:trHeight w:val="201"/>
        </w:trPr>
        <w:tc>
          <w:tcPr>
            <w:tcW w:w="7600" w:type="dxa"/>
            <w:vAlign w:val="bottom"/>
            <w:shd w:val="clear" w:color="auto" w:fill="CFF0FC"/>
          </w:tcPr>
          <w:p>
            <w:pPr>
              <w:ind w:left="180"/>
              <w:spacing w:after="0" w:line="201" w:lineRule="exact"/>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17"/>
                <w:szCs w:val="17"/>
                <w:color w:val="auto"/>
              </w:rPr>
            </w:pPr>
          </w:p>
        </w:tc>
      </w:tr>
      <w:tr>
        <w:trPr>
          <w:trHeight w:val="201"/>
        </w:trPr>
        <w:tc>
          <w:tcPr>
            <w:tcW w:w="7600" w:type="dxa"/>
            <w:vAlign w:val="bottom"/>
          </w:tcPr>
          <w:p>
            <w:pPr>
              <w:ind w:left="180"/>
              <w:spacing w:after="0" w:line="201" w:lineRule="exact"/>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r>
      <w:tr>
        <w:trPr>
          <w:trHeight w:val="195"/>
        </w:trPr>
        <w:tc>
          <w:tcPr>
            <w:tcW w:w="7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(23,885</w:t>
            </w:r>
          </w:p>
        </w:tc>
        <w:tc>
          <w:tcPr>
            <w:tcW w:w="260" w:type="dxa"/>
            <w:vAlign w:val="bottom"/>
            <w:shd w:val="clear" w:color="auto" w:fill="CFF0FC"/>
          </w:tcPr>
          <w:p>
            <w:pPr>
              <w:jc w:val="right"/>
              <w:ind w:right="91"/>
              <w:spacing w:after="0" w:line="195"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(15,554</w:t>
            </w:r>
          </w:p>
        </w:tc>
        <w:tc>
          <w:tcPr>
            <w:tcW w:w="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r>
      <w:tr>
        <w:trPr>
          <w:trHeight w:val="201"/>
        </w:trPr>
        <w:tc>
          <w:tcPr>
            <w:tcW w:w="760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7600" w:type="dxa"/>
            <w:vAlign w:val="bottom"/>
            <w:shd w:val="clear" w:color="auto" w:fill="CFF0FC"/>
          </w:tcPr>
          <w:p>
            <w:pPr>
              <w:ind w:left="180"/>
              <w:spacing w:after="0" w:line="201" w:lineRule="exact"/>
              <w:rPr>
                <w:sz w:val="20"/>
                <w:szCs w:val="20"/>
                <w:color w:val="auto"/>
              </w:rPr>
            </w:pPr>
            <w:r>
              <w:rPr>
                <w:rFonts w:ascii="Arial" w:cs="Arial" w:eastAsia="Arial" w:hAnsi="Arial"/>
                <w:sz w:val="18"/>
                <w:szCs w:val="18"/>
                <w:color w:val="auto"/>
              </w:rPr>
              <w:t>Unrealized gain (loss) on short-term investments, net of tax</w:t>
            </w: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91"/>
              <w:spacing w:after="0" w:line="201" w:lineRule="exact"/>
              <w:rPr>
                <w:sz w:val="20"/>
                <w:szCs w:val="20"/>
                <w:color w:val="auto"/>
              </w:rPr>
            </w:pPr>
            <w:r>
              <w:rPr>
                <w:rFonts w:ascii="Arial" w:cs="Arial" w:eastAsia="Arial" w:hAnsi="Arial"/>
                <w:sz w:val="18"/>
                <w:szCs w:val="18"/>
                <w:color w:val="auto"/>
              </w:rPr>
              <w:t>(677 )</w:t>
            </w: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7"/>
                <w:szCs w:val="17"/>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5"/>
        </w:trPr>
        <w:tc>
          <w:tcPr>
            <w:tcW w:w="7600" w:type="dxa"/>
            <w:vAlign w:val="bottom"/>
          </w:tcPr>
          <w:p>
            <w:pPr>
              <w:spacing w:after="0" w:line="195" w:lineRule="exact"/>
              <w:rPr>
                <w:sz w:val="20"/>
                <w:szCs w:val="20"/>
                <w:color w:val="auto"/>
              </w:rPr>
            </w:pPr>
            <w:r>
              <w:rPr>
                <w:rFonts w:ascii="Arial" w:cs="Arial" w:eastAsia="Arial" w:hAnsi="Arial"/>
                <w:sz w:val="18"/>
                <w:szCs w:val="18"/>
                <w:color w:val="auto"/>
              </w:rPr>
              <w:t>Comprehensive loss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91"/>
              <w:spacing w:after="0" w:line="195" w:lineRule="exact"/>
              <w:rPr>
                <w:sz w:val="20"/>
                <w:szCs w:val="20"/>
                <w:color w:val="auto"/>
              </w:rPr>
            </w:pPr>
            <w:r>
              <w:rPr>
                <w:rFonts w:ascii="Arial" w:cs="Arial" w:eastAsia="Arial" w:hAnsi="Arial"/>
                <w:sz w:val="18"/>
                <w:szCs w:val="18"/>
                <w:color w:val="auto"/>
              </w:rPr>
              <w:t>(24,562 )</w:t>
            </w:r>
          </w:p>
        </w:tc>
        <w:tc>
          <w:tcPr>
            <w:tcW w:w="580" w:type="dxa"/>
            <w:vAlign w:val="bottom"/>
          </w:tcPr>
          <w:p>
            <w:pPr>
              <w:jc w:val="right"/>
              <w:ind w:right="391"/>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(15,550 )</w:t>
            </w:r>
          </w:p>
        </w:tc>
      </w:tr>
      <w:tr>
        <w:trPr>
          <w:trHeight w:val="20"/>
        </w:trPr>
        <w:tc>
          <w:tcPr>
            <w:tcW w:w="7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2"/>
        </w:trPr>
        <w:tc>
          <w:tcPr>
            <w:tcW w:w="76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1"/>
        </w:trPr>
        <w:tc>
          <w:tcPr>
            <w:tcW w:w="7600" w:type="dxa"/>
            <w:vAlign w:val="bottom"/>
          </w:tcPr>
          <w:p>
            <w:pPr>
              <w:spacing w:after="0" w:line="201" w:lineRule="exact"/>
              <w:rPr>
                <w:sz w:val="20"/>
                <w:szCs w:val="20"/>
                <w:color w:val="auto"/>
              </w:rPr>
            </w:pPr>
            <w:r>
              <w:rPr>
                <w:rFonts w:ascii="Arial" w:cs="Arial" w:eastAsia="Arial" w:hAnsi="Arial"/>
                <w:sz w:val="18"/>
                <w:szCs w:val="18"/>
                <w:color w:val="auto"/>
              </w:rPr>
              <w:t>Net loss per share: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7600" w:type="dxa"/>
            <w:vAlign w:val="bottom"/>
            <w:shd w:val="clear" w:color="auto" w:fill="CFF0FC"/>
          </w:tcPr>
          <w:p>
            <w:pPr>
              <w:ind w:left="180"/>
              <w:spacing w:after="0" w:line="201" w:lineRule="exact"/>
              <w:rPr>
                <w:sz w:val="20"/>
                <w:szCs w:val="20"/>
                <w:color w:val="auto"/>
              </w:rPr>
            </w:pPr>
            <w:r>
              <w:rPr>
                <w:rFonts w:ascii="Arial" w:cs="Arial" w:eastAsia="Arial" w:hAnsi="Arial"/>
                <w:sz w:val="18"/>
                <w:szCs w:val="18"/>
                <w:color w:val="auto"/>
              </w:rPr>
              <w:t>Basic and diluted net loss per share</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91"/>
              <w:spacing w:after="0" w:line="201" w:lineRule="exact"/>
              <w:rPr>
                <w:sz w:val="20"/>
                <w:szCs w:val="20"/>
                <w:color w:val="auto"/>
              </w:rPr>
            </w:pPr>
            <w:r>
              <w:rPr>
                <w:rFonts w:ascii="Arial" w:cs="Arial" w:eastAsia="Arial" w:hAnsi="Arial"/>
                <w:sz w:val="18"/>
                <w:szCs w:val="18"/>
                <w:color w:val="auto"/>
              </w:rPr>
              <w:t>(0.37 )</w:t>
            </w:r>
          </w:p>
        </w:tc>
        <w:tc>
          <w:tcPr>
            <w:tcW w:w="580" w:type="dxa"/>
            <w:vAlign w:val="bottom"/>
            <w:shd w:val="clear" w:color="auto" w:fill="CFF0FC"/>
          </w:tcPr>
          <w:p>
            <w:pPr>
              <w:jc w:val="right"/>
              <w:ind w:right="391"/>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(0.26 )</w:t>
            </w:r>
          </w:p>
        </w:tc>
      </w:tr>
      <w:tr>
        <w:trPr>
          <w:trHeight w:val="182"/>
        </w:trPr>
        <w:tc>
          <w:tcPr>
            <w:tcW w:w="7600" w:type="dxa"/>
            <w:vAlign w:val="bottom"/>
            <w:tcBorders>
              <w:top w:val="single" w:sz="8" w:color="CFF0FC"/>
            </w:tcBorders>
          </w:tcPr>
          <w:p>
            <w:pPr>
              <w:ind w:left="180"/>
              <w:spacing w:after="0" w:line="182" w:lineRule="exact"/>
              <w:rPr>
                <w:sz w:val="20"/>
                <w:szCs w:val="20"/>
                <w:color w:val="auto"/>
              </w:rPr>
            </w:pPr>
            <w:r>
              <w:rPr>
                <w:rFonts w:ascii="Arial" w:cs="Arial" w:eastAsia="Arial" w:hAnsi="Arial"/>
                <w:sz w:val="18"/>
                <w:szCs w:val="18"/>
                <w:color w:val="auto"/>
              </w:rPr>
              <w:t>Shares used in computing basic and diluted net loss per share</w:t>
            </w: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65,393,691</w:t>
            </w:r>
          </w:p>
        </w:tc>
        <w:tc>
          <w:tcPr>
            <w:tcW w:w="260" w:type="dxa"/>
            <w:vAlign w:val="bottom"/>
            <w:tcBorders>
              <w:top w:val="single" w:sz="8" w:color="CFF0FC"/>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60,968,111</w:t>
            </w:r>
          </w:p>
        </w:tc>
        <w:tc>
          <w:tcPr>
            <w:tcW w:w="80" w:type="dxa"/>
            <w:vAlign w:val="bottom"/>
            <w:tcBorders>
              <w:top w:val="single" w:sz="8" w:color="CFF0FC"/>
            </w:tcBorders>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-1504950</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7001510</wp:posOffset>
            </wp:positionH>
            <wp:positionV relativeFrom="paragraph">
              <wp:posOffset>-1504950</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-720725</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7001510</wp:posOffset>
            </wp:positionH>
            <wp:positionV relativeFrom="paragraph">
              <wp:posOffset>-720725</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-178435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-161290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7001510</wp:posOffset>
            </wp:positionH>
            <wp:positionV relativeFrom="paragraph">
              <wp:posOffset>-178435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7001510</wp:posOffset>
            </wp:positionH>
            <wp:positionV relativeFrom="paragraph">
              <wp:posOffset>-161290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60960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400" w:top="135"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right="620"/>
        <w:spacing w:after="0" w:line="273" w:lineRule="auto"/>
        <w:rPr>
          <w:sz w:val="20"/>
          <w:szCs w:val="20"/>
          <w:color w:val="auto"/>
        </w:rPr>
      </w:pPr>
      <w:r>
        <w:rPr>
          <w:rFonts w:ascii="Arial" w:cs="Arial" w:eastAsia="Arial" w:hAnsi="Arial"/>
          <w:sz w:val="16"/>
          <w:szCs w:val="16"/>
          <w:b w:val="1"/>
          <w:bCs w:val="1"/>
          <w:color w:val="auto"/>
        </w:rPr>
        <w:t xml:space="preserve">Balance at December 31, 2021 </w:t>
      </w:r>
      <w:r>
        <w:rPr>
          <w:rFonts w:ascii="Arial" w:cs="Arial" w:eastAsia="Arial" w:hAnsi="Arial"/>
          <w:sz w:val="16"/>
          <w:szCs w:val="16"/>
          <w:color w:val="auto"/>
        </w:rPr>
        <w:t>Exercise of stock options Stock-based compensation Other comprehensive loss</w:t>
      </w:r>
    </w:p>
    <w:p>
      <w:pPr>
        <w:ind w:left="20"/>
        <w:spacing w:after="0"/>
        <w:rPr>
          <w:sz w:val="20"/>
          <w:szCs w:val="20"/>
          <w:color w:val="auto"/>
        </w:rPr>
      </w:pPr>
      <w:r>
        <w:rPr>
          <w:rFonts w:ascii="Arial" w:cs="Arial" w:eastAsia="Arial" w:hAnsi="Arial"/>
          <w:sz w:val="18"/>
          <w:szCs w:val="18"/>
          <w:color w:val="auto"/>
        </w:rPr>
        <w:t>Net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March 31, 2022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2"/>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1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2"/>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3"/>
        </w:trPr>
        <w:tc>
          <w:tcPr>
            <w:tcW w:w="218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2"/>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120" w:type="dxa"/>
            <w:vAlign w:val="bottom"/>
            <w:gridSpan w:val="2"/>
          </w:tcPr>
          <w:p>
            <w:pPr>
              <w:jc w:val="center"/>
              <w:ind w:right="171"/>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8"/>
        </w:trPr>
        <w:tc>
          <w:tcPr>
            <w:tcW w:w="1120" w:type="dxa"/>
            <w:vAlign w:val="bottom"/>
          </w:tcPr>
          <w:p>
            <w:pPr>
              <w:jc w:val="right"/>
              <w:ind w:right="27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02"/>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120" w:type="dxa"/>
            <w:vAlign w:val="bottom"/>
            <w:gridSpan w:val="2"/>
          </w:tcPr>
          <w:p>
            <w:pPr>
              <w:jc w:val="center"/>
              <w:ind w:right="171"/>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0"/>
        </w:trPr>
        <w:tc>
          <w:tcPr>
            <w:tcW w:w="1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65,392,758</w:t>
            </w:r>
          </w:p>
        </w:tc>
        <w:tc>
          <w:tcPr>
            <w:tcW w:w="160" w:type="dxa"/>
            <w:vAlign w:val="bottom"/>
          </w:tcPr>
          <w:p>
            <w:pPr>
              <w:spacing w:after="0"/>
              <w:rPr>
                <w:sz w:val="15"/>
                <w:szCs w:val="15"/>
                <w:color w:val="auto"/>
              </w:rPr>
            </w:pPr>
          </w:p>
        </w:tc>
        <w:tc>
          <w:tcPr>
            <w:tcW w:w="900" w:type="dxa"/>
            <w:vAlign w:val="bottom"/>
            <w:tcBorders>
              <w:top w:val="single" w:sz="8" w:color="auto"/>
            </w:tcBorders>
          </w:tcPr>
          <w:p>
            <w:pPr>
              <w:jc w:val="right"/>
              <w:ind w:right="720"/>
              <w:spacing w:after="0" w:line="181"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1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623,344</w:t>
            </w:r>
          </w:p>
        </w:tc>
        <w:tc>
          <w:tcPr>
            <w:tcW w:w="180" w:type="dxa"/>
            <w:vAlign w:val="bottom"/>
          </w:tcPr>
          <w:p>
            <w:pPr>
              <w:spacing w:after="0"/>
              <w:rPr>
                <w:sz w:val="15"/>
                <w:szCs w:val="15"/>
                <w:color w:val="auto"/>
              </w:rPr>
            </w:pPr>
          </w:p>
        </w:tc>
        <w:tc>
          <w:tcPr>
            <w:tcW w:w="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(242</w:t>
            </w:r>
          </w:p>
        </w:tc>
        <w:tc>
          <w:tcPr>
            <w:tcW w:w="160" w:type="dxa"/>
            <w:vAlign w:val="bottom"/>
          </w:tcPr>
          <w:p>
            <w:pPr>
              <w:jc w:val="right"/>
              <w:ind w:right="22"/>
              <w:spacing w:after="0" w:line="181"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(533,724</w:t>
            </w:r>
          </w:p>
        </w:tc>
        <w:tc>
          <w:tcPr>
            <w:tcW w:w="160" w:type="dxa"/>
            <w:vAlign w:val="bottom"/>
          </w:tcPr>
          <w:p>
            <w:pPr>
              <w:jc w:val="right"/>
              <w:spacing w:after="0" w:line="181"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89,379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5,597</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3,370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3,370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
              <w:spacing w:after="0" w:line="201" w:lineRule="exact"/>
              <w:rPr>
                <w:sz w:val="20"/>
                <w:szCs w:val="20"/>
                <w:color w:val="auto"/>
              </w:rPr>
            </w:pPr>
            <w:r>
              <w:rPr>
                <w:rFonts w:ascii="Arial" w:cs="Arial" w:eastAsia="Arial" w:hAnsi="Arial"/>
                <w:sz w:val="18"/>
                <w:szCs w:val="18"/>
                <w:color w:val="auto"/>
              </w:rPr>
              <w:t>(677 )</w:t>
            </w:r>
          </w:p>
        </w:tc>
        <w:tc>
          <w:tcPr>
            <w:tcW w:w="10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(23,885 )</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(23,885 )</w:t>
            </w:r>
          </w:p>
        </w:tc>
        <w:tc>
          <w:tcPr>
            <w:tcW w:w="0" w:type="dxa"/>
            <w:vAlign w:val="bottom"/>
          </w:tcPr>
          <w:p>
            <w:pPr>
              <w:spacing w:after="0"/>
              <w:rPr>
                <w:sz w:val="1"/>
                <w:szCs w:val="1"/>
                <w:color w:val="auto"/>
              </w:rPr>
            </w:pPr>
          </w:p>
        </w:tc>
      </w:tr>
      <w:tr>
        <w:trPr>
          <w:trHeight w:val="195"/>
        </w:trPr>
        <w:tc>
          <w:tcPr>
            <w:tcW w:w="11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65,398,355</w:t>
            </w:r>
          </w:p>
        </w:tc>
        <w:tc>
          <w:tcPr>
            <w:tcW w:w="1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20"/>
              <w:spacing w:after="0" w:line="195"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626,721</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(919</w:t>
            </w:r>
          </w:p>
        </w:tc>
        <w:tc>
          <w:tcPr>
            <w:tcW w:w="160" w:type="dxa"/>
            <w:vAlign w:val="bottom"/>
          </w:tcPr>
          <w:p>
            <w:pPr>
              <w:jc w:val="right"/>
              <w:ind w:right="2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(557,609</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68,194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02"/>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1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2"/>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3"/>
        </w:trPr>
        <w:tc>
          <w:tcPr>
            <w:tcW w:w="218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2"/>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120" w:type="dxa"/>
            <w:vAlign w:val="bottom"/>
            <w:gridSpan w:val="2"/>
          </w:tcPr>
          <w:p>
            <w:pPr>
              <w:jc w:val="center"/>
              <w:ind w:right="171"/>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8"/>
        </w:trPr>
        <w:tc>
          <w:tcPr>
            <w:tcW w:w="1120" w:type="dxa"/>
            <w:vAlign w:val="bottom"/>
          </w:tcPr>
          <w:p>
            <w:pPr>
              <w:jc w:val="right"/>
              <w:ind w:right="27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02"/>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120" w:type="dxa"/>
            <w:vAlign w:val="bottom"/>
            <w:gridSpan w:val="2"/>
          </w:tcPr>
          <w:p>
            <w:pPr>
              <w:jc w:val="center"/>
              <w:ind w:right="171"/>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-1397000</wp:posOffset>
            </wp:positionV>
            <wp:extent cx="7132955" cy="127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2763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-1141095</wp:posOffset>
            </wp:positionV>
            <wp:extent cx="7132955" cy="127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2763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-885825</wp:posOffset>
            </wp:positionV>
            <wp:extent cx="7132955" cy="136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40" w:space="720"/>
            <w:col w:w="758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b w:val="1"/>
                <w:bCs w:val="1"/>
                <w:color w:val="auto"/>
              </w:rPr>
              <w:t>Balance at December 31, 2020</w:t>
            </w:r>
          </w:p>
        </w:tc>
        <w:tc>
          <w:tcPr>
            <w:tcW w:w="1120" w:type="dxa"/>
            <w:vAlign w:val="bottom"/>
            <w:shd w:val="clear" w:color="auto" w:fill="CFF0FC"/>
          </w:tcPr>
          <w:p>
            <w:pPr>
              <w:jc w:val="right"/>
              <w:spacing w:after="0" w:line="175" w:lineRule="exact"/>
              <w:rPr>
                <w:sz w:val="20"/>
                <w:szCs w:val="20"/>
                <w:color w:val="auto"/>
              </w:rPr>
            </w:pPr>
            <w:r>
              <w:rPr>
                <w:rFonts w:ascii="Arial" w:cs="Arial" w:eastAsia="Arial" w:hAnsi="Arial"/>
                <w:sz w:val="18"/>
                <w:szCs w:val="18"/>
                <w:color w:val="auto"/>
              </w:rPr>
              <w:t>48,251,819</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51"/>
              <w:spacing w:after="0" w:line="175"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75" w:lineRule="exact"/>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11"/>
              <w:spacing w:after="0" w:line="175"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75" w:lineRule="exact"/>
              <w:rPr>
                <w:sz w:val="20"/>
                <w:szCs w:val="20"/>
                <w:color w:val="auto"/>
              </w:rPr>
            </w:pPr>
            <w:r>
              <w:rPr>
                <w:rFonts w:ascii="Arial" w:cs="Arial" w:eastAsia="Arial" w:hAnsi="Arial"/>
                <w:sz w:val="18"/>
                <w:szCs w:val="18"/>
                <w:color w:val="auto"/>
              </w:rPr>
              <w:t>499,964</w:t>
            </w: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11"/>
              <w:spacing w:after="0" w:line="175"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22"/>
              <w:spacing w:after="0" w:line="175" w:lineRule="exact"/>
              <w:rPr>
                <w:sz w:val="20"/>
                <w:szCs w:val="20"/>
                <w:color w:val="auto"/>
              </w:rPr>
            </w:pPr>
            <w:r>
              <w:rPr>
                <w:rFonts w:ascii="Arial" w:cs="Arial" w:eastAsia="Arial" w:hAnsi="Arial"/>
                <w:sz w:val="18"/>
                <w:szCs w:val="18"/>
                <w:color w:val="auto"/>
              </w:rPr>
              <w:t>(47 )</w:t>
            </w:r>
          </w:p>
        </w:tc>
        <w:tc>
          <w:tcPr>
            <w:tcW w:w="260" w:type="dxa"/>
            <w:vAlign w:val="bottom"/>
            <w:shd w:val="clear" w:color="auto" w:fill="CFF0FC"/>
          </w:tcPr>
          <w:p>
            <w:pPr>
              <w:jc w:val="right"/>
              <w:ind w:right="71"/>
              <w:spacing w:after="0" w:line="175"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line="175" w:lineRule="exact"/>
              <w:rPr>
                <w:sz w:val="20"/>
                <w:szCs w:val="20"/>
                <w:color w:val="auto"/>
              </w:rPr>
            </w:pPr>
            <w:r>
              <w:rPr>
                <w:rFonts w:ascii="Arial" w:cs="Arial" w:eastAsia="Arial" w:hAnsi="Arial"/>
                <w:sz w:val="18"/>
                <w:szCs w:val="18"/>
                <w:color w:val="auto"/>
              </w:rPr>
              <w:t>(450,115 )</w:t>
            </w:r>
          </w:p>
        </w:tc>
        <w:tc>
          <w:tcPr>
            <w:tcW w:w="300" w:type="dxa"/>
            <w:vAlign w:val="bottom"/>
            <w:shd w:val="clear" w:color="auto" w:fill="CFF0FC"/>
          </w:tcPr>
          <w:p>
            <w:pPr>
              <w:jc w:val="right"/>
              <w:ind w:right="111"/>
              <w:spacing w:after="0" w:line="175"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75" w:lineRule="exact"/>
              <w:rPr>
                <w:sz w:val="20"/>
                <w:szCs w:val="20"/>
                <w:color w:val="auto"/>
              </w:rPr>
            </w:pPr>
            <w:r>
              <w:rPr>
                <w:rFonts w:ascii="Arial" w:cs="Arial" w:eastAsia="Arial" w:hAnsi="Arial"/>
                <w:sz w:val="18"/>
                <w:szCs w:val="18"/>
                <w:color w:val="auto"/>
              </w:rPr>
              <w:t>49,803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660" w:type="dxa"/>
            <w:vAlign w:val="bottom"/>
          </w:tcPr>
          <w:p>
            <w:pPr>
              <w:ind w:left="20"/>
              <w:spacing w:after="0" w:line="161" w:lineRule="exact"/>
              <w:rPr>
                <w:sz w:val="20"/>
                <w:szCs w:val="20"/>
                <w:color w:val="auto"/>
              </w:rPr>
            </w:pPr>
            <w:r>
              <w:rPr>
                <w:rFonts w:ascii="Arial" w:cs="Arial" w:eastAsia="Arial" w:hAnsi="Arial"/>
                <w:sz w:val="18"/>
                <w:szCs w:val="18"/>
                <w:color w:val="auto"/>
                <w:w w:val="95"/>
              </w:rPr>
              <w:t>Issuance of common stock in follow-on offering,</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16,428,571</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107,712</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107,712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8"/>
                <w:szCs w:val="18"/>
                <w:color w:val="auto"/>
              </w:rPr>
              <w:t>net of issuance costs</w:t>
            </w:r>
          </w:p>
        </w:tc>
        <w:tc>
          <w:tcPr>
            <w:tcW w:w="1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Exercise of stock options</w:t>
            </w:r>
          </w:p>
        </w:tc>
        <w:tc>
          <w:tcPr>
            <w:tcW w:w="11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322,507</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1,023</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1,023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60" w:type="dxa"/>
            <w:vAlign w:val="bottom"/>
          </w:tcPr>
          <w:p>
            <w:pPr>
              <w:ind w:left="20"/>
              <w:spacing w:after="0" w:line="201" w:lineRule="exact"/>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3,034</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3,034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Other comprehensive income</w:t>
            </w:r>
          </w:p>
        </w:tc>
        <w:tc>
          <w:tcPr>
            <w:tcW w:w="11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60" w:type="dxa"/>
            <w:vAlign w:val="bottom"/>
          </w:tcPr>
          <w:p>
            <w:pPr>
              <w:ind w:left="20"/>
              <w:spacing w:after="0" w:line="201" w:lineRule="exact"/>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(15,554 )</w:t>
            </w:r>
          </w:p>
        </w:tc>
        <w:tc>
          <w:tcPr>
            <w:tcW w:w="300" w:type="dxa"/>
            <w:vAlign w:val="bottom"/>
          </w:tcPr>
          <w:p>
            <w:pPr>
              <w:spacing w:after="0"/>
              <w:rPr>
                <w:sz w:val="17"/>
                <w:szCs w:val="17"/>
                <w:color w:val="auto"/>
              </w:rPr>
            </w:pPr>
          </w:p>
        </w:tc>
        <w:tc>
          <w:tcPr>
            <w:tcW w:w="8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(15,554 )</w:t>
            </w:r>
          </w:p>
        </w:tc>
        <w:tc>
          <w:tcPr>
            <w:tcW w:w="0" w:type="dxa"/>
            <w:vAlign w:val="bottom"/>
          </w:tcPr>
          <w:p>
            <w:pPr>
              <w:spacing w:after="0"/>
              <w:rPr>
                <w:sz w:val="1"/>
                <w:szCs w:val="1"/>
                <w:color w:val="auto"/>
              </w:rPr>
            </w:pPr>
          </w:p>
        </w:tc>
      </w:tr>
      <w:tr>
        <w:trPr>
          <w:trHeight w:val="235"/>
        </w:trPr>
        <w:tc>
          <w:tcPr>
            <w:tcW w:w="36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 at March 31, 2021</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65,002,897</w:t>
            </w:r>
          </w:p>
        </w:tc>
        <w:tc>
          <w:tcPr>
            <w:tcW w:w="1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ind w:right="351"/>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1"/>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611,733</w:t>
            </w: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11"/>
              <w:spacing w:after="0" w:line="182"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w:t>
            </w:r>
          </w:p>
        </w:tc>
        <w:tc>
          <w:tcPr>
            <w:tcW w:w="160" w:type="dxa"/>
            <w:vAlign w:val="bottom"/>
            <w:tcBorders>
              <w:bottom w:val="single" w:sz="8" w:color="CFF0FC"/>
            </w:tcBorders>
            <w:shd w:val="clear" w:color="auto" w:fill="CFF0FC"/>
          </w:tcPr>
          <w:p>
            <w:pPr>
              <w:jc w:val="right"/>
              <w:ind w:right="22"/>
              <w:spacing w:after="0" w:line="181"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1"/>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(465,669</w:t>
            </w: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1"/>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146,022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-24765</wp:posOffset>
            </wp:positionV>
            <wp:extent cx="425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-7620</wp:posOffset>
            </wp:positionV>
            <wp:extent cx="425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-24765</wp:posOffset>
            </wp:positionV>
            <wp:extent cx="425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-7620</wp:posOffset>
            </wp:positionV>
            <wp:extent cx="425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-24765</wp:posOffset>
            </wp:positionV>
            <wp:extent cx="425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-7620</wp:posOffset>
            </wp:positionV>
            <wp:extent cx="425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-24765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-7620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-24765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-7620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-24765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-7620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3"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9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79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5"/>
        </w:trPr>
        <w:tc>
          <w:tcPr>
            <w:tcW w:w="79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1"/>
        </w:trPr>
        <w:tc>
          <w:tcPr>
            <w:tcW w:w="7900" w:type="dxa"/>
            <w:vAlign w:val="bottom"/>
          </w:tcPr>
          <w:p>
            <w:pPr>
              <w:ind w:left="200"/>
              <w:spacing w:after="0" w:line="201" w:lineRule="exact"/>
              <w:rPr>
                <w:sz w:val="20"/>
                <w:szCs w:val="20"/>
                <w:color w:val="auto"/>
              </w:rPr>
            </w:pPr>
            <w:r>
              <w:rPr>
                <w:rFonts w:ascii="Arial" w:cs="Arial" w:eastAsia="Arial" w:hAnsi="Arial"/>
                <w:sz w:val="18"/>
                <w:szCs w:val="18"/>
                <w:color w:val="auto"/>
              </w:rPr>
              <w:t>Net loss</w:t>
            </w:r>
          </w:p>
        </w:tc>
        <w:tc>
          <w:tcPr>
            <w:tcW w:w="920" w:type="dxa"/>
            <w:vAlign w:val="bottom"/>
          </w:tcPr>
          <w:p>
            <w:pPr>
              <w:jc w:val="right"/>
              <w:ind w:right="737"/>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2"/>
              <w:spacing w:after="0" w:line="201" w:lineRule="exact"/>
              <w:rPr>
                <w:sz w:val="20"/>
                <w:szCs w:val="20"/>
                <w:color w:val="auto"/>
              </w:rPr>
            </w:pPr>
            <w:r>
              <w:rPr>
                <w:rFonts w:ascii="Arial" w:cs="Arial" w:eastAsia="Arial" w:hAnsi="Arial"/>
                <w:sz w:val="18"/>
                <w:szCs w:val="18"/>
                <w:color w:val="auto"/>
                <w:w w:val="88"/>
              </w:rPr>
              <w:t>(23,885 )</w:t>
            </w:r>
          </w:p>
        </w:tc>
        <w:tc>
          <w:tcPr>
            <w:tcW w:w="540" w:type="dxa"/>
            <w:vAlign w:val="bottom"/>
          </w:tcPr>
          <w:p>
            <w:pPr>
              <w:jc w:val="right"/>
              <w:ind w:right="351"/>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(15,554 )</w:t>
            </w:r>
          </w:p>
        </w:tc>
      </w:tr>
      <w:tr>
        <w:trPr>
          <w:trHeight w:val="201"/>
        </w:trPr>
        <w:tc>
          <w:tcPr>
            <w:tcW w:w="790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7900" w:type="dxa"/>
            <w:vAlign w:val="bottom"/>
          </w:tcPr>
          <w:p>
            <w:pPr>
              <w:ind w:left="380"/>
              <w:spacing w:after="0" w:line="201" w:lineRule="exact"/>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37</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36</w:t>
            </w:r>
          </w:p>
        </w:tc>
        <w:tc>
          <w:tcPr>
            <w:tcW w:w="80" w:type="dxa"/>
            <w:vAlign w:val="bottom"/>
          </w:tcPr>
          <w:p>
            <w:pPr>
              <w:spacing w:after="0"/>
              <w:rPr>
                <w:sz w:val="17"/>
                <w:szCs w:val="17"/>
                <w:color w:val="auto"/>
              </w:rPr>
            </w:pPr>
          </w:p>
        </w:tc>
      </w:tr>
      <w:tr>
        <w:trPr>
          <w:trHeight w:val="201"/>
        </w:trPr>
        <w:tc>
          <w:tcPr>
            <w:tcW w:w="7900" w:type="dxa"/>
            <w:vAlign w:val="bottom"/>
            <w:shd w:val="clear" w:color="auto" w:fill="CFF0FC"/>
          </w:tcPr>
          <w:p>
            <w:pPr>
              <w:ind w:left="380"/>
              <w:spacing w:after="0" w:line="201" w:lineRule="exact"/>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565</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638</w:t>
            </w:r>
          </w:p>
        </w:tc>
        <w:tc>
          <w:tcPr>
            <w:tcW w:w="80" w:type="dxa"/>
            <w:vAlign w:val="bottom"/>
            <w:shd w:val="clear" w:color="auto" w:fill="CFF0FC"/>
          </w:tcPr>
          <w:p>
            <w:pPr>
              <w:spacing w:after="0"/>
              <w:rPr>
                <w:sz w:val="17"/>
                <w:szCs w:val="17"/>
                <w:color w:val="auto"/>
              </w:rPr>
            </w:pPr>
          </w:p>
        </w:tc>
      </w:tr>
      <w:tr>
        <w:trPr>
          <w:trHeight w:val="201"/>
        </w:trPr>
        <w:tc>
          <w:tcPr>
            <w:tcW w:w="7900" w:type="dxa"/>
            <w:vAlign w:val="bottom"/>
          </w:tcPr>
          <w:p>
            <w:pPr>
              <w:ind w:left="380"/>
              <w:spacing w:after="0" w:line="201" w:lineRule="exact"/>
              <w:rPr>
                <w:sz w:val="20"/>
                <w:szCs w:val="20"/>
                <w:color w:val="auto"/>
              </w:rPr>
            </w:pPr>
            <w:r>
              <w:rPr>
                <w:rFonts w:ascii="Arial" w:cs="Arial" w:eastAsia="Arial" w:hAnsi="Arial"/>
                <w:sz w:val="18"/>
                <w:szCs w:val="18"/>
                <w:color w:val="auto"/>
              </w:rPr>
              <w:t>Amortization of premium (accretion of discounts) on investments</w:t>
            </w:r>
          </w:p>
        </w:tc>
        <w:tc>
          <w:tcPr>
            <w:tcW w:w="920" w:type="dxa"/>
            <w:vAlign w:val="bottom"/>
          </w:tcPr>
          <w:p>
            <w:pPr>
              <w:spacing w:after="0"/>
              <w:rPr>
                <w:sz w:val="17"/>
                <w:szCs w:val="17"/>
                <w:color w:val="auto"/>
              </w:rPr>
            </w:pPr>
          </w:p>
        </w:tc>
        <w:tc>
          <w:tcPr>
            <w:tcW w:w="860" w:type="dxa"/>
            <w:vAlign w:val="bottom"/>
            <w:gridSpan w:val="2"/>
          </w:tcPr>
          <w:p>
            <w:pPr>
              <w:jc w:val="right"/>
              <w:ind w:right="122"/>
              <w:spacing w:after="0" w:line="201" w:lineRule="exact"/>
              <w:rPr>
                <w:sz w:val="20"/>
                <w:szCs w:val="20"/>
                <w:color w:val="auto"/>
              </w:rPr>
            </w:pPr>
            <w:r>
              <w:rPr>
                <w:rFonts w:ascii="Arial" w:cs="Arial" w:eastAsia="Arial" w:hAnsi="Arial"/>
                <w:sz w:val="18"/>
                <w:szCs w:val="18"/>
                <w:color w:val="auto"/>
              </w:rPr>
              <w:t>(17 )</w:t>
            </w:r>
          </w:p>
        </w:tc>
        <w:tc>
          <w:tcPr>
            <w:tcW w:w="5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141</w:t>
            </w:r>
          </w:p>
        </w:tc>
        <w:tc>
          <w:tcPr>
            <w:tcW w:w="80" w:type="dxa"/>
            <w:vAlign w:val="bottom"/>
          </w:tcPr>
          <w:p>
            <w:pPr>
              <w:spacing w:after="0"/>
              <w:rPr>
                <w:sz w:val="17"/>
                <w:szCs w:val="17"/>
                <w:color w:val="auto"/>
              </w:rPr>
            </w:pPr>
          </w:p>
        </w:tc>
      </w:tr>
      <w:tr>
        <w:trPr>
          <w:trHeight w:val="201"/>
        </w:trPr>
        <w:tc>
          <w:tcPr>
            <w:tcW w:w="7900" w:type="dxa"/>
            <w:vAlign w:val="bottom"/>
            <w:shd w:val="clear" w:color="auto" w:fill="CFF0FC"/>
          </w:tcPr>
          <w:p>
            <w:pPr>
              <w:ind w:left="380"/>
              <w:spacing w:after="0" w:line="201" w:lineRule="exact"/>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3,370</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3,034</w:t>
            </w:r>
          </w:p>
        </w:tc>
        <w:tc>
          <w:tcPr>
            <w:tcW w:w="80" w:type="dxa"/>
            <w:vAlign w:val="bottom"/>
            <w:shd w:val="clear" w:color="auto" w:fill="CFF0FC"/>
          </w:tcPr>
          <w:p>
            <w:pPr>
              <w:spacing w:after="0"/>
              <w:rPr>
                <w:sz w:val="17"/>
                <w:szCs w:val="17"/>
                <w:color w:val="auto"/>
              </w:rPr>
            </w:pPr>
          </w:p>
        </w:tc>
      </w:tr>
      <w:tr>
        <w:trPr>
          <w:trHeight w:val="201"/>
        </w:trPr>
        <w:tc>
          <w:tcPr>
            <w:tcW w:w="7900" w:type="dxa"/>
            <w:vAlign w:val="bottom"/>
          </w:tcPr>
          <w:p>
            <w:pPr>
              <w:ind w:left="380"/>
              <w:spacing w:after="0" w:line="201" w:lineRule="exact"/>
              <w:rPr>
                <w:sz w:val="20"/>
                <w:szCs w:val="20"/>
                <w:color w:val="auto"/>
              </w:rPr>
            </w:pPr>
            <w:r>
              <w:rPr>
                <w:rFonts w:ascii="Arial" w:cs="Arial" w:eastAsia="Arial" w:hAnsi="Arial"/>
                <w:sz w:val="18"/>
                <w:szCs w:val="18"/>
                <w:color w:val="auto"/>
              </w:rPr>
              <w:t>Non-cash lease expense</w:t>
            </w:r>
          </w:p>
        </w:tc>
        <w:tc>
          <w:tcPr>
            <w:tcW w:w="92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826</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759</w:t>
            </w:r>
          </w:p>
        </w:tc>
        <w:tc>
          <w:tcPr>
            <w:tcW w:w="80" w:type="dxa"/>
            <w:vAlign w:val="bottom"/>
          </w:tcPr>
          <w:p>
            <w:pPr>
              <w:spacing w:after="0"/>
              <w:rPr>
                <w:sz w:val="17"/>
                <w:szCs w:val="17"/>
                <w:color w:val="auto"/>
              </w:rPr>
            </w:pPr>
          </w:p>
        </w:tc>
      </w:tr>
      <w:tr>
        <w:trPr>
          <w:trHeight w:val="201"/>
        </w:trPr>
        <w:tc>
          <w:tcPr>
            <w:tcW w:w="7900" w:type="dxa"/>
            <w:vAlign w:val="bottom"/>
            <w:shd w:val="clear" w:color="auto" w:fill="CFF0FC"/>
          </w:tcPr>
          <w:p>
            <w:pPr>
              <w:ind w:left="380"/>
              <w:spacing w:after="0" w:line="201" w:lineRule="exact"/>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7900" w:type="dxa"/>
            <w:vAlign w:val="bottom"/>
          </w:tcPr>
          <w:p>
            <w:pPr>
              <w:ind w:left="560"/>
              <w:spacing w:after="0" w:line="201" w:lineRule="exact"/>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7"/>
                <w:szCs w:val="17"/>
                <w:color w:val="auto"/>
              </w:rPr>
            </w:pPr>
          </w:p>
        </w:tc>
        <w:tc>
          <w:tcPr>
            <w:tcW w:w="860" w:type="dxa"/>
            <w:vAlign w:val="bottom"/>
            <w:gridSpan w:val="2"/>
          </w:tcPr>
          <w:p>
            <w:pPr>
              <w:jc w:val="right"/>
              <w:ind w:right="122"/>
              <w:spacing w:after="0" w:line="201" w:lineRule="exact"/>
              <w:rPr>
                <w:sz w:val="20"/>
                <w:szCs w:val="20"/>
                <w:color w:val="auto"/>
              </w:rPr>
            </w:pPr>
            <w:r>
              <w:rPr>
                <w:rFonts w:ascii="Arial" w:cs="Arial" w:eastAsia="Arial" w:hAnsi="Arial"/>
                <w:sz w:val="18"/>
                <w:szCs w:val="18"/>
                <w:color w:val="auto"/>
              </w:rPr>
              <w:t>(232 )</w:t>
            </w:r>
          </w:p>
        </w:tc>
        <w:tc>
          <w:tcPr>
            <w:tcW w:w="5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r>
      <w:tr>
        <w:trPr>
          <w:trHeight w:val="201"/>
        </w:trPr>
        <w:tc>
          <w:tcPr>
            <w:tcW w:w="7900" w:type="dxa"/>
            <w:vAlign w:val="bottom"/>
            <w:shd w:val="clear" w:color="auto" w:fill="CFF0FC"/>
          </w:tcPr>
          <w:p>
            <w:pPr>
              <w:ind w:left="560"/>
              <w:spacing w:after="0" w:line="201" w:lineRule="exact"/>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2"/>
              <w:spacing w:after="0" w:line="201" w:lineRule="exact"/>
              <w:rPr>
                <w:sz w:val="20"/>
                <w:szCs w:val="20"/>
                <w:color w:val="auto"/>
              </w:rPr>
            </w:pPr>
            <w:r>
              <w:rPr>
                <w:rFonts w:ascii="Arial" w:cs="Arial" w:eastAsia="Arial" w:hAnsi="Arial"/>
                <w:sz w:val="18"/>
                <w:szCs w:val="18"/>
                <w:color w:val="auto"/>
              </w:rPr>
              <w:t>(613 )</w:t>
            </w: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1,640</w:t>
            </w:r>
          </w:p>
        </w:tc>
        <w:tc>
          <w:tcPr>
            <w:tcW w:w="80" w:type="dxa"/>
            <w:vAlign w:val="bottom"/>
            <w:shd w:val="clear" w:color="auto" w:fill="CFF0FC"/>
          </w:tcPr>
          <w:p>
            <w:pPr>
              <w:spacing w:after="0"/>
              <w:rPr>
                <w:sz w:val="17"/>
                <w:szCs w:val="17"/>
                <w:color w:val="auto"/>
              </w:rPr>
            </w:pPr>
          </w:p>
        </w:tc>
      </w:tr>
      <w:tr>
        <w:trPr>
          <w:trHeight w:val="201"/>
        </w:trPr>
        <w:tc>
          <w:tcPr>
            <w:tcW w:w="7900" w:type="dxa"/>
            <w:vAlign w:val="bottom"/>
          </w:tcPr>
          <w:p>
            <w:pPr>
              <w:ind w:left="560"/>
              <w:spacing w:after="0" w:line="201" w:lineRule="exact"/>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7"/>
                <w:szCs w:val="17"/>
                <w:color w:val="auto"/>
              </w:rPr>
            </w:pPr>
          </w:p>
        </w:tc>
        <w:tc>
          <w:tcPr>
            <w:tcW w:w="860" w:type="dxa"/>
            <w:vAlign w:val="bottom"/>
            <w:gridSpan w:val="2"/>
          </w:tcPr>
          <w:p>
            <w:pPr>
              <w:jc w:val="right"/>
              <w:ind w:right="122"/>
              <w:spacing w:after="0" w:line="201" w:lineRule="exact"/>
              <w:rPr>
                <w:sz w:val="20"/>
                <w:szCs w:val="20"/>
                <w:color w:val="auto"/>
              </w:rPr>
            </w:pPr>
            <w:r>
              <w:rPr>
                <w:rFonts w:ascii="Arial" w:cs="Arial" w:eastAsia="Arial" w:hAnsi="Arial"/>
                <w:sz w:val="18"/>
                <w:szCs w:val="18"/>
                <w:color w:val="auto"/>
              </w:rPr>
              <w:t>(1 )</w:t>
            </w:r>
          </w:p>
        </w:tc>
        <w:tc>
          <w:tcPr>
            <w:tcW w:w="540" w:type="dxa"/>
            <w:vAlign w:val="bottom"/>
          </w:tcPr>
          <w:p>
            <w:pPr>
              <w:spacing w:after="0"/>
              <w:rPr>
                <w:sz w:val="17"/>
                <w:szCs w:val="17"/>
                <w:color w:val="auto"/>
              </w:rPr>
            </w:pP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(74 )</w:t>
            </w:r>
          </w:p>
        </w:tc>
      </w:tr>
      <w:tr>
        <w:trPr>
          <w:trHeight w:val="201"/>
        </w:trPr>
        <w:tc>
          <w:tcPr>
            <w:tcW w:w="7900" w:type="dxa"/>
            <w:vAlign w:val="bottom"/>
            <w:shd w:val="clear" w:color="auto" w:fill="CFF0FC"/>
          </w:tcPr>
          <w:p>
            <w:pPr>
              <w:ind w:left="560"/>
              <w:spacing w:after="0" w:line="201" w:lineRule="exact"/>
              <w:rPr>
                <w:sz w:val="20"/>
                <w:szCs w:val="20"/>
                <w:color w:val="auto"/>
              </w:rPr>
            </w:pPr>
            <w:r>
              <w:rPr>
                <w:rFonts w:ascii="Arial" w:cs="Arial" w:eastAsia="Arial" w:hAnsi="Arial"/>
                <w:sz w:val="18"/>
                <w:szCs w:val="18"/>
                <w:color w:val="auto"/>
              </w:rPr>
              <w:t>Accounts payable</w:t>
            </w: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2"/>
              <w:spacing w:after="0" w:line="201" w:lineRule="exact"/>
              <w:rPr>
                <w:sz w:val="20"/>
                <w:szCs w:val="20"/>
                <w:color w:val="auto"/>
              </w:rPr>
            </w:pPr>
            <w:r>
              <w:rPr>
                <w:rFonts w:ascii="Arial" w:cs="Arial" w:eastAsia="Arial" w:hAnsi="Arial"/>
                <w:sz w:val="18"/>
                <w:szCs w:val="18"/>
                <w:color w:val="auto"/>
              </w:rPr>
              <w:t>(1,060 )</w:t>
            </w: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(292 )</w:t>
            </w:r>
          </w:p>
        </w:tc>
      </w:tr>
      <w:tr>
        <w:trPr>
          <w:trHeight w:val="201"/>
        </w:trPr>
        <w:tc>
          <w:tcPr>
            <w:tcW w:w="7900" w:type="dxa"/>
            <w:vAlign w:val="bottom"/>
          </w:tcPr>
          <w:p>
            <w:pPr>
              <w:ind w:left="560"/>
              <w:spacing w:after="0" w:line="201" w:lineRule="exact"/>
              <w:rPr>
                <w:sz w:val="20"/>
                <w:szCs w:val="20"/>
                <w:color w:val="auto"/>
              </w:rPr>
            </w:pPr>
            <w:r>
              <w:rPr>
                <w:rFonts w:ascii="Arial" w:cs="Arial" w:eastAsia="Arial" w:hAnsi="Arial"/>
                <w:sz w:val="18"/>
                <w:szCs w:val="18"/>
                <w:color w:val="auto"/>
              </w:rPr>
              <w:t>Accrued liabilities and other long-term liabilities</w:t>
            </w:r>
          </w:p>
        </w:tc>
        <w:tc>
          <w:tcPr>
            <w:tcW w:w="920" w:type="dxa"/>
            <w:vAlign w:val="bottom"/>
          </w:tcPr>
          <w:p>
            <w:pPr>
              <w:spacing w:after="0"/>
              <w:rPr>
                <w:sz w:val="17"/>
                <w:szCs w:val="17"/>
                <w:color w:val="auto"/>
              </w:rPr>
            </w:pPr>
          </w:p>
        </w:tc>
        <w:tc>
          <w:tcPr>
            <w:tcW w:w="860" w:type="dxa"/>
            <w:vAlign w:val="bottom"/>
            <w:gridSpan w:val="2"/>
          </w:tcPr>
          <w:p>
            <w:pPr>
              <w:jc w:val="right"/>
              <w:ind w:right="122"/>
              <w:spacing w:after="0" w:line="201" w:lineRule="exact"/>
              <w:rPr>
                <w:sz w:val="20"/>
                <w:szCs w:val="20"/>
                <w:color w:val="auto"/>
              </w:rPr>
            </w:pPr>
            <w:r>
              <w:rPr>
                <w:rFonts w:ascii="Arial" w:cs="Arial" w:eastAsia="Arial" w:hAnsi="Arial"/>
                <w:sz w:val="18"/>
                <w:szCs w:val="18"/>
                <w:color w:val="auto"/>
              </w:rPr>
              <w:t>(4,182 )</w:t>
            </w:r>
          </w:p>
        </w:tc>
        <w:tc>
          <w:tcPr>
            <w:tcW w:w="540" w:type="dxa"/>
            <w:vAlign w:val="bottom"/>
          </w:tcPr>
          <w:p>
            <w:pPr>
              <w:spacing w:after="0"/>
              <w:rPr>
                <w:sz w:val="17"/>
                <w:szCs w:val="17"/>
                <w:color w:val="auto"/>
              </w:rPr>
            </w:pP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(5,096 )</w:t>
            </w:r>
          </w:p>
        </w:tc>
      </w:tr>
      <w:tr>
        <w:trPr>
          <w:trHeight w:val="201"/>
        </w:trPr>
        <w:tc>
          <w:tcPr>
            <w:tcW w:w="7900" w:type="dxa"/>
            <w:vAlign w:val="bottom"/>
            <w:shd w:val="clear" w:color="auto" w:fill="CFF0FC"/>
          </w:tcPr>
          <w:p>
            <w:pPr>
              <w:ind w:left="560"/>
              <w:spacing w:after="0" w:line="201" w:lineRule="exact"/>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2"/>
              <w:spacing w:after="0" w:line="201" w:lineRule="exact"/>
              <w:rPr>
                <w:sz w:val="20"/>
                <w:szCs w:val="20"/>
                <w:color w:val="auto"/>
              </w:rPr>
            </w:pPr>
            <w:r>
              <w:rPr>
                <w:rFonts w:ascii="Arial" w:cs="Arial" w:eastAsia="Arial" w:hAnsi="Arial"/>
                <w:sz w:val="18"/>
                <w:szCs w:val="18"/>
                <w:color w:val="auto"/>
                <w:w w:val="88"/>
              </w:rPr>
              <w:t>(16,121 )</w:t>
            </w: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(15,214 )</w:t>
            </w:r>
          </w:p>
        </w:tc>
      </w:tr>
      <w:tr>
        <w:trPr>
          <w:trHeight w:val="20"/>
        </w:trPr>
        <w:tc>
          <w:tcPr>
            <w:tcW w:w="79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5"/>
        </w:trPr>
        <w:tc>
          <w:tcPr>
            <w:tcW w:w="7900" w:type="dxa"/>
            <w:vAlign w:val="bottom"/>
          </w:tcPr>
          <w:p>
            <w:pPr>
              <w:ind w:left="560"/>
              <w:spacing w:after="0" w:line="195" w:lineRule="exact"/>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16"/>
                <w:szCs w:val="16"/>
                <w:color w:val="auto"/>
              </w:rPr>
            </w:pPr>
          </w:p>
        </w:tc>
        <w:tc>
          <w:tcPr>
            <w:tcW w:w="860" w:type="dxa"/>
            <w:vAlign w:val="bottom"/>
            <w:gridSpan w:val="2"/>
          </w:tcPr>
          <w:p>
            <w:pPr>
              <w:jc w:val="right"/>
              <w:ind w:right="122"/>
              <w:spacing w:after="0" w:line="195" w:lineRule="exact"/>
              <w:rPr>
                <w:sz w:val="20"/>
                <w:szCs w:val="20"/>
                <w:color w:val="auto"/>
              </w:rPr>
            </w:pPr>
            <w:r>
              <w:rPr>
                <w:rFonts w:ascii="Arial" w:cs="Arial" w:eastAsia="Arial" w:hAnsi="Arial"/>
                <w:sz w:val="18"/>
                <w:szCs w:val="18"/>
                <w:color w:val="auto"/>
                <w:w w:val="88"/>
              </w:rPr>
              <w:t>(41,313 )</w:t>
            </w:r>
          </w:p>
        </w:tc>
        <w:tc>
          <w:tcPr>
            <w:tcW w:w="540" w:type="dxa"/>
            <w:vAlign w:val="bottom"/>
          </w:tcPr>
          <w:p>
            <w:pPr>
              <w:spacing w:after="0"/>
              <w:rPr>
                <w:sz w:val="16"/>
                <w:szCs w:val="16"/>
                <w:color w:val="auto"/>
              </w:rPr>
            </w:pPr>
          </w:p>
        </w:tc>
        <w:tc>
          <w:tcPr>
            <w:tcW w:w="10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(29,940 )</w:t>
            </w:r>
          </w:p>
        </w:tc>
      </w:tr>
      <w:tr>
        <w:trPr>
          <w:trHeight w:val="195"/>
        </w:trPr>
        <w:tc>
          <w:tcPr>
            <w:tcW w:w="79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1"/>
        </w:trPr>
        <w:tc>
          <w:tcPr>
            <w:tcW w:w="7900" w:type="dxa"/>
            <w:vAlign w:val="bottom"/>
          </w:tcPr>
          <w:p>
            <w:pPr>
              <w:ind w:left="200"/>
              <w:spacing w:after="0" w:line="201" w:lineRule="exact"/>
              <w:rPr>
                <w:sz w:val="20"/>
                <w:szCs w:val="20"/>
                <w:color w:val="auto"/>
              </w:rPr>
            </w:pPr>
            <w:r>
              <w:rPr>
                <w:rFonts w:ascii="Arial" w:cs="Arial" w:eastAsia="Arial" w:hAnsi="Arial"/>
                <w:sz w:val="18"/>
                <w:szCs w:val="18"/>
                <w:color w:val="auto"/>
              </w:rPr>
              <w:t>Purchases of property and equipment</w:t>
            </w:r>
          </w:p>
        </w:tc>
        <w:tc>
          <w:tcPr>
            <w:tcW w:w="920" w:type="dxa"/>
            <w:vAlign w:val="bottom"/>
          </w:tcPr>
          <w:p>
            <w:pPr>
              <w:spacing w:after="0"/>
              <w:rPr>
                <w:sz w:val="17"/>
                <w:szCs w:val="17"/>
                <w:color w:val="auto"/>
              </w:rPr>
            </w:pPr>
          </w:p>
        </w:tc>
        <w:tc>
          <w:tcPr>
            <w:tcW w:w="860" w:type="dxa"/>
            <w:vAlign w:val="bottom"/>
            <w:gridSpan w:val="2"/>
          </w:tcPr>
          <w:p>
            <w:pPr>
              <w:jc w:val="right"/>
              <w:ind w:right="122"/>
              <w:spacing w:after="0" w:line="201" w:lineRule="exact"/>
              <w:rPr>
                <w:sz w:val="20"/>
                <w:szCs w:val="20"/>
                <w:color w:val="auto"/>
              </w:rPr>
            </w:pPr>
            <w:r>
              <w:rPr>
                <w:rFonts w:ascii="Arial" w:cs="Arial" w:eastAsia="Arial" w:hAnsi="Arial"/>
                <w:sz w:val="18"/>
                <w:szCs w:val="18"/>
                <w:color w:val="auto"/>
              </w:rPr>
              <w:t>(736 )</w:t>
            </w:r>
          </w:p>
        </w:tc>
        <w:tc>
          <w:tcPr>
            <w:tcW w:w="540" w:type="dxa"/>
            <w:vAlign w:val="bottom"/>
          </w:tcPr>
          <w:p>
            <w:pPr>
              <w:spacing w:after="0"/>
              <w:rPr>
                <w:sz w:val="17"/>
                <w:szCs w:val="17"/>
                <w:color w:val="auto"/>
              </w:rPr>
            </w:pP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(982 )</w:t>
            </w:r>
          </w:p>
        </w:tc>
      </w:tr>
      <w:tr>
        <w:trPr>
          <w:trHeight w:val="201"/>
        </w:trPr>
        <w:tc>
          <w:tcPr>
            <w:tcW w:w="7900" w:type="dxa"/>
            <w:vAlign w:val="bottom"/>
            <w:tcBorders>
              <w:bottom w:val="single" w:sz="8" w:color="CFF0FC"/>
            </w:tcBorders>
            <w:shd w:val="clear" w:color="auto" w:fill="CFF0FC"/>
          </w:tcPr>
          <w:p>
            <w:pPr>
              <w:ind w:left="200"/>
              <w:spacing w:after="0" w:line="201" w:lineRule="exact"/>
              <w:rPr>
                <w:sz w:val="20"/>
                <w:szCs w:val="20"/>
                <w:color w:val="auto"/>
              </w:rPr>
            </w:pPr>
            <w:r>
              <w:rPr>
                <w:rFonts w:ascii="Arial" w:cs="Arial" w:eastAsia="Arial" w:hAnsi="Arial"/>
                <w:sz w:val="18"/>
                <w:szCs w:val="18"/>
                <w:color w:val="auto"/>
              </w:rPr>
              <w:t>Maturities of short-term investments</w:t>
            </w:r>
          </w:p>
        </w:tc>
        <w:tc>
          <w:tcPr>
            <w:tcW w:w="9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59,994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5"/>
        </w:trPr>
        <w:tc>
          <w:tcPr>
            <w:tcW w:w="7900" w:type="dxa"/>
            <w:vAlign w:val="bottom"/>
          </w:tcPr>
          <w:p>
            <w:pPr>
              <w:ind w:left="560"/>
              <w:spacing w:after="0" w:line="195" w:lineRule="exact"/>
              <w:rPr>
                <w:sz w:val="20"/>
                <w:szCs w:val="20"/>
                <w:color w:val="auto"/>
              </w:rPr>
            </w:pPr>
            <w:r>
              <w:rPr>
                <w:rFonts w:ascii="Arial" w:cs="Arial" w:eastAsia="Arial" w:hAnsi="Arial"/>
                <w:sz w:val="18"/>
                <w:szCs w:val="18"/>
                <w:color w:val="auto"/>
              </w:rPr>
              <w:t>Net cash (used in) provided by investing activities</w:t>
            </w:r>
          </w:p>
        </w:tc>
        <w:tc>
          <w:tcPr>
            <w:tcW w:w="920" w:type="dxa"/>
            <w:vAlign w:val="bottom"/>
          </w:tcPr>
          <w:p>
            <w:pPr>
              <w:spacing w:after="0"/>
              <w:rPr>
                <w:sz w:val="16"/>
                <w:szCs w:val="16"/>
                <w:color w:val="auto"/>
              </w:rPr>
            </w:pPr>
          </w:p>
        </w:tc>
        <w:tc>
          <w:tcPr>
            <w:tcW w:w="860" w:type="dxa"/>
            <w:vAlign w:val="bottom"/>
            <w:gridSpan w:val="2"/>
          </w:tcPr>
          <w:p>
            <w:pPr>
              <w:jc w:val="right"/>
              <w:ind w:right="122"/>
              <w:spacing w:after="0" w:line="195" w:lineRule="exact"/>
              <w:rPr>
                <w:sz w:val="20"/>
                <w:szCs w:val="20"/>
                <w:color w:val="auto"/>
              </w:rPr>
            </w:pPr>
            <w:r>
              <w:rPr>
                <w:rFonts w:ascii="Arial" w:cs="Arial" w:eastAsia="Arial" w:hAnsi="Arial"/>
                <w:sz w:val="18"/>
                <w:szCs w:val="18"/>
                <w:color w:val="auto"/>
              </w:rPr>
              <w:t>(736 )</w:t>
            </w:r>
          </w:p>
        </w:tc>
        <w:tc>
          <w:tcPr>
            <w:tcW w:w="54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59,012</w:t>
            </w:r>
          </w:p>
        </w:tc>
        <w:tc>
          <w:tcPr>
            <w:tcW w:w="80" w:type="dxa"/>
            <w:vAlign w:val="bottom"/>
          </w:tcPr>
          <w:p>
            <w:pPr>
              <w:spacing w:after="0"/>
              <w:rPr>
                <w:sz w:val="16"/>
                <w:szCs w:val="16"/>
                <w:color w:val="auto"/>
              </w:rPr>
            </w:pPr>
          </w:p>
        </w:tc>
      </w:tr>
      <w:tr>
        <w:trPr>
          <w:trHeight w:val="195"/>
        </w:trPr>
        <w:tc>
          <w:tcPr>
            <w:tcW w:w="79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1"/>
        </w:trPr>
        <w:tc>
          <w:tcPr>
            <w:tcW w:w="7900" w:type="dxa"/>
            <w:vAlign w:val="bottom"/>
          </w:tcPr>
          <w:p>
            <w:pPr>
              <w:ind w:left="200"/>
              <w:spacing w:after="0" w:line="201" w:lineRule="exact"/>
              <w:rPr>
                <w:sz w:val="20"/>
                <w:szCs w:val="20"/>
                <w:color w:val="auto"/>
              </w:rPr>
            </w:pPr>
            <w:r>
              <w:rPr>
                <w:rFonts w:ascii="Arial" w:cs="Arial" w:eastAsia="Arial" w:hAnsi="Arial"/>
                <w:sz w:val="18"/>
                <w:szCs w:val="18"/>
                <w:color w:val="auto"/>
              </w:rPr>
              <w:t>Proceeds from issuance of common stock, net of issuance costs</w:t>
            </w:r>
          </w:p>
        </w:tc>
        <w:tc>
          <w:tcPr>
            <w:tcW w:w="92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107,712</w:t>
            </w:r>
          </w:p>
        </w:tc>
        <w:tc>
          <w:tcPr>
            <w:tcW w:w="80" w:type="dxa"/>
            <w:vAlign w:val="bottom"/>
          </w:tcPr>
          <w:p>
            <w:pPr>
              <w:spacing w:after="0"/>
              <w:rPr>
                <w:sz w:val="17"/>
                <w:szCs w:val="17"/>
                <w:color w:val="auto"/>
              </w:rPr>
            </w:pPr>
          </w:p>
        </w:tc>
      </w:tr>
      <w:tr>
        <w:trPr>
          <w:trHeight w:val="201"/>
        </w:trPr>
        <w:tc>
          <w:tcPr>
            <w:tcW w:w="7900" w:type="dxa"/>
            <w:vAlign w:val="bottom"/>
            <w:tcBorders>
              <w:bottom w:val="single" w:sz="8" w:color="CFF0FC"/>
            </w:tcBorders>
            <w:shd w:val="clear" w:color="auto" w:fill="CFF0FC"/>
          </w:tcPr>
          <w:p>
            <w:pPr>
              <w:ind w:left="200"/>
              <w:spacing w:after="0" w:line="201" w:lineRule="exact"/>
              <w:rPr>
                <w:sz w:val="20"/>
                <w:szCs w:val="20"/>
                <w:color w:val="auto"/>
              </w:rPr>
            </w:pPr>
            <w:r>
              <w:rPr>
                <w:rFonts w:ascii="Arial" w:cs="Arial" w:eastAsia="Arial" w:hAnsi="Arial"/>
                <w:sz w:val="18"/>
                <w:szCs w:val="18"/>
                <w:color w:val="auto"/>
              </w:rPr>
              <w:t>Proceeds from exercise of stock options</w:t>
            </w:r>
          </w:p>
        </w:tc>
        <w:tc>
          <w:tcPr>
            <w:tcW w:w="9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1,023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5"/>
        </w:trPr>
        <w:tc>
          <w:tcPr>
            <w:tcW w:w="7900" w:type="dxa"/>
            <w:vAlign w:val="bottom"/>
          </w:tcPr>
          <w:p>
            <w:pPr>
              <w:ind w:left="560"/>
              <w:spacing w:after="0" w:line="195" w:lineRule="exact"/>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108,735</w:t>
            </w:r>
          </w:p>
        </w:tc>
        <w:tc>
          <w:tcPr>
            <w:tcW w:w="80" w:type="dxa"/>
            <w:vAlign w:val="bottom"/>
          </w:tcPr>
          <w:p>
            <w:pPr>
              <w:spacing w:after="0"/>
              <w:rPr>
                <w:sz w:val="16"/>
                <w:szCs w:val="16"/>
                <w:color w:val="auto"/>
              </w:rPr>
            </w:pPr>
          </w:p>
        </w:tc>
      </w:tr>
      <w:tr>
        <w:trPr>
          <w:trHeight w:val="195"/>
        </w:trPr>
        <w:tc>
          <w:tcPr>
            <w:tcW w:w="79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Net increase (decrease) in cash, cash equivalents and restricted cash</w:t>
            </w: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91"/>
              </w:rPr>
              <w:t>(42,042</w:t>
            </w:r>
          </w:p>
        </w:tc>
        <w:tc>
          <w:tcPr>
            <w:tcW w:w="2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137,807</w:t>
            </w:r>
          </w:p>
        </w:tc>
        <w:tc>
          <w:tcPr>
            <w:tcW w:w="80" w:type="dxa"/>
            <w:vAlign w:val="bottom"/>
            <w:shd w:val="clear" w:color="auto" w:fill="CFF0FC"/>
          </w:tcPr>
          <w:p>
            <w:pPr>
              <w:spacing w:after="0"/>
              <w:rPr>
                <w:sz w:val="16"/>
                <w:szCs w:val="16"/>
                <w:color w:val="auto"/>
              </w:rPr>
            </w:pPr>
          </w:p>
        </w:tc>
      </w:tr>
      <w:tr>
        <w:trPr>
          <w:trHeight w:val="201"/>
        </w:trPr>
        <w:tc>
          <w:tcPr>
            <w:tcW w:w="7900" w:type="dxa"/>
            <w:vAlign w:val="bottom"/>
          </w:tcPr>
          <w:p>
            <w:pPr>
              <w:ind w:left="20"/>
              <w:spacing w:after="0" w:line="201" w:lineRule="exact"/>
              <w:rPr>
                <w:sz w:val="20"/>
                <w:szCs w:val="20"/>
                <w:color w:val="auto"/>
              </w:rPr>
            </w:pPr>
            <w:r>
              <w:rPr>
                <w:rFonts w:ascii="Arial" w:cs="Arial" w:eastAsia="Arial" w:hAnsi="Arial"/>
                <w:sz w:val="18"/>
                <w:szCs w:val="18"/>
                <w:color w:val="auto"/>
              </w:rPr>
              <w:t>Cash, cash equivalents and restricted cash, beginning of period</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206,447</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192,776</w:t>
            </w:r>
          </w:p>
        </w:tc>
        <w:tc>
          <w:tcPr>
            <w:tcW w:w="80" w:type="dxa"/>
            <w:vAlign w:val="bottom"/>
          </w:tcPr>
          <w:p>
            <w:pPr>
              <w:spacing w:after="0"/>
              <w:rPr>
                <w:sz w:val="17"/>
                <w:szCs w:val="17"/>
                <w:color w:val="auto"/>
              </w:rPr>
            </w:pPr>
          </w:p>
        </w:tc>
      </w:tr>
      <w:tr>
        <w:trPr>
          <w:trHeight w:val="235"/>
        </w:trPr>
        <w:tc>
          <w:tcPr>
            <w:tcW w:w="790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Cash, cash equivalents and restricted cash, end of period</w:t>
            </w:r>
          </w:p>
        </w:tc>
        <w:tc>
          <w:tcPr>
            <w:tcW w:w="920" w:type="dxa"/>
            <w:vAlign w:val="bottom"/>
            <w:tcBorders>
              <w:bottom w:val="single" w:sz="8" w:color="auto"/>
            </w:tcBorders>
            <w:shd w:val="clear" w:color="auto" w:fill="CFF0FC"/>
          </w:tcPr>
          <w:p>
            <w:pPr>
              <w:jc w:val="right"/>
              <w:ind w:right="737"/>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6"/>
              </w:rPr>
              <w:t>164,405</w:t>
            </w:r>
          </w:p>
        </w:tc>
        <w:tc>
          <w:tcPr>
            <w:tcW w:w="2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1"/>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330,583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-1615440</wp:posOffset>
            </wp:positionV>
            <wp:extent cx="5969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-1615440</wp:posOffset>
            </wp:positionV>
            <wp:extent cx="5143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-1087120</wp:posOffset>
            </wp:positionV>
            <wp:extent cx="596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-1087120</wp:posOffset>
            </wp:positionV>
            <wp:extent cx="5143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-558800</wp:posOffset>
            </wp:positionV>
            <wp:extent cx="5969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-558800</wp:posOffset>
            </wp:positionV>
            <wp:extent cx="514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-24765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-7620</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-24765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-7620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0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CytomX Therapeutics, Inc. (the “Company”) is a clinical-stage, oncology-focused biopharmaceutical company dedicated to destroying cancer differently.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spacing w:after="0" w:line="294" w:lineRule="exact"/>
        <w:rPr>
          <w:sz w:val="20"/>
          <w:szCs w:val="20"/>
          <w:color w:val="auto"/>
        </w:rPr>
      </w:pPr>
    </w:p>
    <w:p>
      <w:pPr>
        <w:ind w:right="5720" w:firstLine="7"/>
        <w:spacing w:after="0" w:line="360" w:lineRule="auto"/>
        <w:tabs>
          <w:tab w:leader="none" w:pos="17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ind w:right="280"/>
        <w:spacing w:after="0" w:line="246"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02" w:lineRule="exact"/>
        <w:rPr>
          <w:sz w:val="20"/>
          <w:szCs w:val="20"/>
          <w:color w:val="auto"/>
        </w:rPr>
      </w:pPr>
    </w:p>
    <w:p>
      <w:pPr>
        <w:jc w:val="both"/>
        <w:ind w:right="540"/>
        <w:spacing w:after="0" w:line="246"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4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condensed results of operations for the three months ended March 31, 2022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2021 filed with the SEC.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March 31, 2022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98"/>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74"/>
              </w:rPr>
              <w:t>thousands)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9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163,488</w:t>
            </w:r>
          </w:p>
        </w:tc>
        <w:tc>
          <w:tcPr>
            <w:tcW w:w="34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205,530</w:t>
            </w:r>
          </w:p>
        </w:tc>
        <w:tc>
          <w:tcPr>
            <w:tcW w:w="640" w:type="dxa"/>
            <w:vAlign w:val="bottom"/>
            <w:gridSpan w:val="2"/>
            <w:shd w:val="clear" w:color="auto" w:fill="CFF0FC"/>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329,666</w:t>
            </w:r>
          </w:p>
        </w:tc>
        <w:tc>
          <w:tcPr>
            <w:tcW w:w="38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191,859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00" w:type="dxa"/>
            <w:vAlign w:val="bottom"/>
          </w:tcPr>
          <w:p>
            <w:pPr>
              <w:ind w:left="20"/>
              <w:spacing w:after="0" w:line="201" w:lineRule="exact"/>
              <w:rPr>
                <w:sz w:val="20"/>
                <w:szCs w:val="20"/>
                <w:color w:val="auto"/>
              </w:rPr>
            </w:pPr>
            <w:r>
              <w:rPr>
                <w:rFonts w:ascii="Arial" w:cs="Arial" w:eastAsia="Arial" w:hAnsi="Arial"/>
                <w:sz w:val="18"/>
                <w:szCs w:val="18"/>
                <w:color w:val="auto"/>
              </w:rPr>
              <w:t>Restricted cash - non-current assets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917</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917</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917</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900" w:type="dxa"/>
            <w:vAlign w:val="bottom"/>
            <w:tcBorders>
              <w:bottom w:val="single" w:sz="8" w:color="CFF0FC"/>
            </w:tcBorders>
            <w:shd w:val="clear" w:color="auto" w:fill="CFF0FC"/>
          </w:tcPr>
          <w:p>
            <w:pPr>
              <w:ind w:left="200"/>
              <w:spacing w:after="0" w:line="195"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164,405</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206,447</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200"/>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330,583</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192,776</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-24765</wp:posOffset>
            </wp:positionV>
            <wp:extent cx="425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-7620</wp:posOffset>
            </wp:positionV>
            <wp:extent cx="425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-24765</wp:posOffset>
            </wp:positionV>
            <wp:extent cx="425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-7620</wp:posOffset>
            </wp:positionV>
            <wp:extent cx="425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-24765</wp:posOffset>
            </wp:positionV>
            <wp:extent cx="342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-7620</wp:posOffset>
            </wp:positionV>
            <wp:extent cx="34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-24765</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-7620</wp:posOffset>
            </wp:positionV>
            <wp:extent cx="342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43815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180"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6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pacing w:after="0" w:line="177"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5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7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AbbVie Ireland Unlimited Company (“AbbVie”), one of the Company’s collaboration partners, entered into a license agreement with Seagen Inc., formerly Seattle Genetics, Inc. (“SGEN”) to license certain intellectual property rights. As part of the Company’s collaboration agreement with AbbVie, the Company is required to pay SGEN sublicense fees for certain milestone achievements and an annual maintenance fee. These sublicense fees are treated as reductions to the transaction price and combined with the performance obligation to which they relate.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2" w:lineRule="exact"/>
        <w:rPr>
          <w:sz w:val="20"/>
          <w:szCs w:val="20"/>
          <w:color w:val="auto"/>
        </w:rPr>
      </w:pPr>
    </w:p>
    <w:p>
      <w:pPr>
        <w:jc w:val="both"/>
        <w:ind w:right="180"/>
        <w:spacing w:after="0" w:line="246"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06"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162"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1560" w:type="dxa"/>
            <w:vAlign w:val="bottom"/>
            <w:tcBorders>
              <w:top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2022</w:t>
            </w:r>
          </w:p>
        </w:tc>
        <w:tc>
          <w:tcPr>
            <w:tcW w:w="1780" w:type="dxa"/>
            <w:vAlign w:val="bottom"/>
            <w:tcBorders>
              <w:top w:val="single" w:sz="8" w:color="auto"/>
            </w:tcBorders>
            <w:gridSpan w:val="2"/>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5"/>
        </w:trPr>
        <w:tc>
          <w:tcPr>
            <w:tcW w:w="78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Options, RSUs and ESPP to purchase common stock</w:t>
            </w:r>
          </w:p>
        </w:tc>
        <w:tc>
          <w:tcPr>
            <w:tcW w:w="15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14,545,414</w:t>
            </w:r>
          </w:p>
        </w:tc>
        <w:tc>
          <w:tcPr>
            <w:tcW w:w="240" w:type="dxa"/>
            <w:vAlign w:val="bottom"/>
            <w:shd w:val="clear" w:color="auto" w:fill="CFF0FC"/>
          </w:tcPr>
          <w:p>
            <w:pPr>
              <w:spacing w:after="0"/>
              <w:rPr>
                <w:sz w:val="16"/>
                <w:szCs w:val="16"/>
                <w:color w:val="auto"/>
              </w:rPr>
            </w:pPr>
          </w:p>
        </w:tc>
        <w:tc>
          <w:tcPr>
            <w:tcW w:w="15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11,554,985</w:t>
            </w:r>
          </w:p>
        </w:tc>
        <w:tc>
          <w:tcPr>
            <w:tcW w:w="60" w:type="dxa"/>
            <w:vAlign w:val="bottom"/>
            <w:shd w:val="clear" w:color="auto" w:fill="CFF0FC"/>
          </w:tcPr>
          <w:p>
            <w:pPr>
              <w:spacing w:after="0"/>
              <w:rPr>
                <w:sz w:val="16"/>
                <w:szCs w:val="16"/>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Investments</w:t>
      </w:r>
    </w:p>
    <w:p>
      <w:pPr>
        <w:spacing w:after="0" w:line="10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5" w:lineRule="exact"/>
        <w:rPr>
          <w:sz w:val="20"/>
          <w:szCs w:val="20"/>
          <w:color w:val="auto"/>
        </w:rPr>
      </w:pPr>
    </w:p>
    <w:p>
      <w:pPr>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01" w:lineRule="exact"/>
        <w:rPr>
          <w:rFonts w:ascii="Arial" w:cs="Arial" w:eastAsia="Arial" w:hAnsi="Arial"/>
          <w:sz w:val="18"/>
          <w:szCs w:val="18"/>
          <w:color w:val="auto"/>
        </w:rPr>
      </w:pPr>
    </w:p>
    <w:p>
      <w:pPr>
        <w:jc w:val="both"/>
        <w:ind w:left="1020" w:right="20" w:hanging="504"/>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4" w:lineRule="exact"/>
        <w:rPr>
          <w:rFonts w:ascii="Arial" w:cs="Arial" w:eastAsia="Arial" w:hAnsi="Arial"/>
          <w:sz w:val="18"/>
          <w:szCs w:val="18"/>
          <w:color w:val="auto"/>
        </w:rPr>
      </w:pPr>
    </w:p>
    <w:p>
      <w:pPr>
        <w:ind w:left="1020" w:right="580" w:hanging="504"/>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57"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3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following tables set forth the fair value of the Company’s investments subject to fair value measurements on a recurring basis and the level of inputs used in such measurements: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center"/>
              <w:ind w:left="285"/>
              <w:spacing w:after="0"/>
              <w:rPr>
                <w:sz w:val="20"/>
                <w:szCs w:val="20"/>
                <w:color w:val="auto"/>
              </w:rPr>
            </w:pPr>
            <w:r>
              <w:rPr>
                <w:rFonts w:ascii="Arial" w:cs="Arial" w:eastAsia="Arial" w:hAnsi="Arial"/>
                <w:sz w:val="14"/>
                <w:szCs w:val="14"/>
                <w:b w:val="1"/>
                <w:bCs w:val="1"/>
                <w:color w:val="auto"/>
                <w:w w:val="96"/>
              </w:rPr>
              <w:t>March 31, 2022</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4240" w:type="dxa"/>
            <w:vAlign w:val="bottom"/>
          </w:tcPr>
          <w:p>
            <w:pPr>
              <w:spacing w:after="0"/>
              <w:rPr>
                <w:sz w:val="11"/>
                <w:szCs w:val="11"/>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w:t>
            </w:r>
          </w:p>
        </w:tc>
        <w:tc>
          <w:tcPr>
            <w:tcW w:w="200" w:type="dxa"/>
            <w:vAlign w:val="bottom"/>
          </w:tcPr>
          <w:p>
            <w:pPr>
              <w:spacing w:after="0"/>
              <w:rPr>
                <w:sz w:val="11"/>
                <w:szCs w:val="11"/>
                <w:color w:val="auto"/>
              </w:rPr>
            </w:pPr>
          </w:p>
        </w:tc>
        <w:tc>
          <w:tcPr>
            <w:tcW w:w="10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040" w:type="dxa"/>
            <w:vAlign w:val="bottom"/>
          </w:tcPr>
          <w:p>
            <w:pPr>
              <w:jc w:val="center"/>
              <w:ind w:left="165"/>
              <w:spacing w:after="0" w:line="132"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left="324"/>
              <w:spacing w:after="0" w:line="132"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185"/>
              <w:spacing w:after="0" w:line="148"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131"/>
              <w:spacing w:after="0" w:line="148"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w w:val="82"/>
              </w:rPr>
              <w:t>Losses</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jc w:val="center"/>
              <w:ind w:left="285"/>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120"/>
              <w:spacing w:after="0" w:line="201" w:lineRule="exact"/>
              <w:rPr>
                <w:sz w:val="20"/>
                <w:szCs w:val="20"/>
                <w:color w:val="auto"/>
              </w:rPr>
            </w:pPr>
            <w:r>
              <w:rPr>
                <w:rFonts w:ascii="Arial" w:cs="Arial" w:eastAsia="Arial" w:hAnsi="Arial"/>
                <w:sz w:val="18"/>
                <w:szCs w:val="18"/>
                <w:color w:val="auto"/>
              </w:rPr>
              <w:t>Money market funds</w:t>
            </w:r>
          </w:p>
        </w:tc>
        <w:tc>
          <w:tcPr>
            <w:tcW w:w="13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4"/>
              </w:rPr>
              <w:t>Level I</w:t>
            </w:r>
          </w:p>
        </w:tc>
        <w:tc>
          <w:tcPr>
            <w:tcW w:w="200" w:type="dxa"/>
            <w:vAlign w:val="bottom"/>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125,731</w:t>
            </w:r>
          </w:p>
        </w:tc>
        <w:tc>
          <w:tcPr>
            <w:tcW w:w="1240" w:type="dxa"/>
            <w:vAlign w:val="bottom"/>
            <w:gridSpan w:val="2"/>
          </w:tcPr>
          <w:p>
            <w:pPr>
              <w:jc w:val="right"/>
              <w:ind w:right="865"/>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64"/>
              <w:spacing w:after="0" w:line="201"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1"/>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125,731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FF0FC"/>
          </w:tcPr>
          <w:p>
            <w:pPr>
              <w:ind w:left="120"/>
              <w:spacing w:after="0" w:line="201" w:lineRule="exact"/>
              <w:rPr>
                <w:sz w:val="20"/>
                <w:szCs w:val="20"/>
                <w:color w:val="auto"/>
              </w:rPr>
            </w:pPr>
            <w:r>
              <w:rPr>
                <w:rFonts w:ascii="Arial" w:cs="Arial" w:eastAsia="Arial" w:hAnsi="Arial"/>
                <w:sz w:val="18"/>
                <w:szCs w:val="18"/>
                <w:color w:val="auto"/>
              </w:rPr>
              <w:t>Restricted cash (money market funds)</w:t>
            </w:r>
          </w:p>
        </w:tc>
        <w:tc>
          <w:tcPr>
            <w:tcW w:w="1300" w:type="dxa"/>
            <w:vAlign w:val="bottom"/>
            <w:gridSpan w:val="2"/>
            <w:shd w:val="clear" w:color="auto" w:fill="CFF0FC"/>
          </w:tcPr>
          <w:p>
            <w:pPr>
              <w:jc w:val="center"/>
              <w:ind w:right="160"/>
              <w:spacing w:after="0" w:line="201" w:lineRule="exact"/>
              <w:rPr>
                <w:sz w:val="20"/>
                <w:szCs w:val="20"/>
                <w:color w:val="auto"/>
              </w:rPr>
            </w:pPr>
            <w:r>
              <w:rPr>
                <w:rFonts w:ascii="Arial" w:cs="Arial" w:eastAsia="Arial" w:hAnsi="Arial"/>
                <w:sz w:val="18"/>
                <w:szCs w:val="18"/>
                <w:color w:val="auto"/>
                <w:w w:val="94"/>
              </w:rPr>
              <w:t>Level I</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917</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31"/>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917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120"/>
              <w:spacing w:after="0" w:line="201" w:lineRule="exact"/>
              <w:rPr>
                <w:sz w:val="20"/>
                <w:szCs w:val="20"/>
                <w:color w:val="auto"/>
              </w:rPr>
            </w:pPr>
            <w:r>
              <w:rPr>
                <w:rFonts w:ascii="Arial" w:cs="Arial" w:eastAsia="Arial" w:hAnsi="Arial"/>
                <w:sz w:val="18"/>
                <w:szCs w:val="18"/>
                <w:color w:val="auto"/>
              </w:rPr>
              <w:t>U.S. Government bonds</w:t>
            </w:r>
          </w:p>
        </w:tc>
        <w:tc>
          <w:tcPr>
            <w:tcW w:w="13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4"/>
              </w:rPr>
              <w:t>Level I</w:t>
            </w:r>
          </w:p>
        </w:tc>
        <w:tc>
          <w:tcPr>
            <w:tcW w:w="20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99,961</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ind w:left="40"/>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gridSpan w:val="2"/>
          </w:tcPr>
          <w:p>
            <w:pPr>
              <w:jc w:val="right"/>
              <w:ind w:right="51"/>
              <w:spacing w:after="0" w:line="201" w:lineRule="exact"/>
              <w:rPr>
                <w:sz w:val="20"/>
                <w:szCs w:val="20"/>
                <w:color w:val="auto"/>
              </w:rPr>
            </w:pPr>
            <w:r>
              <w:rPr>
                <w:rFonts w:ascii="Arial" w:cs="Arial" w:eastAsia="Arial" w:hAnsi="Arial"/>
                <w:sz w:val="18"/>
                <w:szCs w:val="18"/>
                <w:color w:val="auto"/>
                <w:w w:val="93"/>
              </w:rPr>
              <w:t>(919 )</w:t>
            </w:r>
          </w:p>
        </w:tc>
        <w:tc>
          <w:tcPr>
            <w:tcW w:w="2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99,042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tcBorders>
              <w:bottom w:val="single" w:sz="8" w:color="CFF0FC"/>
            </w:tcBorders>
            <w:shd w:val="clear" w:color="auto" w:fill="CFF0FC"/>
          </w:tcPr>
          <w:p>
            <w:pPr>
              <w:ind w:left="200"/>
              <w:spacing w:after="0" w:line="195" w:lineRule="exact"/>
              <w:rPr>
                <w:sz w:val="20"/>
                <w:szCs w:val="20"/>
                <w:color w:val="auto"/>
              </w:rPr>
            </w:pPr>
            <w:r>
              <w:rPr>
                <w:rFonts w:ascii="Arial" w:cs="Arial" w:eastAsia="Arial" w:hAnsi="Arial"/>
                <w:sz w:val="18"/>
                <w:szCs w:val="18"/>
                <w:color w:val="auto"/>
              </w:rPr>
              <w:t>Total securities</w:t>
            </w:r>
          </w:p>
        </w:tc>
        <w:tc>
          <w:tcPr>
            <w:tcW w:w="1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1"/>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226,609</w:t>
            </w: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865"/>
              <w:spacing w:after="0" w:line="195"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line="195"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64"/>
              <w:spacing w:after="0" w:line="195"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(919</w:t>
            </w:r>
          </w:p>
        </w:tc>
        <w:tc>
          <w:tcPr>
            <w:tcW w:w="220" w:type="dxa"/>
            <w:vAlign w:val="bottom"/>
            <w:tcBorders>
              <w:bottom w:val="single" w:sz="8" w:color="CFF0FC"/>
            </w:tcBorders>
            <w:shd w:val="clear" w:color="auto" w:fill="CFF0FC"/>
          </w:tcPr>
          <w:p>
            <w:pPr>
              <w:jc w:val="right"/>
              <w:ind w:right="51"/>
              <w:spacing w:after="0" w:line="195"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1"/>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225,690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left="285"/>
              <w:spacing w:after="0"/>
              <w:rPr>
                <w:sz w:val="20"/>
                <w:szCs w:val="20"/>
                <w:color w:val="auto"/>
              </w:rPr>
            </w:pPr>
            <w:r>
              <w:rPr>
                <w:rFonts w:ascii="Arial" w:cs="Arial" w:eastAsia="Arial" w:hAnsi="Arial"/>
                <w:sz w:val="14"/>
                <w:szCs w:val="14"/>
                <w:b w:val="1"/>
                <w:bCs w:val="1"/>
                <w:color w:val="auto"/>
                <w:w w:val="91"/>
              </w:rPr>
              <w:t>December 31, 2021</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40" w:type="dxa"/>
            <w:vAlign w:val="bottom"/>
          </w:tcPr>
          <w:p>
            <w:pPr>
              <w:spacing w:after="0"/>
              <w:rPr>
                <w:sz w:val="11"/>
                <w:szCs w:val="11"/>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w:t>
            </w:r>
          </w:p>
        </w:tc>
        <w:tc>
          <w:tcPr>
            <w:tcW w:w="200" w:type="dxa"/>
            <w:vAlign w:val="bottom"/>
          </w:tcPr>
          <w:p>
            <w:pPr>
              <w:spacing w:after="0"/>
              <w:rPr>
                <w:sz w:val="11"/>
                <w:szCs w:val="11"/>
                <w:color w:val="auto"/>
              </w:rPr>
            </w:pPr>
          </w:p>
        </w:tc>
        <w:tc>
          <w:tcPr>
            <w:tcW w:w="10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040" w:type="dxa"/>
            <w:vAlign w:val="bottom"/>
          </w:tcPr>
          <w:p>
            <w:pPr>
              <w:jc w:val="center"/>
              <w:ind w:left="165"/>
              <w:spacing w:after="0" w:line="132"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left="324"/>
              <w:spacing w:after="0" w:line="132"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185"/>
              <w:spacing w:after="0" w:line="148"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131"/>
              <w:spacing w:after="0" w:line="148"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w w:val="82"/>
              </w:rPr>
              <w:t>Losses</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jc w:val="center"/>
              <w:ind w:left="285"/>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120"/>
              <w:spacing w:after="0" w:line="201" w:lineRule="exact"/>
              <w:rPr>
                <w:sz w:val="20"/>
                <w:szCs w:val="20"/>
                <w:color w:val="auto"/>
              </w:rPr>
            </w:pPr>
            <w:r>
              <w:rPr>
                <w:rFonts w:ascii="Arial" w:cs="Arial" w:eastAsia="Arial" w:hAnsi="Arial"/>
                <w:sz w:val="18"/>
                <w:szCs w:val="18"/>
                <w:color w:val="auto"/>
              </w:rPr>
              <w:t>Money market funds</w:t>
            </w:r>
          </w:p>
        </w:tc>
        <w:tc>
          <w:tcPr>
            <w:tcW w:w="13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4"/>
              </w:rPr>
              <w:t>Level I</w:t>
            </w:r>
          </w:p>
        </w:tc>
        <w:tc>
          <w:tcPr>
            <w:tcW w:w="200" w:type="dxa"/>
            <w:vAlign w:val="bottom"/>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165,736</w:t>
            </w:r>
          </w:p>
        </w:tc>
        <w:tc>
          <w:tcPr>
            <w:tcW w:w="1240" w:type="dxa"/>
            <w:vAlign w:val="bottom"/>
            <w:gridSpan w:val="2"/>
          </w:tcPr>
          <w:p>
            <w:pPr>
              <w:jc w:val="right"/>
              <w:ind w:right="865"/>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64"/>
              <w:spacing w:after="0" w:line="201"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1"/>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165,736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FF0FC"/>
          </w:tcPr>
          <w:p>
            <w:pPr>
              <w:ind w:left="120"/>
              <w:spacing w:after="0" w:line="201" w:lineRule="exact"/>
              <w:rPr>
                <w:sz w:val="20"/>
                <w:szCs w:val="20"/>
                <w:color w:val="auto"/>
              </w:rPr>
            </w:pPr>
            <w:r>
              <w:rPr>
                <w:rFonts w:ascii="Arial" w:cs="Arial" w:eastAsia="Arial" w:hAnsi="Arial"/>
                <w:sz w:val="18"/>
                <w:szCs w:val="18"/>
                <w:color w:val="auto"/>
              </w:rPr>
              <w:t>Restricted cash (money market funds)</w:t>
            </w:r>
          </w:p>
        </w:tc>
        <w:tc>
          <w:tcPr>
            <w:tcW w:w="1300" w:type="dxa"/>
            <w:vAlign w:val="bottom"/>
            <w:gridSpan w:val="2"/>
            <w:shd w:val="clear" w:color="auto" w:fill="CFF0FC"/>
          </w:tcPr>
          <w:p>
            <w:pPr>
              <w:jc w:val="center"/>
              <w:ind w:right="160"/>
              <w:spacing w:after="0" w:line="201" w:lineRule="exact"/>
              <w:rPr>
                <w:sz w:val="20"/>
                <w:szCs w:val="20"/>
                <w:color w:val="auto"/>
              </w:rPr>
            </w:pPr>
            <w:r>
              <w:rPr>
                <w:rFonts w:ascii="Arial" w:cs="Arial" w:eastAsia="Arial" w:hAnsi="Arial"/>
                <w:sz w:val="18"/>
                <w:szCs w:val="18"/>
                <w:color w:val="auto"/>
                <w:w w:val="94"/>
              </w:rPr>
              <w:t>Level I</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917</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31"/>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917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ind w:left="120"/>
              <w:spacing w:after="0" w:line="201" w:lineRule="exact"/>
              <w:rPr>
                <w:sz w:val="20"/>
                <w:szCs w:val="20"/>
                <w:color w:val="auto"/>
              </w:rPr>
            </w:pPr>
            <w:r>
              <w:rPr>
                <w:rFonts w:ascii="Arial" w:cs="Arial" w:eastAsia="Arial" w:hAnsi="Arial"/>
                <w:sz w:val="18"/>
                <w:szCs w:val="18"/>
                <w:color w:val="auto"/>
              </w:rPr>
              <w:t>U.S. Government bonds</w:t>
            </w:r>
          </w:p>
        </w:tc>
        <w:tc>
          <w:tcPr>
            <w:tcW w:w="13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4"/>
              </w:rPr>
              <w:t>Level I</w:t>
            </w:r>
          </w:p>
        </w:tc>
        <w:tc>
          <w:tcPr>
            <w:tcW w:w="20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99,938</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ind w:left="40"/>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gridSpan w:val="2"/>
          </w:tcPr>
          <w:p>
            <w:pPr>
              <w:jc w:val="right"/>
              <w:ind w:right="51"/>
              <w:spacing w:after="0" w:line="201" w:lineRule="exact"/>
              <w:rPr>
                <w:sz w:val="20"/>
                <w:szCs w:val="20"/>
                <w:color w:val="auto"/>
              </w:rPr>
            </w:pPr>
            <w:r>
              <w:rPr>
                <w:rFonts w:ascii="Arial" w:cs="Arial" w:eastAsia="Arial" w:hAnsi="Arial"/>
                <w:sz w:val="18"/>
                <w:szCs w:val="18"/>
                <w:color w:val="auto"/>
                <w:w w:val="93"/>
              </w:rPr>
              <w:t>(242 )</w:t>
            </w:r>
          </w:p>
        </w:tc>
        <w:tc>
          <w:tcPr>
            <w:tcW w:w="2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99,696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tcBorders>
              <w:bottom w:val="single" w:sz="8" w:color="CFF0FC"/>
            </w:tcBorders>
            <w:shd w:val="clear" w:color="auto" w:fill="CFF0FC"/>
          </w:tcPr>
          <w:p>
            <w:pPr>
              <w:ind w:left="200"/>
              <w:spacing w:after="0" w:line="195" w:lineRule="exact"/>
              <w:rPr>
                <w:sz w:val="20"/>
                <w:szCs w:val="20"/>
                <w:color w:val="auto"/>
              </w:rPr>
            </w:pPr>
            <w:r>
              <w:rPr>
                <w:rFonts w:ascii="Arial" w:cs="Arial" w:eastAsia="Arial" w:hAnsi="Arial"/>
                <w:sz w:val="18"/>
                <w:szCs w:val="18"/>
                <w:color w:val="auto"/>
              </w:rPr>
              <w:t>Total securities</w:t>
            </w:r>
          </w:p>
        </w:tc>
        <w:tc>
          <w:tcPr>
            <w:tcW w:w="1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1"/>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266,591</w:t>
            </w: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865"/>
              <w:spacing w:after="0" w:line="195"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line="195"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64"/>
              <w:spacing w:after="0" w:line="195"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(242</w:t>
            </w:r>
          </w:p>
        </w:tc>
        <w:tc>
          <w:tcPr>
            <w:tcW w:w="220" w:type="dxa"/>
            <w:vAlign w:val="bottom"/>
            <w:tcBorders>
              <w:bottom w:val="single" w:sz="8" w:color="CFF0FC"/>
            </w:tcBorders>
            <w:shd w:val="clear" w:color="auto" w:fill="CFF0FC"/>
          </w:tcPr>
          <w:p>
            <w:pPr>
              <w:jc w:val="right"/>
              <w:ind w:right="51"/>
              <w:spacing w:after="0" w:line="195"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1"/>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266,349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-1388745</wp:posOffset>
            </wp:positionV>
            <wp:extent cx="425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-1371600</wp:posOffset>
            </wp:positionV>
            <wp:extent cx="425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-1388745</wp:posOffset>
            </wp:positionV>
            <wp:extent cx="425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-1371600</wp:posOffset>
            </wp:positionV>
            <wp:extent cx="425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6174740</wp:posOffset>
            </wp:positionH>
            <wp:positionV relativeFrom="paragraph">
              <wp:posOffset>-1388745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6174740</wp:posOffset>
            </wp:positionH>
            <wp:positionV relativeFrom="paragraph">
              <wp:posOffset>-1371600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-1388745</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-1371600</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425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425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425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425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6174740</wp:posOffset>
            </wp:positionH>
            <wp:positionV relativeFrom="paragraph">
              <wp:posOffset>-24765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6174740</wp:posOffset>
            </wp:positionH>
            <wp:positionV relativeFrom="paragraph">
              <wp:posOffset>-7620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-24765</wp:posOffset>
            </wp:positionV>
            <wp:extent cx="34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-7620</wp:posOffset>
            </wp:positionV>
            <wp:extent cx="34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 securities have contractual maturities of greater than twelve months.</w:t>
      </w:r>
    </w:p>
    <w:p>
      <w:pPr>
        <w:spacing w:after="0" w:line="16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As of March 31, 2022, the unrealized losses on the Company’s investment in US Government bonds were caused by interest rate changes and were not attributable to credit losses. The remaining contractual terms of those investments are less than a year. The Company does not intend to sell the investments and it is not more likely than not that the Company will be required to sell the investments before recovery of their amortized cost bases.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720" w:type="dxa"/>
            <w:vAlign w:val="bottom"/>
            <w:gridSpan w:val="2"/>
            <w:shd w:val="clear" w:color="auto" w:fill="CFF0FC"/>
          </w:tcPr>
          <w:p>
            <w:pPr>
              <w:ind w:left="20"/>
              <w:spacing w:after="0" w:line="201" w:lineRule="exact"/>
              <w:rPr>
                <w:sz w:val="20"/>
                <w:szCs w:val="20"/>
                <w:color w:val="auto"/>
              </w:rPr>
            </w:pPr>
            <w:r>
              <w:rPr>
                <w:rFonts w:ascii="Arial" w:cs="Arial" w:eastAsia="Arial" w:hAnsi="Arial"/>
                <w:sz w:val="18"/>
                <w:szCs w:val="18"/>
                <w:color w:val="auto"/>
              </w:rPr>
              <w:t>Research and clinical expenses</w:t>
            </w:r>
          </w:p>
        </w:tc>
        <w:tc>
          <w:tcPr>
            <w:tcW w:w="28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18,307</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1"/>
              <w:spacing w:after="0" w:line="201"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18,861</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Payroll and related expenses</w:t>
            </w:r>
          </w:p>
        </w:tc>
        <w:tc>
          <w:tcPr>
            <w:tcW w:w="28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5,824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9,576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20" w:type="dxa"/>
            <w:vAlign w:val="bottom"/>
            <w:gridSpan w:val="2"/>
            <w:shd w:val="clear" w:color="auto" w:fill="CFF0FC"/>
          </w:tcPr>
          <w:p>
            <w:pPr>
              <w:ind w:left="20"/>
              <w:spacing w:after="0" w:line="201" w:lineRule="exact"/>
              <w:rPr>
                <w:sz w:val="20"/>
                <w:szCs w:val="20"/>
                <w:color w:val="auto"/>
              </w:rPr>
            </w:pPr>
            <w:r>
              <w:rPr>
                <w:rFonts w:ascii="Arial" w:cs="Arial" w:eastAsia="Arial" w:hAnsi="Arial"/>
                <w:sz w:val="18"/>
                <w:szCs w:val="18"/>
                <w:color w:val="auto"/>
              </w:rPr>
              <w:t>Legal and professional expenses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2,228</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1,468</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Operating lease liabilities - short term</w:t>
            </w:r>
          </w:p>
        </w:tc>
        <w:tc>
          <w:tcPr>
            <w:tcW w:w="28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3,730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3,618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20" w:type="dxa"/>
            <w:vAlign w:val="bottom"/>
            <w:tcBorders>
              <w:bottom w:val="single" w:sz="8" w:color="CFF0FC"/>
            </w:tcBorders>
            <w:gridSpan w:val="2"/>
            <w:shd w:val="clear" w:color="auto" w:fill="CFF0FC"/>
          </w:tcPr>
          <w:p>
            <w:pPr>
              <w:ind w:left="20"/>
              <w:spacing w:after="0" w:line="201" w:lineRule="exact"/>
              <w:rPr>
                <w:sz w:val="20"/>
                <w:szCs w:val="20"/>
                <w:color w:val="auto"/>
              </w:rPr>
            </w:pPr>
            <w:r>
              <w:rPr>
                <w:rFonts w:ascii="Arial" w:cs="Arial" w:eastAsia="Arial" w:hAnsi="Arial"/>
                <w:sz w:val="18"/>
                <w:szCs w:val="18"/>
                <w:color w:val="auto"/>
              </w:rPr>
              <w:t>Other accrued expenses</w:t>
            </w: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943</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713</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20" w:type="dxa"/>
            <w:vAlign w:val="bottom"/>
            <w:gridSpan w:val="2"/>
          </w:tcPr>
          <w:p>
            <w:pPr>
              <w:ind w:left="200"/>
              <w:spacing w:after="0" w:line="19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31,032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jc w:val="right"/>
              <w:ind w:right="131"/>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34,236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Research and Collaboration Agreements</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77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720" w:type="dxa"/>
            <w:vAlign w:val="bottom"/>
            <w:gridSpan w:val="2"/>
          </w:tcPr>
          <w:p>
            <w:pPr>
              <w:spacing w:after="0"/>
              <w:rPr>
                <w:sz w:val="20"/>
                <w:szCs w:val="20"/>
                <w:color w:val="auto"/>
              </w:rPr>
            </w:pPr>
            <w:r>
              <w:rPr>
                <w:rFonts w:ascii="Arial" w:cs="Arial" w:eastAsia="Arial" w:hAnsi="Arial"/>
                <w:sz w:val="18"/>
                <w:szCs w:val="18"/>
                <w:color w:val="auto"/>
              </w:rPr>
              <w:t>The following table summarizes the revenue by collaboration partner:</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40" w:type="dxa"/>
            <w:vAlign w:val="bottom"/>
            <w:gridSpan w:val="7"/>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4"/>
        </w:trPr>
        <w:tc>
          <w:tcPr>
            <w:tcW w:w="77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7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720" w:type="dxa"/>
            <w:vAlign w:val="bottom"/>
            <w:gridSpan w:val="2"/>
            <w:shd w:val="clear" w:color="auto" w:fill="CFF0FC"/>
          </w:tcPr>
          <w:p>
            <w:pPr>
              <w:ind w:left="20"/>
              <w:spacing w:after="0" w:line="201" w:lineRule="exact"/>
              <w:rPr>
                <w:sz w:val="20"/>
                <w:szCs w:val="20"/>
                <w:color w:val="auto"/>
              </w:rPr>
            </w:pPr>
            <w:r>
              <w:rPr>
                <w:rFonts w:ascii="Arial" w:cs="Arial" w:eastAsia="Arial" w:hAnsi="Arial"/>
                <w:sz w:val="18"/>
                <w:szCs w:val="18"/>
                <w:color w:val="auto"/>
              </w:rPr>
              <w:t>AbbVie</w:t>
            </w:r>
          </w:p>
        </w:tc>
        <w:tc>
          <w:tcPr>
            <w:tcW w:w="28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2,427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1"/>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1,228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Amgen</w:t>
            </w:r>
          </w:p>
        </w:tc>
        <w:tc>
          <w:tcPr>
            <w:tcW w:w="280" w:type="dxa"/>
            <w:vAlign w:val="bottom"/>
          </w:tcPr>
          <w:p>
            <w:pPr>
              <w:spacing w:after="0"/>
              <w:rPr>
                <w:sz w:val="17"/>
                <w:szCs w:val="17"/>
                <w:color w:val="auto"/>
              </w:rPr>
            </w:pPr>
          </w:p>
        </w:tc>
        <w:tc>
          <w:tcPr>
            <w:tcW w:w="1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2,288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2,582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20" w:type="dxa"/>
            <w:vAlign w:val="bottom"/>
            <w:gridSpan w:val="2"/>
            <w:shd w:val="clear" w:color="auto" w:fill="CFF0FC"/>
          </w:tcPr>
          <w:p>
            <w:pPr>
              <w:ind w:left="20"/>
              <w:spacing w:after="0" w:line="201" w:lineRule="exact"/>
              <w:rPr>
                <w:sz w:val="20"/>
                <w:szCs w:val="20"/>
                <w:color w:val="auto"/>
              </w:rPr>
            </w:pPr>
            <w:r>
              <w:rPr>
                <w:rFonts w:ascii="Arial" w:cs="Arial" w:eastAsia="Arial" w:hAnsi="Arial"/>
                <w:sz w:val="18"/>
                <w:szCs w:val="18"/>
                <w:color w:val="auto"/>
              </w:rPr>
              <w:t>Astellas</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5,016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4,756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Bristol Myers Squibb</w:t>
            </w:r>
          </w:p>
        </w:tc>
        <w:tc>
          <w:tcPr>
            <w:tcW w:w="280" w:type="dxa"/>
            <w:vAlign w:val="bottom"/>
          </w:tcPr>
          <w:p>
            <w:pPr>
              <w:spacing w:after="0"/>
              <w:rPr>
                <w:sz w:val="17"/>
                <w:szCs w:val="17"/>
                <w:color w:val="auto"/>
              </w:rPr>
            </w:pPr>
          </w:p>
        </w:tc>
        <w:tc>
          <w:tcPr>
            <w:tcW w:w="1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7,405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7,405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700" w:type="dxa"/>
            <w:vAlign w:val="bottom"/>
            <w:tcBorders>
              <w:bottom w:val="single" w:sz="8" w:color="CFF0FC"/>
            </w:tcBorders>
            <w:shd w:val="clear" w:color="auto" w:fill="CFF0FC"/>
          </w:tcPr>
          <w:p>
            <w:pPr>
              <w:ind w:left="200"/>
              <w:spacing w:after="0" w:line="195" w:lineRule="exact"/>
              <w:rPr>
                <w:sz w:val="20"/>
                <w:szCs w:val="20"/>
                <w:color w:val="auto"/>
              </w:rPr>
            </w:pPr>
            <w:r>
              <w:rPr>
                <w:rFonts w:ascii="Arial" w:cs="Arial" w:eastAsia="Arial" w:hAnsi="Arial"/>
                <w:sz w:val="18"/>
                <w:szCs w:val="18"/>
                <w:color w:val="auto"/>
              </w:rPr>
              <w:t>Total revenue</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17,136</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1"/>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15,971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-1948180</wp:posOffset>
            </wp:positionV>
            <wp:extent cx="6794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-1948180</wp:posOffset>
            </wp:positionV>
            <wp:extent cx="6794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-24765</wp:posOffset>
            </wp:positionV>
            <wp:extent cx="425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-7620</wp:posOffset>
            </wp:positionV>
            <wp:extent cx="425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-24765</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-7620</wp:posOffset>
            </wp:positionV>
            <wp:extent cx="342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0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conditionally activated antibody-drug conjugate (“ADC”)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and commercialization unless it opts -out. If the Company opts-out from participation of co-development of the CD71 conditionally activated ADC, which includes CX-2029, AbbVie will have sole right and responsibility for the further development, manufacturing and commercialization of such CD71 conditionally activated ADC.</w:t>
      </w:r>
    </w:p>
    <w:p>
      <w:pPr>
        <w:spacing w:after="0" w:line="15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Under the CD71 Agreement, the Company received an upfront payment of $20.0 million in April 2016, and was eligible to initially receive up to $470.0 million in development, regulatory and commercial milestone payments, a 35% profit split on U.S. sales, and royalties on ex-U.S. sales at percentages in the high teens to low twenties if the Company participates in the co-development of the CD71 conditionally activated ADC subject to a reversion to a royalty on U.S. sales, and reduction in royalties on ex-U.S. sales, if the Company opts-out from the co-development of the CD71 conditionally activated ADC. The Company’s share of later stage co-development costs for each CD71 conditionally activated ADC is capped, provided that AbbVie may offset the Company’s co-development cost above the capped amounts from future payments such as milestone payments and royalties. Inclusive of payments received in 2017, 2018 and 2020, as of March 31, 2022, the Company has received $100.0 million in milestone payments under the CD71 Agreement.</w:t>
      </w:r>
    </w:p>
    <w:p>
      <w:pPr>
        <w:spacing w:after="0" w:line="15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Under the terms of the Discovery Agreement, AbbVie receives exclusive worldwide rights to develop and commercialize conditionally activated ADCs against up to two targets, one of which was selected in March 2017. The Company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14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$265.0 million for each target, in development, regulatory and commercial milestone payments and royalties at percentages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43815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18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the high single to low teens from commercial sales of any resulting conditionally activated ADCs. The second target was selected under the Discovery Agreement that allows AbbVie to select a target for developing a conditionally activated ADC or a Probody.</w:t>
      </w:r>
    </w:p>
    <w:p>
      <w:pPr>
        <w:spacing w:after="0" w:line="15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Company determined that the remaining potential milestone payments of both agreements, if recognized, are probable of significant revenue reversal as their achievement is highly dependent on factors outside the Company’s control. Therefore, these payments continue to be fully constrained and are not included in the transaction price as of March 31, 2022.</w:t>
      </w:r>
    </w:p>
    <w:p>
      <w:pPr>
        <w:spacing w:after="0" w:line="142"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As of March 31, 2022 and December 31, 2021, deferred revenue related to the CD71 Agreement performance obligation was $14.3 million and $16.1 million, respectively, and deferred revenue related to the Discovery Agreement performance obligation was $4.6 million and $5.2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0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5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w:t>
      </w:r>
    </w:p>
    <w:p>
      <w:pPr>
        <w:spacing w:after="0" w:line="16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Under the terms of the Amgen Agreement, as amended, the Company and Amgen will co-develop a conditionally activated T-cell engaging bispecific therapeutic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167"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was initially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 In January 2022, the IND for the EGFR product (CX-904) was allowed to proceed by the U.S. Food and Drug Administration (“FDA”).</w:t>
      </w:r>
    </w:p>
    <w:p>
      <w:pPr>
        <w:spacing w:after="0" w:line="324"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As of March 31, 2022 and December 31, 2021, deferred revenue related to the EGFR Products performance obligation was $19.8 million and $21.8 million, respectively. As of March 31, 2022 and December 31, 2021, deferred revenue related to the Amgen Other Products performance obligation was $1.2 million and $1.4 million, respectively.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43815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02"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4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16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 time employee ("FTE") rate.</w:t>
      </w:r>
    </w:p>
    <w:p>
      <w:pPr>
        <w:spacing w:after="0" w:line="163"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As of March 31, 2022 and December 31, 2021, deferred revenue relating to the Astellas Agreement was $47.6 million and $51.6 million, respectively. The amount due from Astellas under the Astellas Agreement was $1.0 million and $0.8 million as of March 31, 2022 and 2021,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02" w:lineRule="exact"/>
        <w:rPr>
          <w:sz w:val="20"/>
          <w:szCs w:val="20"/>
          <w:color w:val="auto"/>
        </w:rPr>
      </w:pPr>
    </w:p>
    <w:p>
      <w:pPr>
        <w:jc w:val="both"/>
        <w:ind w:right="260"/>
        <w:spacing w:after="0" w:line="246"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61"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Pursuant to the BMS Agreement, the financial consideration from Bristol Myers Squibb was comprised of an upfront payment of $50.0 million, and the Company was initially entitled to receive contingent payments of up to $25.0 million for additional targets and up to an aggregate of $1,192.0 million for development, regulatory and sales milestones. In addition, the Company was entitled to royalty payments in the mid-single digits to low double-digit percentages from potential future sales. The Company also received research and development service fees based on a prescribed FTE rate that was capped.</w:t>
      </w:r>
    </w:p>
    <w:p>
      <w:pPr>
        <w:spacing w:after="0" w:line="127"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16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Pursuant to Amendment 1, the financial consideration from Bristol Myers Squibb was comprised of an upfront payment of $200.0 million and the Company was initially eligible to receive contingent payments for development, regulatory and sales milestones of up to an aggregate of $3,586.0 million for the eight targets. The Company was also entitled to tiered mid-single to low double-digit percentage royalties from potential future sales. Amendment 1 did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licensed product in a country, or (iii) the expiration of any applicable regulatory, pediatric, orphan drug or data exclusivity with respect to such product.</w:t>
      </w:r>
    </w:p>
    <w:p>
      <w:pPr>
        <w:spacing w:after="0" w:line="20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initial transaction price for the BMS Agreement and Amendment 1, collectively, was $272.8 million consisting of the upfront fees of $250.0 million, research and development service fees of $10.8 million and milestone payments received of $12.0 million upon the adoption of ASC 606 on January 1, 2018.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February 2021, the Company and Bristol Myers Squibb entered into Amendment Number 2 to amend the Collaboration and License Agreement (“Amendment 2”), as amended by Amendment 1. Subsequent to Amendment 2, Bristol Myers Squibb has the exclusive worldwide rights to develop and commercialize Probody therapeutics for up to five oncology targets. Under the terms of Amendment 2, the period for target selection has been extended and the Company will continue to collaborate with Bristol Myers Squibb to discover and conduct preclinical development of Probody therapeutics against targets selected by Bristol Myers Squibb over the estimated research period, which ends in April 2025. Pursuant to Amendment 2, the Company is eligible to receive contingent payments for development, regulatory and sales milestones of up to an aggregate of $1,779.0 million. It is also entitled to tiered mid-single to low double-digit percentage of royalties from potential future sales. In addition, the Company will no longer be entitled to receive the research and development service fee as part of the arrangement.</w:t>
      </w:r>
    </w:p>
    <w:p>
      <w:pPr>
        <w:spacing w:after="0" w:line="163"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The Company reevaluated the remaining potential milestone payments and determined that significant revenue reversal was still probable as the achievement of such milestones was highly dependent on factors outside the Company’s control. As a result, these payments continued to be fully constrained and are not included in the transaction price as of March 31, 2022.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2022 and December 31, 2021, deferred revenue relating to the BMS Agreement was $91.3 million and $98.8 million, respectively.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during the three months ended March 31,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Additions</w:t>
            </w:r>
          </w:p>
        </w:tc>
        <w:tc>
          <w:tcPr>
            <w:tcW w:w="2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9"/>
              </w:rPr>
              <w:t>Deductions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Balance 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12/31/2021</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3/31/2022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38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b w:val="1"/>
                <w:bCs w:val="1"/>
                <w:color w:val="auto"/>
              </w:rPr>
              <w:t>Contract liabilities:</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194,922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16,121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Company expects that the $178.8 million of deferred revenue related to the following contracts as of March 31, 2022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78" w:lineRule="exact"/>
        <w:rPr>
          <w:sz w:val="20"/>
          <w:szCs w:val="20"/>
          <w:color w:val="auto"/>
        </w:rPr>
      </w:pPr>
    </w:p>
    <w:p>
      <w:pPr>
        <w:ind w:left="1020" w:right="220" w:hanging="504"/>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$14.3 million of deferred revenue related to the CD71 Agreement with AbbVie is expected to be recognized based on actual FTE effort and program progress until 2023.</w:t>
      </w:r>
    </w:p>
    <w:p>
      <w:pPr>
        <w:spacing w:after="0" w:line="63" w:lineRule="exact"/>
        <w:rPr>
          <w:rFonts w:ascii="Arial" w:cs="Arial" w:eastAsia="Arial" w:hAnsi="Arial"/>
          <w:sz w:val="18"/>
          <w:szCs w:val="18"/>
          <w:color w:val="auto"/>
        </w:rPr>
      </w:pPr>
    </w:p>
    <w:p>
      <w:pPr>
        <w:ind w:left="1020" w:right="440" w:hanging="504"/>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$0.1 million of deferred revenue related to the first target under the Discovery Agreement with AbbVie is expected to be recognized ratably until the second quarter of 2022.</w:t>
      </w:r>
    </w:p>
    <w:p>
      <w:pPr>
        <w:spacing w:after="0" w:line="63" w:lineRule="exact"/>
        <w:rPr>
          <w:rFonts w:ascii="Arial" w:cs="Arial" w:eastAsia="Arial" w:hAnsi="Arial"/>
          <w:sz w:val="18"/>
          <w:szCs w:val="18"/>
          <w:color w:val="auto"/>
        </w:rPr>
      </w:pPr>
    </w:p>
    <w:p>
      <w:pPr>
        <w:ind w:left="1020" w:right="240" w:hanging="504"/>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$4.5 million of deferred revenue related to the second target under the Discovery Agreement with AbbVie is expected to be recognized ratably until 2024.</w:t>
      </w:r>
    </w:p>
    <w:p>
      <w:pPr>
        <w:spacing w:after="0" w:line="63" w:lineRule="exact"/>
        <w:rPr>
          <w:rFonts w:ascii="Arial" w:cs="Arial" w:eastAsia="Arial" w:hAnsi="Arial"/>
          <w:sz w:val="18"/>
          <w:szCs w:val="18"/>
          <w:color w:val="auto"/>
        </w:rPr>
      </w:pPr>
    </w:p>
    <w:p>
      <w:pPr>
        <w:ind w:left="1020" w:right="440" w:hanging="504"/>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$19.8 million of deferred revenue related to the Amgen EGFR Products is expected to be recognized based on actual FTE effort and program progress until 2024.</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$1.2 million of deferred revenue related to the Amgen Other Products is expected to be recognized ratably until 2023.</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$47.6 million of deferred revenue related to the Astellas Agreement is expected to be recognized ratably until 2025.</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$91.3 million of deferred revenue related to the BMS Agreement is expected to be recognized ratably until 2025.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98" w:lineRule="exact"/>
        <w:rPr>
          <w:sz w:val="20"/>
          <w:szCs w:val="20"/>
          <w:color w:val="auto"/>
        </w:rPr>
      </w:pPr>
    </w:p>
    <w:p>
      <w:pPr>
        <w:ind w:right="8960" w:firstLine="7"/>
        <w:spacing w:after="0" w:line="405" w:lineRule="auto"/>
        <w:tabs>
          <w:tab w:leader="none" w:pos="17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Stock Options</w:t>
      </w:r>
    </w:p>
    <w:p>
      <w:pPr>
        <w:spacing w:after="0"/>
        <w:rPr>
          <w:rFonts w:ascii="Arial" w:cs="Arial" w:eastAsia="Arial" w:hAnsi="Arial"/>
          <w:sz w:val="16"/>
          <w:szCs w:val="16"/>
          <w:b w:val="1"/>
          <w:bCs w:val="1"/>
          <w:color w:val="auto"/>
        </w:rPr>
      </w:pPr>
      <w:r>
        <w:rPr>
          <w:rFonts w:ascii="Arial" w:cs="Arial" w:eastAsia="Arial" w:hAnsi="Arial"/>
          <w:sz w:val="18"/>
          <w:szCs w:val="18"/>
          <w:color w:val="auto"/>
        </w:rPr>
        <w:t>Activities for the Company’s stock option plans for the three months ended March 31, 2022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5"/>
                <w:szCs w:val="15"/>
                <w:color w:val="auto"/>
              </w:rPr>
            </w:pPr>
          </w:p>
        </w:tc>
        <w:tc>
          <w:tcPr>
            <w:tcW w:w="342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7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9"/>
              <w:spacing w:after="0" w:line="132"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340" w:type="dxa"/>
            <w:vAlign w:val="bottom"/>
          </w:tcPr>
          <w:p>
            <w:pPr>
              <w:jc w:val="center"/>
              <w:ind w:right="159"/>
              <w:spacing w:after="0" w:line="148"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79"/>
              <w:spacing w:after="0" w:line="148" w:lineRule="exact"/>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5"/>
                <w:szCs w:val="15"/>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34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Balance at December 31, 2021</w:t>
            </w:r>
          </w:p>
        </w:tc>
        <w:tc>
          <w:tcPr>
            <w:tcW w:w="158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12,192,216</w:t>
            </w:r>
          </w:p>
        </w:tc>
        <w:tc>
          <w:tcPr>
            <w:tcW w:w="2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31"/>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20" w:type="dxa"/>
            <w:vAlign w:val="bottom"/>
          </w:tcPr>
          <w:p>
            <w:pPr>
              <w:ind w:left="200"/>
              <w:spacing w:after="0" w:line="201" w:lineRule="exact"/>
              <w:rPr>
                <w:sz w:val="20"/>
                <w:szCs w:val="20"/>
                <w:color w:val="auto"/>
              </w:rPr>
            </w:pPr>
            <w:r>
              <w:rPr>
                <w:rFonts w:ascii="Arial" w:cs="Arial" w:eastAsia="Arial" w:hAnsi="Arial"/>
                <w:sz w:val="18"/>
                <w:szCs w:val="18"/>
                <w:color w:val="auto"/>
              </w:rPr>
              <w:t>Options granted</w:t>
            </w:r>
          </w:p>
        </w:tc>
        <w:tc>
          <w:tcPr>
            <w:tcW w:w="1580" w:type="dxa"/>
            <w:vAlign w:val="bottom"/>
          </w:tcPr>
          <w:p>
            <w:pPr>
              <w:jc w:val="right"/>
              <w:spacing w:after="0" w:line="201" w:lineRule="exact"/>
              <w:rPr>
                <w:sz w:val="20"/>
                <w:szCs w:val="20"/>
                <w:color w:val="auto"/>
              </w:rPr>
            </w:pPr>
            <w:r>
              <w:rPr>
                <w:rFonts w:ascii="Arial" w:cs="Arial" w:eastAsia="Arial" w:hAnsi="Arial"/>
                <w:sz w:val="18"/>
                <w:szCs w:val="18"/>
                <w:color w:val="auto"/>
              </w:rPr>
              <w:t>2,556,118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2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Options exercised</w:t>
            </w:r>
          </w:p>
        </w:tc>
        <w:tc>
          <w:tcPr>
            <w:tcW w:w="1860" w:type="dxa"/>
            <w:vAlign w:val="bottom"/>
            <w:gridSpan w:val="2"/>
            <w:shd w:val="clear" w:color="auto" w:fill="CFF0FC"/>
          </w:tcPr>
          <w:p>
            <w:pPr>
              <w:jc w:val="right"/>
              <w:ind w:right="220"/>
              <w:spacing w:after="0" w:line="201" w:lineRule="exact"/>
              <w:rPr>
                <w:sz w:val="20"/>
                <w:szCs w:val="20"/>
                <w:color w:val="auto"/>
              </w:rPr>
            </w:pPr>
            <w:r>
              <w:rPr>
                <w:rFonts w:ascii="Arial" w:cs="Arial" w:eastAsia="Arial" w:hAnsi="Arial"/>
                <w:sz w:val="18"/>
                <w:szCs w:val="18"/>
                <w:color w:val="auto"/>
              </w:rPr>
              <w:t>(5,597 )</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20" w:type="dxa"/>
            <w:vAlign w:val="bottom"/>
          </w:tcPr>
          <w:p>
            <w:pPr>
              <w:ind w:left="200"/>
              <w:spacing w:after="0" w:line="201" w:lineRule="exact"/>
              <w:rPr>
                <w:sz w:val="20"/>
                <w:szCs w:val="20"/>
                <w:color w:val="auto"/>
              </w:rPr>
            </w:pPr>
            <w:r>
              <w:rPr>
                <w:rFonts w:ascii="Arial" w:cs="Arial" w:eastAsia="Arial" w:hAnsi="Arial"/>
                <w:sz w:val="18"/>
                <w:szCs w:val="18"/>
                <w:color w:val="auto"/>
              </w:rPr>
              <w:t>Option forfeited/expired</w:t>
            </w:r>
          </w:p>
        </w:tc>
        <w:tc>
          <w:tcPr>
            <w:tcW w:w="18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(432,428 )</w:t>
            </w:r>
          </w:p>
        </w:tc>
        <w:tc>
          <w:tcPr>
            <w:tcW w:w="22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9.79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 at March 31, 2022</w:t>
            </w:r>
          </w:p>
        </w:tc>
        <w:tc>
          <w:tcPr>
            <w:tcW w:w="1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14,310,309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-24765</wp:posOffset>
            </wp:positionV>
            <wp:extent cx="679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-7620</wp:posOffset>
            </wp:positionV>
            <wp:extent cx="679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6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recorded $2.9 million of stock-based compensation expense related to the stock option plans for both the three months end March 31, 2022 and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RSUs ("TRSU")</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Activities for the Company’s TRSUs for the three months ended March 31, 2022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0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17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7"/>
              </w:rPr>
              <w:t>Weighted Average Grant</w:t>
            </w:r>
          </w:p>
        </w:tc>
        <w:tc>
          <w:tcPr>
            <w:tcW w:w="60" w:type="dxa"/>
            <w:vAlign w:val="bottom"/>
          </w:tcPr>
          <w:p>
            <w:pPr>
              <w:spacing w:after="0"/>
              <w:rPr>
                <w:sz w:val="14"/>
                <w:szCs w:val="14"/>
                <w:color w:val="auto"/>
              </w:rPr>
            </w:pPr>
          </w:p>
        </w:tc>
      </w:tr>
      <w:tr>
        <w:trPr>
          <w:trHeight w:val="184"/>
        </w:trPr>
        <w:tc>
          <w:tcPr>
            <w:tcW w:w="7380" w:type="dxa"/>
            <w:vAlign w:val="bottom"/>
          </w:tcPr>
          <w:p>
            <w:pPr>
              <w:spacing w:after="0"/>
              <w:rPr>
                <w:sz w:val="15"/>
                <w:szCs w:val="15"/>
                <w:color w:val="auto"/>
              </w:rPr>
            </w:pPr>
          </w:p>
        </w:tc>
        <w:tc>
          <w:tcPr>
            <w:tcW w:w="20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Shares</w:t>
            </w: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Date Fair Value Per Share</w:t>
            </w:r>
          </w:p>
        </w:tc>
        <w:tc>
          <w:tcPr>
            <w:tcW w:w="60" w:type="dxa"/>
            <w:vAlign w:val="bottom"/>
          </w:tcPr>
          <w:p>
            <w:pPr>
              <w:spacing w:after="0"/>
              <w:rPr>
                <w:sz w:val="15"/>
                <w:szCs w:val="15"/>
                <w:color w:val="auto"/>
              </w:rPr>
            </w:pPr>
          </w:p>
        </w:tc>
      </w:tr>
      <w:tr>
        <w:trPr>
          <w:trHeight w:val="369"/>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433,250</w:t>
            </w:r>
          </w:p>
        </w:tc>
        <w:tc>
          <w:tcPr>
            <w:tcW w:w="300" w:type="dxa"/>
            <w:vAlign w:val="bottom"/>
          </w:tcPr>
          <w:p>
            <w:pPr>
              <w:spacing w:after="0"/>
              <w:rPr>
                <w:sz w:val="24"/>
                <w:szCs w:val="24"/>
                <w:color w:val="auto"/>
              </w:rPr>
            </w:pPr>
          </w:p>
        </w:tc>
        <w:tc>
          <w:tcPr>
            <w:tcW w:w="760" w:type="dxa"/>
            <w:vAlign w:val="bottom"/>
            <w:tcBorders>
              <w:top w:val="single" w:sz="8" w:color="auto"/>
            </w:tcBorders>
          </w:tcPr>
          <w:p>
            <w:pPr>
              <w:jc w:val="right"/>
              <w:ind w:right="58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24"/>
                <w:szCs w:val="24"/>
                <w:color w:val="auto"/>
              </w:rPr>
            </w:pPr>
          </w:p>
        </w:tc>
      </w:tr>
      <w:tr>
        <w:trPr>
          <w:trHeight w:val="201"/>
        </w:trPr>
        <w:tc>
          <w:tcPr>
            <w:tcW w:w="738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RSU's awarded</w:t>
            </w:r>
          </w:p>
        </w:tc>
        <w:tc>
          <w:tcPr>
            <w:tcW w:w="17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586,210</w:t>
            </w: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4.13</w:t>
            </w:r>
          </w:p>
        </w:tc>
        <w:tc>
          <w:tcPr>
            <w:tcW w:w="60" w:type="dxa"/>
            <w:vAlign w:val="bottom"/>
            <w:shd w:val="clear" w:color="auto" w:fill="CFF0FC"/>
          </w:tcPr>
          <w:p>
            <w:pPr>
              <w:spacing w:after="0"/>
              <w:rPr>
                <w:sz w:val="17"/>
                <w:szCs w:val="17"/>
                <w:color w:val="auto"/>
              </w:rPr>
            </w:pPr>
          </w:p>
        </w:tc>
      </w:tr>
      <w:tr>
        <w:trPr>
          <w:trHeight w:val="201"/>
        </w:trPr>
        <w:tc>
          <w:tcPr>
            <w:tcW w:w="7380" w:type="dxa"/>
            <w:vAlign w:val="bottom"/>
          </w:tcPr>
          <w:p>
            <w:pPr>
              <w:ind w:left="200"/>
              <w:spacing w:after="0" w:line="201" w:lineRule="exact"/>
              <w:rPr>
                <w:sz w:val="20"/>
                <w:szCs w:val="20"/>
                <w:color w:val="auto"/>
              </w:rPr>
            </w:pPr>
            <w:r>
              <w:rPr>
                <w:rFonts w:ascii="Arial" w:cs="Arial" w:eastAsia="Arial" w:hAnsi="Arial"/>
                <w:sz w:val="18"/>
                <w:szCs w:val="18"/>
                <w:color w:val="auto"/>
              </w:rPr>
              <w:t>RSU's vested</w:t>
            </w:r>
          </w:p>
        </w:tc>
        <w:tc>
          <w:tcPr>
            <w:tcW w:w="2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1"/>
        </w:trPr>
        <w:tc>
          <w:tcPr>
            <w:tcW w:w="738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RSU's cancelled</w:t>
            </w:r>
          </w:p>
        </w:tc>
        <w:tc>
          <w:tcPr>
            <w:tcW w:w="2060" w:type="dxa"/>
            <w:vAlign w:val="bottom"/>
            <w:gridSpan w:val="2"/>
            <w:shd w:val="clear" w:color="auto" w:fill="CFF0FC"/>
          </w:tcPr>
          <w:p>
            <w:pPr>
              <w:jc w:val="right"/>
              <w:ind w:right="220"/>
              <w:spacing w:after="0" w:line="201" w:lineRule="exact"/>
              <w:rPr>
                <w:sz w:val="20"/>
                <w:szCs w:val="20"/>
                <w:color w:val="auto"/>
              </w:rPr>
            </w:pPr>
            <w:r>
              <w:rPr>
                <w:rFonts w:ascii="Arial" w:cs="Arial" w:eastAsia="Arial" w:hAnsi="Arial"/>
                <w:sz w:val="18"/>
                <w:szCs w:val="18"/>
                <w:color w:val="auto"/>
              </w:rPr>
              <w:t>(36,999 )</w:t>
            </w:r>
          </w:p>
        </w:tc>
        <w:tc>
          <w:tcPr>
            <w:tcW w:w="7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5.10</w:t>
            </w:r>
          </w:p>
        </w:tc>
        <w:tc>
          <w:tcPr>
            <w:tcW w:w="60" w:type="dxa"/>
            <w:vAlign w:val="bottom"/>
            <w:shd w:val="clear" w:color="auto" w:fill="CFF0FC"/>
          </w:tcPr>
          <w:p>
            <w:pPr>
              <w:spacing w:after="0"/>
              <w:rPr>
                <w:sz w:val="17"/>
                <w:szCs w:val="17"/>
                <w:color w:val="auto"/>
              </w:rPr>
            </w:pPr>
          </w:p>
        </w:tc>
      </w:tr>
      <w:tr>
        <w:trPr>
          <w:trHeight w:val="195"/>
        </w:trPr>
        <w:tc>
          <w:tcPr>
            <w:tcW w:w="73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Balance at March 31, 2022</w:t>
            </w:r>
          </w:p>
        </w:tc>
        <w:tc>
          <w:tcPr>
            <w:tcW w:w="1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982,461</w:t>
            </w:r>
          </w:p>
        </w:tc>
        <w:tc>
          <w:tcPr>
            <w:tcW w:w="30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jc w:val="right"/>
              <w:ind w:right="58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4.63</w:t>
            </w:r>
          </w:p>
        </w:tc>
        <w:tc>
          <w:tcPr>
            <w:tcW w:w="60" w:type="dxa"/>
            <w:vAlign w:val="bottom"/>
            <w:tcBorders>
              <w:top w:val="single" w:sz="8" w:color="CFF0FC"/>
            </w:tcBorders>
          </w:tcPr>
          <w:p>
            <w:pPr>
              <w:spacing w:after="0"/>
              <w:rPr>
                <w:sz w:val="16"/>
                <w:szCs w:val="16"/>
                <w:color w:val="auto"/>
              </w:rPr>
            </w:pPr>
          </w:p>
        </w:tc>
      </w:tr>
      <w:tr>
        <w:trPr>
          <w:trHeight w:val="20"/>
        </w:trPr>
        <w:tc>
          <w:tcPr>
            <w:tcW w:w="73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-158115</wp:posOffset>
            </wp:positionV>
            <wp:extent cx="596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recorded $0.3 million and $0 of stock-based compensation expense related to the TRSUs for the three months end March 31, 2022 and 2021,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RSUs ("PSUs")</w:t>
      </w:r>
    </w:p>
    <w:p>
      <w:pPr>
        <w:spacing w:after="0" w:line="1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 October 2021, the Company granted 435,000 PSUs as recognition awards to executive employees with an aggregated grant date fair value of $2.3 million. 50% of the PSUs granted will vest within one year of the grant date upon achievement of certain specific milestones and the remaining 50% will vest within two years of the grant date upon achievement of additional company objectives.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Activities for the Company’s PSUs for the three months ended March 31, 2022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0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17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7"/>
              </w:rPr>
              <w:t>Weighted Average Grant</w:t>
            </w:r>
          </w:p>
        </w:tc>
        <w:tc>
          <w:tcPr>
            <w:tcW w:w="60" w:type="dxa"/>
            <w:vAlign w:val="bottom"/>
          </w:tcPr>
          <w:p>
            <w:pPr>
              <w:spacing w:after="0"/>
              <w:rPr>
                <w:sz w:val="14"/>
                <w:szCs w:val="14"/>
                <w:color w:val="auto"/>
              </w:rPr>
            </w:pPr>
          </w:p>
        </w:tc>
      </w:tr>
      <w:tr>
        <w:trPr>
          <w:trHeight w:val="184"/>
        </w:trPr>
        <w:tc>
          <w:tcPr>
            <w:tcW w:w="7380" w:type="dxa"/>
            <w:vAlign w:val="bottom"/>
          </w:tcPr>
          <w:p>
            <w:pPr>
              <w:spacing w:after="0"/>
              <w:rPr>
                <w:sz w:val="15"/>
                <w:szCs w:val="15"/>
                <w:color w:val="auto"/>
              </w:rPr>
            </w:pP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Date Fair Value Per Share</w:t>
            </w:r>
          </w:p>
        </w:tc>
        <w:tc>
          <w:tcPr>
            <w:tcW w:w="60" w:type="dxa"/>
            <w:vAlign w:val="bottom"/>
          </w:tcPr>
          <w:p>
            <w:pPr>
              <w:spacing w:after="0"/>
              <w:rPr>
                <w:sz w:val="15"/>
                <w:szCs w:val="15"/>
                <w:color w:val="auto"/>
              </w:rPr>
            </w:pPr>
          </w:p>
        </w:tc>
      </w:tr>
      <w:tr>
        <w:trPr>
          <w:trHeight w:val="369"/>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435,000</w:t>
            </w:r>
          </w:p>
        </w:tc>
        <w:tc>
          <w:tcPr>
            <w:tcW w:w="280" w:type="dxa"/>
            <w:vAlign w:val="bottom"/>
          </w:tcPr>
          <w:p>
            <w:pPr>
              <w:spacing w:after="0"/>
              <w:rPr>
                <w:sz w:val="24"/>
                <w:szCs w:val="24"/>
                <w:color w:val="auto"/>
              </w:rPr>
            </w:pPr>
          </w:p>
        </w:tc>
        <w:tc>
          <w:tcPr>
            <w:tcW w:w="760" w:type="dxa"/>
            <w:vAlign w:val="bottom"/>
            <w:tcBorders>
              <w:top w:val="single" w:sz="8" w:color="auto"/>
            </w:tcBorders>
          </w:tcPr>
          <w:p>
            <w:pPr>
              <w:jc w:val="right"/>
              <w:ind w:right="58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24"/>
                <w:szCs w:val="24"/>
                <w:color w:val="auto"/>
              </w:rPr>
            </w:pPr>
          </w:p>
        </w:tc>
      </w:tr>
      <w:tr>
        <w:trPr>
          <w:trHeight w:val="201"/>
        </w:trPr>
        <w:tc>
          <w:tcPr>
            <w:tcW w:w="738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PSU's awarded</w:t>
            </w:r>
          </w:p>
        </w:tc>
        <w:tc>
          <w:tcPr>
            <w:tcW w:w="2060" w:type="dxa"/>
            <w:vAlign w:val="bottom"/>
            <w:gridSpan w:val="2"/>
            <w:shd w:val="clear" w:color="auto" w:fill="CFF0FC"/>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1"/>
        </w:trPr>
        <w:tc>
          <w:tcPr>
            <w:tcW w:w="7380" w:type="dxa"/>
            <w:vAlign w:val="bottom"/>
          </w:tcPr>
          <w:p>
            <w:pPr>
              <w:ind w:left="200"/>
              <w:spacing w:after="0" w:line="201" w:lineRule="exact"/>
              <w:rPr>
                <w:sz w:val="20"/>
                <w:szCs w:val="20"/>
                <w:color w:val="auto"/>
              </w:rPr>
            </w:pPr>
            <w:r>
              <w:rPr>
                <w:rFonts w:ascii="Arial" w:cs="Arial" w:eastAsia="Arial" w:hAnsi="Arial"/>
                <w:sz w:val="18"/>
                <w:szCs w:val="18"/>
                <w:color w:val="auto"/>
              </w:rPr>
              <w:t>PSU's vested</w:t>
            </w:r>
          </w:p>
        </w:tc>
        <w:tc>
          <w:tcPr>
            <w:tcW w:w="2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1"/>
        </w:trPr>
        <w:tc>
          <w:tcPr>
            <w:tcW w:w="738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PSU's cancelled</w:t>
            </w:r>
          </w:p>
        </w:tc>
        <w:tc>
          <w:tcPr>
            <w:tcW w:w="2060" w:type="dxa"/>
            <w:vAlign w:val="bottom"/>
            <w:gridSpan w:val="2"/>
            <w:shd w:val="clear" w:color="auto" w:fill="CFF0FC"/>
          </w:tcPr>
          <w:p>
            <w:pPr>
              <w:jc w:val="right"/>
              <w:ind w:right="200"/>
              <w:spacing w:after="0" w:line="201" w:lineRule="exact"/>
              <w:rPr>
                <w:sz w:val="20"/>
                <w:szCs w:val="20"/>
                <w:color w:val="auto"/>
              </w:rPr>
            </w:pPr>
            <w:r>
              <w:rPr>
                <w:rFonts w:ascii="Arial" w:cs="Arial" w:eastAsia="Arial" w:hAnsi="Arial"/>
                <w:sz w:val="18"/>
                <w:szCs w:val="18"/>
                <w:color w:val="auto"/>
              </w:rPr>
              <w:t>(15,000 )</w:t>
            </w:r>
          </w:p>
        </w:tc>
        <w:tc>
          <w:tcPr>
            <w:tcW w:w="7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5.34</w:t>
            </w:r>
          </w:p>
        </w:tc>
        <w:tc>
          <w:tcPr>
            <w:tcW w:w="60" w:type="dxa"/>
            <w:vAlign w:val="bottom"/>
            <w:shd w:val="clear" w:color="auto" w:fill="CFF0FC"/>
          </w:tcPr>
          <w:p>
            <w:pPr>
              <w:spacing w:after="0"/>
              <w:rPr>
                <w:sz w:val="17"/>
                <w:szCs w:val="17"/>
                <w:color w:val="auto"/>
              </w:rPr>
            </w:pPr>
          </w:p>
        </w:tc>
      </w:tr>
      <w:tr>
        <w:trPr>
          <w:trHeight w:val="195"/>
        </w:trPr>
        <w:tc>
          <w:tcPr>
            <w:tcW w:w="73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Balance at March 31, 2022</w:t>
            </w:r>
          </w:p>
        </w:tc>
        <w:tc>
          <w:tcPr>
            <w:tcW w:w="1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420,000</w:t>
            </w:r>
          </w:p>
        </w:tc>
        <w:tc>
          <w:tcPr>
            <w:tcW w:w="28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jc w:val="right"/>
              <w:ind w:right="58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5.34</w:t>
            </w:r>
          </w:p>
        </w:tc>
        <w:tc>
          <w:tcPr>
            <w:tcW w:w="60" w:type="dxa"/>
            <w:vAlign w:val="bottom"/>
            <w:tcBorders>
              <w:top w:val="single" w:sz="8" w:color="CFF0FC"/>
            </w:tcBorders>
          </w:tcPr>
          <w:p>
            <w:pPr>
              <w:spacing w:after="0"/>
              <w:rPr>
                <w:sz w:val="16"/>
                <w:szCs w:val="16"/>
                <w:color w:val="auto"/>
              </w:rPr>
            </w:pPr>
          </w:p>
        </w:tc>
      </w:tr>
      <w:tr>
        <w:trPr>
          <w:trHeight w:val="20"/>
        </w:trPr>
        <w:tc>
          <w:tcPr>
            <w:tcW w:w="73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5816600</wp:posOffset>
            </wp:positionH>
            <wp:positionV relativeFrom="paragraph">
              <wp:posOffset>-158115</wp:posOffset>
            </wp:positionV>
            <wp:extent cx="5969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2022, the Company determined that it is not probable that the performance conditions will be satisfied and hence recorded no compensation cost for these awards as of and for the three months ended March 31,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recorded related to options, time-based RSUs and the ESPP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73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7320" w:type="dxa"/>
            <w:vAlign w:val="bottom"/>
          </w:tcPr>
          <w:p>
            <w:pPr>
              <w:spacing w:after="0"/>
              <w:rPr>
                <w:sz w:val="14"/>
                <w:szCs w:val="14"/>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8"/>
        </w:trPr>
        <w:tc>
          <w:tcPr>
            <w:tcW w:w="7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jc w:val="right"/>
              <w:ind w:right="20"/>
              <w:spacing w:after="0"/>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6"/>
              </w:rPr>
              <w:t>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1"/>
        </w:trPr>
        <w:tc>
          <w:tcPr>
            <w:tcW w:w="732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1"/>
        </w:trPr>
        <w:tc>
          <w:tcPr>
            <w:tcW w:w="7320" w:type="dxa"/>
            <w:vAlign w:val="bottom"/>
          </w:tcPr>
          <w:p>
            <w:pPr>
              <w:ind w:left="200"/>
              <w:spacing w:after="0" w:line="201" w:lineRule="exact"/>
              <w:rPr>
                <w:sz w:val="20"/>
                <w:szCs w:val="20"/>
                <w:color w:val="auto"/>
              </w:rPr>
            </w:pPr>
            <w:r>
              <w:rPr>
                <w:rFonts w:ascii="Arial" w:cs="Arial" w:eastAsia="Arial" w:hAnsi="Arial"/>
                <w:sz w:val="18"/>
                <w:szCs w:val="18"/>
                <w:color w:val="auto"/>
              </w:rPr>
              <w:t>Research and development</w:t>
            </w:r>
          </w:p>
        </w:tc>
        <w:tc>
          <w:tcPr>
            <w:tcW w:w="1140" w:type="dxa"/>
            <w:vAlign w:val="bottom"/>
          </w:tcPr>
          <w:p>
            <w:pPr>
              <w:jc w:val="right"/>
              <w:ind w:right="957"/>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1,605</w:t>
            </w:r>
          </w:p>
        </w:tc>
        <w:tc>
          <w:tcPr>
            <w:tcW w:w="92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1,337</w:t>
            </w:r>
          </w:p>
        </w:tc>
        <w:tc>
          <w:tcPr>
            <w:tcW w:w="100" w:type="dxa"/>
            <w:vAlign w:val="bottom"/>
          </w:tcPr>
          <w:p>
            <w:pPr>
              <w:spacing w:after="0"/>
              <w:rPr>
                <w:sz w:val="17"/>
                <w:szCs w:val="17"/>
                <w:color w:val="auto"/>
              </w:rPr>
            </w:pPr>
          </w:p>
        </w:tc>
      </w:tr>
      <w:tr>
        <w:trPr>
          <w:trHeight w:val="201"/>
        </w:trPr>
        <w:tc>
          <w:tcPr>
            <w:tcW w:w="7320" w:type="dxa"/>
            <w:vAlign w:val="bottom"/>
            <w:tcBorders>
              <w:bottom w:val="single" w:sz="8" w:color="CFF0FC"/>
            </w:tcBorders>
            <w:shd w:val="clear" w:color="auto" w:fill="CFF0FC"/>
          </w:tcPr>
          <w:p>
            <w:pPr>
              <w:ind w:left="200"/>
              <w:spacing w:after="0" w:line="201" w:lineRule="exact"/>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1,765</w:t>
            </w:r>
          </w:p>
        </w:tc>
        <w:tc>
          <w:tcPr>
            <w:tcW w:w="2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1,697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7320" w:type="dxa"/>
            <w:vAlign w:val="bottom"/>
          </w:tcPr>
          <w:p>
            <w:pPr>
              <w:ind w:left="380"/>
              <w:spacing w:after="0" w:line="195" w:lineRule="exact"/>
              <w:rPr>
                <w:sz w:val="20"/>
                <w:szCs w:val="20"/>
                <w:color w:val="auto"/>
              </w:rPr>
            </w:pPr>
            <w:r>
              <w:rPr>
                <w:rFonts w:ascii="Arial" w:cs="Arial" w:eastAsia="Arial" w:hAnsi="Arial"/>
                <w:sz w:val="18"/>
                <w:szCs w:val="18"/>
                <w:color w:val="auto"/>
              </w:rPr>
              <w:t>Total stock-based compensation expense</w:t>
            </w:r>
          </w:p>
        </w:tc>
        <w:tc>
          <w:tcPr>
            <w:tcW w:w="1140" w:type="dxa"/>
            <w:vAlign w:val="bottom"/>
          </w:tcPr>
          <w:p>
            <w:pPr>
              <w:jc w:val="right"/>
              <w:ind w:right="957"/>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3,370</w:t>
            </w:r>
          </w:p>
        </w:tc>
        <w:tc>
          <w:tcPr>
            <w:tcW w:w="920" w:type="dxa"/>
            <w:vAlign w:val="bottom"/>
            <w:gridSpan w:val="2"/>
          </w:tcPr>
          <w:p>
            <w:pPr>
              <w:jc w:val="right"/>
              <w:ind w:right="540"/>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3,034</w:t>
            </w:r>
          </w:p>
        </w:tc>
        <w:tc>
          <w:tcPr>
            <w:tcW w:w="100" w:type="dxa"/>
            <w:vAlign w:val="bottom"/>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-158115</wp:posOffset>
            </wp:positionV>
            <wp:extent cx="6794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945"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-158115</wp:posOffset>
            </wp:positionV>
            <wp:extent cx="6794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945" cy="571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filed an Answer, Affirmative Defenses, and Counterclaims on May 26, 2020. Vytacera Bio, LLC filed its Answer to CytomX Therapeutics Inc.’s Counterclaims on June 5, 2020. On October 13, 2021, the Court granted the parties’ stipulation to stay all pending case deadlines except for certain matters. All case deadlines are stayed until the Court resolves the parties’ claim construction disputes. The Company believes that the lawsuit is without merit and intends to vigorously defend itself, and has not recorded any amount for claims associated with this lawsuit as of March 31,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1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Company maintains a full valuation allowance against its net deferred tax assets due to the Company’s history of losses as of March 31, 2022 and December 31, 2021</w:t>
      </w:r>
      <w:r>
        <w:rPr>
          <w:rFonts w:ascii="Arial" w:cs="Arial" w:eastAsia="Arial" w:hAnsi="Arial"/>
          <w:sz w:val="18"/>
          <w:szCs w:val="18"/>
          <w:i w:val="1"/>
          <w:iCs w:val="1"/>
          <w:color w:val="auto"/>
        </w:rPr>
        <w:t>.</w:t>
      </w:r>
    </w:p>
    <w:p>
      <w:pPr>
        <w:spacing w:after="0" w:line="157"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The Company files income taxes in the U.S. federal jurisdiction, the state of California and various other U.S. states. The Company is currently under examination by the state of California for the years 2017 and 2018. The examination contests the Company’s tax position on revenue apportionment for upfront and milestone payments resulting from the Company’s collaboration and licensing agreements. As of the date of this filing, the state of California has not proposed adjustments to the tax returns. Due to the ongoing nature of the examination and discussions with the state of California, the Company is unable to estimate a date by which this matter will be resolved or reasonably estimate the potential impact should the tax position be revised. Based on the Company's current expectations and understanding of the reasonably possible outcomes, the Company does not anticipate that the resolution of this matter would result in a material impact on its financial position or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2021, included in our Annual Report on Form 10-K as filed with the U.S. Securities and Exchange Commission (“SEC”) on March 1, 2022.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are a clinical-stage, oncology-focused biopharmaceutical company dedicated to destroying cancer differently. We aim to build a commercial enterprise to maximize our impact on the treatment of cancer. By pioneering a novel class of conditionally activated biologic candidates, powered by our Probody® therapeutic technology platform, we lead the field of conditionally activated oncology therapeutics and have established conditional activation as a strategic area of biologics research and development. Our goal is to transcend the limits of current cancer treatments by successfully leveraging therapeutic targets and strategies that were once thought to be inaccessible.</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proprietary, unique and versatile Probody technology platform is designed to enable conditional activation of biologic therapeutic candidates within the tumor microenvironment, while minimizing drug activity in healthy tissues and circulation. Our industry-leading platform is built on a strong foundation of tumor biology expertise, including deep knowledge of tumor-associated enzymes known as proteases. Proteases are tightly controlled in normal tissues but often poorly 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 We believe this innovative approach has the potential to improve cancer treatment in three ways:</w:t>
      </w:r>
    </w:p>
    <w:p>
      <w:pPr>
        <w:spacing w:after="0" w:line="69" w:lineRule="exact"/>
        <w:rPr>
          <w:sz w:val="20"/>
          <w:szCs w:val="20"/>
          <w:color w:val="auto"/>
        </w:rPr>
      </w:pPr>
    </w:p>
    <w:p>
      <w:pPr>
        <w:ind w:left="1020" w:right="260" w:hanging="504"/>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Allowing the pursuit of high potential targets that were previously considered “undruggable” due to their ubiquitous expression on healthy tissues;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Enhancing an experimental treatment’s “therapeutic window,” the balance between tolerability and anti-tumor activity; and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Enabling the development of new combination therapies, including immunotherapies, by improving tolerability.</w:t>
      </w:r>
    </w:p>
    <w:p>
      <w:pPr>
        <w:spacing w:after="0" w:line="196" w:lineRule="exact"/>
        <w:rPr>
          <w:sz w:val="20"/>
          <w:szCs w:val="20"/>
          <w:color w:val="auto"/>
        </w:rPr>
      </w:pPr>
    </w:p>
    <w:p>
      <w:pPr>
        <w:jc w:val="both"/>
        <w:ind w:right="300"/>
        <w:spacing w:after="0" w:line="292" w:lineRule="auto"/>
        <w:rPr>
          <w:sz w:val="20"/>
          <w:szCs w:val="20"/>
          <w:color w:val="auto"/>
        </w:rPr>
      </w:pPr>
      <w:r>
        <w:rPr>
          <w:rFonts w:ascii="Arial" w:cs="Arial" w:eastAsia="Arial" w:hAnsi="Arial"/>
          <w:sz w:val="16"/>
          <w:szCs w:val="16"/>
          <w:color w:val="auto"/>
        </w:rPr>
        <w:t>We are employing our conditional activation platform technology to address some of the biggest challenges in cancer therapy development today. These include the validation of potential new targets for antibody-drug conjugates (“ADCs”), opening solid tumor opportunities for T-cell engaging bispecific antibodies (“TCBs”), and increasing the therapeutic window for immune modulators such as cytokines and checkpoint inhibitors (“CPIs”).</w:t>
      </w:r>
    </w:p>
    <w:p>
      <w:pPr>
        <w:spacing w:after="0" w:line="13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Our robust portfolio of differentiated, experimental treatments includes the wholly-owned, praluzatamab ravtansine (CX-2009) and the AbbVie-partnered CX-2029, two conditionally activated ADCs directed toward the previously undruggable targets CD166 and CD71, respectively. These cancer targets were considered inaccessible to conventional ADCs due to their ubiquitous expression in many healthy tissues, but we believe they are potentially addressable with our Probody technology. Having demonstrated favorable tolerability and encouraging anti-tumor activity in separate dose-escalation Phase 1 studies, praluzatamab ravtansine and CX-2029 are currently in Phase 2 clinical studies.</w:t>
      </w:r>
    </w:p>
    <w:p>
      <w:pPr>
        <w:spacing w:after="0" w:line="16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Praluzatamab ravtansine is currently being evaluated in a three-arm study in patients with advanced human epidermal growth factor receptor 2 (“HER2”)-non-amplified breast cancer. Arms A and B are examining praluzatamab ravtansine monotherapy in patients with hormone receptor-positive (“HR+”)/HER2-non-amplified breast cancer and triple-negative breast cancer (“TNBC”), respectively. Arm C is studying praluzatamab ravtansine in combination with pacmilimab (CX-072), our wholly-owned PD-L1 inhibitor, in patients with TNBC. We expect to enroll approximately 40 efficacy-evaluable patients in each arm of the study. Patient enrollment has been completed in Arm A while Arms B and C of the study are ongoing. Initial data for Arms A and B are expected in the second half of 2022.</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For CX-2029, our CD71-directed ADC is being evaluated as monotherapy in a four-cohort Phase 2 expansion study designed to enroll twenty-five efficacy evaluable patients per cohort in the following malignancies: squamous non-small cell lung cancer (“sqNSCLC”), head and neck squamous cell carcinoma (“HNSCC”), esophageal and gastro-esophageal junction cancers, and diffuse large B-cell lymphoma. Preliminary data from the sqNSCLC and HNSCC cohorts were disclosed in December 2021 and showed encouraging activity in patients with sqNSCLC. Patient enrollment has been completed in the squamous non-small cell lung cancer cohort. The study remains open for enrollment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22" w:right="379" w:bottom="1440" w:gutter="0" w:footer="0" w:header="0"/>
        </w:sectPr>
      </w:pPr>
    </w:p>
    <w:bookmarkStart w:id="18" w:name="page19"/>
    <w:bookmarkEnd w:id="18"/>
    <w:p>
      <w:pPr>
        <w:ind w:right="180"/>
        <w:spacing w:after="0" w:line="259" w:lineRule="auto"/>
        <w:rPr>
          <w:sz w:val="20"/>
          <w:szCs w:val="20"/>
          <w:color w:val="auto"/>
        </w:rPr>
      </w:pPr>
      <w:r>
        <w:rPr>
          <w:rFonts w:ascii="Arial" w:cs="Arial" w:eastAsia="Arial" w:hAnsi="Arial"/>
          <w:sz w:val="18"/>
          <w:szCs w:val="18"/>
          <w:color w:val="auto"/>
        </w:rPr>
        <w:t>in the esophageal and gastro-esophageal junction cancers cohort, and the diffuse large B-cell lymphoma cohort. Data updates for the squamous non-small cell lung cancer cohort are expected in the second half of 2022.</w:t>
      </w:r>
    </w:p>
    <w:p>
      <w:pPr>
        <w:spacing w:after="0" w:line="15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strong clinical pipeline also includes cancer immunotherapeutic candidates against validated targets such as CTLA-4. Our partner, Bristol Myers Squibb, is conducting a randomized Phase 2 study evaluating BMS-986249, a Probody version of the CTLA-4-targeting antibody, ipilimumab, in combination with the anti-PD-1 antibody, nivolumab,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clinical study.</w:t>
      </w:r>
    </w:p>
    <w:p>
      <w:pPr>
        <w:spacing w:after="0" w:line="17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Underscoring our commitment to destroying cancer differently, we have recently introduced a third treatment modality into the clinic from our Probody platform, reinforcing our leadership in the field of conditional activation of biologic therapeutics. As part of our partnership with Amgen, we are advancing CX-904, a conditionally activated TCB candidate against the epidermal growth factor receptor (“EGFR”) on tumor cells and CD3 on T cells. Our investigational new drug application (“IND”) for CX-904 was allowed to proceed by the FDA in January 2022 and we initiated the Phase 1 study start-up activities to evaluate CX-904 as a treatment for patients with advanced solid tumors.</w:t>
      </w:r>
    </w:p>
    <w:p>
      <w:pPr>
        <w:spacing w:after="0" w:line="137" w:lineRule="exact"/>
        <w:rPr>
          <w:sz w:val="20"/>
          <w:szCs w:val="20"/>
          <w:color w:val="auto"/>
        </w:rPr>
      </w:pPr>
    </w:p>
    <w:p>
      <w:pPr>
        <w:jc w:val="both"/>
        <w:ind w:right="300"/>
        <w:spacing w:after="0" w:line="242" w:lineRule="auto"/>
        <w:rPr>
          <w:sz w:val="20"/>
          <w:szCs w:val="20"/>
          <w:color w:val="auto"/>
        </w:rPr>
      </w:pPr>
      <w:r>
        <w:rPr>
          <w:rFonts w:ascii="Arial" w:cs="Arial" w:eastAsia="Arial" w:hAnsi="Arial"/>
          <w:sz w:val="18"/>
          <w:szCs w:val="18"/>
          <w:color w:val="auto"/>
        </w:rPr>
        <w:t>In preclinical studies, we are advancing a conditionally activated cytokine program that includes a locally activatable form of interferon-alpha-2b, and a conditionally activated ADC program directed toward the epithelial cell adhesion molecule (“EpCAM”), a widely expressed tumor antigen. We are also continuously engaged in drug discovery efforts towards the generation of new clinical candidates across multiple modalities for the treatment of cancer, including additional TCBs, reflecting the versatility of our Probody platform.</w:t>
      </w:r>
    </w:p>
    <w:p>
      <w:pPr>
        <w:spacing w:after="0" w:line="17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do not have any products approved for sale, and we continue to incur significant research and development and general administrative expenses related to our operations. We are not profitable and have incurred losses in each year since our founding in 2008. Our net loss was $23.9 million for the three months ended March 31, 2022. As of March 31, 2022 and December 31, 2021, we had an accumulated deficit of $557.6 million and $533.7 million, respectively. We expect to continue to incur significant losses for the foreseeable future.</w:t>
      </w:r>
    </w:p>
    <w:p>
      <w:pPr>
        <w:spacing w:after="0" w:line="17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including praluzatamab ravtansine, CX-2029, pacmilimab, and CX-904 as well as any additional product candidates for which we initiate clinical studies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6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December 2019, a strain of novel coronavirus-caused disease (now commonly known as COVID-19) was reported to have surfaced in Wuhan, China and in March 2020 the World Health Organization declared the outbreak a pandemic. There continues to be uncertainty as to the extent and duration of the COVID-19 pandemic including the emergence and impact of new variants.</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COVID-19 pandemic continues to impact our ongoing operations, including clinical trials. Any preventative or protective actions that we, our collaboration partners or others have taken, or may take, in respect of the virus may result in further disruption for our clinical trials, including clinical trials for praluzatamab ravtansine, CX-2029 and CX-904,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continues to impact our results will depend on future developments, which are highly uncertain and cannot be predicted, including new information which may emerge concerning the severity of COVID-19 and the actions necessary to contain the virus or treat its impact, among others. Currently, it is not possible to predict how long the pandemic will last or the extent or degree of its ongoing impact on economic activity, and our business. We do not know the full extent of any impact or delay on our business or our operations, including clinical trial activity, however, we will continue to monitor the COVID-19 situation closely and operate in accordance with all relevant health and safety guidelines as they evolve in response to changing public health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6"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26" w:right="399" w:bottom="1440" w:gutter="0" w:footer="0" w:header="0"/>
        </w:sectPr>
      </w:pPr>
    </w:p>
    <w:bookmarkStart w:id="19" w:name="page20"/>
    <w:bookmarkEnd w:id="19"/>
    <w:p>
      <w:pPr>
        <w:ind w:right="80"/>
        <w:spacing w:after="0" w:line="238" w:lineRule="auto"/>
        <w:rPr>
          <w:sz w:val="20"/>
          <w:szCs w:val="20"/>
          <w:color w:val="auto"/>
        </w:rPr>
      </w:pPr>
      <w:r>
        <w:rPr>
          <w:rFonts w:ascii="Arial" w:cs="Arial" w:eastAsia="Arial" w:hAnsi="Arial"/>
          <w:sz w:val="18"/>
          <w:szCs w:val="18"/>
          <w:color w:val="auto"/>
        </w:rPr>
        <w:t>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2021. Except as noted below, there have been no material changes to our critical accounting policies and estimates during the three months ended March 31,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w:t>
      </w:r>
    </w:p>
    <w:p>
      <w:pPr>
        <w:spacing w:after="0" w:line="169"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file income taxes in the U.S. federal jurisdiction, the state of California and various other U.S. states. We are currently under examination by the state of California for the years 2017 and 2018. The examination contests our tax position on revenue apportionment for upfront and milestone payments resulting from our collaboration and licensing agreements. As of the date of this filing, the state of California has not proposed adjustments to the tax returns. Due to the ongoing nature of the examination and discussions with the state of California, we are unable to estimate a date by which this matter will be resolved or reasonably estimate the potential impact should the tax position be revised. Based on our current expectations and understanding of the reasonably possible outcomes, we do not anticipate that the resolution of this matter would result in a material impact on our financial position or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2"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12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AbbVie, one of our collaboration partners, entered into a license agreement with Seagen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6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our Phase 2 clinical trials for praluzatamab ravtansine (CX-2009) and CX-2029, potential future clinical trials for CX-2029 and for praluzatamab ravtansine in combination with pacmilimab (CX-072) and our Phase 1 clinical trial for CX-904 which is in the process of being initiated.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20" w:name="page21"/>
    <w:bookmarkEnd w:id="20"/>
    <w:p>
      <w:pPr>
        <w:ind w:right="80"/>
        <w:spacing w:after="0" w:line="443" w:lineRule="auto"/>
        <w:rPr>
          <w:sz w:val="20"/>
          <w:szCs w:val="20"/>
          <w:color w:val="auto"/>
        </w:rPr>
      </w:pPr>
      <w:r>
        <w:rPr>
          <w:rFonts w:ascii="Arial" w:cs="Arial" w:eastAsia="Arial" w:hAnsi="Arial"/>
          <w:sz w:val="18"/>
          <w:szCs w:val="18"/>
          <w:color w:val="auto"/>
        </w:rPr>
        <w:t xml:space="preserve">our research and development projects or when and to what extent we will generate revenue from the commercialization and sale of our product candidates. </w:t>
      </w:r>
      <w:r>
        <w:rPr>
          <w:rFonts w:ascii="Arial" w:cs="Arial" w:eastAsia="Arial" w:hAnsi="Arial"/>
          <w:sz w:val="18"/>
          <w:szCs w:val="18"/>
          <w:b w:val="1"/>
          <w:bCs w:val="1"/>
          <w:i w:val="1"/>
          <w:iCs w:val="1"/>
          <w:color w:val="auto"/>
        </w:rPr>
        <w:t>General and Administrative Expenses</w:t>
      </w:r>
    </w:p>
    <w:p>
      <w:pPr>
        <w:spacing w:after="0" w:line="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income primarily consists of interest income from our cash equivalents and investments, and accretion of discounts or amortization of premiums on our 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gains and losses resulting from changes to currency exchange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gridSpan w:val="3"/>
          </w:tcPr>
          <w:p>
            <w:pPr>
              <w:jc w:val="center"/>
              <w:ind w:left="4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4"/>
        </w:trPr>
        <w:tc>
          <w:tcPr>
            <w:tcW w:w="66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66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r>
      <w:tr>
        <w:trPr>
          <w:trHeight w:val="168"/>
        </w:trPr>
        <w:tc>
          <w:tcPr>
            <w:tcW w:w="6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1"/>
        </w:trPr>
        <w:tc>
          <w:tcPr>
            <w:tcW w:w="660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AbbVie</w:t>
            </w:r>
          </w:p>
        </w:tc>
        <w:tc>
          <w:tcPr>
            <w:tcW w:w="860" w:type="dxa"/>
            <w:vAlign w:val="bottom"/>
            <w:shd w:val="clear" w:color="auto" w:fill="CFF0FC"/>
          </w:tcPr>
          <w:p>
            <w:pPr>
              <w:jc w:val="right"/>
              <w:ind w:right="677"/>
              <w:spacing w:after="0" w:line="201"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2,427</w:t>
            </w:r>
          </w:p>
        </w:tc>
        <w:tc>
          <w:tcPr>
            <w:tcW w:w="38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1,228</w:t>
            </w:r>
          </w:p>
        </w:tc>
        <w:tc>
          <w:tcPr>
            <w:tcW w:w="460" w:type="dxa"/>
            <w:vAlign w:val="bottom"/>
            <w:gridSpan w:val="2"/>
            <w:shd w:val="clear" w:color="auto" w:fill="CFF0FC"/>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1,199</w:t>
            </w:r>
          </w:p>
        </w:tc>
        <w:tc>
          <w:tcPr>
            <w:tcW w:w="80" w:type="dxa"/>
            <w:vAlign w:val="bottom"/>
            <w:shd w:val="clear" w:color="auto" w:fill="CFF0FC"/>
          </w:tcPr>
          <w:p>
            <w:pPr>
              <w:spacing w:after="0"/>
              <w:rPr>
                <w:sz w:val="17"/>
                <w:szCs w:val="17"/>
                <w:color w:val="auto"/>
              </w:rPr>
            </w:pPr>
          </w:p>
        </w:tc>
      </w:tr>
      <w:tr>
        <w:trPr>
          <w:trHeight w:val="201"/>
        </w:trPr>
        <w:tc>
          <w:tcPr>
            <w:tcW w:w="6600" w:type="dxa"/>
            <w:vAlign w:val="bottom"/>
          </w:tcPr>
          <w:p>
            <w:pPr>
              <w:ind w:left="200"/>
              <w:spacing w:after="0" w:line="201" w:lineRule="exact"/>
              <w:rPr>
                <w:sz w:val="20"/>
                <w:szCs w:val="20"/>
                <w:color w:val="auto"/>
              </w:rPr>
            </w:pPr>
            <w:r>
              <w:rPr>
                <w:rFonts w:ascii="Arial" w:cs="Arial" w:eastAsia="Arial" w:hAnsi="Arial"/>
                <w:sz w:val="18"/>
                <w:szCs w:val="18"/>
                <w:color w:val="auto"/>
              </w:rPr>
              <w:t>Amgen</w:t>
            </w:r>
          </w:p>
        </w:tc>
        <w:tc>
          <w:tcPr>
            <w:tcW w:w="86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2,288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2,582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(294 )</w:t>
            </w:r>
          </w:p>
        </w:tc>
      </w:tr>
      <w:tr>
        <w:trPr>
          <w:trHeight w:val="201"/>
        </w:trPr>
        <w:tc>
          <w:tcPr>
            <w:tcW w:w="660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Astellas</w:t>
            </w: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5,016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4,756</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7"/>
                <w:szCs w:val="17"/>
                <w:color w:val="auto"/>
              </w:rPr>
            </w:pPr>
          </w:p>
        </w:tc>
      </w:tr>
      <w:tr>
        <w:trPr>
          <w:trHeight w:val="201"/>
        </w:trPr>
        <w:tc>
          <w:tcPr>
            <w:tcW w:w="6600" w:type="dxa"/>
            <w:vAlign w:val="bottom"/>
          </w:tcPr>
          <w:p>
            <w:pPr>
              <w:ind w:left="200"/>
              <w:spacing w:after="0" w:line="201" w:lineRule="exact"/>
              <w:rPr>
                <w:sz w:val="20"/>
                <w:szCs w:val="20"/>
                <w:color w:val="auto"/>
              </w:rPr>
            </w:pPr>
            <w:r>
              <w:rPr>
                <w:rFonts w:ascii="Arial" w:cs="Arial" w:eastAsia="Arial" w:hAnsi="Arial"/>
                <w:sz w:val="18"/>
                <w:szCs w:val="18"/>
                <w:color w:val="auto"/>
              </w:rPr>
              <w:t>Bristol Myers Squibb</w:t>
            </w:r>
          </w:p>
        </w:tc>
        <w:tc>
          <w:tcPr>
            <w:tcW w:w="86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7,405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7,405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r>
      <w:tr>
        <w:trPr>
          <w:trHeight w:val="235"/>
        </w:trPr>
        <w:tc>
          <w:tcPr>
            <w:tcW w:w="660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bottom w:val="single" w:sz="8" w:color="auto"/>
            </w:tcBorders>
            <w:shd w:val="clear" w:color="auto" w:fill="CFF0FC"/>
          </w:tcPr>
          <w:p>
            <w:pPr>
              <w:jc w:val="right"/>
              <w:ind w:right="677"/>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0"/>
              </w:rPr>
              <w:t>17,136</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15,971</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1"/>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1,165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5075555</wp:posOffset>
            </wp:positionH>
            <wp:positionV relativeFrom="paragraph">
              <wp:posOffset>-24765</wp:posOffset>
            </wp:positionV>
            <wp:extent cx="425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-7620</wp:posOffset>
            </wp:positionV>
            <wp:extent cx="425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-24765</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-7620</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-24765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-7620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4"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increase in revenue of $1.2 million for the three months ended March 31, 2022 compared to the corresponding period of 2021 was primarily due to the CD71 Co-Development and Licensing Agreement with AbbVie based on a higher percentage of project completion in the first quarter of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b w:val="1"/>
                <w:bCs w:val="1"/>
                <w:color w:val="auto"/>
              </w:rPr>
              <w:t>External costs incurred by product candidate (target):</w:t>
            </w:r>
          </w:p>
        </w:tc>
        <w:tc>
          <w:tcPr>
            <w:tcW w:w="1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tcPr>
          <w:p>
            <w:pPr>
              <w:ind w:left="20"/>
              <w:spacing w:after="0" w:line="201" w:lineRule="exact"/>
              <w:rPr>
                <w:sz w:val="20"/>
                <w:szCs w:val="20"/>
                <w:color w:val="auto"/>
              </w:rPr>
            </w:pPr>
            <w:r>
              <w:rPr>
                <w:rFonts w:ascii="Arial" w:cs="Arial" w:eastAsia="Arial" w:hAnsi="Arial"/>
                <w:sz w:val="18"/>
                <w:szCs w:val="18"/>
                <w:color w:val="auto"/>
              </w:rPr>
              <w:t>Praluzatamab ravtansine, CX-2009 (CD166)</w:t>
            </w:r>
          </w:p>
        </w:tc>
        <w:tc>
          <w:tcPr>
            <w:tcW w:w="20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4,873</w:t>
            </w:r>
          </w:p>
        </w:tc>
        <w:tc>
          <w:tcPr>
            <w:tcW w:w="420" w:type="dxa"/>
            <w:vAlign w:val="bottom"/>
            <w:gridSpan w:val="2"/>
          </w:tcPr>
          <w:p>
            <w:pPr>
              <w:jc w:val="right"/>
              <w:ind w:right="8"/>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3,052</w:t>
            </w:r>
          </w:p>
        </w:tc>
        <w:tc>
          <w:tcPr>
            <w:tcW w:w="260" w:type="dxa"/>
            <w:vAlign w:val="bottom"/>
          </w:tcPr>
          <w:p>
            <w:pPr>
              <w:spacing w:after="0"/>
              <w:rPr>
                <w:sz w:val="17"/>
                <w:szCs w:val="17"/>
                <w:color w:val="auto"/>
              </w:rPr>
            </w:pPr>
          </w:p>
        </w:tc>
        <w:tc>
          <w:tcPr>
            <w:tcW w:w="280" w:type="dxa"/>
            <w:vAlign w:val="bottom"/>
          </w:tcPr>
          <w:p>
            <w:pPr>
              <w:jc w:val="right"/>
              <w:ind w:right="91"/>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1,821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CX-2029 (CD71)</w:t>
            </w:r>
          </w:p>
        </w:tc>
        <w:tc>
          <w:tcPr>
            <w:tcW w:w="1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2,078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1,538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tcPr>
          <w:p>
            <w:pPr>
              <w:ind w:left="20"/>
              <w:spacing w:after="0" w:line="201" w:lineRule="exact"/>
              <w:rPr>
                <w:sz w:val="20"/>
                <w:szCs w:val="20"/>
                <w:color w:val="auto"/>
              </w:rPr>
            </w:pPr>
            <w:r>
              <w:rPr>
                <w:rFonts w:ascii="Arial" w:cs="Arial" w:eastAsia="Arial" w:hAnsi="Arial"/>
                <w:sz w:val="18"/>
                <w:szCs w:val="18"/>
                <w:color w:val="auto"/>
              </w:rPr>
              <w:t>Pacmilimab, CX-072 (PD-L1)</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(202 )</w:t>
            </w:r>
          </w:p>
        </w:tc>
        <w:tc>
          <w:tcPr>
            <w:tcW w:w="28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202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CX-904</w:t>
            </w:r>
          </w:p>
        </w:tc>
        <w:tc>
          <w:tcPr>
            <w:tcW w:w="1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667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481</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186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tcPr>
          <w:p>
            <w:pPr>
              <w:ind w:left="20"/>
              <w:spacing w:after="0" w:line="201" w:lineRule="exact"/>
              <w:rPr>
                <w:sz w:val="20"/>
                <w:szCs w:val="20"/>
                <w:color w:val="auto"/>
              </w:rPr>
            </w:pPr>
            <w:r>
              <w:rPr>
                <w:rFonts w:ascii="Arial" w:cs="Arial" w:eastAsia="Arial" w:hAnsi="Arial"/>
                <w:sz w:val="18"/>
                <w:szCs w:val="18"/>
                <w:color w:val="auto"/>
              </w:rPr>
              <w:t>Other wholly owned and partnered programs</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3,463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1,272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2,191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tcBorders>
              <w:bottom w:val="single" w:sz="8" w:color="CFF0FC"/>
            </w:tcBorders>
            <w:shd w:val="clear" w:color="auto" w:fill="CFF0FC"/>
          </w:tcPr>
          <w:p>
            <w:pPr>
              <w:ind w:left="20"/>
              <w:spacing w:after="0" w:line="201" w:lineRule="exact"/>
              <w:rPr>
                <w:sz w:val="20"/>
                <w:szCs w:val="20"/>
                <w:color w:val="auto"/>
              </w:rPr>
            </w:pPr>
            <w:r>
              <w:rPr>
                <w:rFonts w:ascii="Arial" w:cs="Arial" w:eastAsia="Arial" w:hAnsi="Arial"/>
                <w:sz w:val="18"/>
                <w:szCs w:val="18"/>
                <w:color w:val="auto"/>
              </w:rPr>
              <w:t>General research and development expenses</w:t>
            </w:r>
          </w:p>
        </w:tc>
        <w:tc>
          <w:tcPr>
            <w:tcW w:w="17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4,251</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3,714</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537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15,332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9,855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5,477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40" w:type="dxa"/>
            <w:vAlign w:val="bottom"/>
            <w:tcBorders>
              <w:bottom w:val="single" w:sz="8" w:color="CFF0FC"/>
            </w:tcBorders>
            <w:shd w:val="clear" w:color="auto" w:fill="CFF0FC"/>
          </w:tcPr>
          <w:p>
            <w:pPr>
              <w:ind w:left="20"/>
              <w:spacing w:after="0" w:line="201" w:lineRule="exact"/>
              <w:rPr>
                <w:sz w:val="20"/>
                <w:szCs w:val="20"/>
                <w:color w:val="auto"/>
              </w:rPr>
            </w:pPr>
            <w:r>
              <w:rPr>
                <w:rFonts w:ascii="Arial" w:cs="Arial" w:eastAsia="Arial" w:hAnsi="Arial"/>
                <w:sz w:val="18"/>
                <w:szCs w:val="18"/>
                <w:b w:val="1"/>
                <w:bCs w:val="1"/>
                <w:color w:val="auto"/>
              </w:rPr>
              <w:t>Internal Costs</w:t>
            </w:r>
          </w:p>
        </w:tc>
        <w:tc>
          <w:tcPr>
            <w:tcW w:w="17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15,227</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12,516</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2,711</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40" w:type="dxa"/>
            <w:vAlign w:val="bottom"/>
          </w:tcPr>
          <w:p>
            <w:pPr>
              <w:ind w:left="200"/>
              <w:spacing w:after="0" w:line="182" w:lineRule="exact"/>
              <w:rPr>
                <w:sz w:val="20"/>
                <w:szCs w:val="20"/>
                <w:color w:val="auto"/>
              </w:rPr>
            </w:pPr>
            <w:r>
              <w:rPr>
                <w:rFonts w:ascii="Arial" w:cs="Arial" w:eastAsia="Arial" w:hAnsi="Arial"/>
                <w:sz w:val="18"/>
                <w:szCs w:val="18"/>
                <w:b w:val="1"/>
                <w:bCs w:val="1"/>
                <w:color w:val="auto"/>
              </w:rPr>
              <w:t>Total research and development expenses</w:t>
            </w:r>
          </w:p>
        </w:tc>
        <w:tc>
          <w:tcPr>
            <w:tcW w:w="206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30,559</w:t>
            </w:r>
          </w:p>
        </w:tc>
        <w:tc>
          <w:tcPr>
            <w:tcW w:w="420" w:type="dxa"/>
            <w:vAlign w:val="bottom"/>
            <w:gridSpan w:val="2"/>
          </w:tcPr>
          <w:p>
            <w:pPr>
              <w:jc w:val="right"/>
              <w:ind w:right="8"/>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22,371</w:t>
            </w:r>
          </w:p>
        </w:tc>
        <w:tc>
          <w:tcPr>
            <w:tcW w:w="260" w:type="dxa"/>
            <w:vAlign w:val="bottom"/>
          </w:tcPr>
          <w:p>
            <w:pPr>
              <w:spacing w:after="0"/>
              <w:rPr>
                <w:sz w:val="16"/>
                <w:szCs w:val="16"/>
                <w:color w:val="auto"/>
              </w:rPr>
            </w:pPr>
          </w:p>
        </w:tc>
        <w:tc>
          <w:tcPr>
            <w:tcW w:w="280" w:type="dxa"/>
            <w:vAlign w:val="bottom"/>
          </w:tcPr>
          <w:p>
            <w:pPr>
              <w:jc w:val="right"/>
              <w:ind w:right="91"/>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8,188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740" w:type="dxa"/>
            <w:vAlign w:val="bottom"/>
            <w:vMerge w:val="restart"/>
          </w:tcPr>
          <w:p>
            <w:pPr>
              <w:jc w:val="right"/>
              <w:ind w:right="771"/>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48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8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-899795</wp:posOffset>
            </wp:positionV>
            <wp:extent cx="514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-899795</wp:posOffset>
            </wp:positionV>
            <wp:extent cx="514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-899795</wp:posOffset>
            </wp:positionV>
            <wp:extent cx="3429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-635635</wp:posOffset>
            </wp:positionV>
            <wp:extent cx="514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-635635</wp:posOffset>
            </wp:positionV>
            <wp:extent cx="514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-635635</wp:posOffset>
            </wp:positionV>
            <wp:extent cx="342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1" w:name="page22"/>
    <w:bookmarkEnd w:id="21"/>
    <w:p>
      <w:pPr>
        <w:ind w:right="700"/>
        <w:spacing w:after="0" w:line="321" w:lineRule="auto"/>
        <w:rPr>
          <w:sz w:val="20"/>
          <w:szCs w:val="20"/>
          <w:color w:val="auto"/>
        </w:rPr>
      </w:pPr>
      <w:r>
        <w:rPr>
          <w:rFonts w:ascii="Arial" w:cs="Arial" w:eastAsia="Arial" w:hAnsi="Arial"/>
          <w:sz w:val="16"/>
          <w:szCs w:val="16"/>
          <w:color w:val="auto"/>
        </w:rPr>
        <w:t>The increase in research and development expenses for the three months ended March 31, 2022 compared to the corresponding period of 2021 was primarily attributable to the increase in laboratory contract services driven by an increase in manufacturing and development activities.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4"/>
        </w:trPr>
        <w:tc>
          <w:tcPr>
            <w:tcW w:w="6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8"/>
        </w:trPr>
        <w:tc>
          <w:tcPr>
            <w:tcW w:w="66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r>
      <w:tr>
        <w:trPr>
          <w:trHeight w:val="168"/>
        </w:trPr>
        <w:tc>
          <w:tcPr>
            <w:tcW w:w="6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184"/>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1"/>
        </w:trPr>
        <w:tc>
          <w:tcPr>
            <w:tcW w:w="662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CFF0FC"/>
          </w:tcPr>
          <w:p>
            <w:pPr>
              <w:jc w:val="right"/>
              <w:ind w:right="68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w w:val="90"/>
              </w:rPr>
              <w:t>10,543</w:t>
            </w:r>
          </w:p>
        </w:tc>
        <w:tc>
          <w:tcPr>
            <w:tcW w:w="400" w:type="dxa"/>
            <w:vAlign w:val="bottom"/>
            <w:gridSpan w:val="2"/>
            <w:shd w:val="clear" w:color="auto" w:fill="CFF0FC"/>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9,227</w:t>
            </w:r>
          </w:p>
        </w:tc>
        <w:tc>
          <w:tcPr>
            <w:tcW w:w="460" w:type="dxa"/>
            <w:vAlign w:val="bottom"/>
            <w:gridSpan w:val="2"/>
            <w:shd w:val="clear" w:color="auto" w:fill="CFF0F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1,316</w:t>
            </w:r>
          </w:p>
        </w:tc>
        <w:tc>
          <w:tcPr>
            <w:tcW w:w="60" w:type="dxa"/>
            <w:vAlign w:val="bottom"/>
            <w:shd w:val="clear" w:color="auto" w:fill="CFF0FC"/>
          </w:tcPr>
          <w:p>
            <w:pPr>
              <w:spacing w:after="0"/>
              <w:rPr>
                <w:sz w:val="17"/>
                <w:szCs w:val="17"/>
                <w:color w:val="auto"/>
              </w:rPr>
            </w:pPr>
          </w:p>
        </w:tc>
      </w:tr>
    </w:tbl>
    <w:p>
      <w:pPr>
        <w:spacing w:after="0" w:line="18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General and administrative expenses increased by $1.3 million for the three months ended March 31, 2022 compared to the corresponding period of 2021 primarily due to an increase in personnel related expenses as well as professional expenses driven by patent related legal expenses and other outside consulting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As of March 31, 2022, we had cash, cash equivalents and investments of $262.5 million and an accumulated deficit of $557.6 million, compared to cash, cash equivalents and investments of $305.2 million and an accumulated deficit of $533.7 million as of December 31, 2021. In January and February 2021, in an underwritten public offering of our common stock, we raised an aggregate net proceeds of approximately $107.7 million. To date, we have financed our operations primarily through sales of our common stock in conjunction with the IPO, subsequent stock offerings and through our at-the-market offering, sales of our convertible preferred securities prior to our IPO and payments received under our collaboration agreements.</w:t>
      </w:r>
    </w:p>
    <w:p>
      <w:pPr>
        <w:spacing w:after="0" w:line="11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for a period of at least twelve months from the issuance date of the financial statements included in this report.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r>
      <w:tr>
        <w:trPr>
          <w:trHeight w:val="184"/>
        </w:trPr>
        <w:tc>
          <w:tcPr>
            <w:tcW w:w="5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5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68"/>
        </w:trPr>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0"/>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74"/>
              </w:rPr>
              <w:t>thousands)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1"/>
        </w:trPr>
        <w:tc>
          <w:tcPr>
            <w:tcW w:w="502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jc w:val="right"/>
              <w:ind w:right="111"/>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74"/>
              <w:spacing w:after="0" w:line="201" w:lineRule="exact"/>
              <w:rPr>
                <w:sz w:val="20"/>
                <w:szCs w:val="20"/>
                <w:color w:val="auto"/>
              </w:rPr>
            </w:pPr>
            <w:r>
              <w:rPr>
                <w:rFonts w:ascii="Arial" w:cs="Arial" w:eastAsia="Arial" w:hAnsi="Arial"/>
                <w:sz w:val="18"/>
                <w:szCs w:val="18"/>
                <w:color w:val="auto"/>
              </w:rPr>
              <w:t>(41,313 )</w:t>
            </w:r>
          </w:p>
        </w:tc>
        <w:tc>
          <w:tcPr>
            <w:tcW w:w="400" w:type="dxa"/>
            <w:vAlign w:val="bottom"/>
            <w:shd w:val="clear" w:color="auto" w:fill="CFF0FC"/>
          </w:tcPr>
          <w:p>
            <w:pPr>
              <w:jc w:val="center"/>
              <w:ind w:right="211"/>
              <w:spacing w:after="0" w:line="201"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20"/>
              <w:spacing w:after="0" w:line="201" w:lineRule="exact"/>
              <w:rPr>
                <w:sz w:val="20"/>
                <w:szCs w:val="20"/>
                <w:color w:val="auto"/>
              </w:rPr>
            </w:pPr>
            <w:r>
              <w:rPr>
                <w:rFonts w:ascii="Arial" w:cs="Arial" w:eastAsia="Arial" w:hAnsi="Arial"/>
                <w:sz w:val="18"/>
                <w:szCs w:val="18"/>
                <w:color w:val="auto"/>
              </w:rPr>
              <w:t>(29,940 )</w:t>
            </w:r>
          </w:p>
        </w:tc>
      </w:tr>
      <w:tr>
        <w:trPr>
          <w:trHeight w:val="201"/>
        </w:trPr>
        <w:tc>
          <w:tcPr>
            <w:tcW w:w="5020" w:type="dxa"/>
            <w:vAlign w:val="bottom"/>
          </w:tcPr>
          <w:p>
            <w:pPr>
              <w:ind w:left="20"/>
              <w:spacing w:after="0" w:line="201" w:lineRule="exact"/>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7"/>
                <w:szCs w:val="17"/>
                <w:color w:val="auto"/>
              </w:rPr>
            </w:pPr>
          </w:p>
        </w:tc>
        <w:tc>
          <w:tcPr>
            <w:tcW w:w="1180" w:type="dxa"/>
            <w:vAlign w:val="bottom"/>
            <w:gridSpan w:val="2"/>
          </w:tcPr>
          <w:p>
            <w:pPr>
              <w:jc w:val="right"/>
              <w:ind w:right="74"/>
              <w:spacing w:after="0" w:line="201" w:lineRule="exact"/>
              <w:rPr>
                <w:sz w:val="20"/>
                <w:szCs w:val="20"/>
                <w:color w:val="auto"/>
              </w:rPr>
            </w:pPr>
            <w:r>
              <w:rPr>
                <w:rFonts w:ascii="Arial" w:cs="Arial" w:eastAsia="Arial" w:hAnsi="Arial"/>
                <w:sz w:val="18"/>
                <w:szCs w:val="18"/>
                <w:color w:val="auto"/>
              </w:rPr>
              <w:t>(736 )</w:t>
            </w:r>
          </w:p>
        </w:tc>
        <w:tc>
          <w:tcPr>
            <w:tcW w:w="40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59,012</w:t>
            </w:r>
          </w:p>
        </w:tc>
        <w:tc>
          <w:tcPr>
            <w:tcW w:w="80" w:type="dxa"/>
            <w:vAlign w:val="bottom"/>
          </w:tcPr>
          <w:p>
            <w:pPr>
              <w:spacing w:after="0"/>
              <w:rPr>
                <w:sz w:val="17"/>
                <w:szCs w:val="17"/>
                <w:color w:val="auto"/>
              </w:rPr>
            </w:pPr>
          </w:p>
        </w:tc>
      </w:tr>
      <w:tr>
        <w:trPr>
          <w:trHeight w:val="201"/>
        </w:trPr>
        <w:tc>
          <w:tcPr>
            <w:tcW w:w="5020" w:type="dxa"/>
            <w:vAlign w:val="bottom"/>
            <w:tcBorders>
              <w:bottom w:val="single" w:sz="8" w:color="CFF0FC"/>
            </w:tcBorders>
            <w:shd w:val="clear" w:color="auto" w:fill="CFF0FC"/>
          </w:tcPr>
          <w:p>
            <w:pPr>
              <w:ind w:left="20"/>
              <w:spacing w:after="0" w:line="201" w:lineRule="exact"/>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108,735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5"/>
        </w:trPr>
        <w:tc>
          <w:tcPr>
            <w:tcW w:w="5020" w:type="dxa"/>
            <w:vAlign w:val="bottom"/>
          </w:tcPr>
          <w:p>
            <w:pPr>
              <w:ind w:left="20"/>
              <w:spacing w:after="0" w:line="195" w:lineRule="exact"/>
              <w:rPr>
                <w:sz w:val="20"/>
                <w:szCs w:val="20"/>
                <w:color w:val="auto"/>
              </w:rPr>
            </w:pPr>
            <w:r>
              <w:rPr>
                <w:rFonts w:ascii="Arial" w:cs="Arial" w:eastAsia="Arial" w:hAnsi="Arial"/>
                <w:sz w:val="18"/>
                <w:szCs w:val="18"/>
                <w:color w:val="auto"/>
                <w:w w:val="89"/>
              </w:rPr>
              <w:t>Net increase (decrease) in cash, cash equivalents and restricted cash</w:t>
            </w:r>
          </w:p>
        </w:tc>
        <w:tc>
          <w:tcPr>
            <w:tcW w:w="300" w:type="dxa"/>
            <w:vAlign w:val="bottom"/>
          </w:tcPr>
          <w:p>
            <w:pPr>
              <w:jc w:val="right"/>
              <w:ind w:right="111"/>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4"/>
              <w:spacing w:after="0" w:line="195" w:lineRule="exact"/>
              <w:rPr>
                <w:sz w:val="20"/>
                <w:szCs w:val="20"/>
                <w:color w:val="auto"/>
              </w:rPr>
            </w:pPr>
            <w:r>
              <w:rPr>
                <w:rFonts w:ascii="Arial" w:cs="Arial" w:eastAsia="Arial" w:hAnsi="Arial"/>
                <w:sz w:val="18"/>
                <w:szCs w:val="18"/>
                <w:color w:val="auto"/>
              </w:rPr>
              <w:t>(42,042 )</w:t>
            </w:r>
          </w:p>
        </w:tc>
        <w:tc>
          <w:tcPr>
            <w:tcW w:w="400" w:type="dxa"/>
            <w:vAlign w:val="bottom"/>
          </w:tcPr>
          <w:p>
            <w:pPr>
              <w:jc w:val="center"/>
              <w:ind w:right="211"/>
              <w:spacing w:after="0" w:line="195"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137,807</w:t>
            </w:r>
          </w:p>
        </w:tc>
        <w:tc>
          <w:tcPr>
            <w:tcW w:w="80" w:type="dxa"/>
            <w:vAlign w:val="bottom"/>
          </w:tcPr>
          <w:p>
            <w:pPr>
              <w:spacing w:after="0"/>
              <w:rPr>
                <w:sz w:val="16"/>
                <w:szCs w:val="16"/>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5075555</wp:posOffset>
            </wp:positionH>
            <wp:positionV relativeFrom="paragraph">
              <wp:posOffset>-158115</wp:posOffset>
            </wp:positionV>
            <wp:extent cx="596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-158115</wp:posOffset>
            </wp:positionV>
            <wp:extent cx="596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During the three months ended March 31, 2022, cash used in operating activities was $41.3 million, which consisted of a net loss of $23.9 million, adjusted by non-cash charges of $4.8 million and a net decrease of $22.2 million relating to the change of our net operating assets and liabilities. The non-cash charges primarily consisted of $3.4 million in stock-based compensation, $0.8 million in non-cash lease expense and $0.6 million in depreciation and amortization.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02"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net decrease of $16.1 million in deferred revenue resulting from the continued recognition of deferred revenue from existing customers;</w:t>
      </w:r>
    </w:p>
    <w:p>
      <w:pPr>
        <w:spacing w:after="0" w:line="124" w:lineRule="exact"/>
        <w:rPr>
          <w:rFonts w:ascii="Arial" w:cs="Arial" w:eastAsia="Arial" w:hAnsi="Arial"/>
          <w:sz w:val="16"/>
          <w:szCs w:val="16"/>
          <w:color w:val="auto"/>
        </w:rPr>
      </w:pPr>
    </w:p>
    <w:p>
      <w:pPr>
        <w:ind w:left="1020" w:right="100" w:hanging="503"/>
        <w:spacing w:after="0" w:line="25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$5.2 million in accounts payable, accrued and other long-term liabilities primarily due to timing of payments and an increase in research and clinical expenses; and</w:t>
      </w:r>
    </w:p>
    <w:p>
      <w:pPr>
        <w:spacing w:after="0" w:line="63" w:lineRule="exact"/>
        <w:rPr>
          <w:rFonts w:ascii="Arial" w:cs="Arial" w:eastAsia="Arial" w:hAnsi="Arial"/>
          <w:sz w:val="18"/>
          <w:szCs w:val="18"/>
          <w:color w:val="auto"/>
        </w:rPr>
      </w:pPr>
    </w:p>
    <w:p>
      <w:pPr>
        <w:ind w:left="1020" w:right="340" w:hanging="503"/>
        <w:spacing w:after="0" w:line="25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$0.9 million in cash flows from accounts receivable and prepaid and other current assets primarily due to increased advance payments to our third party manufacturing vendors and timing of payments.</w:t>
      </w:r>
    </w:p>
    <w:p>
      <w:pPr>
        <w:spacing w:after="0" w:line="15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During the three months ended March 31, 2021, cash used in operating activities was $29.9 million, which consisted of a net loss of $15.6 million, adjusted by non-cash charges of $4.6 million and a net decrease of $18.9 million relating to the change of our net operating assets and liabilities. The non-cash charges primarily consisted of $3.0 million in stock-based compensation, $0.8 million in non-cash lease expense and $0.7 million in depreciation and amortization.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02" w:lineRule="exact"/>
        <w:rPr>
          <w:sz w:val="20"/>
          <w:szCs w:val="20"/>
          <w:color w:val="auto"/>
        </w:rPr>
      </w:pPr>
    </w:p>
    <w:p>
      <w:pPr>
        <w:ind w:left="1020" w:right="520" w:hanging="504"/>
        <w:spacing w:after="0" w:line="25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decrease of $15.2 million in deferred revenue resulting from the continued recognition of deferred revenue from existing and new customers;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$5.4 million in accounts payable, accrued and other long-term liabilities; and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$1.7 million in cash flows from accounts receivable, prepaid and other current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6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During the three months ended March 31, 2022, cash used in investing activities was $0.7 million of capital expenditures used to purchase property and equipment.</w:t>
      </w:r>
    </w:p>
    <w:p>
      <w:pPr>
        <w:spacing w:after="0" w:line="157"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During the three months ended March 31, 2021, cash provided by investing activities was $59.0 million, which consisted of $60.0 million in proceeds received upon the maturity of marketable securities, partially offset by $1.0 million of capital expenditures used to purchase property and equipment.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2022, cash provided by financing activities consisted of $7,000 of proceeds from the exercise of stock options.</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March 31, 2021, cash provided by financing activities consisted of $107.7 million of net proceeds from the follow-on public offering during the quarter and $1.0 million of proceeds from the exercise of 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March 31, 2022, there were no material changes in contractual obligations from the amounts disclosed in our Annual Report on Form 10-K for the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6" w:lineRule="exact"/>
        <w:rPr>
          <w:sz w:val="20"/>
          <w:szCs w:val="20"/>
          <w:color w:val="auto"/>
        </w:rPr>
      </w:pPr>
    </w:p>
    <w:p>
      <w:pPr>
        <w:jc w:val="both"/>
        <w:ind w:right="180"/>
        <w:spacing w:after="0" w:line="242"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short-term investments of $262.5 million and $305.2 million as of March 31, 2022 and December 31, 2021, respectively, which consists of bank deposits, money market funds and U.S. government bonds. Such interest-bearing instruments carry a degree of interest rate risk; however, historical fluctuations of interest income have not been significant.</w:t>
      </w:r>
    </w:p>
    <w:p>
      <w:pPr>
        <w:spacing w:after="0" w:line="17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March 31, 2022, a hypothetical 100 basis point change in interest rates would not have material effect in the fair value of the portfolio.</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 xml:space="preserve">Our management, with the participation of our Chief Executive Officer and Chief Financial Officer, has evaluated the effectiveness of our disclosure controls and procedures as of March 31, 2022, the end of the period covered by this Quarterly Report on Form 10-Q. Management’s assessment of internal control over financial reporting was conducted using the criteria defined in the </w:t>
      </w:r>
      <w:r>
        <w:rPr>
          <w:rFonts w:ascii="Arial" w:cs="Arial" w:eastAsia="Arial" w:hAnsi="Arial"/>
          <w:sz w:val="16"/>
          <w:szCs w:val="16"/>
          <w:i w:val="1"/>
          <w:iCs w:val="1"/>
          <w:color w:val="auto"/>
        </w:rPr>
        <w:t>Internal Control—Integrated Framework (2013 framework)</w:t>
      </w:r>
      <w:r>
        <w:rPr>
          <w:rFonts w:ascii="Arial" w:cs="Arial" w:eastAsia="Arial" w:hAnsi="Arial"/>
          <w:sz w:val="16"/>
          <w:szCs w:val="16"/>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82" w:lineRule="exact"/>
        <w:rPr>
          <w:sz w:val="20"/>
          <w:szCs w:val="20"/>
          <w:color w:val="auto"/>
        </w:rPr>
      </w:pPr>
    </w:p>
    <w:p>
      <w:pPr>
        <w:jc w:val="both"/>
        <w:ind w:right="260"/>
        <w:spacing w:after="0" w:line="246"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our fiscal quarter ended March 31, 2022 that has materially affected, or is reasonably likely to materially affect, our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We filed an Answer, Affirmative Defenses, and Counterclaims on May 26, 2020. Vytacera Bio, LLC filed its Answer to CytomX Therapeutics Inc.’s Counterclaims on June 5, 2020. On October 13, 2021, the Court granted the parties’ stipulation to stay all pending case deadlines except for certain matters. All case deadlines are stayed until the Court resolves the parties’ claim construction disputes.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62" w:lineRule="exact"/>
        <w:rPr>
          <w:sz w:val="20"/>
          <w:szCs w:val="20"/>
          <w:color w:val="auto"/>
        </w:rPr>
      </w:pPr>
    </w:p>
    <w:p>
      <w:pPr>
        <w:ind w:left="1020" w:right="500" w:hanging="504"/>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COVID-19 pandemic or any future pandemic could adversely impact our business, including our research, clinical trials, including clinical trial site initiation and patient enrollment, and financial condition.</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have not generated any revenue from product sales.</w:t>
      </w:r>
    </w:p>
    <w:p>
      <w:pPr>
        <w:spacing w:after="0" w:line="124" w:lineRule="exact"/>
        <w:rPr>
          <w:rFonts w:ascii="Arial" w:cs="Arial" w:eastAsia="Arial" w:hAnsi="Arial"/>
          <w:sz w:val="16"/>
          <w:szCs w:val="16"/>
          <w:color w:val="auto"/>
        </w:rPr>
      </w:pPr>
    </w:p>
    <w:p>
      <w:pPr>
        <w:ind w:left="1020" w:right="140" w:hanging="504"/>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63" w:lineRule="exact"/>
        <w:rPr>
          <w:rFonts w:ascii="Arial" w:cs="Arial" w:eastAsia="Arial" w:hAnsi="Arial"/>
          <w:sz w:val="18"/>
          <w:szCs w:val="18"/>
          <w:color w:val="auto"/>
        </w:rPr>
      </w:pPr>
    </w:p>
    <w:p>
      <w:pPr>
        <w:ind w:left="1020" w:right="80" w:hanging="504"/>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earlier studies and trials may not be predictive of future trial results.</w:t>
      </w:r>
    </w:p>
    <w:p>
      <w:pPr>
        <w:spacing w:after="0" w:line="63" w:lineRule="exact"/>
        <w:rPr>
          <w:rFonts w:ascii="Arial" w:cs="Arial" w:eastAsia="Arial" w:hAnsi="Arial"/>
          <w:sz w:val="18"/>
          <w:szCs w:val="18"/>
          <w:color w:val="auto"/>
        </w:rPr>
      </w:pPr>
    </w:p>
    <w:p>
      <w:pPr>
        <w:ind w:left="1020" w:right="120" w:hanging="504"/>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or suffer delays that materially and adversely affect their commercial viability.</w:t>
      </w:r>
    </w:p>
    <w:p>
      <w:pPr>
        <w:spacing w:after="0" w:line="63" w:lineRule="exact"/>
        <w:rPr>
          <w:rFonts w:ascii="Arial" w:cs="Arial" w:eastAsia="Arial" w:hAnsi="Arial"/>
          <w:sz w:val="18"/>
          <w:szCs w:val="18"/>
          <w:color w:val="auto"/>
        </w:rPr>
      </w:pPr>
    </w:p>
    <w:p>
      <w:pPr>
        <w:ind w:left="1020" w:right="240" w:hanging="504"/>
        <w:spacing w:after="0" w:line="321"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 w:lineRule="exact"/>
        <w:rPr>
          <w:rFonts w:ascii="Arial" w:cs="Arial" w:eastAsia="Arial" w:hAnsi="Arial"/>
          <w:sz w:val="16"/>
          <w:szCs w:val="16"/>
          <w:color w:val="auto"/>
        </w:rPr>
      </w:pPr>
    </w:p>
    <w:p>
      <w:pPr>
        <w:ind w:left="1020" w:right="20" w:hanging="504"/>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4" w:lineRule="exact"/>
        <w:rPr>
          <w:rFonts w:ascii="Arial" w:cs="Arial" w:eastAsia="Arial" w:hAnsi="Arial"/>
          <w:sz w:val="18"/>
          <w:szCs w:val="18"/>
          <w:color w:val="auto"/>
        </w:rPr>
      </w:pPr>
    </w:p>
    <w:p>
      <w:pPr>
        <w:ind w:left="1020" w:right="300" w:hanging="504"/>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3" w:lineRule="exact"/>
        <w:rPr>
          <w:rFonts w:ascii="Arial" w:cs="Arial" w:eastAsia="Arial" w:hAnsi="Arial"/>
          <w:sz w:val="18"/>
          <w:szCs w:val="18"/>
          <w:color w:val="auto"/>
        </w:rPr>
      </w:pPr>
    </w:p>
    <w:p>
      <w:pPr>
        <w:ind w:left="1020" w:right="200" w:hanging="504"/>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approach to the discovery and development of our therapeutic treatments is based on novel technologies that are unproven and may not result in marketable products.</w:t>
      </w:r>
    </w:p>
    <w:p>
      <w:pPr>
        <w:spacing w:after="0" w:line="63" w:lineRule="exact"/>
        <w:rPr>
          <w:rFonts w:ascii="Arial" w:cs="Arial" w:eastAsia="Arial" w:hAnsi="Arial"/>
          <w:sz w:val="18"/>
          <w:szCs w:val="18"/>
          <w:color w:val="auto"/>
        </w:rPr>
      </w:pPr>
    </w:p>
    <w:p>
      <w:pPr>
        <w:ind w:left="1020" w:right="580" w:hanging="504"/>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based on a novel therapeutic modality, and we may not generate any future revenue from the sale or licensing of product candidates.</w:t>
      </w:r>
    </w:p>
    <w:p>
      <w:pPr>
        <w:spacing w:after="0" w:line="63" w:lineRule="exact"/>
        <w:rPr>
          <w:rFonts w:ascii="Arial" w:cs="Arial" w:eastAsia="Arial" w:hAnsi="Arial"/>
          <w:sz w:val="18"/>
          <w:szCs w:val="18"/>
          <w:color w:val="auto"/>
        </w:rPr>
      </w:pPr>
    </w:p>
    <w:p>
      <w:pPr>
        <w:jc w:val="both"/>
        <w:ind w:left="1020" w:right="100" w:hanging="504"/>
        <w:spacing w:after="0" w:line="267"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8" w:lineRule="exact"/>
        <w:rPr>
          <w:rFonts w:ascii="Arial" w:cs="Arial" w:eastAsia="Arial" w:hAnsi="Arial"/>
          <w:sz w:val="17"/>
          <w:szCs w:val="17"/>
          <w:color w:val="auto"/>
        </w:rPr>
      </w:pPr>
    </w:p>
    <w:p>
      <w:pPr>
        <w:ind w:left="1020" w:right="1260" w:hanging="504"/>
        <w:spacing w:after="0" w:line="288"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6344285</wp:posOffset>
            </wp:positionH>
            <wp:positionV relativeFrom="paragraph">
              <wp:posOffset>-3867785</wp:posOffset>
            </wp:positionV>
            <wp:extent cx="285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25" w:name="page26"/>
    <w:bookmarkEnd w:id="25"/>
    <w:p>
      <w:pPr>
        <w:ind w:left="1020" w:hanging="504"/>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74" w:lineRule="exact"/>
        <w:rPr>
          <w:rFonts w:ascii="Arial" w:cs="Arial" w:eastAsia="Arial" w:hAnsi="Arial"/>
          <w:sz w:val="18"/>
          <w:szCs w:val="18"/>
          <w:color w:val="auto"/>
        </w:rPr>
      </w:pPr>
    </w:p>
    <w:p>
      <w:pPr>
        <w:ind w:left="1020" w:right="240" w:hanging="504"/>
        <w:spacing w:after="0" w:line="242"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7" w:lineRule="exact"/>
        <w:rPr>
          <w:rFonts w:ascii="Arial" w:cs="Arial" w:eastAsia="Arial" w:hAnsi="Arial"/>
          <w:sz w:val="18"/>
          <w:szCs w:val="18"/>
          <w:color w:val="auto"/>
        </w:rPr>
      </w:pPr>
    </w:p>
    <w:p>
      <w:pPr>
        <w:ind w:left="1020" w:right="120" w:hanging="504"/>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4" w:lineRule="exact"/>
        <w:rPr>
          <w:rFonts w:ascii="Arial" w:cs="Arial" w:eastAsia="Arial" w:hAnsi="Arial"/>
          <w:sz w:val="18"/>
          <w:szCs w:val="18"/>
          <w:color w:val="auto"/>
        </w:rPr>
      </w:pPr>
    </w:p>
    <w:p>
      <w:pPr>
        <w:ind w:left="1020" w:right="240" w:hanging="504"/>
        <w:spacing w:after="0" w:line="321"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7" w:lineRule="exact"/>
        <w:rPr>
          <w:rFonts w:ascii="Arial" w:cs="Arial" w:eastAsia="Arial" w:hAnsi="Arial"/>
          <w:sz w:val="16"/>
          <w:szCs w:val="16"/>
          <w:color w:val="auto"/>
        </w:rPr>
      </w:pPr>
    </w:p>
    <w:p>
      <w:pPr>
        <w:ind w:left="1020" w:right="100" w:hanging="504"/>
        <w:spacing w:after="0" w:line="29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9" w:lineRule="exact"/>
        <w:rPr>
          <w:rFonts w:ascii="Arial" w:cs="Arial" w:eastAsia="Arial" w:hAnsi="Arial"/>
          <w:sz w:val="16"/>
          <w:szCs w:val="16"/>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stock price may be volatile and purchasers of our common stock could incur substantial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or any future pandemic could adversely impact our business, including our research, clinical trials, and financial condition.</w:t>
      </w:r>
    </w:p>
    <w:p>
      <w:pPr>
        <w:spacing w:after="0" w:line="2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then,COVID-19 has spread to multiple countries, including the United States and European and Asia-Pacific countries, including countries in which we have planned or active clinical trial sites, including for praluzatamab ravtansine (CX-2009). As COVID-19 and its variants continue to spread around the globe, we will likely continue to experience disruptions that could severely impact our business, research, including research for our partners or research of our partners, and clinical trials, including ongoing or planned clinical trials for praluzatamab ravtansine, CX-2029, CX-904 and clinical trials of our partners, including Bristol Myers Squibb. These disruptions and impacts may include:</w:t>
      </w:r>
    </w:p>
    <w:p>
      <w:pPr>
        <w:spacing w:after="0" w:line="84" w:lineRule="exact"/>
        <w:rPr>
          <w:sz w:val="20"/>
          <w:szCs w:val="20"/>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01" w:lineRule="exact"/>
        <w:rPr>
          <w:rFonts w:ascii="Arial" w:cs="Arial" w:eastAsia="Arial" w:hAnsi="Arial"/>
          <w:sz w:val="18"/>
          <w:szCs w:val="18"/>
          <w:color w:val="auto"/>
        </w:rPr>
      </w:pPr>
    </w:p>
    <w:p>
      <w:pPr>
        <w:ind w:left="1020" w:right="280" w:hanging="504"/>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for praluzatamab ravtansine, CX-2029, CX-904 or any other clinical trials we or our partners decide to initiate, including difficulties in recruiting clinical site investigators and clinical site staff;</w:t>
      </w:r>
    </w:p>
    <w:p>
      <w:pPr>
        <w:spacing w:after="0" w:line="63" w:lineRule="exact"/>
        <w:rPr>
          <w:rFonts w:ascii="Arial" w:cs="Arial" w:eastAsia="Arial" w:hAnsi="Arial"/>
          <w:sz w:val="18"/>
          <w:szCs w:val="18"/>
          <w:color w:val="auto"/>
        </w:rPr>
      </w:pPr>
    </w:p>
    <w:p>
      <w:pPr>
        <w:ind w:left="1020" w:right="140" w:hanging="504"/>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63" w:lineRule="exact"/>
        <w:rPr>
          <w:rFonts w:ascii="Arial" w:cs="Arial" w:eastAsia="Arial" w:hAnsi="Arial"/>
          <w:sz w:val="18"/>
          <w:szCs w:val="18"/>
          <w:color w:val="auto"/>
        </w:rPr>
      </w:pPr>
    </w:p>
    <w:p>
      <w:pPr>
        <w:ind w:left="1020" w:right="440" w:hanging="504"/>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interpreting clinical data due to patients being infected by COVID-19;</w:t>
      </w:r>
    </w:p>
    <w:p>
      <w:pPr>
        <w:spacing w:after="0" w:line="101" w:lineRule="exact"/>
        <w:rPr>
          <w:rFonts w:ascii="Arial" w:cs="Arial" w:eastAsia="Arial" w:hAnsi="Arial"/>
          <w:sz w:val="18"/>
          <w:szCs w:val="18"/>
          <w:color w:val="auto"/>
        </w:rPr>
      </w:pPr>
    </w:p>
    <w:p>
      <w:pPr>
        <w:ind w:left="1020" w:right="280" w:hanging="504"/>
        <w:spacing w:after="0" w:line="32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7" w:lineRule="exact"/>
        <w:rPr>
          <w:rFonts w:ascii="Arial" w:cs="Arial" w:eastAsia="Arial" w:hAnsi="Arial"/>
          <w:sz w:val="16"/>
          <w:szCs w:val="16"/>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or our partners’ planned clinical trials;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or our partners’ clinical trials;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34" w:right="379" w:bottom="1440" w:gutter="0" w:footer="0" w:header="0"/>
        </w:sectPr>
      </w:pPr>
    </w:p>
    <w:bookmarkStart w:id="26" w:name="page27"/>
    <w:bookmarkEnd w:id="26"/>
    <w:p>
      <w:pPr>
        <w:ind w:left="1020" w:right="720" w:hanging="504"/>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3" w:lineRule="exact"/>
        <w:rPr>
          <w:rFonts w:ascii="Arial" w:cs="Arial" w:eastAsia="Arial" w:hAnsi="Arial"/>
          <w:sz w:val="18"/>
          <w:szCs w:val="18"/>
          <w:color w:val="auto"/>
        </w:rPr>
      </w:pPr>
    </w:p>
    <w:p>
      <w:pPr>
        <w:ind w:left="1020" w:right="440" w:hanging="504"/>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spacing w:after="0" w:line="74" w:lineRule="exact"/>
        <w:rPr>
          <w:rFonts w:ascii="Arial" w:cs="Arial" w:eastAsia="Arial" w:hAnsi="Arial"/>
          <w:sz w:val="18"/>
          <w:szCs w:val="18"/>
          <w:color w:val="auto"/>
        </w:rPr>
      </w:pPr>
    </w:p>
    <w:p>
      <w:pPr>
        <w:ind w:left="1020" w:right="300" w:hanging="504"/>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9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(CX-072) in combination with ipilimumab after a re-evaluation of the evolving clinical, competitive and commercial landscapes in immuno-oncology, taken together with impact of the COVID-19 pandemic. Since then, we have revised our strategy for developing praluzatamab ravtansine, including redesigning the study. While enrollment is ongoing for our Phase 2 clinical trial for praluzatamab ravtansine and the Phase 2 expansion cohorts for CX-2029, we cannot be certain of the continuing impact of the COVID-19 pandemic, including COVID-19 variants on clinical trial planning, or that site initiation, patient recruitment or other clinical trial activities will not continue to be delayed, discontinued or otherwise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-662305</wp:posOffset>
            </wp:positionV>
            <wp:extent cx="285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In March 2020 we initiated a mandatory work-from-home program, limiting onsite activity to a substantially reduced level of laboratory research activities. Although we have gradually increased levels of such laboratory research activities, we continue to operate in a hybrid, work-from-home environment and there can be no assurance that we will be able to continue to increase or maintain current levels of such activity. Furthermore, in March 2022, China implemented additional regional lockdowns which continue to impact our ability to obtain some research materials on a timely basis.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16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5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global outbreak of COVID-19 continues to rapidly evolve, including with the discovery of new variants/mutations of the virus. The extent to which the COVID-19 pandemic continues to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7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March 31, 2022 and December 31, 2021, we had an accumulated deficit of $557.6 million and $533.7 million, respectively. Substantially all of our losses have resulted from expenses incurred in connection with our research and development programs and from general and administrative costs associated with our operations.</w:t>
      </w:r>
    </w:p>
    <w:p>
      <w:pPr>
        <w:spacing w:after="0" w:line="161"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27" w:name="page28"/>
    <w:bookmarkEnd w:id="27"/>
    <w:p>
      <w:pPr>
        <w:spacing w:after="0" w:line="242" w:lineRule="auto"/>
        <w:rPr>
          <w:sz w:val="20"/>
          <w:szCs w:val="20"/>
          <w:color w:val="auto"/>
        </w:rPr>
      </w:pPr>
      <w:r>
        <w:rPr>
          <w:rFonts w:ascii="Arial" w:cs="Arial" w:eastAsia="Arial" w:hAnsi="Arial"/>
          <w:sz w:val="18"/>
          <w:szCs w:val="18"/>
          <w:color w:val="auto"/>
        </w:rPr>
        <w:t>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7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enroll patients in our Phase 2 clinical trial of praluzatamab ravtansine (CX-2009), our conditionally activated ADC candidate directed against CD166, as monotherapy or in combination with pacmilimab (CX-072) in patients with breast cancer, as we enroll patients in our Phase 2 expansion trial of CX-2029, our conditionally activated ADC candidate directed against CD71 in collaboration with AbbVie Inc., as we enroll patients in our Phase 1 clinical trial of CX-904, our conditionally activated T-cell-engaging bispecific antibody candidate against the epidermal growth factor receptor (“EGFR”) in collaboration with Amgen, Inc., and as we advance into later trials and new trials for these and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62" w:lineRule="exact"/>
        <w:rPr>
          <w:sz w:val="20"/>
          <w:szCs w:val="20"/>
          <w:color w:val="auto"/>
        </w:rPr>
      </w:pPr>
    </w:p>
    <w:p>
      <w:pPr>
        <w:jc w:val="both"/>
        <w:ind w:right="180"/>
        <w:spacing w:after="0" w:line="292" w:lineRule="auto"/>
        <w:rPr>
          <w:sz w:val="20"/>
          <w:szCs w:val="20"/>
          <w:color w:val="auto"/>
        </w:rPr>
      </w:pPr>
      <w:r>
        <w:rPr>
          <w:rFonts w:ascii="Arial" w:cs="Arial" w:eastAsia="Arial" w:hAnsi="Arial"/>
          <w:sz w:val="16"/>
          <w:szCs w:val="16"/>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1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7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As of March 31, 2022, we had $262.5 million in cash, cash equivalents and investments. We believe that our existing capital resources will be sufficient to fund our planned operations at least for the next twelve months from the date the financial statements included in this report are issued.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enroll patients in our Phase 2 clinical trial of praluzatamab ravtansine (CX-2009) as monotherapy or in combination with pacmilimab (CX-072) in patients with breast cancer, as we enroll patients in our Phase 2 expansion trial of CX-2029, and as we enroll patients in our Phase 1 clinical trial of CX-904.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02" w:lineRule="exact"/>
        <w:rPr>
          <w:sz w:val="20"/>
          <w:szCs w:val="20"/>
          <w:color w:val="auto"/>
        </w:rPr>
      </w:pPr>
    </w:p>
    <w:p>
      <w:pPr>
        <w:ind w:left="1020" w:right="80" w:hanging="504"/>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63" w:lineRule="exact"/>
        <w:rPr>
          <w:rFonts w:ascii="Arial" w:cs="Arial" w:eastAsia="Arial" w:hAnsi="Arial"/>
          <w:sz w:val="18"/>
          <w:szCs w:val="18"/>
          <w:color w:val="auto"/>
        </w:rPr>
      </w:pPr>
    </w:p>
    <w:p>
      <w:pPr>
        <w:ind w:left="1020" w:right="160" w:hanging="504"/>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01" w:lineRule="exact"/>
        <w:rPr>
          <w:rFonts w:ascii="Arial" w:cs="Arial" w:eastAsia="Arial" w:hAnsi="Arial"/>
          <w:sz w:val="18"/>
          <w:szCs w:val="18"/>
          <w:color w:val="auto"/>
        </w:rPr>
      </w:pPr>
    </w:p>
    <w:p>
      <w:pPr>
        <w:ind w:left="1020" w:right="240" w:hanging="504"/>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prior to or following regulatory approval and commercial launch of any product candidates;</w:t>
      </w:r>
    </w:p>
    <w:p>
      <w:pPr>
        <w:spacing w:after="0" w:line="63" w:lineRule="exact"/>
        <w:rPr>
          <w:rFonts w:ascii="Arial" w:cs="Arial" w:eastAsia="Arial" w:hAnsi="Arial"/>
          <w:sz w:val="18"/>
          <w:szCs w:val="18"/>
          <w:color w:val="auto"/>
        </w:rPr>
      </w:pPr>
    </w:p>
    <w:p>
      <w:pPr>
        <w:ind w:left="1020" w:right="100" w:hanging="504"/>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26" w:right="379" w:bottom="1440" w:gutter="0" w:footer="0" w:header="0"/>
        </w:sectPr>
      </w:pPr>
    </w:p>
    <w:bookmarkStart w:id="28" w:name="page29"/>
    <w:bookmarkEnd w:id="28"/>
    <w:p>
      <w:pPr>
        <w:ind w:left="1020" w:hanging="504"/>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and amount of payments we may receive or are obligated to pay under our collaboration agreements and license agreements;</w:t>
      </w:r>
    </w:p>
    <w:p>
      <w:pPr>
        <w:spacing w:after="0" w:line="124" w:lineRule="exact"/>
        <w:rPr>
          <w:rFonts w:ascii="Arial" w:cs="Arial" w:eastAsia="Arial" w:hAnsi="Arial"/>
          <w:sz w:val="16"/>
          <w:szCs w:val="16"/>
          <w:color w:val="auto"/>
        </w:rPr>
      </w:pPr>
    </w:p>
    <w:p>
      <w:pPr>
        <w:ind w:left="1020" w:hanging="504"/>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13" w:lineRule="exact"/>
        <w:rPr>
          <w:rFonts w:ascii="Arial" w:cs="Arial" w:eastAsia="Arial" w:hAnsi="Arial"/>
          <w:sz w:val="17"/>
          <w:szCs w:val="17"/>
          <w:color w:val="auto"/>
        </w:rPr>
      </w:pPr>
    </w:p>
    <w:p>
      <w:pPr>
        <w:ind w:left="1020" w:right="480" w:hanging="504"/>
        <w:spacing w:after="0" w:line="25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 including the ongoing patent infringement lawsuit brought by Vytacera against us;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any existing or future litigation to which we are or may become a party;</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01" w:lineRule="exact"/>
        <w:rPr>
          <w:rFonts w:ascii="Arial" w:cs="Arial" w:eastAsia="Arial" w:hAnsi="Arial"/>
          <w:sz w:val="18"/>
          <w:szCs w:val="18"/>
          <w:color w:val="auto"/>
        </w:rPr>
      </w:pPr>
    </w:p>
    <w:p>
      <w:pPr>
        <w:ind w:left="1020" w:right="100" w:hanging="504"/>
        <w:spacing w:after="0" w:line="25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6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clinical trials for programs beyond praluzatamab ravtansine, CX-2029, BMS-986249, BMS-986288, and pacmilimab and CX-904 is subject to finalizing the trial design and submission of an IND or similar submission to the FDA or similar global health authorities. In addition, even if we submit an IND or a comparable submission in other jurisdictions for these or other product candidates, including CX-2043,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CX-2043.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69" w:lineRule="exact"/>
        <w:rPr>
          <w:sz w:val="20"/>
          <w:szCs w:val="20"/>
          <w:color w:val="auto"/>
        </w:rPr>
      </w:pPr>
    </w:p>
    <w:p>
      <w:pPr>
        <w:ind w:left="5540" w:right="2520" w:hanging="5024"/>
        <w:spacing w:after="0" w:line="508" w:lineRule="auto"/>
        <w:tabs>
          <w:tab w:leader="none" w:pos="10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 particularly in light of the COVID-19 pandemic;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34" w:right="379" w:bottom="1440" w:gutter="0" w:footer="0" w:header="0"/>
        </w:sectPr>
      </w:pPr>
    </w:p>
    <w:bookmarkStart w:id="29" w:name="page30"/>
    <w:bookmarkEnd w:id="29"/>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01" w:lineRule="exact"/>
        <w:rPr>
          <w:rFonts w:ascii="Arial" w:cs="Arial" w:eastAsia="Arial" w:hAnsi="Arial"/>
          <w:sz w:val="18"/>
          <w:szCs w:val="18"/>
          <w:color w:val="auto"/>
        </w:rPr>
      </w:pPr>
    </w:p>
    <w:p>
      <w:pPr>
        <w:ind w:left="1020" w:right="40" w:hanging="504"/>
        <w:spacing w:after="0" w:line="25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01" w:lineRule="exact"/>
        <w:rPr>
          <w:rFonts w:ascii="Arial" w:cs="Arial" w:eastAsia="Arial" w:hAnsi="Arial"/>
          <w:sz w:val="18"/>
          <w:szCs w:val="18"/>
          <w:color w:val="auto"/>
        </w:rPr>
      </w:pPr>
    </w:p>
    <w:p>
      <w:pPr>
        <w:ind w:left="1020" w:right="160" w:hanging="504"/>
        <w:spacing w:after="0" w:line="25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19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7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15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are very early in our development efforts, with only four product candidates, praluzatamab ravtansine (CX-2009), CX-2029, pacmilimab (CX-072), and CX-904 currently in early-stage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spacing w:after="0" w:line="162"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8" w:lineRule="exact"/>
        <w:rPr>
          <w:sz w:val="20"/>
          <w:szCs w:val="20"/>
          <w:color w:val="auto"/>
        </w:rPr>
      </w:pPr>
    </w:p>
    <w:p>
      <w:pPr>
        <w:ind w:left="1020" w:hanging="504"/>
        <w:spacing w:after="0" w:line="321"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17" w:lineRule="exact"/>
        <w:rPr>
          <w:rFonts w:ascii="Arial" w:cs="Arial" w:eastAsia="Arial" w:hAnsi="Arial"/>
          <w:sz w:val="16"/>
          <w:szCs w:val="16"/>
          <w:color w:val="auto"/>
        </w:rPr>
      </w:pPr>
    </w:p>
    <w:p>
      <w:pPr>
        <w:ind w:left="1020" w:right="400" w:hanging="504"/>
        <w:spacing w:after="0" w:line="25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3" w:lineRule="exact"/>
        <w:rPr>
          <w:rFonts w:ascii="Arial" w:cs="Arial" w:eastAsia="Arial" w:hAnsi="Arial"/>
          <w:sz w:val="18"/>
          <w:szCs w:val="18"/>
          <w:color w:val="auto"/>
        </w:rPr>
      </w:pPr>
    </w:p>
    <w:p>
      <w:pPr>
        <w:ind w:left="1020" w:right="400" w:hanging="504"/>
        <w:spacing w:after="0" w:line="25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01" w:lineRule="exact"/>
        <w:rPr>
          <w:rFonts w:ascii="Arial" w:cs="Arial" w:eastAsia="Arial" w:hAnsi="Arial"/>
          <w:sz w:val="18"/>
          <w:szCs w:val="18"/>
          <w:color w:val="auto"/>
        </w:rPr>
      </w:pPr>
    </w:p>
    <w:p>
      <w:pPr>
        <w:ind w:left="1020" w:right="800" w:hanging="504"/>
        <w:spacing w:after="0" w:line="25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or our collaborators’ clinical trials;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0" w:name="page31"/>
    <w:bookmarkEnd w:id="30"/>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01"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3" w:lineRule="exact"/>
        <w:rPr>
          <w:rFonts w:ascii="Arial" w:cs="Arial" w:eastAsia="Arial" w:hAnsi="Arial"/>
          <w:sz w:val="18"/>
          <w:szCs w:val="18"/>
          <w:color w:val="auto"/>
        </w:rPr>
      </w:pPr>
    </w:p>
    <w:p>
      <w:pPr>
        <w:ind w:left="1020" w:right="420" w:hanging="504"/>
        <w:spacing w:after="0" w:line="25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63" w:lineRule="exact"/>
        <w:rPr>
          <w:sz w:val="20"/>
          <w:szCs w:val="20"/>
          <w:color w:val="auto"/>
        </w:rPr>
      </w:pPr>
    </w:p>
    <w:p>
      <w:pPr>
        <w:jc w:val="both"/>
        <w:ind w:right="340"/>
        <w:spacing w:after="0" w:line="246" w:lineRule="auto"/>
        <w:rPr>
          <w:sz w:val="20"/>
          <w:szCs w:val="20"/>
          <w:color w:val="auto"/>
        </w:rPr>
      </w:pPr>
      <w:r>
        <w:rPr>
          <w:rFonts w:ascii="Arial" w:cs="Arial" w:eastAsia="Arial" w:hAnsi="Arial"/>
          <w:sz w:val="18"/>
          <w:szCs w:val="18"/>
          <w:color w:val="auto"/>
        </w:rPr>
        <w:t>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the impact of the COVID-19 pandemic.</w:t>
      </w:r>
    </w:p>
    <w:p>
      <w:pPr>
        <w:spacing w:after="0" w:line="169"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December 2021 we announced preliminary data on two of the four expansion cohorts for CX-2029. We can make no assurances that the ultimate trial results for these two cohorts will be consistent with or better or worse than that reported data. We also make assumptions, estimations, calculations and conclusions as part of our analyses of data, and we may not have received or had the opportunity to fully and carefully evaluate all data. Further, as a result of the COVID-19 pandemic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7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17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31" w:name="page32"/>
    <w:bookmarkEnd w:id="31"/>
    <w:p>
      <w:pPr>
        <w:ind w:right="80"/>
        <w:spacing w:after="0" w:line="259" w:lineRule="auto"/>
        <w:rPr>
          <w:sz w:val="20"/>
          <w:szCs w:val="20"/>
          <w:color w:val="auto"/>
        </w:rPr>
      </w:pPr>
      <w:r>
        <w:rPr>
          <w:rFonts w:ascii="Arial" w:cs="Arial" w:eastAsia="Arial" w:hAnsi="Arial"/>
          <w:sz w:val="18"/>
          <w:szCs w:val="18"/>
          <w:color w:val="auto"/>
        </w:rPr>
        <w:t>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5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16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praluzatamab ravtansine (CX-2009), CX-2029, pacmilimab (CX-072) and CX-904).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6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In May 2020, we reported that the administration of monotherapy pacmilimab had been generally well tolerated with the majority of treatment-related adverse events (“TRAEs”) as Grade 1/2. At that time, we also reported that of the 114 monotherapy patients treated with 10 mg/kg every two weeks and who were evaluable for safety, ten (9%) patients experienced a grade ≥3 TRAE, and two (2%) experienced grade ≥3 immune-related adverse events (“irAEs”), with two (2%) TRAEs leading to treatment discontinuation. In June 2019, we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5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Administration of pacmilimab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pacmilimab, Grade 3/4 TRAEs were reported in five (25%) patients and Grade 3/4 irAEs were reported in three (15%) patients. We cannot provide assurance that these rates and the types of adverse events will not increase over time with more patients being treated in future studies of our product candidates.</w:t>
      </w:r>
    </w:p>
    <w:p>
      <w:pPr>
        <w:spacing w:after="0" w:line="161"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Administration of praluzatamab ravtansine has also been generally well tolerated with most reported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We cannot guarantee that these rates and the types of adverse events will not increase over time with more patients being treated in ongoing or future studies.</w:t>
      </w:r>
    </w:p>
    <w:p>
      <w:pPr>
        <w:spacing w:after="0" w:line="14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In December 2021, we announced preliminary data on two of four expansion cohorts for CX-2029, including that the most common Grade 3 TRAEs in 10% or more of patients were anemia (67.3%) and decreased neutrophil count (9.6% (plus one Grade 4 event 1.9%)). The etiology of anemia remains under investigation and is likely to be multi-factorial. While the MMAE payload is known to be associated with anemia, preclinical studies have shown that reduction of red blood cell precursors has been observed in response to targeting CD71, which is known to play a role in early erythroid development. Although we believe these TRAEs are manageable, there can be no assurance that the rate or severity of any of these side effects will not increase over time with more patients being treated in ongoing or future studies.</w:t>
      </w:r>
    </w:p>
    <w:p>
      <w:pPr>
        <w:spacing w:after="0" w:line="15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are in the process of initiating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w:t>
      </w:r>
    </w:p>
    <w:p>
      <w:pPr>
        <w:spacing w:after="0" w:line="134"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Additionally, the Phase 2 clinical trial of BMS-986249 being conducted by Bristol Myers Squibb includes the administration of the product candidate at relatively high dosage levels, which could further exacerbate such risks. In our Phase 2 clinical trials with praluzatamab ravtansine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2" w:name="page33"/>
    <w:bookmarkEnd w:id="32"/>
    <w:p>
      <w:pPr>
        <w:ind w:right="540"/>
        <w:spacing w:after="0" w:line="259" w:lineRule="auto"/>
        <w:rPr>
          <w:sz w:val="20"/>
          <w:szCs w:val="20"/>
          <w:color w:val="auto"/>
        </w:rPr>
      </w:pPr>
      <w:r>
        <w:rPr>
          <w:rFonts w:ascii="Arial" w:cs="Arial" w:eastAsia="Arial" w:hAnsi="Arial"/>
          <w:sz w:val="18"/>
          <w:szCs w:val="18"/>
          <w:color w:val="auto"/>
        </w:rPr>
        <w:t>could face similar or heightened risks depending on the modality. Similarly, the combination of EGFR and CD3 has been shown to induce significant toxicities in preclinical animal studies due to the widespread expression of each target.</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While we are using ocular toxicity prophylactic measures in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56" w:lineRule="exact"/>
        <w:rPr>
          <w:sz w:val="20"/>
          <w:szCs w:val="20"/>
          <w:color w:val="auto"/>
        </w:rPr>
      </w:pPr>
    </w:p>
    <w:p>
      <w:pPr>
        <w:jc w:val="both"/>
        <w:ind w:right="160"/>
        <w:spacing w:after="0" w:line="246"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5" w:lineRule="exact"/>
        <w:rPr>
          <w:sz w:val="20"/>
          <w:szCs w:val="20"/>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01" w:lineRule="exact"/>
        <w:rPr>
          <w:rFonts w:ascii="Arial" w:cs="Arial" w:eastAsia="Arial" w:hAnsi="Arial"/>
          <w:sz w:val="18"/>
          <w:szCs w:val="18"/>
          <w:color w:val="auto"/>
        </w:rPr>
      </w:pPr>
    </w:p>
    <w:p>
      <w:pPr>
        <w:ind w:left="1020" w:right="520" w:hanging="504"/>
        <w:spacing w:after="0" w:line="25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9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39" w:lineRule="exact"/>
        <w:rPr>
          <w:sz w:val="20"/>
          <w:szCs w:val="20"/>
          <w:color w:val="auto"/>
        </w:rPr>
      </w:pPr>
    </w:p>
    <w:p>
      <w:pPr>
        <w:jc w:val="both"/>
        <w:ind w:right="280"/>
        <w:spacing w:after="0" w:line="246"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6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7" w:lineRule="exact"/>
        <w:rPr>
          <w:sz w:val="20"/>
          <w:szCs w:val="20"/>
          <w:color w:val="auto"/>
        </w:rPr>
      </w:pPr>
    </w:p>
    <w:p>
      <w:pPr>
        <w:jc w:val="both"/>
        <w:ind w:right="460"/>
        <w:spacing w:after="0" w:line="246"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75" w:lineRule="exact"/>
        <w:rPr>
          <w:sz w:val="20"/>
          <w:szCs w:val="20"/>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33" w:name="page34"/>
    <w:bookmarkEnd w:id="33"/>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9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For example, in March 2020, we announced a temporary pause in new patient enrollment and new site activation in our Phase 2 clinical trial of praluzatamab ravtansine as a result of the COVID-19 pandemic. We revised our strategy for praluzatamab ravtansine and in December 2020, we initiated a new Phase 2 clinical trial of praluzatamab ravtansine, for which we anticipated to report initial clinical data in the fourth quarter of 2021. However, in August 2021, we announced that primarily due to the COVID-19 pandemic, we anticipate initial clinical data from that trial in 2022. There can be no assurances that the COVID-19 pandemic will not continue to have a significant impact on our ability to complete our ongoing clinical trials and enroll patients in any planned or future clinical trials.</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are currently several PD-1 and/or PD-L1 agents approved for a growing list of cancer types along with thousands of clinical trials exploring the use of PD-1 and PD-L1 agents. There can be no assurance that further trials with pacmilimab (CX-072) or our other drug candidates will not be adversely affected by a limited patient population. Our clinical trials of praluzatamab ravtansine and CX-2029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Our clinical trials of praluzatamab ravtansine and CX-2029 are also competing with thousands of clinical trials with alternative anti-cancer drugs in a similar class (e.g. antibody-drug conjugates), and certain arms of the clinical trials may be difficult to enroll due to the emerging standard of care for such indications in certain jurisdictions, including the United States. Likewise, our clinical trial of CX-904 is also competing with thousands of other anti-cancer clinical trials.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1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15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pacmilimab (CX-072) and CX-904.</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4" w:name="page35"/>
    <w:bookmarkEnd w:id="34"/>
    <w:p>
      <w:pPr>
        <w:spacing w:after="0" w:line="253" w:lineRule="auto"/>
        <w:rPr>
          <w:sz w:val="20"/>
          <w:szCs w:val="20"/>
          <w:color w:val="auto"/>
        </w:rPr>
      </w:pPr>
      <w:r>
        <w:rPr>
          <w:rFonts w:ascii="Arial" w:cs="Arial" w:eastAsia="Arial" w:hAnsi="Arial"/>
          <w:sz w:val="17"/>
          <w:szCs w:val="17"/>
          <w:color w:val="auto"/>
        </w:rPr>
        <w:t>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6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We believe that the FDA and foreign regulatory authorities have limited experience with conditionally activated therapeutics in oncology, such experience primarily coming from praluzatamab ravtansine, CX-2029, BMS-986249, BMS-986288, and pacmilimab.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BMS-986249, BMS-986288, and pacmilimab (CX-072)) for which there are existing approved therapies, such as approved agents targeting PD-L1, PD-1, or CTLA-4. Market acceptance of our product candidates will depend on, among other factors:</w:t>
      </w:r>
    </w:p>
    <w:p>
      <w:pPr>
        <w:spacing w:after="0" w:line="69" w:lineRule="exact"/>
        <w:rPr>
          <w:sz w:val="20"/>
          <w:szCs w:val="20"/>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safety, purity, potency (or efficacy) of our product candidates, including those being developed by our collaborators;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government and third-party payors;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5" w:name="page36"/>
    <w:bookmarkEnd w:id="35"/>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01" w:lineRule="exact"/>
        <w:rPr>
          <w:rFonts w:ascii="Arial" w:cs="Arial" w:eastAsia="Arial" w:hAnsi="Arial"/>
          <w:sz w:val="18"/>
          <w:szCs w:val="18"/>
          <w:color w:val="auto"/>
        </w:rPr>
      </w:pPr>
    </w:p>
    <w:p>
      <w:pPr>
        <w:ind w:left="1020" w:right="60" w:hanging="504"/>
        <w:spacing w:after="0" w:line="25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57"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57"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15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conditionally activated ADC.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02" w:lineRule="exact"/>
        <w:rPr>
          <w:sz w:val="20"/>
          <w:szCs w:val="20"/>
          <w:color w:val="auto"/>
        </w:rPr>
      </w:pPr>
    </w:p>
    <w:p>
      <w:pPr>
        <w:ind w:left="1020" w:right="820" w:hanging="504"/>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63" w:lineRule="exact"/>
        <w:rPr>
          <w:rFonts w:ascii="Arial" w:cs="Arial" w:eastAsia="Arial" w:hAnsi="Arial"/>
          <w:sz w:val="18"/>
          <w:szCs w:val="18"/>
          <w:color w:val="auto"/>
        </w:rPr>
      </w:pPr>
    </w:p>
    <w:p>
      <w:pPr>
        <w:ind w:left="1020" w:right="460" w:hanging="504"/>
        <w:spacing w:after="0" w:line="292"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39" w:lineRule="exact"/>
        <w:rPr>
          <w:rFonts w:ascii="Arial" w:cs="Arial" w:eastAsia="Arial" w:hAnsi="Arial"/>
          <w:sz w:val="16"/>
          <w:szCs w:val="16"/>
          <w:color w:val="auto"/>
        </w:rPr>
      </w:pPr>
    </w:p>
    <w:p>
      <w:pPr>
        <w:ind w:left="1020" w:right="220" w:hanging="504"/>
        <w:spacing w:after="0" w:line="267"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58" w:lineRule="exact"/>
        <w:rPr>
          <w:rFonts w:ascii="Arial" w:cs="Arial" w:eastAsia="Arial" w:hAnsi="Arial"/>
          <w:sz w:val="17"/>
          <w:szCs w:val="17"/>
          <w:color w:val="auto"/>
        </w:rPr>
      </w:pPr>
    </w:p>
    <w:p>
      <w:pPr>
        <w:ind w:left="1020" w:right="100" w:hanging="504"/>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4" w:lineRule="exact"/>
        <w:rPr>
          <w:rFonts w:ascii="Arial" w:cs="Arial" w:eastAsia="Arial" w:hAnsi="Arial"/>
          <w:sz w:val="18"/>
          <w:szCs w:val="18"/>
          <w:color w:val="auto"/>
        </w:rPr>
      </w:pPr>
    </w:p>
    <w:p>
      <w:pPr>
        <w:ind w:left="1020" w:right="120" w:hanging="504"/>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4" w:lineRule="exact"/>
        <w:rPr>
          <w:rFonts w:ascii="Arial" w:cs="Arial" w:eastAsia="Arial" w:hAnsi="Arial"/>
          <w:sz w:val="18"/>
          <w:szCs w:val="18"/>
          <w:color w:val="auto"/>
        </w:rPr>
      </w:pPr>
    </w:p>
    <w:p>
      <w:pPr>
        <w:ind w:left="1020" w:right="580" w:hanging="504"/>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3" w:lineRule="exact"/>
        <w:rPr>
          <w:rFonts w:ascii="Arial" w:cs="Arial" w:eastAsia="Arial" w:hAnsi="Arial"/>
          <w:sz w:val="18"/>
          <w:szCs w:val="18"/>
          <w:color w:val="auto"/>
        </w:rPr>
      </w:pPr>
    </w:p>
    <w:p>
      <w:pPr>
        <w:ind w:left="1020" w:right="120" w:hanging="504"/>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4" w:lineRule="exact"/>
        <w:rPr>
          <w:rFonts w:ascii="Arial" w:cs="Arial" w:eastAsia="Arial" w:hAnsi="Arial"/>
          <w:sz w:val="18"/>
          <w:szCs w:val="18"/>
          <w:color w:val="auto"/>
        </w:rPr>
      </w:pPr>
    </w:p>
    <w:p>
      <w:pPr>
        <w:ind w:left="1020" w:right="560" w:hanging="504"/>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36" w:name="page37"/>
    <w:bookmarkEnd w:id="36"/>
    <w:p>
      <w:pPr>
        <w:ind w:left="1020" w:right="120" w:hanging="504"/>
        <w:spacing w:after="0" w:line="321"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7" w:lineRule="exact"/>
        <w:rPr>
          <w:rFonts w:ascii="Arial" w:cs="Arial" w:eastAsia="Arial" w:hAnsi="Arial"/>
          <w:sz w:val="16"/>
          <w:szCs w:val="16"/>
          <w:color w:val="auto"/>
        </w:rPr>
      </w:pPr>
    </w:p>
    <w:p>
      <w:pPr>
        <w:ind w:left="1020" w:right="1060" w:hanging="504"/>
        <w:spacing w:after="0" w:line="25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57"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56" w:lineRule="exact"/>
        <w:rPr>
          <w:sz w:val="20"/>
          <w:szCs w:val="20"/>
          <w:color w:val="auto"/>
        </w:rPr>
      </w:pPr>
    </w:p>
    <w:p>
      <w:pPr>
        <w:ind w:right="240"/>
        <w:spacing w:after="0" w:line="359"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8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14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that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1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157"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55" w:lineRule="exact"/>
        <w:rPr>
          <w:sz w:val="20"/>
          <w:szCs w:val="20"/>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01" w:lineRule="exact"/>
        <w:rPr>
          <w:rFonts w:ascii="Arial" w:cs="Arial" w:eastAsia="Arial" w:hAnsi="Arial"/>
          <w:sz w:val="18"/>
          <w:szCs w:val="18"/>
          <w:color w:val="auto"/>
        </w:rPr>
      </w:pPr>
    </w:p>
    <w:p>
      <w:pPr>
        <w:ind w:left="1020" w:right="40" w:hanging="504"/>
        <w:spacing w:after="0" w:line="25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7" w:name="page38"/>
    <w:bookmarkEnd w:id="37"/>
    <w:p>
      <w:pPr>
        <w:ind w:left="1020" w:hanging="504"/>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0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the impact of the COVID-19 pandemic. Further, we continue to see an impact as a result of the COVID-19 pandemic on our efforts, including ongoing clinical trial site activation and patient enrollment for praluzatamab ravtansine.</w:t>
      </w:r>
    </w:p>
    <w:p>
      <w:pPr>
        <w:spacing w:after="0" w:line="1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157" w:lineRule="exact"/>
        <w:rPr>
          <w:sz w:val="20"/>
          <w:szCs w:val="20"/>
          <w:color w:val="auto"/>
        </w:rPr>
      </w:pPr>
    </w:p>
    <w:p>
      <w:pPr>
        <w:ind w:right="100"/>
        <w:spacing w:after="0" w:line="359"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8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Since commencing operations, we have entered into several collaboration agreements, including the agreement that we entered into with Astellas in March 2020.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130"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i w:val="1"/>
          <w:iCs w:val="1"/>
          <w:color w:val="auto"/>
        </w:rPr>
        <w:t>development programs could be delayed with material and adverse effects on our business, financial condition, results of operations and prospects.</w:t>
      </w:r>
    </w:p>
    <w:p>
      <w:pPr>
        <w:spacing w:after="0" w:line="23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50"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15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have enrolled or are planning to enroll patients in our clinical trials outside the United States, including in Europe and South Korea. While we generally conduct our clinical trials solely or partially in the U.S., to the extent that clinical trials are conducted outside of the U.S., the FDA may have certain additional requirements.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6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9" w:name="page40"/>
    <w:bookmarkEnd w:id="39"/>
    <w:p>
      <w:pPr>
        <w:ind w:right="180"/>
        <w:spacing w:after="0" w:line="246"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16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pacmilimab (CX-072), and CX-904,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ongoing clinical trial and planned clinical trials, there can be no assurance that we will not have future production failures, which could affect our ability to conduct our trials for praluzatamab ravtansine, CX-2029, pacmilimab, CX-904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has been completed, there can be no assurance that we will not experience a disruption in the supply of praluzatamab ravtansine as a result of such transfer or that we will not experience any other disruption in the manufacture of praluzatamab ravtansine.</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5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0" w:lineRule="exact"/>
        <w:rPr>
          <w:sz w:val="20"/>
          <w:szCs w:val="20"/>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40" w:name="page41"/>
    <w:bookmarkEnd w:id="40"/>
    <w:p>
      <w:pPr>
        <w:ind w:left="1020" w:hanging="504"/>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clinical-stage conditionally activated ADCs, praluzatamab ravtansine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72"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3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It may prove more challenging than we anticipate to manufacture products that incorporate our Probody therapeutic technology. In order to conduct clinical trials of our product candidates, including our clinical trials for praluzatamab ravtansine (CX-2009), CX-2029, pacmilimab (CX-072), and CX-904 we will need to manufacture them in large quantities. To date, we have generally been able to successfully manufacture praluzatamab ravtansine, CX-2029, and pacmilimab for our ongoing early-stage clinical trials. However, in November 2019, we had a production failure at one of our contract manufacturers that manufactured pacmilimab for our Phase 1/2 clinical trial and for our future trials.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planned clinical trials, there can be no assurance that we will not have future production failures, which could affect our ability to conduct our trials for praluzatamab ravtansine, CX-2029, pacmilimab, CX-904 or any other clinical trial drug candidates on our planned timeline or at all. Furthermore, in order to conduct later stage clinical trials of our product candidates, such as our Phase 2 clinical trial for praluzatamab ravtansine,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including praluzatamab ravtansine drug product for late-stage clinical trials and commercialization.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praluzatamab ravtansine, pacmilimab or any of our other product candidates, increase the life of drug stability of product candidates, or successfully complete the FDA’s bridging requirements, we may not be able to successfully obtain FDA approval and commercialize product candidates in a timely manner or at all.</w:t>
      </w:r>
    </w:p>
    <w:p>
      <w:pPr>
        <w:spacing w:after="0" w:line="163"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Additionally, we were dependent on ImmunoGen under our collaboration for certain steps in the manufacturing of clinical quantities of praluzatamab ravtansine. At the end of 2018, ImmunoGen closed their clinical manufacturing facility in Norwood, Massachusetts, which provided clinical manufacturing support for the praluzatamab ravtansine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praluzatamab ravtansine in connection with such transfer or that we will not experience any other disruption in the manufacturing of praluzatamab ravtansine.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157"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and indications, including praluzatamab ravtansine (CX-2009), CX-2029, pacmilimab (CX-072), and CX-904.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including CX-2043,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34"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96"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We will need to grow our organization substantially to continue development and pursue the potential commercialization of praluzatamab ravtansine (CX-2009), CX-2029, pacmilimab (CX-072), CX-904 and our other product candidates, including CX-2043,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74"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5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praluzatamab ravtansine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pacmilimab (CX-072) is, in particular, highly competitive and the field is changing quickly. In March 2020, we made the strategic decision to terminate our Phase 2 study evaluating pacmilimab in combination ipilimumab. This decision followed a re-evaluation of the evolving clinical, competitive and commercial landscapes in immuno-oncology, taken together with the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57"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Harpoon Therapeutics, Revitope, Roche, Seagen, Takeda, Werewolf Therapeutics, and Xilio are exploring antibody masking and/or conditional activation strategies, which could compete with our Probody platform. We are also aware of several companies that are developing ADCs, such as AbbVie, ADC Therapeutics, Daiichi Sankyo, Gilead, ImmunoGen, Merck &amp; Co.,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2" w:name="page43"/>
    <w:bookmarkEnd w:id="42"/>
    <w:p>
      <w:pPr>
        <w:ind w:right="120"/>
        <w:spacing w:after="0" w:line="271"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21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success largely depends on the continued service of key management, advisors and other specialized personnel, including Sean A. McCarthy, D.Phil., our chief executive officer and chairman, and Amy C. Peterson, M.D., our president and chief operating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has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spacing w:after="0" w:line="16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169"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9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3" w:name="page44"/>
    <w:bookmarkEnd w:id="43"/>
    <w:p>
      <w:pPr>
        <w:ind w:right="540"/>
        <w:spacing w:after="0" w:line="259" w:lineRule="auto"/>
        <w:rPr>
          <w:sz w:val="20"/>
          <w:szCs w:val="20"/>
          <w:color w:val="auto"/>
        </w:rPr>
      </w:pPr>
      <w:r>
        <w:rPr>
          <w:rFonts w:ascii="Arial" w:cs="Arial" w:eastAsia="Arial" w:hAnsi="Arial"/>
          <w:sz w:val="18"/>
          <w:szCs w:val="18"/>
          <w:color w:val="auto"/>
        </w:rPr>
        <w:t>currently do not know how the exit of the United Kingdom from the European Union will affect the pricing of prescription drugs, either in the United Kingdom or in the remaining European Union member states.</w:t>
      </w:r>
    </w:p>
    <w:p>
      <w:pPr>
        <w:spacing w:after="0" w:line="15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CX-904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15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57"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8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we continue to operate in a hybrid, work-from-home environment and there can be no assurance that we will be able to continue to increase or maintain current levels of such activity or that the COVID-19 pandemic will not continue to impact our ability to conduct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4" w:name="page45"/>
    <w:bookmarkEnd w:id="44"/>
    <w:p>
      <w:pPr>
        <w:ind w:right="40"/>
        <w:spacing w:after="0" w:line="272"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96" w:lineRule="exact"/>
        <w:rPr>
          <w:sz w:val="20"/>
          <w:szCs w:val="20"/>
          <w:color w:val="auto"/>
        </w:rPr>
      </w:pPr>
    </w:p>
    <w:p>
      <w:pPr>
        <w:jc w:val="both"/>
        <w:ind w:right="180"/>
        <w:spacing w:after="0" w:line="269"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0"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15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5" w:name="page46"/>
    <w:bookmarkEnd w:id="45"/>
    <w:p>
      <w:pPr>
        <w:ind w:right="40"/>
        <w:spacing w:after="0" w:line="288" w:lineRule="auto"/>
        <w:rPr>
          <w:sz w:val="20"/>
          <w:szCs w:val="20"/>
          <w:color w:val="auto"/>
        </w:rPr>
      </w:pPr>
      <w:r>
        <w:rPr>
          <w:rFonts w:ascii="Arial" w:cs="Arial" w:eastAsia="Arial" w:hAnsi="Arial"/>
          <w:sz w:val="17"/>
          <w:szCs w:val="17"/>
          <w:color w:val="auto"/>
        </w:rPr>
        <w:t>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3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50"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48" w:lineRule="exact"/>
        <w:rPr>
          <w:sz w:val="20"/>
          <w:szCs w:val="20"/>
          <w:color w:val="auto"/>
        </w:rPr>
      </w:pPr>
    </w:p>
    <w:p>
      <w:pPr>
        <w:ind w:left="1020" w:right="280" w:hanging="504"/>
        <w:spacing w:after="0" w:line="25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3" w:lineRule="exact"/>
        <w:rPr>
          <w:rFonts w:ascii="Arial" w:cs="Arial" w:eastAsia="Arial" w:hAnsi="Arial"/>
          <w:sz w:val="18"/>
          <w:szCs w:val="18"/>
          <w:color w:val="auto"/>
        </w:rPr>
      </w:pPr>
    </w:p>
    <w:p>
      <w:pPr>
        <w:ind w:left="1020" w:right="640" w:hanging="504"/>
        <w:spacing w:after="0" w:line="25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01" w:lineRule="exact"/>
        <w:rPr>
          <w:rFonts w:ascii="Arial" w:cs="Arial" w:eastAsia="Arial" w:hAnsi="Arial"/>
          <w:sz w:val="18"/>
          <w:szCs w:val="18"/>
          <w:color w:val="auto"/>
        </w:rPr>
      </w:pPr>
    </w:p>
    <w:p>
      <w:pPr>
        <w:ind w:left="1020" w:right="940" w:hanging="504"/>
        <w:spacing w:after="0" w:line="25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13" w:lineRule="exact"/>
        <w:rPr>
          <w:rFonts w:ascii="Arial" w:cs="Arial" w:eastAsia="Arial" w:hAnsi="Arial"/>
          <w:sz w:val="17"/>
          <w:szCs w:val="17"/>
          <w:color w:val="auto"/>
        </w:rPr>
      </w:pPr>
    </w:p>
    <w:p>
      <w:pPr>
        <w:ind w:left="1020" w:hanging="504"/>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24" w:lineRule="exact"/>
        <w:rPr>
          <w:rFonts w:ascii="Arial" w:cs="Arial" w:eastAsia="Arial" w:hAnsi="Arial"/>
          <w:sz w:val="16"/>
          <w:szCs w:val="16"/>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13" w:lineRule="exact"/>
        <w:rPr>
          <w:rFonts w:ascii="Arial" w:cs="Arial" w:eastAsia="Arial" w:hAnsi="Arial"/>
          <w:sz w:val="17"/>
          <w:szCs w:val="17"/>
          <w:color w:val="auto"/>
        </w:rPr>
      </w:pPr>
    </w:p>
    <w:p>
      <w:pPr>
        <w:ind w:left="1020" w:right="60" w:hanging="504"/>
        <w:spacing w:after="0" w:line="288"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46" w:name="page47"/>
    <w:bookmarkEnd w:id="46"/>
    <w:p>
      <w:pPr>
        <w:ind w:right="360"/>
        <w:spacing w:after="0" w:line="259"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78" w:lineRule="exact"/>
        <w:rPr>
          <w:sz w:val="20"/>
          <w:szCs w:val="20"/>
          <w:color w:val="auto"/>
        </w:rPr>
      </w:pPr>
    </w:p>
    <w:p>
      <w:pPr>
        <w:jc w:val="both"/>
        <w:ind w:right="280"/>
        <w:spacing w:after="0" w:line="246"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4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96"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66"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spacing w:after="0" w:line="17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7" w:name="page48"/>
    <w:bookmarkEnd w:id="47"/>
    <w:p>
      <w:pPr>
        <w:jc w:val="both"/>
        <w:ind w:right="80"/>
        <w:spacing w:after="0" w:line="242" w:lineRule="auto"/>
        <w:rPr>
          <w:sz w:val="20"/>
          <w:szCs w:val="20"/>
          <w:color w:val="auto"/>
        </w:rPr>
      </w:pPr>
      <w:r>
        <w:rPr>
          <w:rFonts w:ascii="Arial" w:cs="Arial" w:eastAsia="Arial" w:hAnsi="Arial"/>
          <w:sz w:val="18"/>
          <w:szCs w:val="18"/>
          <w:color w:val="auto"/>
        </w:rPr>
        <w:t>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7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172"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5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167" w:lineRule="exact"/>
        <w:rPr>
          <w:sz w:val="20"/>
          <w:szCs w:val="20"/>
          <w:color w:val="auto"/>
        </w:rPr>
      </w:pPr>
    </w:p>
    <w:p>
      <w:pPr>
        <w:jc w:val="both"/>
        <w:ind w:right="480"/>
        <w:spacing w:after="0" w:line="246"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8" w:name="page49"/>
    <w:bookmarkEnd w:id="48"/>
    <w:p>
      <w:pPr>
        <w:ind w:right="60"/>
        <w:spacing w:after="0" w:line="252" w:lineRule="auto"/>
        <w:rPr>
          <w:sz w:val="20"/>
          <w:szCs w:val="20"/>
          <w:color w:val="auto"/>
        </w:rPr>
      </w:pPr>
      <w:r>
        <w:rPr>
          <w:rFonts w:ascii="Arial" w:cs="Arial" w:eastAsia="Arial" w:hAnsi="Arial"/>
          <w:sz w:val="17"/>
          <w:szCs w:val="17"/>
          <w:color w:val="auto"/>
        </w:rPr>
        <w:t>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66"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0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14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169"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9" w:name="page50"/>
    <w:bookmarkEnd w:id="49"/>
    <w:p>
      <w:pPr>
        <w:ind w:right="340"/>
        <w:spacing w:after="0" w:line="242" w:lineRule="auto"/>
        <w:rPr>
          <w:sz w:val="20"/>
          <w:szCs w:val="20"/>
          <w:color w:val="auto"/>
        </w:rPr>
      </w:pPr>
      <w:r>
        <w:rPr>
          <w:rFonts w:ascii="Arial" w:cs="Arial" w:eastAsia="Arial" w:hAnsi="Arial"/>
          <w:sz w:val="18"/>
          <w:szCs w:val="18"/>
          <w:color w:val="auto"/>
        </w:rPr>
        <w:t>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72"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169"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5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63" w:lineRule="exact"/>
        <w:rPr>
          <w:sz w:val="20"/>
          <w:szCs w:val="20"/>
          <w:color w:val="auto"/>
        </w:rPr>
      </w:pPr>
    </w:p>
    <w:p>
      <w:pPr>
        <w:ind w:right="460"/>
        <w:spacing w:after="0" w:line="267"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7"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0"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6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3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7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7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1" w:name="page52"/>
    <w:bookmarkEnd w:id="51"/>
    <w:p>
      <w:pPr>
        <w:ind w:right="180"/>
        <w:spacing w:after="0" w:line="257" w:lineRule="auto"/>
        <w:rPr>
          <w:sz w:val="20"/>
          <w:szCs w:val="20"/>
          <w:color w:val="auto"/>
        </w:rPr>
      </w:pPr>
      <w:r>
        <w:rPr>
          <w:rFonts w:ascii="Arial" w:cs="Arial" w:eastAsia="Arial" w:hAnsi="Arial"/>
          <w:sz w:val="17"/>
          <w:szCs w:val="17"/>
          <w:color w:val="auto"/>
        </w:rPr>
        <w:t>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67" w:lineRule="exact"/>
        <w:rPr>
          <w:sz w:val="20"/>
          <w:szCs w:val="20"/>
          <w:color w:val="auto"/>
        </w:rPr>
      </w:pPr>
    </w:p>
    <w:p>
      <w:pPr>
        <w:ind w:left="1020" w:right="180" w:hanging="504"/>
        <w:spacing w:after="0" w:line="25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our strategic partners;</w:t>
      </w:r>
    </w:p>
    <w:p>
      <w:pPr>
        <w:spacing w:after="0" w:line="113" w:lineRule="exact"/>
        <w:rPr>
          <w:rFonts w:ascii="Arial" w:cs="Arial" w:eastAsia="Arial" w:hAnsi="Arial"/>
          <w:sz w:val="17"/>
          <w:szCs w:val="17"/>
          <w:color w:val="auto"/>
        </w:rPr>
      </w:pPr>
    </w:p>
    <w:p>
      <w:pPr>
        <w:ind w:left="1020" w:hanging="50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45"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62"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6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2" w:name="page53"/>
    <w:bookmarkEnd w:id="52"/>
    <w:p>
      <w:pPr>
        <w:spacing w:after="0" w:line="267"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the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p>
    <w:p>
      <w:pPr>
        <w:spacing w:after="0" w:line="163"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53" w:name="page54"/>
    <w:bookmarkEnd w:id="53"/>
    <w:p>
      <w:pPr>
        <w:ind w:right="340"/>
        <w:spacing w:after="0" w:line="246" w:lineRule="auto"/>
        <w:rPr>
          <w:sz w:val="20"/>
          <w:szCs w:val="20"/>
          <w:color w:val="auto"/>
        </w:rPr>
      </w:pPr>
      <w:r>
        <w:rPr>
          <w:rFonts w:ascii="Arial" w:cs="Arial" w:eastAsia="Arial" w:hAnsi="Arial"/>
          <w:sz w:val="18"/>
          <w:szCs w:val="18"/>
          <w:color w:val="auto"/>
        </w:rPr>
        <w:t>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Furthermore,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77"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0" w:lineRule="exact"/>
        <w:rPr>
          <w:sz w:val="20"/>
          <w:szCs w:val="20"/>
          <w:color w:val="auto"/>
        </w:rPr>
      </w:pPr>
    </w:p>
    <w:p>
      <w:pPr>
        <w:ind w:left="1020" w:right="80" w:hanging="504"/>
        <w:spacing w:after="0" w:line="23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3" w:lineRule="exact"/>
        <w:rPr>
          <w:rFonts w:ascii="Arial" w:cs="Arial" w:eastAsia="Arial" w:hAnsi="Arial"/>
          <w:sz w:val="18"/>
          <w:szCs w:val="18"/>
          <w:color w:val="auto"/>
        </w:rPr>
      </w:pPr>
    </w:p>
    <w:p>
      <w:pPr>
        <w:ind w:left="1020" w:right="20" w:hanging="504"/>
        <w:spacing w:after="0" w:line="238"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3" w:lineRule="exact"/>
        <w:rPr>
          <w:rFonts w:ascii="Arial" w:cs="Arial" w:eastAsia="Arial" w:hAnsi="Arial"/>
          <w:sz w:val="18"/>
          <w:szCs w:val="18"/>
          <w:color w:val="auto"/>
        </w:rPr>
      </w:pPr>
    </w:p>
    <w:p>
      <w:pPr>
        <w:ind w:left="1020" w:right="60" w:hanging="504"/>
        <w:spacing w:after="0" w:line="257"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7" w:lineRule="exact"/>
        <w:rPr>
          <w:rFonts w:ascii="Arial" w:cs="Arial" w:eastAsia="Arial" w:hAnsi="Arial"/>
          <w:sz w:val="17"/>
          <w:szCs w:val="17"/>
          <w:color w:val="auto"/>
        </w:rPr>
      </w:pPr>
    </w:p>
    <w:p>
      <w:pPr>
        <w:ind w:left="1020" w:right="360" w:hanging="504"/>
        <w:spacing w:after="0" w:line="254"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4" w:name="page55"/>
    <w:bookmarkEnd w:id="54"/>
    <w:p>
      <w:pPr>
        <w:ind w:left="1020" w:right="60" w:hanging="504"/>
        <w:spacing w:after="0" w:line="277"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5" w:lineRule="exact"/>
        <w:rPr>
          <w:sz w:val="20"/>
          <w:szCs w:val="20"/>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1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15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55" w:name="page56"/>
    <w:bookmarkEnd w:id="55"/>
    <w:p>
      <w:pPr>
        <w:ind w:right="160"/>
        <w:spacing w:after="0" w:line="246" w:lineRule="auto"/>
        <w:rPr>
          <w:sz w:val="20"/>
          <w:szCs w:val="20"/>
          <w:color w:val="auto"/>
        </w:rPr>
      </w:pPr>
      <w:r>
        <w:rPr>
          <w:rFonts w:ascii="Arial" w:cs="Arial" w:eastAsia="Arial" w:hAnsi="Arial"/>
          <w:sz w:val="18"/>
          <w:szCs w:val="18"/>
          <w:color w:val="auto"/>
        </w:rPr>
        <w:t>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6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5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operations abroad may also be subject to increased scrutiny or attention from data protection authorities. For example, the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in July 2020, the Court of Justice of the European Union (“CJEU”) limited how organizations could lawfully transfer personal data from the EU/EEA to the United States by invalidating the EU-US Privacy Shield Framework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the United Kingdom’s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6" w:name="page57"/>
    <w:bookmarkEnd w:id="56"/>
    <w:p>
      <w:pPr>
        <w:ind w:right="100"/>
        <w:spacing w:after="0" w:line="272" w:lineRule="auto"/>
        <w:rPr>
          <w:sz w:val="20"/>
          <w:szCs w:val="20"/>
          <w:color w:val="auto"/>
        </w:rPr>
      </w:pPr>
      <w:r>
        <w:rPr>
          <w:rFonts w:ascii="Arial" w:cs="Arial" w:eastAsia="Arial" w:hAnsi="Arial"/>
          <w:sz w:val="16"/>
          <w:szCs w:val="16"/>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European Union in relation to certain aspects of data protection law remains unclear, including how data transfers between European Union member states and the United Kingdom will be treated. These changes may lead to additional compliance costs and could increase our overall risk.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5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recent years, U.S. and European lawmakers and regulators have expressed concern over electronic marketing and the use of third-party cookies, web beacons and similar technology for online behavioral advertising. In the European Union, the rules on e-marketing are currently set out in the ePrivacy Directive, which will be replaced by a new ePrivacy Regulation. While the ePrivacy Regulation was originally intended to be adopted on May 25, 2018 (alongside the GDPR), it is still going through the European legislative process. The current draft of the ePrivacy Regulation imposes strict opt-in e-marketing rules with limited exceptions for business to business communications, and significantly increases fines for non-compliance. Regulation of cookies and web beacons may lead to broader restrictions on our online activities, including our efforts to understand our users’ internet usage and promote ourselves to them.</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1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157"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6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28" w:right="359" w:bottom="1440" w:gutter="0" w:footer="0" w:header="0"/>
        </w:sectPr>
      </w:pPr>
    </w:p>
    <w:bookmarkStart w:id="57" w:name="page58"/>
    <w:bookmarkEnd w:id="57"/>
    <w:p>
      <w:pPr>
        <w:ind w:right="140"/>
        <w:spacing w:after="0" w:line="259" w:lineRule="auto"/>
        <w:rPr>
          <w:sz w:val="20"/>
          <w:szCs w:val="20"/>
          <w:color w:val="auto"/>
        </w:rPr>
      </w:pPr>
      <w:r>
        <w:rPr>
          <w:rFonts w:ascii="Arial" w:cs="Arial" w:eastAsia="Arial" w:hAnsi="Arial"/>
          <w:sz w:val="18"/>
          <w:szCs w:val="18"/>
          <w:color w:val="auto"/>
        </w:rPr>
        <w:t>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5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17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6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8" w:name="page59"/>
    <w:bookmarkEnd w:id="58"/>
    <w:p>
      <w:pPr>
        <w:spacing w:after="0" w:line="269" w:lineRule="auto"/>
        <w:rPr>
          <w:sz w:val="20"/>
          <w:szCs w:val="20"/>
          <w:color w:val="auto"/>
        </w:rPr>
      </w:pPr>
      <w:r>
        <w:rPr>
          <w:rFonts w:ascii="Arial" w:cs="Arial" w:eastAsia="Arial" w:hAnsi="Arial"/>
          <w:sz w:val="16"/>
          <w:szCs w:val="16"/>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condition. Even after an orphan product is approved, the FDA can subsequently approve the same drug or therapeutic biologic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25"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57"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3" w:lineRule="exact"/>
        <w:rPr>
          <w:sz w:val="20"/>
          <w:szCs w:val="20"/>
          <w:color w:val="auto"/>
        </w:rPr>
      </w:pPr>
    </w:p>
    <w:p>
      <w:pPr>
        <w:ind w:left="1020" w:right="140" w:hanging="504"/>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3" w:lineRule="exact"/>
        <w:rPr>
          <w:rFonts w:ascii="Arial" w:cs="Arial" w:eastAsia="Arial" w:hAnsi="Arial"/>
          <w:sz w:val="18"/>
          <w:szCs w:val="18"/>
          <w:color w:val="auto"/>
        </w:rPr>
      </w:pPr>
    </w:p>
    <w:p>
      <w:pPr>
        <w:ind w:left="1020" w:right="40" w:hanging="504"/>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3" w:lineRule="exact"/>
        <w:rPr>
          <w:rFonts w:ascii="Arial" w:cs="Arial" w:eastAsia="Arial" w:hAnsi="Arial"/>
          <w:sz w:val="18"/>
          <w:szCs w:val="18"/>
          <w:color w:val="auto"/>
        </w:rPr>
      </w:pPr>
    </w:p>
    <w:p>
      <w:pPr>
        <w:ind w:left="1020" w:right="220" w:hanging="504"/>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3" w:lineRule="exact"/>
        <w:rPr>
          <w:rFonts w:ascii="Arial" w:cs="Arial" w:eastAsia="Arial" w:hAnsi="Arial"/>
          <w:sz w:val="18"/>
          <w:szCs w:val="18"/>
          <w:color w:val="auto"/>
        </w:rPr>
      </w:pPr>
    </w:p>
    <w:p>
      <w:pPr>
        <w:ind w:left="1020" w:right="240" w:hanging="504"/>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3" w:lineRule="exact"/>
        <w:rPr>
          <w:rFonts w:ascii="Arial" w:cs="Arial" w:eastAsia="Arial" w:hAnsi="Arial"/>
          <w:sz w:val="18"/>
          <w:szCs w:val="18"/>
          <w:color w:val="auto"/>
        </w:rPr>
      </w:pPr>
    </w:p>
    <w:p>
      <w:pPr>
        <w:ind w:left="1020" w:right="460" w:hanging="504"/>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1" w:lineRule="exact"/>
        <w:rPr>
          <w:rFonts w:ascii="Arial" w:cs="Arial" w:eastAsia="Arial" w:hAnsi="Arial"/>
          <w:sz w:val="18"/>
          <w:szCs w:val="18"/>
          <w:color w:val="auto"/>
        </w:rPr>
      </w:pPr>
    </w:p>
    <w:p>
      <w:pPr>
        <w:ind w:left="1020" w:right="300" w:hanging="504"/>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3" w:lineRule="exact"/>
        <w:rPr>
          <w:rFonts w:ascii="Arial" w:cs="Arial" w:eastAsia="Arial" w:hAnsi="Arial"/>
          <w:sz w:val="18"/>
          <w:szCs w:val="18"/>
          <w:color w:val="auto"/>
        </w:rPr>
      </w:pPr>
    </w:p>
    <w:p>
      <w:pPr>
        <w:ind w:left="1020" w:right="60" w:hanging="504"/>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9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9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$1.71 and $35.00 per share. The market price for our common stock may be influenced by many factors, including the other risks described in this section titled “Risk Factors” and the following:</w:t>
      </w:r>
    </w:p>
    <w:p>
      <w:pPr>
        <w:spacing w:after="0" w:line="75" w:lineRule="exact"/>
        <w:rPr>
          <w:sz w:val="20"/>
          <w:szCs w:val="20"/>
          <w:color w:val="auto"/>
        </w:rPr>
      </w:pPr>
    </w:p>
    <w:p>
      <w:pPr>
        <w:ind w:left="5540" w:right="1540" w:hanging="5024"/>
        <w:spacing w:after="0" w:line="508" w:lineRule="auto"/>
        <w:tabs>
          <w:tab w:leader="none" w:pos="10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59" w:name="page60"/>
    <w:bookmarkEnd w:id="59"/>
    <w:p>
      <w:pPr>
        <w:ind w:left="1020" w:hanging="504"/>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13" w:lineRule="exact"/>
        <w:rPr>
          <w:rFonts w:ascii="Arial" w:cs="Arial" w:eastAsia="Arial" w:hAnsi="Arial"/>
          <w:sz w:val="17"/>
          <w:szCs w:val="17"/>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1" w:lineRule="exact"/>
        <w:rPr>
          <w:rFonts w:ascii="Arial" w:cs="Arial" w:eastAsia="Arial" w:hAnsi="Arial"/>
          <w:sz w:val="18"/>
          <w:szCs w:val="18"/>
          <w:color w:val="auto"/>
        </w:rPr>
      </w:pPr>
    </w:p>
    <w:p>
      <w:pPr>
        <w:ind w:left="1020" w:right="220" w:hanging="504"/>
        <w:spacing w:after="0" w:line="259"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13" w:lineRule="exact"/>
        <w:rPr>
          <w:rFonts w:ascii="Arial" w:cs="Arial" w:eastAsia="Arial" w:hAnsi="Arial"/>
          <w:sz w:val="17"/>
          <w:szCs w:val="17"/>
          <w:color w:val="auto"/>
        </w:rPr>
      </w:pPr>
    </w:p>
    <w:p>
      <w:pPr>
        <w:ind w:left="1020" w:right="260" w:hanging="504"/>
        <w:spacing w:after="0" w:line="24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01" w:lineRule="exact"/>
        <w:rPr>
          <w:rFonts w:ascii="Arial" w:cs="Arial" w:eastAsia="Arial" w:hAnsi="Arial"/>
          <w:sz w:val="18"/>
          <w:szCs w:val="18"/>
          <w:color w:val="auto"/>
        </w:rPr>
      </w:pPr>
    </w:p>
    <w:p>
      <w:pPr>
        <w:ind w:left="1020" w:right="220" w:hanging="504"/>
        <w:spacing w:after="0" w:line="259"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13" w:lineRule="exact"/>
        <w:rPr>
          <w:rFonts w:ascii="Arial" w:cs="Arial" w:eastAsia="Arial" w:hAnsi="Arial"/>
          <w:sz w:val="17"/>
          <w:szCs w:val="17"/>
          <w:color w:val="auto"/>
        </w:rPr>
      </w:pPr>
    </w:p>
    <w:p>
      <w:pPr>
        <w:ind w:left="1020" w:right="220" w:hanging="504"/>
        <w:spacing w:after="0" w:line="259"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1" w:lineRule="exact"/>
        <w:rPr>
          <w:rFonts w:ascii="Arial" w:cs="Arial" w:eastAsia="Arial" w:hAnsi="Arial"/>
          <w:sz w:val="18"/>
          <w:szCs w:val="18"/>
          <w:color w:val="auto"/>
        </w:rPr>
      </w:pPr>
    </w:p>
    <w:p>
      <w:pPr>
        <w:ind w:left="1020" w:right="180" w:hanging="504"/>
        <w:spacing w:after="0" w:line="259"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3"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13" w:lineRule="exact"/>
        <w:rPr>
          <w:rFonts w:ascii="Arial" w:cs="Arial" w:eastAsia="Arial" w:hAnsi="Arial"/>
          <w:sz w:val="17"/>
          <w:szCs w:val="17"/>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9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50" w:lineRule="exact"/>
        <w:rPr>
          <w:sz w:val="20"/>
          <w:szCs w:val="20"/>
          <w:color w:val="auto"/>
        </w:rPr>
      </w:pPr>
    </w:p>
    <w:p>
      <w:pPr>
        <w:ind w:right="800"/>
        <w:spacing w:after="0" w:line="259"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96"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6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of March 31, 2022, our executive officers, directors, holders of 5% or more of our capital stock based on publicly available filings made with the SEC and their respective affiliates beneficially owned approximately 45%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78" w:lineRule="exact"/>
        <w:rPr>
          <w:sz w:val="20"/>
          <w:szCs w:val="20"/>
          <w:color w:val="auto"/>
        </w:rPr>
      </w:pPr>
    </w:p>
    <w:p>
      <w:pPr>
        <w:ind w:right="900"/>
        <w:spacing w:after="0" w:line="321"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3" w:lineRule="exact"/>
        <w:rPr>
          <w:sz w:val="20"/>
          <w:szCs w:val="20"/>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01" w:lineRule="exact"/>
        <w:rPr>
          <w:rFonts w:ascii="Arial" w:cs="Arial" w:eastAsia="Arial" w:hAnsi="Arial"/>
          <w:sz w:val="18"/>
          <w:szCs w:val="18"/>
          <w:color w:val="auto"/>
        </w:rPr>
      </w:pPr>
    </w:p>
    <w:p>
      <w:pPr>
        <w:ind w:left="1020" w:right="240" w:hanging="504"/>
        <w:spacing w:after="0" w:line="267"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1" w:name="page62"/>
    <w:bookmarkEnd w:id="61"/>
    <w:p>
      <w:pPr>
        <w:ind w:left="1020" w:right="80"/>
        <w:spacing w:after="0" w:line="259" w:lineRule="auto"/>
        <w:rPr>
          <w:sz w:val="20"/>
          <w:szCs w:val="20"/>
          <w:color w:val="auto"/>
        </w:rPr>
      </w:pPr>
      <w:r>
        <w:rPr>
          <w:rFonts w:ascii="Arial" w:cs="Arial" w:eastAsia="Arial" w:hAnsi="Arial"/>
          <w:sz w:val="18"/>
          <w:szCs w:val="18"/>
          <w:color w:val="auto"/>
        </w:rPr>
        <w:t>the request of the stockholders holding of record, in the aggregate, shares entitled to cast not less than ten percent of the votes at a meeting of the stockholders (assuming all shares entitled to vote at such meeting were present and voted);</w:t>
      </w:r>
    </w:p>
    <w:p>
      <w:pPr>
        <w:spacing w:after="0" w:line="63" w:lineRule="exact"/>
        <w:rPr>
          <w:sz w:val="20"/>
          <w:szCs w:val="20"/>
          <w:color w:val="auto"/>
        </w:rPr>
      </w:pPr>
    </w:p>
    <w:p>
      <w:pPr>
        <w:ind w:left="1020" w:hanging="504"/>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24" w:lineRule="exact"/>
        <w:rPr>
          <w:rFonts w:ascii="Arial" w:cs="Arial" w:eastAsia="Arial" w:hAnsi="Arial"/>
          <w:sz w:val="16"/>
          <w:szCs w:val="16"/>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1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15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2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16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7"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9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6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34" w:right="379" w:bottom="1440" w:gutter="0" w:footer="0" w:header="0"/>
        </w:sectPr>
      </w:pPr>
    </w:p>
    <w:bookmarkStart w:id="62" w:name="page63"/>
    <w:bookmarkEnd w:id="62"/>
    <w:p>
      <w:pPr>
        <w:ind w:right="60"/>
        <w:spacing w:after="0" w:line="282" w:lineRule="auto"/>
        <w:rPr>
          <w:sz w:val="20"/>
          <w:szCs w:val="20"/>
          <w:color w:val="auto"/>
        </w:rPr>
      </w:pPr>
      <w:r>
        <w:rPr>
          <w:rFonts w:ascii="Arial" w:cs="Arial" w:eastAsia="Arial" w:hAnsi="Arial"/>
          <w:sz w:val="16"/>
          <w:szCs w:val="16"/>
          <w:color w:val="auto"/>
        </w:rPr>
        <w:t>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142"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9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5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23"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18" w:lineRule="exact"/>
        <w:rPr>
          <w:sz w:val="20"/>
          <w:szCs w:val="20"/>
          <w:color w:val="auto"/>
        </w:rPr>
      </w:pPr>
    </w:p>
    <w:p>
      <w:pPr>
        <w:ind w:left="102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63" w:name="page64"/>
    <w:bookmarkEnd w:id="63"/>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01"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9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7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6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15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p>
    <w:p>
      <w:pPr>
        <w:spacing w:after="0" w:line="154"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 of the COVID-19 pandemic and resulting shelter-in-place and stay-at-home restrictions,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64" w:name="page65"/>
    <w:bookmarkEnd w:id="64"/>
    <w:p>
      <w:pPr>
        <w:ind w:right="320"/>
        <w:spacing w:after="0" w:line="242" w:lineRule="auto"/>
        <w:rPr>
          <w:sz w:val="20"/>
          <w:szCs w:val="20"/>
          <w:color w:val="auto"/>
        </w:rPr>
      </w:pPr>
      <w:r>
        <w:rPr>
          <w:rFonts w:ascii="Arial" w:cs="Arial" w:eastAsia="Arial" w:hAnsi="Arial"/>
          <w:sz w:val="18"/>
          <w:szCs w:val="18"/>
          <w:color w:val="auto"/>
        </w:rPr>
        <w:t>adequate preventative measures. We may also experience security breaches that may remain undetected for an extended period.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17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ongoing armed conflict between Russia and Ukraine could adversely affect our business, financial condition, and results of operations.</w:t>
      </w:r>
    </w:p>
    <w:p>
      <w:pPr>
        <w:spacing w:after="0" w:line="19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14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78" w:lineRule="exact"/>
        <w:rPr>
          <w:sz w:val="20"/>
          <w:szCs w:val="20"/>
          <w:color w:val="auto"/>
        </w:rPr>
      </w:pPr>
    </w:p>
    <w:p>
      <w:pPr>
        <w:ind w:left="1020" w:right="200" w:hanging="504"/>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74" w:lineRule="exact"/>
        <w:rPr>
          <w:rFonts w:ascii="Arial" w:cs="Arial" w:eastAsia="Arial" w:hAnsi="Arial"/>
          <w:sz w:val="18"/>
          <w:szCs w:val="18"/>
          <w:color w:val="auto"/>
        </w:rPr>
      </w:pPr>
    </w:p>
    <w:p>
      <w:pPr>
        <w:ind w:left="1020" w:right="140" w:hanging="504"/>
        <w:spacing w:after="0" w:line="25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63" w:lineRule="exact"/>
        <w:rPr>
          <w:rFonts w:ascii="Arial" w:cs="Arial" w:eastAsia="Arial" w:hAnsi="Arial"/>
          <w:sz w:val="18"/>
          <w:szCs w:val="18"/>
          <w:color w:val="auto"/>
        </w:rPr>
      </w:pPr>
    </w:p>
    <w:p>
      <w:pPr>
        <w:ind w:left="1020" w:right="440" w:hanging="504"/>
        <w:spacing w:after="0" w:line="25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17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219"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5" w:name="page66"/>
    <w:bookmarkEnd w:id="65"/>
    <w:p>
      <w:pPr>
        <w:spacing w:after="0" w:line="282" w:lineRule="auto"/>
        <w:rPr>
          <w:sz w:val="20"/>
          <w:szCs w:val="20"/>
          <w:color w:val="auto"/>
        </w:rPr>
      </w:pPr>
      <w:r>
        <w:rPr>
          <w:rFonts w:ascii="Arial" w:cs="Arial" w:eastAsia="Arial" w:hAnsi="Arial"/>
          <w:sz w:val="16"/>
          <w:szCs w:val="16"/>
          <w:color w:val="auto"/>
        </w:rPr>
        <w:t>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42"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15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26" w:right="37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180"/>
          </w:cols>
          <w:pgMar w:left="320" w:top="322" w:right="399" w:bottom="1440" w:gutter="0" w:footer="0" w:header="0"/>
        </w:sectPr>
      </w:pPr>
    </w:p>
    <w:p>
      <w:pPr>
        <w:spacing w:after="0" w:line="200" w:lineRule="exact"/>
        <w:rPr>
          <w:sz w:val="20"/>
          <w:szCs w:val="20"/>
          <w:color w:val="auto"/>
        </w:rPr>
      </w:pP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900" w:type="dxa"/>
            <w:vAlign w:val="bottom"/>
          </w:tcPr>
          <w:p>
            <w:pPr>
              <w:jc w:val="center"/>
              <w:ind w:right="1328"/>
              <w:spacing w:after="0"/>
              <w:rPr>
                <w:sz w:val="20"/>
                <w:szCs w:val="20"/>
                <w:color w:val="auto"/>
              </w:rPr>
            </w:pPr>
            <w:r>
              <w:rPr>
                <w:rFonts w:ascii="Arial" w:cs="Arial" w:eastAsia="Arial" w:hAnsi="Arial"/>
                <w:sz w:val="14"/>
                <w:szCs w:val="14"/>
                <w:b w:val="1"/>
                <w:bCs w:val="1"/>
                <w:color w:val="auto"/>
                <w:w w:val="98"/>
              </w:rPr>
              <w:t>Exhibit</w:t>
            </w:r>
          </w:p>
        </w:tc>
        <w:tc>
          <w:tcPr>
            <w:tcW w:w="2600" w:type="dxa"/>
            <w:vAlign w:val="bottom"/>
            <w:vMerge w:val="restart"/>
          </w:tcPr>
          <w:p>
            <w:pPr>
              <w:ind w:left="140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5"/>
        </w:trPr>
        <w:tc>
          <w:tcPr>
            <w:tcW w:w="1900" w:type="dxa"/>
            <w:vAlign w:val="bottom"/>
          </w:tcPr>
          <w:p>
            <w:pPr>
              <w:jc w:val="center"/>
              <w:ind w:right="1328"/>
              <w:spacing w:after="0"/>
              <w:rPr>
                <w:sz w:val="20"/>
                <w:szCs w:val="20"/>
                <w:color w:val="auto"/>
              </w:rPr>
            </w:pPr>
            <w:r>
              <w:rPr>
                <w:rFonts w:ascii="Arial" w:cs="Arial" w:eastAsia="Arial" w:hAnsi="Arial"/>
                <w:sz w:val="14"/>
                <w:szCs w:val="14"/>
                <w:b w:val="1"/>
                <w:bCs w:val="1"/>
                <w:color w:val="auto"/>
                <w:w w:val="94"/>
              </w:rPr>
              <w:t>Number</w:t>
            </w:r>
          </w:p>
        </w:tc>
        <w:tc>
          <w:tcPr>
            <w:tcW w:w="2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-635</wp:posOffset>
            </wp:positionV>
            <wp:extent cx="45593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59300" cy="8255"/>
                    </a:xfrm>
                    <a:prstGeom prst="rect">
                      <a:avLst/>
                    </a:prstGeom>
                    <a:noFill/>
                  </pic:spPr>
                </pic:pic>
              </a:graphicData>
            </a:graphic>
          </wp:anchor>
        </w:drawing>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7"/>
              </w:rPr>
              <w:t>3.1</w:t>
            </w:r>
          </w:p>
        </w:tc>
        <w:tc>
          <w:tcPr>
            <w:tcW w:w="5840" w:type="dxa"/>
            <w:vAlign w:val="bottom"/>
            <w:gridSpan w:val="16"/>
          </w:tcPr>
          <w:p>
            <w:pPr>
              <w:spacing w:after="0"/>
              <w:rPr>
                <w:rFonts w:ascii="Arial" w:cs="Arial" w:eastAsia="Arial" w:hAnsi="Arial"/>
                <w:sz w:val="18"/>
                <w:szCs w:val="18"/>
                <w:color w:val="0000FF"/>
              </w:rPr>
            </w:pPr>
            <w:hyperlink r:id="rId176">
              <w:r>
                <w:rPr>
                  <w:rFonts w:ascii="Arial" w:cs="Arial" w:eastAsia="Arial" w:hAnsi="Arial"/>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ind w:right="291"/>
              <w:spacing w:after="0"/>
              <w:rPr>
                <w:sz w:val="20"/>
                <w:szCs w:val="20"/>
                <w:color w:val="auto"/>
              </w:rPr>
            </w:pPr>
            <w:r>
              <w:rPr>
                <w:rFonts w:ascii="Arial" w:cs="Arial" w:eastAsia="Arial" w:hAnsi="Arial"/>
                <w:sz w:val="18"/>
                <w:szCs w:val="18"/>
                <w:color w:val="auto"/>
                <w:w w:val="87"/>
              </w:rPr>
              <w:t>3.2</w:t>
            </w: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040" w:type="dxa"/>
            <w:vAlign w:val="bottom"/>
            <w:vMerge w:val="continue"/>
          </w:tcPr>
          <w:p>
            <w:pPr>
              <w:spacing w:after="0"/>
              <w:rPr>
                <w:sz w:val="24"/>
                <w:szCs w:val="24"/>
                <w:color w:val="auto"/>
              </w:rPr>
            </w:pPr>
          </w:p>
        </w:tc>
        <w:tc>
          <w:tcPr>
            <w:tcW w:w="5840" w:type="dxa"/>
            <w:vAlign w:val="bottom"/>
            <w:gridSpan w:val="16"/>
          </w:tcPr>
          <w:p>
            <w:pPr>
              <w:spacing w:after="0"/>
              <w:rPr>
                <w:rFonts w:ascii="Arial" w:cs="Arial" w:eastAsia="Arial" w:hAnsi="Arial"/>
                <w:sz w:val="16"/>
                <w:szCs w:val="16"/>
                <w:color w:val="0000FF"/>
              </w:rPr>
            </w:pPr>
            <w:hyperlink r:id="rId177">
              <w:r>
                <w:rPr>
                  <w:rFonts w:ascii="Arial" w:cs="Arial" w:eastAsia="Arial" w:hAnsi="Arial"/>
                  <w:sz w:val="16"/>
                  <w:szCs w:val="16"/>
                  <w:color w:val="0000FF"/>
                </w:rPr>
                <w:t>Certificate of Amendment to Amended and Restated Certificate of Incorporation of</w:t>
              </w:r>
            </w:hyperlink>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5420" w:type="dxa"/>
            <w:vAlign w:val="bottom"/>
            <w:tcBorders>
              <w:top w:val="single" w:sz="8" w:color="0000FF"/>
            </w:tcBorders>
            <w:gridSpan w:val="10"/>
          </w:tcPr>
          <w:p>
            <w:pPr>
              <w:spacing w:after="0" w:line="141" w:lineRule="exact"/>
              <w:rPr>
                <w:rFonts w:ascii="Arial" w:cs="Arial" w:eastAsia="Arial" w:hAnsi="Arial"/>
                <w:sz w:val="16"/>
                <w:szCs w:val="16"/>
                <w:color w:val="0000FF"/>
              </w:rPr>
            </w:pPr>
            <w:hyperlink r:id="rId177">
              <w:r>
                <w:rPr>
                  <w:rFonts w:ascii="Arial" w:cs="Arial" w:eastAsia="Arial" w:hAnsi="Arial"/>
                  <w:sz w:val="16"/>
                  <w:szCs w:val="16"/>
                  <w:color w:val="0000FF"/>
                </w:rPr>
                <w:t>CytomX Therapeutics, Inc.</w:t>
              </w:r>
            </w:hyperlink>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7"/>
              </w:rPr>
              <w:t>3.3</w:t>
            </w:r>
          </w:p>
        </w:tc>
        <w:tc>
          <w:tcPr>
            <w:tcW w:w="2300" w:type="dxa"/>
            <w:vAlign w:val="bottom"/>
            <w:tcBorders>
              <w:bottom w:val="single" w:sz="8" w:color="0000FF"/>
            </w:tcBorders>
            <w:gridSpan w:val="5"/>
          </w:tcPr>
          <w:p>
            <w:pPr>
              <w:spacing w:after="0"/>
              <w:rPr>
                <w:rFonts w:ascii="Arial" w:cs="Arial" w:eastAsia="Arial" w:hAnsi="Arial"/>
                <w:sz w:val="18"/>
                <w:szCs w:val="18"/>
                <w:color w:val="0000FF"/>
                <w:w w:val="88"/>
              </w:rPr>
            </w:pPr>
            <w:hyperlink r:id="rId178">
              <w:r>
                <w:rPr>
                  <w:rFonts w:ascii="Arial" w:cs="Arial" w:eastAsia="Arial" w:hAnsi="Arial"/>
                  <w:sz w:val="18"/>
                  <w:szCs w:val="18"/>
                  <w:color w:val="0000FF"/>
                  <w:w w:val="88"/>
                </w:rPr>
                <w:t>Amended and Restated Bylaws.</w:t>
              </w:r>
            </w:hyperlink>
          </w:p>
        </w:tc>
        <w:tc>
          <w:tcPr>
            <w:tcW w:w="20" w:type="dxa"/>
            <w:vAlign w:val="bottom"/>
            <w:tcBorders>
              <w:bottom w:val="single" w:sz="8" w:color="0000EE"/>
            </w:tcBorders>
          </w:tcPr>
          <w:p>
            <w:pPr>
              <w:spacing w:after="0"/>
              <w:rPr>
                <w:sz w:val="24"/>
                <w:szCs w:val="24"/>
                <w:color w:val="auto"/>
              </w:rPr>
            </w:pPr>
          </w:p>
        </w:tc>
        <w:tc>
          <w:tcPr>
            <w:tcW w:w="3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7"/>
              </w:rPr>
              <w:t>4.1</w:t>
            </w:r>
          </w:p>
        </w:tc>
        <w:tc>
          <w:tcPr>
            <w:tcW w:w="5840" w:type="dxa"/>
            <w:vAlign w:val="bottom"/>
            <w:gridSpan w:val="16"/>
          </w:tcPr>
          <w:p>
            <w:pPr>
              <w:spacing w:after="0"/>
              <w:rPr>
                <w:sz w:val="20"/>
                <w:szCs w:val="20"/>
                <w:color w:val="auto"/>
              </w:rPr>
            </w:pPr>
            <w:r>
              <w:rPr>
                <w:rFonts w:ascii="Arial" w:cs="Arial" w:eastAsia="Arial" w:hAnsi="Arial"/>
                <w:sz w:val="18"/>
                <w:szCs w:val="18"/>
                <w:color w:val="auto"/>
              </w:rPr>
              <w:t>Reference is made to Exhibits 3.1 through 3.2.</w:t>
            </w:r>
          </w:p>
        </w:tc>
        <w:tc>
          <w:tcPr>
            <w:tcW w:w="0" w:type="dxa"/>
            <w:vAlign w:val="bottom"/>
          </w:tcPr>
          <w:p>
            <w:pPr>
              <w:spacing w:after="0"/>
              <w:rPr>
                <w:sz w:val="1"/>
                <w:szCs w:val="1"/>
                <w:color w:val="auto"/>
              </w:rPr>
            </w:pPr>
          </w:p>
        </w:tc>
      </w:tr>
      <w:tr>
        <w:trPr>
          <w:trHeight w:val="295"/>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7"/>
              </w:rPr>
              <w:t>4.2</w:t>
            </w:r>
          </w:p>
        </w:tc>
        <w:tc>
          <w:tcPr>
            <w:tcW w:w="2680" w:type="dxa"/>
            <w:vAlign w:val="bottom"/>
            <w:tcBorders>
              <w:bottom w:val="single" w:sz="8" w:color="0000FF"/>
            </w:tcBorders>
            <w:gridSpan w:val="7"/>
          </w:tcPr>
          <w:p>
            <w:pPr>
              <w:spacing w:after="0"/>
              <w:rPr>
                <w:rFonts w:ascii="Arial" w:cs="Arial" w:eastAsia="Arial" w:hAnsi="Arial"/>
                <w:sz w:val="18"/>
                <w:szCs w:val="18"/>
                <w:color w:val="0000FF"/>
                <w:w w:val="90"/>
              </w:rPr>
            </w:pPr>
            <w:hyperlink r:id="rId179">
              <w:r>
                <w:rPr>
                  <w:rFonts w:ascii="Arial" w:cs="Arial" w:eastAsia="Arial" w:hAnsi="Arial"/>
                  <w:sz w:val="18"/>
                  <w:szCs w:val="18"/>
                  <w:color w:val="0000FF"/>
                  <w:w w:val="90"/>
                </w:rPr>
                <w:t>Specimen Common Stock Certificate</w:t>
              </w:r>
            </w:hyperlink>
          </w:p>
        </w:tc>
        <w:tc>
          <w:tcPr>
            <w:tcW w:w="20" w:type="dxa"/>
            <w:vAlign w:val="bottom"/>
            <w:tcBorders>
              <w:bottom w:val="single" w:sz="8" w:color="0000EE"/>
            </w:tcBorders>
          </w:tcPr>
          <w:p>
            <w:pPr>
              <w:spacing w:after="0"/>
              <w:rPr>
                <w:sz w:val="24"/>
                <w:szCs w:val="24"/>
                <w:color w:val="auto"/>
              </w:rPr>
            </w:pPr>
          </w:p>
        </w:tc>
        <w:tc>
          <w:tcPr>
            <w:tcW w:w="31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5"/>
              </w:rPr>
              <w:t>31.1</w:t>
            </w:r>
          </w:p>
        </w:tc>
        <w:tc>
          <w:tcPr>
            <w:tcW w:w="5840" w:type="dxa"/>
            <w:vAlign w:val="bottom"/>
            <w:gridSpan w:val="16"/>
          </w:tcPr>
          <w:p>
            <w:pPr>
              <w:spacing w:after="0"/>
              <w:rPr>
                <w:rFonts w:ascii="Arial" w:cs="Arial" w:eastAsia="Arial" w:hAnsi="Arial"/>
                <w:sz w:val="18"/>
                <w:szCs w:val="18"/>
                <w:color w:val="0000FF"/>
                <w:w w:val="92"/>
              </w:rPr>
            </w:pPr>
            <w:hyperlink w:anchor="page69">
              <w:r>
                <w:rPr>
                  <w:rFonts w:ascii="Arial" w:cs="Arial" w:eastAsia="Arial" w:hAnsi="Arial"/>
                  <w:sz w:val="18"/>
                  <w:szCs w:val="18"/>
                  <w:color w:val="0000FF"/>
                  <w:w w:val="92"/>
                </w:rPr>
                <w:t>Certification of Chief Executive Officer required by Rule 13a-14(a) or Rule 15d-</w:t>
              </w:r>
            </w:hyperlink>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4"/>
              </w:rPr>
            </w:pPr>
            <w:hyperlink w:anchor="page69">
              <w:r>
                <w:rPr>
                  <w:rFonts w:ascii="Arial" w:cs="Arial" w:eastAsia="Arial" w:hAnsi="Arial"/>
                  <w:sz w:val="17"/>
                  <w:szCs w:val="17"/>
                  <w:color w:val="0000FF"/>
                  <w:w w:val="94"/>
                </w:rPr>
                <w:t>14(a).</w:t>
              </w:r>
            </w:hyperlink>
          </w:p>
        </w:tc>
        <w:tc>
          <w:tcPr>
            <w:tcW w:w="20" w:type="dxa"/>
            <w:vAlign w:val="bottom"/>
            <w:tcBorders>
              <w:top w:val="single" w:sz="8" w:color="0000FF"/>
              <w:bottom w:val="single" w:sz="8" w:color="0000EE"/>
            </w:tcBorders>
          </w:tcPr>
          <w:p>
            <w:pPr>
              <w:spacing w:after="0"/>
              <w:rPr>
                <w:sz w:val="13"/>
                <w:szCs w:val="13"/>
                <w:color w:val="auto"/>
              </w:rPr>
            </w:pPr>
          </w:p>
        </w:tc>
        <w:tc>
          <w:tcPr>
            <w:tcW w:w="53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85"/>
              </w:rPr>
              <w:t>31.2</w:t>
            </w:r>
          </w:p>
        </w:tc>
        <w:tc>
          <w:tcPr>
            <w:tcW w:w="5840" w:type="dxa"/>
            <w:vAlign w:val="bottom"/>
            <w:gridSpan w:val="16"/>
          </w:tcPr>
          <w:p>
            <w:pPr>
              <w:spacing w:after="0"/>
              <w:rPr>
                <w:rFonts w:ascii="Arial" w:cs="Arial" w:eastAsia="Arial" w:hAnsi="Arial"/>
                <w:sz w:val="18"/>
                <w:szCs w:val="18"/>
                <w:color w:val="0000FF"/>
                <w:w w:val="93"/>
              </w:rPr>
            </w:pPr>
            <w:hyperlink w:anchor="page70">
              <w:r>
                <w:rPr>
                  <w:rFonts w:ascii="Arial" w:cs="Arial" w:eastAsia="Arial" w:hAnsi="Arial"/>
                  <w:sz w:val="18"/>
                  <w:szCs w:val="18"/>
                  <w:color w:val="0000FF"/>
                  <w:w w:val="93"/>
                </w:rPr>
                <w:t>Certification of Chief Financial Officer required by Rule 13a-14(a) or Rule 15d-</w:t>
              </w:r>
            </w:hyperlink>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4"/>
              </w:rPr>
            </w:pPr>
            <w:hyperlink w:anchor="page70">
              <w:r>
                <w:rPr>
                  <w:rFonts w:ascii="Arial" w:cs="Arial" w:eastAsia="Arial" w:hAnsi="Arial"/>
                  <w:sz w:val="17"/>
                  <w:szCs w:val="17"/>
                  <w:color w:val="0000FF"/>
                  <w:w w:val="94"/>
                </w:rPr>
                <w:t>14(a).</w:t>
              </w:r>
            </w:hyperlink>
          </w:p>
        </w:tc>
        <w:tc>
          <w:tcPr>
            <w:tcW w:w="20" w:type="dxa"/>
            <w:vAlign w:val="bottom"/>
            <w:tcBorders>
              <w:top w:val="single" w:sz="8" w:color="0000FF"/>
              <w:bottom w:val="single" w:sz="8" w:color="0000EE"/>
            </w:tcBorders>
          </w:tcPr>
          <w:p>
            <w:pPr>
              <w:spacing w:after="0"/>
              <w:rPr>
                <w:sz w:val="13"/>
                <w:szCs w:val="13"/>
                <w:color w:val="auto"/>
              </w:rPr>
            </w:pPr>
          </w:p>
        </w:tc>
        <w:tc>
          <w:tcPr>
            <w:tcW w:w="53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1040" w:type="dxa"/>
            <w:vAlign w:val="bottom"/>
          </w:tcPr>
          <w:p>
            <w:pPr>
              <w:jc w:val="center"/>
              <w:ind w:right="271"/>
              <w:spacing w:after="0"/>
              <w:rPr>
                <w:sz w:val="20"/>
                <w:szCs w:val="20"/>
                <w:color w:val="auto"/>
              </w:rPr>
            </w:pPr>
            <w:r>
              <w:rPr>
                <w:rFonts w:ascii="Arial" w:cs="Arial" w:eastAsia="Arial" w:hAnsi="Arial"/>
                <w:sz w:val="18"/>
                <w:szCs w:val="18"/>
                <w:color w:val="auto"/>
                <w:w w:val="95"/>
              </w:rPr>
              <w:t>32.1*</w:t>
            </w:r>
          </w:p>
        </w:tc>
        <w:tc>
          <w:tcPr>
            <w:tcW w:w="5840" w:type="dxa"/>
            <w:vAlign w:val="bottom"/>
            <w:gridSpan w:val="16"/>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Certification of Chief Executive Officer required by Rule 13a-14(b) or Rule 15d-</w:t>
              </w:r>
            </w:hyperlink>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820" w:type="dxa"/>
            <w:vAlign w:val="bottom"/>
            <w:tcBorders>
              <w:top w:val="single" w:sz="8" w:color="0000FF"/>
            </w:tcBorders>
            <w:gridSpan w:val="15"/>
          </w:tcPr>
          <w:p>
            <w:pPr>
              <w:spacing w:after="0" w:line="154" w:lineRule="exact"/>
              <w:rPr>
                <w:rFonts w:ascii="Arial" w:cs="Arial" w:eastAsia="Arial" w:hAnsi="Arial"/>
                <w:sz w:val="17"/>
                <w:szCs w:val="17"/>
                <w:color w:val="0000FF"/>
                <w:w w:val="97"/>
              </w:rPr>
            </w:pPr>
            <w:hyperlink w:anchor="page71">
              <w:r>
                <w:rPr>
                  <w:rFonts w:ascii="Arial" w:cs="Arial" w:eastAsia="Arial" w:hAnsi="Arial"/>
                  <w:sz w:val="17"/>
                  <w:szCs w:val="17"/>
                  <w:color w:val="0000FF"/>
                  <w:w w:val="97"/>
                </w:rPr>
                <w:t>14(b) and Section 1350 of Chapter 63 of Title 18 of the United States Code (18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72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w:anchor="page71">
              <w:r>
                <w:rPr>
                  <w:rFonts w:ascii="Arial" w:cs="Arial" w:eastAsia="Arial" w:hAnsi="Arial"/>
                  <w:sz w:val="17"/>
                  <w:szCs w:val="17"/>
                  <w:color w:val="0000FF"/>
                </w:rPr>
                <w:t>U.S.C. §1350).</w:t>
              </w:r>
            </w:hyperlink>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40" w:type="dxa"/>
            <w:vAlign w:val="bottom"/>
          </w:tcPr>
          <w:p>
            <w:pPr>
              <w:jc w:val="center"/>
              <w:ind w:right="271"/>
              <w:spacing w:after="0"/>
              <w:rPr>
                <w:sz w:val="20"/>
                <w:szCs w:val="20"/>
                <w:color w:val="auto"/>
              </w:rPr>
            </w:pPr>
            <w:r>
              <w:rPr>
                <w:rFonts w:ascii="Arial" w:cs="Arial" w:eastAsia="Arial" w:hAnsi="Arial"/>
                <w:sz w:val="18"/>
                <w:szCs w:val="18"/>
                <w:color w:val="auto"/>
                <w:w w:val="95"/>
              </w:rPr>
              <w:t>32.2*</w:t>
            </w:r>
          </w:p>
        </w:tc>
        <w:tc>
          <w:tcPr>
            <w:tcW w:w="5840" w:type="dxa"/>
            <w:vAlign w:val="bottom"/>
            <w:gridSpan w:val="16"/>
          </w:tcPr>
          <w:p>
            <w:pPr>
              <w:spacing w:after="0"/>
              <w:rPr>
                <w:rFonts w:ascii="Arial" w:cs="Arial" w:eastAsia="Arial" w:hAnsi="Arial"/>
                <w:sz w:val="18"/>
                <w:szCs w:val="18"/>
                <w:color w:val="0000FF"/>
                <w:w w:val="93"/>
              </w:rPr>
            </w:pPr>
            <w:hyperlink w:anchor="page72">
              <w:r>
                <w:rPr>
                  <w:rFonts w:ascii="Arial" w:cs="Arial" w:eastAsia="Arial" w:hAnsi="Arial"/>
                  <w:sz w:val="18"/>
                  <w:szCs w:val="18"/>
                  <w:color w:val="0000FF"/>
                  <w:w w:val="93"/>
                </w:rPr>
                <w:t>Certification of Chief Financial Officer required by Rule 13a-14(b) or Rule 15d-</w:t>
              </w:r>
            </w:hyperlink>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780" w:type="dxa"/>
            <w:vAlign w:val="bottom"/>
            <w:tcBorders>
              <w:top w:val="single" w:sz="8" w:color="0000FF"/>
            </w:tcBorders>
            <w:gridSpan w:val="13"/>
          </w:tcPr>
          <w:p>
            <w:pPr>
              <w:spacing w:after="0" w:line="154" w:lineRule="exact"/>
              <w:rPr>
                <w:rFonts w:ascii="Arial" w:cs="Arial" w:eastAsia="Arial" w:hAnsi="Arial"/>
                <w:sz w:val="17"/>
                <w:szCs w:val="17"/>
                <w:color w:val="0000FF"/>
                <w:w w:val="97"/>
              </w:rPr>
            </w:pPr>
            <w:hyperlink w:anchor="page72">
              <w:r>
                <w:rPr>
                  <w:rFonts w:ascii="Arial" w:cs="Arial" w:eastAsia="Arial" w:hAnsi="Arial"/>
                  <w:sz w:val="17"/>
                  <w:szCs w:val="17"/>
                  <w:color w:val="0000FF"/>
                  <w:w w:val="97"/>
                </w:rPr>
                <w:t>14(b) and Section 1350 of Chapter 63 of Title 18 of the United States Code (18</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72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w:anchor="page72">
              <w:r>
                <w:rPr>
                  <w:rFonts w:ascii="Arial" w:cs="Arial" w:eastAsia="Arial" w:hAnsi="Arial"/>
                  <w:sz w:val="17"/>
                  <w:szCs w:val="17"/>
                  <w:color w:val="0000FF"/>
                </w:rPr>
                <w:t>U.S.C. §1350).</w:t>
              </w:r>
            </w:hyperlink>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47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040" w:type="dxa"/>
            <w:vAlign w:val="bottom"/>
          </w:tcPr>
          <w:p>
            <w:pPr>
              <w:jc w:val="center"/>
              <w:ind w:right="271"/>
              <w:spacing w:after="0"/>
              <w:rPr>
                <w:sz w:val="20"/>
                <w:szCs w:val="20"/>
                <w:color w:val="auto"/>
              </w:rPr>
            </w:pPr>
            <w:r>
              <w:rPr>
                <w:rFonts w:ascii="Arial" w:cs="Arial" w:eastAsia="Arial" w:hAnsi="Arial"/>
                <w:sz w:val="18"/>
                <w:szCs w:val="18"/>
                <w:color w:val="auto"/>
                <w:w w:val="92"/>
              </w:rPr>
              <w:t>101.INS</w:t>
            </w:r>
          </w:p>
        </w:tc>
        <w:tc>
          <w:tcPr>
            <w:tcW w:w="5840" w:type="dxa"/>
            <w:vAlign w:val="bottom"/>
            <w:gridSpan w:val="16"/>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w:t>
            </w:r>
          </w:p>
        </w:tc>
        <w:tc>
          <w:tcPr>
            <w:tcW w:w="0" w:type="dxa"/>
            <w:vAlign w:val="bottom"/>
          </w:tcPr>
          <w:p>
            <w:pPr>
              <w:spacing w:after="0"/>
              <w:rPr>
                <w:sz w:val="1"/>
                <w:szCs w:val="1"/>
                <w:color w:val="auto"/>
              </w:rPr>
            </w:pPr>
          </w:p>
        </w:tc>
      </w:tr>
      <w:tr>
        <w:trPr>
          <w:trHeight w:val="174"/>
        </w:trPr>
        <w:tc>
          <w:tcPr>
            <w:tcW w:w="1040" w:type="dxa"/>
            <w:vAlign w:val="bottom"/>
          </w:tcPr>
          <w:p>
            <w:pPr>
              <w:spacing w:after="0"/>
              <w:rPr>
                <w:sz w:val="15"/>
                <w:szCs w:val="15"/>
                <w:color w:val="auto"/>
              </w:rPr>
            </w:pPr>
          </w:p>
        </w:tc>
        <w:tc>
          <w:tcPr>
            <w:tcW w:w="5840" w:type="dxa"/>
            <w:vAlign w:val="bottom"/>
            <w:gridSpan w:val="16"/>
          </w:tcPr>
          <w:p>
            <w:pPr>
              <w:spacing w:after="0" w:line="175" w:lineRule="exact"/>
              <w:rPr>
                <w:sz w:val="20"/>
                <w:szCs w:val="20"/>
                <w:color w:val="auto"/>
              </w:rPr>
            </w:pPr>
            <w:r>
              <w:rPr>
                <w:rFonts w:ascii="Arial" w:cs="Arial" w:eastAsia="Arial" w:hAnsi="Arial"/>
                <w:sz w:val="18"/>
                <w:szCs w:val="18"/>
                <w:color w:val="auto"/>
                <w:w w:val="97"/>
              </w:rPr>
              <w:t>Interactive Data File because its XBRL tags are embedded within the Inline</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5840" w:type="dxa"/>
            <w:vAlign w:val="bottom"/>
            <w:gridSpan w:val="16"/>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335"/>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90"/>
              </w:rPr>
              <w:t>101.SCH</w:t>
            </w:r>
          </w:p>
        </w:tc>
        <w:tc>
          <w:tcPr>
            <w:tcW w:w="584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94"/>
              </w:rPr>
              <w:t>101.CAL</w:t>
            </w:r>
          </w:p>
        </w:tc>
        <w:tc>
          <w:tcPr>
            <w:tcW w:w="584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92"/>
              </w:rPr>
              <w:t>101.DEF</w:t>
            </w:r>
          </w:p>
        </w:tc>
        <w:tc>
          <w:tcPr>
            <w:tcW w:w="584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6"/>
        </w:trPr>
        <w:tc>
          <w:tcPr>
            <w:tcW w:w="1040" w:type="dxa"/>
            <w:vAlign w:val="bottom"/>
          </w:tcPr>
          <w:p>
            <w:pPr>
              <w:jc w:val="center"/>
              <w:ind w:right="291"/>
              <w:spacing w:after="0"/>
              <w:rPr>
                <w:sz w:val="20"/>
                <w:szCs w:val="20"/>
                <w:color w:val="auto"/>
              </w:rPr>
            </w:pPr>
            <w:r>
              <w:rPr>
                <w:rFonts w:ascii="Arial" w:cs="Arial" w:eastAsia="Arial" w:hAnsi="Arial"/>
                <w:sz w:val="18"/>
                <w:szCs w:val="18"/>
                <w:color w:val="auto"/>
                <w:w w:val="95"/>
              </w:rPr>
              <w:t>101.LAB</w:t>
            </w:r>
          </w:p>
        </w:tc>
        <w:tc>
          <w:tcPr>
            <w:tcW w:w="584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6"/>
        </w:trPr>
        <w:tc>
          <w:tcPr>
            <w:tcW w:w="1040" w:type="dxa"/>
            <w:vAlign w:val="bottom"/>
          </w:tcPr>
          <w:p>
            <w:pPr>
              <w:jc w:val="center"/>
              <w:ind w:right="271"/>
              <w:spacing w:after="0"/>
              <w:rPr>
                <w:sz w:val="20"/>
                <w:szCs w:val="20"/>
                <w:color w:val="auto"/>
              </w:rPr>
            </w:pPr>
            <w:r>
              <w:rPr>
                <w:rFonts w:ascii="Arial" w:cs="Arial" w:eastAsia="Arial" w:hAnsi="Arial"/>
                <w:sz w:val="18"/>
                <w:szCs w:val="18"/>
                <w:color w:val="auto"/>
                <w:w w:val="88"/>
              </w:rPr>
              <w:t>101.PRE</w:t>
            </w:r>
          </w:p>
        </w:tc>
        <w:tc>
          <w:tcPr>
            <w:tcW w:w="584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360" w:right="280" w:hanging="843"/>
        <w:spacing w:after="0" w:line="234" w:lineRule="auto"/>
        <w:tabs>
          <w:tab w:leader="none" w:pos="1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8237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14"/>
                <w:szCs w:val="14"/>
                <w:color w:val="auto"/>
              </w:rPr>
            </w:pPr>
          </w:p>
        </w:tc>
        <w:tc>
          <w:tcPr>
            <w:tcW w:w="10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4"/>
        </w:trPr>
        <w:tc>
          <w:tcPr>
            <w:tcW w:w="8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56"/>
        </w:trPr>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10/19/2015</w:t>
            </w:r>
          </w:p>
        </w:tc>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92"/>
              </w:rPr>
              <w:t>6/23/2020</w:t>
            </w:r>
          </w:p>
        </w:tc>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10/19/2015</w:t>
            </w:r>
          </w:p>
        </w:tc>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1"/>
        </w:trPr>
        <w:tc>
          <w:tcPr>
            <w:tcW w:w="8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92"/>
              </w:rPr>
              <w:t>9/28/2015</w:t>
            </w:r>
          </w:p>
        </w:tc>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30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39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7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7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30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12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12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12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12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0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X</w:t>
      </w:r>
    </w:p>
    <w:p>
      <w:pPr>
        <w:spacing w:after="0" w:line="289" w:lineRule="exact"/>
        <w:rPr>
          <w:sz w:val="20"/>
          <w:szCs w:val="20"/>
          <w:color w:val="auto"/>
        </w:rPr>
      </w:pPr>
    </w:p>
    <w:p>
      <w:pPr>
        <w:sectPr>
          <w:pgSz w:w="11900" w:h="16838" w:orient="portrait"/>
          <w:cols w:equalWidth="0" w:num="2">
            <w:col w:w="7180" w:space="240"/>
            <w:col w:w="3760"/>
          </w:cols>
          <w:pgMar w:left="320" w:top="322" w:right="399" w:bottom="1440" w:gutter="0" w:footer="0" w:header="0"/>
          <w:type w:val="continuous"/>
        </w:sectPr>
      </w:pPr>
    </w:p>
    <w:p>
      <w:pPr>
        <w:ind w:right="20" w:firstLine="7"/>
        <w:spacing w:after="0" w:line="292" w:lineRule="auto"/>
        <w:tabs>
          <w:tab w:leader="none" w:pos="13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22" w:right="39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40" w:type="dxa"/>
            <w:vAlign w:val="bottom"/>
          </w:tcPr>
          <w:p>
            <w:pPr>
              <w:spacing w:after="0"/>
              <w:rPr>
                <w:sz w:val="20"/>
                <w:szCs w:val="20"/>
                <w:color w:val="auto"/>
              </w:rPr>
            </w:pPr>
          </w:p>
        </w:tc>
        <w:tc>
          <w:tcPr>
            <w:tcW w:w="7380" w:type="dxa"/>
            <w:vAlign w:val="bottom"/>
            <w:gridSpan w:val="2"/>
          </w:tcPr>
          <w:p>
            <w:pPr>
              <w:ind w:left="2500"/>
              <w:spacing w:after="0"/>
              <w:rPr>
                <w:sz w:val="20"/>
                <w:szCs w:val="20"/>
                <w:color w:val="auto"/>
              </w:rPr>
            </w:pPr>
            <w:r>
              <w:rPr>
                <w:rFonts w:ascii="Arial" w:cs="Arial" w:eastAsia="Arial" w:hAnsi="Arial"/>
                <w:sz w:val="18"/>
                <w:szCs w:val="18"/>
                <w:b w:val="1"/>
                <w:bCs w:val="1"/>
                <w:color w:val="auto"/>
              </w:rPr>
              <w:t>CytomX Therapeutics, Inc.</w:t>
            </w:r>
          </w:p>
        </w:tc>
      </w:tr>
      <w:tr>
        <w:trPr>
          <w:trHeight w:val="429"/>
        </w:trPr>
        <w:tc>
          <w:tcPr>
            <w:tcW w:w="3840" w:type="dxa"/>
            <w:vAlign w:val="bottom"/>
          </w:tcPr>
          <w:p>
            <w:pPr>
              <w:spacing w:after="0"/>
              <w:rPr>
                <w:sz w:val="20"/>
                <w:szCs w:val="20"/>
                <w:color w:val="auto"/>
              </w:rPr>
            </w:pPr>
            <w:r>
              <w:rPr>
                <w:rFonts w:ascii="Arial" w:cs="Arial" w:eastAsia="Arial" w:hAnsi="Arial"/>
                <w:sz w:val="18"/>
                <w:szCs w:val="18"/>
                <w:color w:val="auto"/>
              </w:rPr>
              <w:t>Date: May 5, 2022</w:t>
            </w:r>
          </w:p>
        </w:tc>
        <w:tc>
          <w:tcPr>
            <w:tcW w:w="2940" w:type="dxa"/>
            <w:vAlign w:val="bottom"/>
          </w:tcPr>
          <w:p>
            <w:pPr>
              <w:ind w:left="25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r>
      <w:tr>
        <w:trPr>
          <w:trHeight w:val="176"/>
        </w:trPr>
        <w:tc>
          <w:tcPr>
            <w:tcW w:w="3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Sean A. McCarthy, D. Phil.</w:t>
            </w:r>
          </w:p>
        </w:tc>
      </w:tr>
      <w:tr>
        <w:trPr>
          <w:trHeight w:val="179"/>
        </w:trPr>
        <w:tc>
          <w:tcPr>
            <w:tcW w:w="3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4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1"/>
              </w:rPr>
              <w:t>Chief Executive Officer and Chairman</w:t>
            </w:r>
          </w:p>
        </w:tc>
      </w:tr>
      <w:tr>
        <w:trPr>
          <w:trHeight w:val="229"/>
        </w:trPr>
        <w:tc>
          <w:tcPr>
            <w:tcW w:w="3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43"/>
        </w:trPr>
        <w:tc>
          <w:tcPr>
            <w:tcW w:w="3840" w:type="dxa"/>
            <w:vAlign w:val="bottom"/>
          </w:tcPr>
          <w:p>
            <w:pPr>
              <w:spacing w:after="0"/>
              <w:rPr>
                <w:sz w:val="20"/>
                <w:szCs w:val="20"/>
                <w:color w:val="auto"/>
              </w:rPr>
            </w:pPr>
            <w:r>
              <w:rPr>
                <w:rFonts w:ascii="Arial" w:cs="Arial" w:eastAsia="Arial" w:hAnsi="Arial"/>
                <w:sz w:val="18"/>
                <w:szCs w:val="18"/>
                <w:color w:val="auto"/>
              </w:rPr>
              <w:t>Date: May 5, 2022</w:t>
            </w:r>
          </w:p>
        </w:tc>
        <w:tc>
          <w:tcPr>
            <w:tcW w:w="2940" w:type="dxa"/>
            <w:vAlign w:val="bottom"/>
          </w:tcPr>
          <w:p>
            <w:pPr>
              <w:ind w:left="2500"/>
              <w:spacing w:after="0"/>
              <w:rPr>
                <w:sz w:val="20"/>
                <w:szCs w:val="20"/>
                <w:color w:val="auto"/>
              </w:rPr>
            </w:pPr>
            <w:r>
              <w:rPr>
                <w:rFonts w:ascii="Arial" w:cs="Arial" w:eastAsia="Arial" w:hAnsi="Arial"/>
                <w:sz w:val="18"/>
                <w:szCs w:val="18"/>
                <w:color w:val="auto"/>
              </w:rPr>
              <w:t>By:</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/s/ Carlos Campoy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-8890</wp:posOffset>
            </wp:positionV>
            <wp:extent cx="28206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ind w:left="8420"/>
        <w:spacing w:after="0" w:line="233" w:lineRule="auto"/>
        <w:rPr>
          <w:sz w:val="20"/>
          <w:szCs w:val="20"/>
          <w:color w:val="auto"/>
        </w:rPr>
      </w:pPr>
      <w:r>
        <w:rPr>
          <w:rFonts w:ascii="Arial" w:cs="Arial" w:eastAsia="Arial" w:hAnsi="Arial"/>
          <w:sz w:val="18"/>
          <w:szCs w:val="18"/>
          <w:b w:val="1"/>
          <w:bCs w:val="1"/>
          <w:color w:val="auto"/>
        </w:rPr>
        <w:t>Carlos Campoy</w:t>
      </w:r>
    </w:p>
    <w:p>
      <w:pPr>
        <w:ind w:left="8140"/>
        <w:spacing w:after="0" w:line="202" w:lineRule="auto"/>
        <w:rPr>
          <w:sz w:val="20"/>
          <w:szCs w:val="20"/>
          <w:color w:val="auto"/>
        </w:rPr>
      </w:pPr>
      <w:r>
        <w:rPr>
          <w:rFonts w:ascii="Arial" w:cs="Arial" w:eastAsia="Arial" w:hAnsi="Arial"/>
          <w:sz w:val="18"/>
          <w:szCs w:val="18"/>
          <w:b w:val="1"/>
          <w:bCs w:val="1"/>
          <w:color w:val="auto"/>
        </w:rPr>
        <w:t>Chief Financial Officer</w:t>
      </w:r>
    </w:p>
    <w:p>
      <w:pPr>
        <w:jc w:val="center"/>
        <w:ind w:left="6740"/>
        <w:spacing w:after="0" w:line="203" w:lineRule="auto"/>
        <w:rPr>
          <w:sz w:val="20"/>
          <w:szCs w:val="20"/>
          <w:color w:val="auto"/>
        </w:rPr>
      </w:pPr>
      <w:r>
        <w:rPr>
          <w:rFonts w:ascii="Arial" w:cs="Arial" w:eastAsia="Arial" w:hAnsi="Arial"/>
          <w:sz w:val="18"/>
          <w:szCs w:val="18"/>
          <w:i w:val="1"/>
          <w:iCs w:val="1"/>
          <w:color w:val="auto"/>
        </w:rPr>
        <w:t>(Principal Financial Officer and Principal Accounting</w:t>
      </w:r>
    </w:p>
    <w:p>
      <w:pPr>
        <w:jc w:val="center"/>
        <w:ind w:left="6780"/>
        <w:spacing w:after="0"/>
        <w:rPr>
          <w:sz w:val="20"/>
          <w:szCs w:val="20"/>
          <w:color w:val="auto"/>
        </w:rPr>
      </w:pPr>
      <w:r>
        <w:rPr>
          <w:rFonts w:ascii="Arial" w:cs="Arial" w:eastAsia="Arial" w:hAnsi="Arial"/>
          <w:sz w:val="18"/>
          <w:szCs w:val="18"/>
          <w:i w:val="1"/>
          <w:iCs w:val="1"/>
          <w:color w:val="auto"/>
        </w:rPr>
        <w:t>Officer)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Chief Executive Officer of CytomX Therapeutics, Inc., certify that:</w:t>
      </w:r>
    </w:p>
    <w:p>
      <w:pPr>
        <w:spacing w:after="0" w:line="102" w:lineRule="exact"/>
        <w:rPr>
          <w:sz w:val="20"/>
          <w:szCs w:val="20"/>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09" w:lineRule="exact"/>
        <w:rPr>
          <w:rFonts w:ascii="Arial" w:cs="Arial" w:eastAsia="Arial" w:hAnsi="Arial"/>
          <w:sz w:val="18"/>
          <w:szCs w:val="18"/>
          <w:color w:val="auto"/>
        </w:rPr>
      </w:pPr>
    </w:p>
    <w:p>
      <w:pPr>
        <w:jc w:val="both"/>
        <w:ind w:left="1020" w:right="80" w:hanging="504"/>
        <w:spacing w:after="0" w:line="246"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1020" w:right="40" w:hanging="504"/>
        <w:spacing w:after="0" w:line="288"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left="1020" w:hanging="504"/>
        <w:spacing w:after="0" w:line="210" w:lineRule="exact"/>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15d-15(e)) and internal control over financial reporting (as defined in Exchange Act Rules 13a-15(f) and</w:t>
      </w:r>
    </w:p>
    <w:p>
      <w:pPr>
        <w:ind w:left="10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5" w:lineRule="exact"/>
        <w:rPr>
          <w:rFonts w:ascii="Arial" w:cs="Arial" w:eastAsia="Arial" w:hAnsi="Arial"/>
          <w:sz w:val="16"/>
          <w:szCs w:val="16"/>
          <w:color w:val="auto"/>
        </w:rPr>
      </w:pPr>
    </w:p>
    <w:p>
      <w:pPr>
        <w:ind w:left="1540" w:right="660" w:hanging="515"/>
        <w:spacing w:after="0" w:line="246"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540" w:right="240" w:hanging="515"/>
        <w:spacing w:after="0" w:line="246"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540" w:right="40" w:hanging="515"/>
        <w:spacing w:after="0" w:line="321" w:lineRule="auto"/>
        <w:tabs>
          <w:tab w:leader="none" w:pos="15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6"/>
          <w:szCs w:val="16"/>
          <w:color w:val="auto"/>
        </w:rPr>
      </w:pPr>
    </w:p>
    <w:p>
      <w:pPr>
        <w:ind w:left="1540" w:right="40" w:hanging="515"/>
        <w:spacing w:after="0" w:line="246"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1020" w:right="140" w:hanging="504"/>
        <w:spacing w:after="0" w:line="321"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1540" w:right="280" w:hanging="515"/>
        <w:spacing w:after="0" w:line="321" w:lineRule="auto"/>
        <w:tabs>
          <w:tab w:leader="none" w:pos="15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6"/>
          <w:szCs w:val="16"/>
          <w:color w:val="auto"/>
        </w:rPr>
      </w:pPr>
    </w:p>
    <w:p>
      <w:pPr>
        <w:ind w:left="1540" w:right="560" w:hanging="515"/>
        <w:spacing w:after="0" w:line="259"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840" w:type="dxa"/>
            <w:vAlign w:val="bottom"/>
          </w:tcPr>
          <w:p>
            <w:pPr>
              <w:ind w:left="196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A. McCarthy</w:t>
            </w:r>
          </w:p>
        </w:tc>
        <w:tc>
          <w:tcPr>
            <w:tcW w:w="580" w:type="dxa"/>
            <w:vAlign w:val="bottom"/>
          </w:tcPr>
          <w:p>
            <w:pPr>
              <w:spacing w:after="0"/>
              <w:rPr>
                <w:sz w:val="18"/>
                <w:szCs w:val="18"/>
                <w:color w:val="auto"/>
              </w:rPr>
            </w:pPr>
          </w:p>
        </w:tc>
      </w:tr>
      <w:tr>
        <w:trPr>
          <w:trHeight w:val="223"/>
        </w:trPr>
        <w:tc>
          <w:tcPr>
            <w:tcW w:w="3300" w:type="dxa"/>
            <w:vAlign w:val="bottom"/>
          </w:tcPr>
          <w:p>
            <w:pPr>
              <w:spacing w:after="0"/>
              <w:rPr>
                <w:sz w:val="19"/>
                <w:szCs w:val="19"/>
                <w:color w:val="auto"/>
              </w:rPr>
            </w:pPr>
          </w:p>
        </w:tc>
        <w:tc>
          <w:tcPr>
            <w:tcW w:w="2840" w:type="dxa"/>
            <w:vAlign w:val="bottom"/>
          </w:tcPr>
          <w:p>
            <w:pPr>
              <w:ind w:left="1960"/>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Sean A. McCarthy, D. Phil.</w:t>
            </w:r>
          </w:p>
        </w:tc>
        <w:tc>
          <w:tcPr>
            <w:tcW w:w="580" w:type="dxa"/>
            <w:vAlign w:val="bottom"/>
          </w:tcPr>
          <w:p>
            <w:pPr>
              <w:spacing w:after="0"/>
              <w:rPr>
                <w:sz w:val="19"/>
                <w:szCs w:val="19"/>
                <w:color w:val="auto"/>
              </w:rPr>
            </w:pPr>
          </w:p>
        </w:tc>
      </w:tr>
      <w:tr>
        <w:trPr>
          <w:trHeight w:val="241"/>
        </w:trPr>
        <w:tc>
          <w:tcPr>
            <w:tcW w:w="3300" w:type="dxa"/>
            <w:vAlign w:val="bottom"/>
          </w:tcPr>
          <w:p>
            <w:pPr>
              <w:spacing w:after="0"/>
              <w:rPr>
                <w:sz w:val="20"/>
                <w:szCs w:val="20"/>
                <w:color w:val="auto"/>
              </w:rPr>
            </w:pPr>
          </w:p>
        </w:tc>
        <w:tc>
          <w:tcPr>
            <w:tcW w:w="2840" w:type="dxa"/>
            <w:vAlign w:val="bottom"/>
          </w:tcPr>
          <w:p>
            <w:pPr>
              <w:ind w:left="1960"/>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580" w:type="dxa"/>
            <w:vAlign w:val="bottom"/>
          </w:tcPr>
          <w:p>
            <w:pPr>
              <w:spacing w:after="0"/>
              <w:rPr>
                <w:sz w:val="20"/>
                <w:szCs w:val="20"/>
                <w:color w:val="auto"/>
              </w:rPr>
            </w:pPr>
          </w:p>
        </w:tc>
      </w:tr>
      <w:tr>
        <w:trPr>
          <w:trHeight w:val="503"/>
        </w:trPr>
        <w:tc>
          <w:tcPr>
            <w:tcW w:w="33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Carlos Campoy, Chief Financial Officer of CytomX Therapeutics, Inc., certify that:</w:t>
      </w:r>
    </w:p>
    <w:p>
      <w:pPr>
        <w:spacing w:after="0" w:line="102" w:lineRule="exact"/>
        <w:rPr>
          <w:sz w:val="20"/>
          <w:szCs w:val="20"/>
          <w:color w:val="auto"/>
        </w:rPr>
      </w:pPr>
    </w:p>
    <w:p>
      <w:pPr>
        <w:ind w:left="1020" w:hanging="504"/>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09" w:lineRule="exact"/>
        <w:rPr>
          <w:rFonts w:ascii="Arial" w:cs="Arial" w:eastAsia="Arial" w:hAnsi="Arial"/>
          <w:sz w:val="18"/>
          <w:szCs w:val="18"/>
          <w:color w:val="auto"/>
        </w:rPr>
      </w:pPr>
    </w:p>
    <w:p>
      <w:pPr>
        <w:jc w:val="both"/>
        <w:ind w:left="1020" w:right="80" w:hanging="504"/>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1020" w:right="40" w:hanging="504"/>
        <w:spacing w:after="0" w:line="288"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left="1020" w:hanging="504"/>
        <w:spacing w:after="0" w:line="210" w:lineRule="exact"/>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15d-15(e)) and internal control over financial reporting (as defined in Exchange Act Rules 13a-15(f) and</w:t>
      </w:r>
    </w:p>
    <w:p>
      <w:pPr>
        <w:ind w:left="10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5" w:lineRule="exact"/>
        <w:rPr>
          <w:rFonts w:ascii="Arial" w:cs="Arial" w:eastAsia="Arial" w:hAnsi="Arial"/>
          <w:sz w:val="16"/>
          <w:szCs w:val="16"/>
          <w:color w:val="auto"/>
        </w:rPr>
      </w:pPr>
    </w:p>
    <w:p>
      <w:pPr>
        <w:ind w:left="1540" w:right="660" w:hanging="515"/>
        <w:spacing w:after="0" w:line="246"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540" w:right="240" w:hanging="515"/>
        <w:spacing w:after="0" w:line="246"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540" w:right="40" w:hanging="515"/>
        <w:spacing w:after="0" w:line="321" w:lineRule="auto"/>
        <w:tabs>
          <w:tab w:leader="none" w:pos="15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6"/>
          <w:szCs w:val="16"/>
          <w:color w:val="auto"/>
        </w:rPr>
      </w:pPr>
    </w:p>
    <w:p>
      <w:pPr>
        <w:ind w:left="1540" w:right="40" w:hanging="515"/>
        <w:spacing w:after="0" w:line="246"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1020" w:right="140" w:hanging="504"/>
        <w:spacing w:after="0" w:line="321"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1540" w:right="280" w:hanging="515"/>
        <w:spacing w:after="0" w:line="321" w:lineRule="auto"/>
        <w:tabs>
          <w:tab w:leader="none" w:pos="15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6"/>
          <w:szCs w:val="16"/>
          <w:color w:val="auto"/>
        </w:rPr>
      </w:pPr>
    </w:p>
    <w:p>
      <w:pPr>
        <w:ind w:left="1540" w:right="560" w:hanging="515"/>
        <w:spacing w:after="0" w:line="259"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740" w:type="dxa"/>
            <w:vAlign w:val="bottom"/>
          </w:tcPr>
          <w:p>
            <w:pPr>
              <w:ind w:left="196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Campoy</w:t>
            </w:r>
          </w:p>
        </w:tc>
        <w:tc>
          <w:tcPr>
            <w:tcW w:w="580" w:type="dxa"/>
            <w:vAlign w:val="bottom"/>
          </w:tcPr>
          <w:p>
            <w:pPr>
              <w:spacing w:after="0"/>
              <w:rPr>
                <w:sz w:val="18"/>
                <w:szCs w:val="18"/>
                <w:color w:val="auto"/>
              </w:rPr>
            </w:pPr>
          </w:p>
        </w:tc>
      </w:tr>
      <w:tr>
        <w:trPr>
          <w:trHeight w:val="223"/>
        </w:trPr>
        <w:tc>
          <w:tcPr>
            <w:tcW w:w="3300" w:type="dxa"/>
            <w:vAlign w:val="bottom"/>
          </w:tcPr>
          <w:p>
            <w:pPr>
              <w:spacing w:after="0"/>
              <w:rPr>
                <w:sz w:val="19"/>
                <w:szCs w:val="19"/>
                <w:color w:val="auto"/>
              </w:rPr>
            </w:pPr>
          </w:p>
        </w:tc>
        <w:tc>
          <w:tcPr>
            <w:tcW w:w="2740" w:type="dxa"/>
            <w:vAlign w:val="bottom"/>
          </w:tcPr>
          <w:p>
            <w:pPr>
              <w:ind w:left="196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Carlos Campoy</w:t>
            </w:r>
          </w:p>
        </w:tc>
        <w:tc>
          <w:tcPr>
            <w:tcW w:w="580" w:type="dxa"/>
            <w:vAlign w:val="bottom"/>
          </w:tcPr>
          <w:p>
            <w:pPr>
              <w:spacing w:after="0"/>
              <w:rPr>
                <w:sz w:val="19"/>
                <w:szCs w:val="19"/>
                <w:color w:val="auto"/>
              </w:rPr>
            </w:pPr>
          </w:p>
        </w:tc>
      </w:tr>
      <w:tr>
        <w:trPr>
          <w:trHeight w:val="241"/>
        </w:trPr>
        <w:tc>
          <w:tcPr>
            <w:tcW w:w="3300" w:type="dxa"/>
            <w:vAlign w:val="bottom"/>
          </w:tcPr>
          <w:p>
            <w:pPr>
              <w:spacing w:after="0"/>
              <w:rPr>
                <w:sz w:val="20"/>
                <w:szCs w:val="20"/>
                <w:color w:val="auto"/>
              </w:rPr>
            </w:pPr>
          </w:p>
        </w:tc>
        <w:tc>
          <w:tcPr>
            <w:tcW w:w="2740" w:type="dxa"/>
            <w:vAlign w:val="bottom"/>
          </w:tcPr>
          <w:p>
            <w:pPr>
              <w:ind w:left="196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20"/>
                <w:szCs w:val="20"/>
                <w:color w:val="auto"/>
              </w:rPr>
            </w:pPr>
          </w:p>
        </w:tc>
      </w:tr>
      <w:tr>
        <w:trPr>
          <w:trHeight w:val="503"/>
        </w:trPr>
        <w:tc>
          <w:tcPr>
            <w:tcW w:w="33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3"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jc w:val="both"/>
        <w:ind w:right="60"/>
        <w:spacing w:after="0" w:line="267"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March 31, 2022,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9" w:lineRule="exact"/>
        <w:rPr>
          <w:sz w:val="20"/>
          <w:szCs w:val="20"/>
          <w:color w:val="auto"/>
        </w:rPr>
      </w:pPr>
    </w:p>
    <w:p>
      <w:pPr>
        <w:ind w:left="520" w:hanging="513"/>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1" w:lineRule="exact"/>
        <w:rPr>
          <w:rFonts w:ascii="Arial" w:cs="Arial" w:eastAsia="Arial" w:hAnsi="Arial"/>
          <w:sz w:val="18"/>
          <w:szCs w:val="18"/>
          <w:color w:val="auto"/>
        </w:rPr>
      </w:pPr>
    </w:p>
    <w:p>
      <w:pPr>
        <w:ind w:left="520" w:hanging="513"/>
        <w:spacing w:after="0"/>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320" w:type="dxa"/>
            <w:vAlign w:val="bottom"/>
          </w:tcPr>
          <w:p>
            <w:pPr>
              <w:spacing w:after="0"/>
              <w:rPr>
                <w:sz w:val="20"/>
                <w:szCs w:val="20"/>
                <w:color w:val="auto"/>
              </w:rPr>
            </w:pPr>
            <w:r>
              <w:rPr>
                <w:rFonts w:ascii="Arial" w:cs="Arial" w:eastAsia="Arial" w:hAnsi="Arial"/>
                <w:sz w:val="18"/>
                <w:szCs w:val="18"/>
                <w:color w:val="auto"/>
              </w:rPr>
              <w:t>Date: May 5, 2022</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A. McCarthy</w:t>
            </w:r>
          </w:p>
        </w:tc>
      </w:tr>
      <w:tr>
        <w:trPr>
          <w:trHeight w:val="154"/>
        </w:trPr>
        <w:tc>
          <w:tcPr>
            <w:tcW w:w="3320" w:type="dxa"/>
            <w:vAlign w:val="bottom"/>
          </w:tcPr>
          <w:p>
            <w:pPr>
              <w:spacing w:after="0"/>
              <w:rPr>
                <w:sz w:val="13"/>
                <w:szCs w:val="13"/>
                <w:color w:val="auto"/>
              </w:rPr>
            </w:pPr>
          </w:p>
        </w:tc>
        <w:tc>
          <w:tcPr>
            <w:tcW w:w="2640" w:type="dxa"/>
            <w:vAlign w:val="bottom"/>
          </w:tcPr>
          <w:p>
            <w:pPr>
              <w:ind w:left="1960"/>
              <w:spacing w:after="0" w:line="154" w:lineRule="exact"/>
              <w:rPr>
                <w:sz w:val="20"/>
                <w:szCs w:val="20"/>
                <w:color w:val="auto"/>
              </w:rPr>
            </w:pPr>
            <w:r>
              <w:rPr>
                <w:rFonts w:ascii="Arial" w:cs="Arial" w:eastAsia="Arial" w:hAnsi="Arial"/>
                <w:sz w:val="17"/>
                <w:szCs w:val="17"/>
                <w:color w:val="auto"/>
              </w:rPr>
              <w:t>Name:</w:t>
            </w:r>
          </w:p>
        </w:tc>
        <w:tc>
          <w:tcPr>
            <w:tcW w:w="4700" w:type="dxa"/>
            <w:vAlign w:val="bottom"/>
          </w:tcPr>
          <w:p>
            <w:pPr>
              <w:ind w:left="20"/>
              <w:spacing w:after="0" w:line="154" w:lineRule="exact"/>
              <w:rPr>
                <w:sz w:val="20"/>
                <w:szCs w:val="20"/>
                <w:color w:val="auto"/>
              </w:rPr>
            </w:pPr>
            <w:r>
              <w:rPr>
                <w:rFonts w:ascii="Arial" w:cs="Arial" w:eastAsia="Arial" w:hAnsi="Arial"/>
                <w:sz w:val="17"/>
                <w:szCs w:val="17"/>
                <w:color w:val="auto"/>
              </w:rPr>
              <w:t>Sean A. McCarthy, D. Phil.</w:t>
            </w:r>
          </w:p>
        </w:tc>
      </w:tr>
      <w:tr>
        <w:trPr>
          <w:trHeight w:val="229"/>
        </w:trPr>
        <w:tc>
          <w:tcPr>
            <w:tcW w:w="3320" w:type="dxa"/>
            <w:vAlign w:val="bottom"/>
          </w:tcPr>
          <w:p>
            <w:pPr>
              <w:spacing w:after="0"/>
              <w:rPr>
                <w:sz w:val="19"/>
                <w:szCs w:val="19"/>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4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173"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3"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jc w:val="both"/>
        <w:ind w:right="140"/>
        <w:spacing w:after="0" w:line="267"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March 31, 2022,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Carlos Campoy,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9" w:lineRule="exact"/>
        <w:rPr>
          <w:sz w:val="20"/>
          <w:szCs w:val="20"/>
          <w:color w:val="auto"/>
        </w:rPr>
      </w:pPr>
    </w:p>
    <w:p>
      <w:pPr>
        <w:ind w:left="520" w:hanging="513"/>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1" w:lineRule="exact"/>
        <w:rPr>
          <w:rFonts w:ascii="Arial" w:cs="Arial" w:eastAsia="Arial" w:hAnsi="Arial"/>
          <w:sz w:val="18"/>
          <w:szCs w:val="18"/>
          <w:color w:val="auto"/>
        </w:rPr>
      </w:pPr>
    </w:p>
    <w:p>
      <w:pPr>
        <w:ind w:left="520" w:hanging="513"/>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320" w:type="dxa"/>
            <w:vAlign w:val="bottom"/>
          </w:tcPr>
          <w:p>
            <w:pPr>
              <w:spacing w:after="0"/>
              <w:rPr>
                <w:sz w:val="20"/>
                <w:szCs w:val="20"/>
                <w:color w:val="auto"/>
              </w:rPr>
            </w:pPr>
            <w:r>
              <w:rPr>
                <w:rFonts w:ascii="Arial" w:cs="Arial" w:eastAsia="Arial" w:hAnsi="Arial"/>
                <w:sz w:val="18"/>
                <w:szCs w:val="18"/>
                <w:color w:val="auto"/>
              </w:rPr>
              <w:t>Date: May 5, 2022</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Carlos Campoy</w:t>
            </w:r>
          </w:p>
        </w:tc>
      </w:tr>
      <w:tr>
        <w:trPr>
          <w:trHeight w:val="154"/>
        </w:trPr>
        <w:tc>
          <w:tcPr>
            <w:tcW w:w="3320" w:type="dxa"/>
            <w:vAlign w:val="bottom"/>
          </w:tcPr>
          <w:p>
            <w:pPr>
              <w:spacing w:after="0"/>
              <w:rPr>
                <w:sz w:val="13"/>
                <w:szCs w:val="13"/>
                <w:color w:val="auto"/>
              </w:rPr>
            </w:pPr>
          </w:p>
        </w:tc>
        <w:tc>
          <w:tcPr>
            <w:tcW w:w="2640" w:type="dxa"/>
            <w:vAlign w:val="bottom"/>
          </w:tcPr>
          <w:p>
            <w:pPr>
              <w:ind w:left="1960"/>
              <w:spacing w:after="0" w:line="154" w:lineRule="exact"/>
              <w:rPr>
                <w:sz w:val="20"/>
                <w:szCs w:val="20"/>
                <w:color w:val="auto"/>
              </w:rPr>
            </w:pPr>
            <w:r>
              <w:rPr>
                <w:rFonts w:ascii="Arial" w:cs="Arial" w:eastAsia="Arial" w:hAnsi="Arial"/>
                <w:sz w:val="17"/>
                <w:szCs w:val="17"/>
                <w:color w:val="auto"/>
              </w:rPr>
              <w:t>Name:</w:t>
            </w:r>
          </w:p>
        </w:tc>
        <w:tc>
          <w:tcPr>
            <w:tcW w:w="4700" w:type="dxa"/>
            <w:vAlign w:val="bottom"/>
          </w:tcPr>
          <w:p>
            <w:pPr>
              <w:ind w:left="20"/>
              <w:spacing w:after="0" w:line="154" w:lineRule="exact"/>
              <w:rPr>
                <w:sz w:val="20"/>
                <w:szCs w:val="20"/>
                <w:color w:val="auto"/>
              </w:rPr>
            </w:pPr>
            <w:r>
              <w:rPr>
                <w:rFonts w:ascii="Arial" w:cs="Arial" w:eastAsia="Arial" w:hAnsi="Arial"/>
                <w:sz w:val="17"/>
                <w:szCs w:val="17"/>
                <w:color w:val="auto"/>
              </w:rPr>
              <w:t>Carlos Campoy</w:t>
            </w:r>
          </w:p>
        </w:tc>
      </w:tr>
      <w:tr>
        <w:trPr>
          <w:trHeight w:val="229"/>
        </w:trPr>
        <w:tc>
          <w:tcPr>
            <w:tcW w:w="3320" w:type="dxa"/>
            <w:vAlign w:val="bottom"/>
          </w:tcPr>
          <w:p>
            <w:pPr>
              <w:spacing w:after="0"/>
              <w:rPr>
                <w:sz w:val="19"/>
                <w:szCs w:val="19"/>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4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73"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285750</wp:posOffset>
            </wp:positionV>
            <wp:extent cx="71583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7"/>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104"/>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76" Type="http://schemas.openxmlformats.org/officeDocument/2006/relationships/hyperlink" Target="https://www.sec.gov/Archives/edgar/data/0001501989/000119312515347080/d78795dex31.htm" TargetMode="External"/><Relationship Id="rId177" Type="http://schemas.openxmlformats.org/officeDocument/2006/relationships/hyperlink" Target="https://www.sec.gov/Archives/edgar/data/1501989/000119312520176532/d920733dex31.htm" TargetMode="External"/><Relationship Id="rId178" Type="http://schemas.openxmlformats.org/officeDocument/2006/relationships/hyperlink" Target="https://www.sec.gov/Archives/edgar/data/0001501989/000119312515347080/d78795dex32.htm" TargetMode="External"/><Relationship Id="rId179" Type="http://schemas.openxmlformats.org/officeDocument/2006/relationships/hyperlink" Target="https://www.sec.gov/Archives/edgar/data/0001501989/000119312515329662/d94853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2022-05-06T12:15:42Z</dcterms:created>
  <dcterms:modified xsi:type="dcterms:W3CDTF">2022-05-06T12:15:42Z</dcterms:modified>
</cp:coreProperties>
</file>