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Carvajal Alejandra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CYTOMX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OYSTER POINT BLVD., STE.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CytomX Therapeutics, Inc.</w:t>
              </w:r>
            </w:hyperlink>
            <w:r>
              <w:rPr/>
              <w:t xml:space="preserve"> [ </w:t>
            </w:r>
            <w:r>
              <w:rPr>
                <w:rFonts w:ascii="Times;serif" w:hAnsi="Times;serif"/>
                <w:color w:val="0000FF"/>
                <w:sz w:val="24"/>
                <w:shd w:fill="FFFFFF" w:val="clear"/>
              </w:rPr>
              <w:t>CTMX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Ogden, as Attorney-in-Fact for Alejandra Carvajal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8" w:after="283"/>
        <w:jc w:val="left"/>
        <w:rPr/>
      </w:pPr>
      <w:bookmarkStart w:id="2" w:name="acarvajalpoa.htm"/>
      <w:bookmarkStart w:id="3" w:name="ksacarvajalpoa"/>
      <w:bookmarkEnd w:id="2"/>
      <w:bookmarkEnd w:id="3"/>
      <w:r>
        <w:rPr/>
        <w:t xml:space="preserve">  </w:t>
      </w:r>
      <w:r>
        <w:br w:type="page"/>
      </w:r>
    </w:p>
    <w:p>
      <w:pPr>
        <w:pStyle w:val="TextBody"/>
        <w:bidi w:val="0"/>
        <w:spacing w:before="0" w:after="0"/>
        <w:ind w:left="1080" w:right="0" w:hanging="0"/>
        <w:jc w:val="left"/>
        <w:rPr/>
      </w:pPr>
      <w:r>
        <w:rPr/>
        <w:t xml:space="preserve">  </w:t>
      </w:r>
    </w:p>
    <w:p>
      <w:pPr>
        <w:pStyle w:val="TextBody"/>
        <w:bidi w:val="0"/>
        <w:spacing w:before="112" w:after="283"/>
        <w:ind w:left="714" w:right="0" w:hanging="0"/>
        <w:jc w:val="center"/>
        <w:rPr>
          <w:b/>
          <w:sz w:val="24"/>
        </w:rPr>
      </w:pPr>
      <w:r>
        <w:rPr>
          <w:b/>
          <w:sz w:val="24"/>
        </w:rPr>
        <w:t xml:space="preserve">POWER OF ATTORNEY </w:t>
      </w:r>
    </w:p>
    <w:p>
      <w:pPr>
        <w:pStyle w:val="TextBody"/>
        <w:bidi w:val="0"/>
        <w:spacing w:before="237" w:after="283"/>
        <w:ind w:left="1080" w:right="428" w:firstLine="720"/>
        <w:jc w:val="left"/>
        <w:rPr>
          <w:sz w:val="21"/>
        </w:rPr>
      </w:pPr>
      <w:r>
        <w:rPr>
          <w:sz w:val="21"/>
        </w:rPr>
        <w:t>Know all by these presents, that the undersigned hereby constitutes and appoints each of (i) the Chief Executive Officer of CytomX Therapeutics, Inc., a Delaware corporation (the “</w:t>
      </w:r>
      <w:r>
        <w:rPr>
          <w:b/>
          <w:sz w:val="21"/>
        </w:rPr>
        <w:t>Company</w:t>
      </w:r>
      <w:r>
        <w:rPr>
          <w:sz w:val="21"/>
        </w:rPr>
        <w:t xml:space="preserve">”), who is currently Sean McCarthy, D.Phil., and (ii) the Company’s Chief Financial Officer, who is currently Christopher W. Ogden, and their respective successors, signing singly, with full power of substitution, as the undersigned's true and lawful attorney-in-fact to: </w:t>
      </w:r>
    </w:p>
    <w:p>
      <w:pPr>
        <w:pStyle w:val="TextBody"/>
        <w:bidi w:val="0"/>
        <w:spacing w:before="1" w:after="283"/>
        <w:jc w:val="left"/>
        <w:rPr/>
      </w:pPr>
      <w:r>
        <w:rPr/>
        <w:t xml:space="preserve">  </w:t>
      </w:r>
    </w:p>
    <w:p>
      <w:pPr>
        <w:pStyle w:val="TextBody"/>
        <w:bidi w:val="0"/>
        <w:spacing w:before="0" w:after="0"/>
        <w:ind w:left="1853" w:right="860" w:hanging="0"/>
        <w:jc w:val="left"/>
        <w:rPr>
          <w:sz w:val="21"/>
        </w:rPr>
      </w:pPr>
      <w:r>
        <w:rPr>
          <w:sz w:val="21"/>
        </w:rPr>
        <w:t xml:space="preserve">(1) </w:t>
      </w:r>
    </w:p>
    <w:p>
      <w:pPr>
        <w:pStyle w:val="TextBody"/>
        <w:bidi w:val="0"/>
        <w:spacing w:before="0" w:after="0"/>
        <w:ind w:left="2521" w:right="860" w:hanging="0"/>
        <w:jc w:val="left"/>
        <w:rPr>
          <w:sz w:val="21"/>
        </w:rPr>
      </w:pPr>
      <w:r>
        <w:rPr>
          <w:sz w:val="21"/>
        </w:rPr>
        <w:t xml:space="preserve">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 </w:t>
      </w:r>
    </w:p>
    <w:p>
      <w:pPr>
        <w:pStyle w:val="TextBody"/>
        <w:bidi w:val="0"/>
        <w:spacing w:before="238" w:after="283"/>
        <w:ind w:left="1801" w:right="0" w:hanging="0"/>
        <w:jc w:val="left"/>
        <w:rPr>
          <w:sz w:val="21"/>
        </w:rPr>
      </w:pPr>
      <w:r>
        <w:rPr>
          <w:sz w:val="21"/>
        </w:rPr>
        <w:t xml:space="preserve">(2) </w:t>
      </w:r>
    </w:p>
    <w:p>
      <w:pPr>
        <w:pStyle w:val="TextBody"/>
        <w:bidi w:val="0"/>
        <w:spacing w:before="238" w:after="283"/>
        <w:ind w:left="2469" w:right="0" w:hanging="0"/>
        <w:jc w:val="left"/>
        <w:rPr>
          <w:sz w:val="21"/>
        </w:rPr>
      </w:pPr>
      <w:r>
        <w:rPr>
          <w:sz w:val="21"/>
        </w:rPr>
        <w:t xml:space="preserve">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 </w:t>
      </w:r>
    </w:p>
    <w:p>
      <w:pPr>
        <w:pStyle w:val="TextBody"/>
        <w:bidi w:val="0"/>
        <w:spacing w:before="3" w:after="283"/>
        <w:jc w:val="left"/>
        <w:rPr/>
      </w:pPr>
      <w:r>
        <w:rPr/>
        <w:t xml:space="preserve">  </w:t>
      </w:r>
    </w:p>
    <w:p>
      <w:pPr>
        <w:pStyle w:val="TextBody"/>
        <w:bidi w:val="0"/>
        <w:spacing w:before="0" w:after="0"/>
        <w:ind w:left="1801" w:right="549" w:hanging="0"/>
        <w:jc w:val="left"/>
        <w:rPr>
          <w:sz w:val="21"/>
        </w:rPr>
      </w:pPr>
      <w:r>
        <w:rPr>
          <w:sz w:val="21"/>
        </w:rPr>
        <w:t xml:space="preserve">(3) </w:t>
      </w:r>
    </w:p>
    <w:p>
      <w:pPr>
        <w:pStyle w:val="TextBody"/>
        <w:bidi w:val="0"/>
        <w:spacing w:before="0" w:after="0"/>
        <w:ind w:left="2469" w:right="549" w:hanging="0"/>
        <w:jc w:val="left"/>
        <w:rPr>
          <w:sz w:val="21"/>
        </w:rPr>
      </w:pPr>
      <w:r>
        <w:rPr>
          <w:sz w:val="21"/>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241" w:after="283"/>
        <w:ind w:left="1080" w:right="358" w:firstLine="720"/>
        <w:jc w:val="left"/>
        <w:rPr>
          <w:sz w:val="21"/>
        </w:rPr>
      </w:pPr>
      <w:r>
        <w:rPr>
          <w:sz w:val="21"/>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p>
      <w:pPr>
        <w:pStyle w:val="TextBody"/>
        <w:bidi w:val="0"/>
        <w:spacing w:before="0" w:after="0"/>
        <w:jc w:val="left"/>
        <w:rPr/>
      </w:pPr>
      <w:r>
        <w:rPr/>
        <w:t xml:space="preserve">  </w:t>
      </w:r>
    </w:p>
    <w:p>
      <w:pPr>
        <w:pStyle w:val="TextBody"/>
        <w:bidi w:val="0"/>
        <w:spacing w:before="1" w:after="283"/>
        <w:ind w:left="1080" w:right="358" w:firstLine="720"/>
        <w:jc w:val="left"/>
        <w:rPr>
          <w:sz w:val="21"/>
        </w:rPr>
      </w:pPr>
      <w:r>
        <w:rPr>
          <w:sz w:val="21"/>
        </w:rPr>
        <w:t xml:space="preserve">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TextBody"/>
        <w:bidi w:val="0"/>
        <w:spacing w:before="69" w:after="283"/>
        <w:jc w:val="left"/>
        <w:rPr/>
      </w:pPr>
      <w:r>
        <w:rPr/>
        <w:t xml:space="preserve">  </w:t>
      </w:r>
    </w:p>
    <w:p>
      <w:pPr>
        <w:pStyle w:val="TextBody"/>
        <w:bidi w:val="0"/>
        <w:spacing w:before="0" w:after="0"/>
        <w:ind w:left="1080" w:right="358" w:firstLine="720"/>
        <w:jc w:val="left"/>
        <w:rPr>
          <w:sz w:val="21"/>
        </w:rPr>
      </w:pPr>
      <w:r>
        <w:rPr>
          <w:sz w:val="21"/>
        </w:rPr>
        <w:t>This Power of Attorney supersedes any power of attorney previously executed by the undersigned regarding the purposes outlined in the first paragraph hereof (“</w:t>
      </w:r>
      <w:r>
        <w:rPr>
          <w:b/>
          <w:i/>
          <w:sz w:val="21"/>
        </w:rPr>
        <w:t>Prior Powers of Attorney</w:t>
      </w:r>
      <w:r>
        <w:rPr>
          <w:sz w:val="21"/>
        </w:rPr>
        <w:t xml:space="preserve">”), and the authority of the attorneys-in-fact named in any Prior Powers of Attorney is hereby revoked. </w:t>
      </w:r>
    </w:p>
    <w:p>
      <w:pPr>
        <w:pStyle w:val="TextBody"/>
        <w:bidi w:val="0"/>
        <w:spacing w:before="241" w:after="283"/>
        <w:ind w:left="1080" w:right="367" w:firstLine="720"/>
        <w:jc w:val="left"/>
        <w:rPr>
          <w:sz w:val="21"/>
        </w:rPr>
      </w:pPr>
      <w:r>
        <w:rPr>
          <w:sz w:val="21"/>
        </w:rPr>
        <w:t xml:space="preserve">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spacing w:before="200" w:after="283"/>
        <w:ind w:left="1080" w:right="428" w:hanging="0"/>
        <w:jc w:val="left"/>
        <w:rPr>
          <w:sz w:val="21"/>
        </w:rPr>
      </w:pPr>
      <w:r>
        <w:rPr>
          <w:sz w:val="21"/>
        </w:rPr>
        <w:t>IN WITNESS WHEREOF, the undersigned has caused this Power of Attorney to be executed as of this 4</w:t>
      </w:r>
      <w:r>
        <w:rPr>
          <w:position w:val="7"/>
          <w:sz w:val="17"/>
          <w:sz w:val="21"/>
        </w:rPr>
        <w:t>th</w:t>
      </w:r>
      <w:r>
        <w:rPr>
          <w:sz w:val="21"/>
        </w:rPr>
        <w:t xml:space="preserve"> day of August, 2026. </w:t>
      </w:r>
    </w:p>
    <w:p>
      <w:pPr>
        <w:pStyle w:val="TextBody"/>
        <w:bidi w:val="0"/>
        <w:spacing w:before="0" w:after="0"/>
        <w:ind w:left="6842" w:right="0" w:hanging="0"/>
        <w:jc w:val="left"/>
        <w:rPr/>
      </w:pPr>
      <w:r>
        <w:rPr/>
        <w:t xml:space="preserve">  </w:t>
      </w:r>
    </w:p>
    <w:p>
      <w:pPr>
        <w:pStyle w:val="TextBody"/>
        <w:bidi w:val="0"/>
        <w:spacing w:before="0" w:after="0"/>
        <w:ind w:left="6842" w:right="0" w:hanging="0"/>
        <w:jc w:val="left"/>
        <w:rPr>
          <w:sz w:val="21"/>
        </w:rPr>
      </w:pPr>
      <w:r>
        <w:rPr>
          <w:sz w:val="21"/>
          <w:u w:val="single"/>
        </w:rPr>
        <w:t>/s/ Alejandra Carvajal</w:t>
      </w:r>
      <w:r>
        <w:rPr>
          <w:sz w:val="21"/>
        </w:rPr>
        <w:t xml:space="preserve"> </w:t>
      </w:r>
    </w:p>
    <w:p>
      <w:pPr>
        <w:pStyle w:val="TextBody"/>
        <w:bidi w:val="0"/>
        <w:spacing w:before="0" w:after="0"/>
        <w:ind w:left="6842" w:right="0" w:hanging="0"/>
        <w:jc w:val="left"/>
        <w:rPr>
          <w:sz w:val="21"/>
        </w:rPr>
      </w:pPr>
      <w:r>
        <w:rPr>
          <w:sz w:val="21"/>
        </w:rPr>
        <w:t xml:space="preserve">Alejandra Carvajal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45755" TargetMode="External"/><Relationship Id="rId3" Type="http://schemas.openxmlformats.org/officeDocument/2006/relationships/hyperlink" Target="http://www.sec.gov/cgi-bin/browse-edgar?action=getcompany&amp;CIK=000150198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1101</Words>
  <Characters>5970</Characters>
  <CharactersWithSpaces>7038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