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3"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169545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 w:lineRule="exact"/>
        <w:rPr>
          <w:sz w:val="24"/>
          <w:szCs w:val="24"/>
          <w:color w:val="auto"/>
        </w:rPr>
      </w:pPr>
    </w:p>
    <w:p>
      <w:pPr>
        <w:ind w:left="480" w:right="260" w:hanging="459"/>
        <w:spacing w:after="0" w:line="227"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10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94" w:lineRule="exact"/>
        <w:rPr>
          <w:sz w:val="24"/>
          <w:szCs w:val="24"/>
          <w:color w:val="auto"/>
        </w:rPr>
      </w:pPr>
    </w:p>
    <w:p>
      <w:pPr>
        <w:ind w:left="480" w:right="260" w:hanging="459"/>
        <w:spacing w:after="0" w:line="235" w:lineRule="auto"/>
        <w:tabs>
          <w:tab w:leader="none" w:pos="4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8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001-37587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146050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8" w:lineRule="exact"/>
        <w:rPr>
          <w:sz w:val="24"/>
          <w:szCs w:val="24"/>
          <w:color w:val="auto"/>
        </w:rPr>
      </w:pPr>
    </w:p>
    <w:p>
      <w:pPr>
        <w:jc w:val="center"/>
        <w:ind w:right="100"/>
        <w:spacing w:after="0"/>
        <w:rPr>
          <w:sz w:val="20"/>
          <w:szCs w:val="20"/>
          <w:color w:val="auto"/>
        </w:rPr>
      </w:pPr>
      <w:r>
        <w:rPr>
          <w:rFonts w:ascii="Arial" w:cs="Arial" w:eastAsia="Arial" w:hAnsi="Arial"/>
          <w:sz w:val="43"/>
          <w:szCs w:val="43"/>
          <w:b w:val="1"/>
          <w:bCs w:val="1"/>
          <w:color w:val="auto"/>
        </w:rPr>
        <w:t>CytomX Therapeutics, Inc.</w:t>
      </w:r>
    </w:p>
    <w:p>
      <w:pPr>
        <w:spacing w:after="0" w:line="3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800" w:type="dxa"/>
            <w:vAlign w:val="bottom"/>
          </w:tcPr>
          <w:p>
            <w:pPr>
              <w:jc w:val="center"/>
              <w:ind w:left="1759"/>
              <w:spacing w:after="0"/>
              <w:rPr>
                <w:sz w:val="20"/>
                <w:szCs w:val="20"/>
                <w:color w:val="auto"/>
              </w:rPr>
            </w:pPr>
            <w:r>
              <w:rPr>
                <w:rFonts w:ascii="Arial" w:cs="Arial" w:eastAsia="Arial" w:hAnsi="Arial"/>
                <w:sz w:val="18"/>
                <w:szCs w:val="18"/>
                <w:b w:val="1"/>
                <w:bCs w:val="1"/>
                <w:color w:val="auto"/>
                <w:w w:val="91"/>
              </w:rPr>
              <w:t>Delaware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720" w:type="dxa"/>
            <w:vAlign w:val="bottom"/>
          </w:tcPr>
          <w:p>
            <w:pPr>
              <w:jc w:val="center"/>
              <w:ind w:right="1701"/>
              <w:spacing w:after="0"/>
              <w:rPr>
                <w:sz w:val="20"/>
                <w:szCs w:val="20"/>
                <w:color w:val="auto"/>
              </w:rPr>
            </w:pPr>
            <w:r>
              <w:rPr>
                <w:rFonts w:ascii="Arial" w:cs="Arial" w:eastAsia="Arial" w:hAnsi="Arial"/>
                <w:sz w:val="18"/>
                <w:szCs w:val="18"/>
                <w:b w:val="1"/>
                <w:bCs w:val="1"/>
                <w:color w:val="auto"/>
                <w:w w:val="89"/>
              </w:rPr>
              <w:t>27-3521219</w:t>
            </w:r>
          </w:p>
        </w:tc>
      </w:tr>
      <w:tr>
        <w:trPr>
          <w:trHeight w:val="148"/>
        </w:trPr>
        <w:tc>
          <w:tcPr>
            <w:tcW w:w="3800" w:type="dxa"/>
            <w:vAlign w:val="bottom"/>
          </w:tcPr>
          <w:p>
            <w:pPr>
              <w:jc w:val="center"/>
              <w:ind w:left="17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720" w:type="dxa"/>
            <w:vAlign w:val="bottom"/>
          </w:tcPr>
          <w:p>
            <w:pPr>
              <w:jc w:val="center"/>
              <w:ind w:right="16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00" w:type="dxa"/>
            <w:vAlign w:val="bottom"/>
          </w:tcPr>
          <w:p>
            <w:pPr>
              <w:jc w:val="center"/>
              <w:ind w:left="1759"/>
              <w:spacing w:after="0"/>
              <w:rPr>
                <w:sz w:val="20"/>
                <w:szCs w:val="20"/>
                <w:color w:val="auto"/>
              </w:rPr>
            </w:pPr>
            <w:r>
              <w:rPr>
                <w:rFonts w:ascii="Arial" w:cs="Arial" w:eastAsia="Arial" w:hAnsi="Arial"/>
                <w:sz w:val="14"/>
                <w:szCs w:val="14"/>
                <w:b w:val="1"/>
                <w:bCs w:val="1"/>
                <w:color w:val="auto"/>
                <w:w w:val="94"/>
              </w:rPr>
              <w:t>incorporation or organization)</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720" w:type="dxa"/>
            <w:vAlign w:val="bottom"/>
          </w:tcPr>
          <w:p>
            <w:pPr>
              <w:jc w:val="center"/>
              <w:ind w:right="1701"/>
              <w:spacing w:after="0"/>
              <w:rPr>
                <w:sz w:val="20"/>
                <w:szCs w:val="20"/>
                <w:color w:val="auto"/>
              </w:rPr>
            </w:pPr>
            <w:r>
              <w:rPr>
                <w:rFonts w:ascii="Arial" w:cs="Arial" w:eastAsia="Arial" w:hAnsi="Arial"/>
                <w:sz w:val="14"/>
                <w:szCs w:val="14"/>
                <w:b w:val="1"/>
                <w:bCs w:val="1"/>
                <w:color w:val="auto"/>
                <w:w w:val="96"/>
              </w:rPr>
              <w:t>Identification No.)</w:t>
            </w:r>
          </w:p>
        </w:tc>
      </w:tr>
      <w:tr>
        <w:trPr>
          <w:trHeight w:val="268"/>
        </w:trPr>
        <w:tc>
          <w:tcPr>
            <w:tcW w:w="3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40" w:type="dxa"/>
            <w:vAlign w:val="bottom"/>
            <w:gridSpan w:val="6"/>
          </w:tcPr>
          <w:p>
            <w:pPr>
              <w:jc w:val="center"/>
              <w:ind w:right="540"/>
              <w:spacing w:after="0"/>
              <w:rPr>
                <w:sz w:val="20"/>
                <w:szCs w:val="20"/>
                <w:color w:val="auto"/>
              </w:rPr>
            </w:pPr>
            <w:r>
              <w:rPr>
                <w:rFonts w:ascii="Arial" w:cs="Arial" w:eastAsia="Arial" w:hAnsi="Arial"/>
                <w:sz w:val="18"/>
                <w:szCs w:val="18"/>
                <w:b w:val="1"/>
                <w:bCs w:val="1"/>
                <w:color w:val="auto"/>
                <w:w w:val="90"/>
              </w:rPr>
              <w:t>151 Oyster Point Blvd., Suite 400</w:t>
            </w:r>
          </w:p>
        </w:tc>
        <w:tc>
          <w:tcPr>
            <w:tcW w:w="3720" w:type="dxa"/>
            <w:vAlign w:val="bottom"/>
          </w:tcPr>
          <w:p>
            <w:pPr>
              <w:spacing w:after="0"/>
              <w:rPr>
                <w:sz w:val="23"/>
                <w:szCs w:val="23"/>
                <w:color w:val="auto"/>
              </w:rPr>
            </w:pPr>
          </w:p>
        </w:tc>
      </w:tr>
      <w:tr>
        <w:trPr>
          <w:trHeight w:val="180"/>
        </w:trPr>
        <w:tc>
          <w:tcPr>
            <w:tcW w:w="3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20" w:type="dxa"/>
            <w:vAlign w:val="bottom"/>
            <w:gridSpan w:val="5"/>
          </w:tcPr>
          <w:p>
            <w:pPr>
              <w:jc w:val="center"/>
              <w:ind w:right="660"/>
              <w:spacing w:after="0" w:line="180" w:lineRule="exact"/>
              <w:rPr>
                <w:sz w:val="20"/>
                <w:szCs w:val="20"/>
                <w:color w:val="auto"/>
              </w:rPr>
            </w:pPr>
            <w:r>
              <w:rPr>
                <w:rFonts w:ascii="Arial" w:cs="Arial" w:eastAsia="Arial" w:hAnsi="Arial"/>
                <w:sz w:val="18"/>
                <w:szCs w:val="18"/>
                <w:b w:val="1"/>
                <w:bCs w:val="1"/>
                <w:color w:val="auto"/>
                <w:w w:val="89"/>
              </w:rPr>
              <w:t>South San Francisco, CA 94080</w:t>
            </w:r>
          </w:p>
        </w:tc>
        <w:tc>
          <w:tcPr>
            <w:tcW w:w="3720" w:type="dxa"/>
            <w:vAlign w:val="bottom"/>
          </w:tcPr>
          <w:p>
            <w:pPr>
              <w:spacing w:after="0"/>
              <w:rPr>
                <w:sz w:val="15"/>
                <w:szCs w:val="15"/>
                <w:color w:val="auto"/>
              </w:rPr>
            </w:pPr>
          </w:p>
        </w:tc>
      </w:tr>
      <w:tr>
        <w:trPr>
          <w:trHeight w:val="144"/>
        </w:trPr>
        <w:tc>
          <w:tcPr>
            <w:tcW w:w="3800" w:type="dxa"/>
            <w:vAlign w:val="bottom"/>
          </w:tcPr>
          <w:p>
            <w:pPr>
              <w:spacing w:after="0"/>
              <w:rPr>
                <w:sz w:val="12"/>
                <w:szCs w:val="12"/>
                <w:color w:val="auto"/>
              </w:rPr>
            </w:pPr>
          </w:p>
        </w:tc>
        <w:tc>
          <w:tcPr>
            <w:tcW w:w="3720" w:type="dxa"/>
            <w:vAlign w:val="bottom"/>
            <w:gridSpan w:val="7"/>
          </w:tcPr>
          <w:p>
            <w:pPr>
              <w:jc w:val="center"/>
              <w:ind w:right="80"/>
              <w:spacing w:after="0" w:line="145" w:lineRule="exact"/>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3720" w:type="dxa"/>
            <w:vAlign w:val="bottom"/>
          </w:tcPr>
          <w:p>
            <w:pPr>
              <w:spacing w:after="0"/>
              <w:rPr>
                <w:sz w:val="12"/>
                <w:szCs w:val="12"/>
                <w:color w:val="auto"/>
              </w:rPr>
            </w:pPr>
          </w:p>
        </w:tc>
      </w:tr>
      <w:tr>
        <w:trPr>
          <w:trHeight w:val="180"/>
        </w:trPr>
        <w:tc>
          <w:tcPr>
            <w:tcW w:w="3800" w:type="dxa"/>
            <w:vAlign w:val="bottom"/>
          </w:tcPr>
          <w:p>
            <w:pPr>
              <w:spacing w:after="0"/>
              <w:rPr>
                <w:sz w:val="15"/>
                <w:szCs w:val="15"/>
                <w:color w:val="auto"/>
              </w:rPr>
            </w:pPr>
          </w:p>
        </w:tc>
        <w:tc>
          <w:tcPr>
            <w:tcW w:w="2940" w:type="dxa"/>
            <w:vAlign w:val="bottom"/>
            <w:gridSpan w:val="4"/>
          </w:tcPr>
          <w:p>
            <w:pPr>
              <w:jc w:val="right"/>
              <w:ind w:right="499"/>
              <w:spacing w:after="0" w:line="180" w:lineRule="exact"/>
              <w:rPr>
                <w:sz w:val="20"/>
                <w:szCs w:val="20"/>
                <w:color w:val="auto"/>
              </w:rPr>
            </w:pPr>
            <w:r>
              <w:rPr>
                <w:rFonts w:ascii="Arial" w:cs="Arial" w:eastAsia="Arial" w:hAnsi="Arial"/>
                <w:sz w:val="18"/>
                <w:szCs w:val="18"/>
                <w:b w:val="1"/>
                <w:bCs w:val="1"/>
                <w:color w:val="auto"/>
              </w:rPr>
              <w:t>(650) 515-3185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720" w:type="dxa"/>
            <w:vAlign w:val="bottom"/>
          </w:tcPr>
          <w:p>
            <w:pPr>
              <w:spacing w:after="0"/>
              <w:rPr>
                <w:sz w:val="15"/>
                <w:szCs w:val="15"/>
                <w:color w:val="auto"/>
              </w:rPr>
            </w:pPr>
          </w:p>
        </w:tc>
      </w:tr>
      <w:tr>
        <w:trPr>
          <w:trHeight w:val="186"/>
        </w:trPr>
        <w:tc>
          <w:tcPr>
            <w:tcW w:w="3800" w:type="dxa"/>
            <w:vAlign w:val="bottom"/>
          </w:tcPr>
          <w:p>
            <w:pPr>
              <w:spacing w:after="0"/>
              <w:rPr>
                <w:sz w:val="16"/>
                <w:szCs w:val="16"/>
                <w:color w:val="auto"/>
              </w:rPr>
            </w:pPr>
          </w:p>
        </w:tc>
        <w:tc>
          <w:tcPr>
            <w:tcW w:w="372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720" w:type="dxa"/>
            <w:vAlign w:val="bottom"/>
          </w:tcPr>
          <w:p>
            <w:pPr>
              <w:spacing w:after="0"/>
              <w:rPr>
                <w:sz w:val="16"/>
                <w:szCs w:val="16"/>
                <w:color w:val="auto"/>
              </w:rPr>
            </w:pPr>
          </w:p>
        </w:tc>
      </w:tr>
      <w:tr>
        <w:trPr>
          <w:trHeight w:val="228"/>
        </w:trPr>
        <w:tc>
          <w:tcPr>
            <w:tcW w:w="42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720" w:type="dxa"/>
            <w:vAlign w:val="bottom"/>
          </w:tcPr>
          <w:p>
            <w:pPr>
              <w:spacing w:after="0"/>
              <w:rPr>
                <w:sz w:val="19"/>
                <w:szCs w:val="19"/>
                <w:color w:val="auto"/>
              </w:rPr>
            </w:pPr>
          </w:p>
        </w:tc>
      </w:tr>
      <w:tr>
        <w:trPr>
          <w:trHeight w:val="290"/>
        </w:trPr>
        <w:tc>
          <w:tcPr>
            <w:tcW w:w="7520" w:type="dxa"/>
            <w:vAlign w:val="bottom"/>
            <w:gridSpan w:val="8"/>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720" w:type="dxa"/>
            <w:vAlign w:val="bottom"/>
          </w:tcPr>
          <w:p>
            <w:pPr>
              <w:spacing w:after="0"/>
              <w:rPr>
                <w:sz w:val="24"/>
                <w:szCs w:val="24"/>
                <w:color w:val="auto"/>
              </w:rPr>
            </w:pPr>
          </w:p>
        </w:tc>
      </w:tr>
      <w:tr>
        <w:trPr>
          <w:trHeight w:val="203"/>
        </w:trPr>
        <w:tc>
          <w:tcPr>
            <w:tcW w:w="3800" w:type="dxa"/>
            <w:vAlign w:val="bottom"/>
          </w:tcPr>
          <w:p>
            <w:pPr>
              <w:jc w:val="center"/>
              <w:ind w:left="419"/>
              <w:spacing w:after="0"/>
              <w:rPr>
                <w:sz w:val="20"/>
                <w:szCs w:val="20"/>
                <w:color w:val="auto"/>
              </w:rPr>
            </w:pPr>
            <w:r>
              <w:rPr>
                <w:rFonts w:ascii="Arial" w:cs="Arial" w:eastAsia="Arial" w:hAnsi="Arial"/>
                <w:sz w:val="16"/>
                <w:szCs w:val="16"/>
                <w:b w:val="1"/>
                <w:bCs w:val="1"/>
                <w:color w:val="auto"/>
                <w:w w:val="88"/>
              </w:rPr>
              <w:t>Title of each class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gridSpan w:val="4"/>
          </w:tcPr>
          <w:p>
            <w:pPr>
              <w:jc w:val="center"/>
              <w:ind w:right="740"/>
              <w:spacing w:after="0"/>
              <w:rPr>
                <w:sz w:val="20"/>
                <w:szCs w:val="20"/>
                <w:color w:val="auto"/>
              </w:rPr>
            </w:pPr>
            <w:r>
              <w:rPr>
                <w:rFonts w:ascii="Arial" w:cs="Arial" w:eastAsia="Arial" w:hAnsi="Arial"/>
                <w:sz w:val="16"/>
                <w:szCs w:val="16"/>
                <w:b w:val="1"/>
                <w:bCs w:val="1"/>
                <w:color w:val="auto"/>
                <w:w w:val="91"/>
              </w:rPr>
              <w:t>Trading Symbol(s)</w:t>
            </w:r>
          </w:p>
        </w:tc>
        <w:tc>
          <w:tcPr>
            <w:tcW w:w="3720" w:type="dxa"/>
            <w:vAlign w:val="bottom"/>
          </w:tcPr>
          <w:p>
            <w:pPr>
              <w:jc w:val="center"/>
              <w:ind w:right="441"/>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0"/>
        </w:trPr>
        <w:tc>
          <w:tcPr>
            <w:tcW w:w="3800" w:type="dxa"/>
            <w:vAlign w:val="bottom"/>
            <w:tcBorders>
              <w:top w:val="single" w:sz="8" w:color="auto"/>
            </w:tcBorders>
          </w:tcPr>
          <w:p>
            <w:pPr>
              <w:jc w:val="center"/>
              <w:ind w:left="379"/>
              <w:spacing w:after="0"/>
              <w:rPr>
                <w:sz w:val="20"/>
                <w:szCs w:val="20"/>
                <w:color w:val="auto"/>
              </w:rPr>
            </w:pPr>
            <w:r>
              <w:rPr>
                <w:rFonts w:ascii="Arial" w:cs="Arial" w:eastAsia="Arial" w:hAnsi="Arial"/>
                <w:sz w:val="16"/>
                <w:szCs w:val="16"/>
                <w:color w:val="auto"/>
                <w:w w:val="91"/>
              </w:rPr>
              <w:t>Common Stock, $0.00001 par value per share</w:t>
            </w:r>
          </w:p>
        </w:tc>
        <w:tc>
          <w:tcPr>
            <w:tcW w:w="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3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color w:val="auto"/>
              </w:rPr>
              <w:t>CTMX</w:t>
            </w:r>
          </w:p>
        </w:tc>
        <w:tc>
          <w:tcPr>
            <w:tcW w:w="1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720" w:type="dxa"/>
            <w:vAlign w:val="bottom"/>
            <w:tcBorders>
              <w:top w:val="single" w:sz="8" w:color="auto"/>
            </w:tcBorders>
          </w:tcPr>
          <w:p>
            <w:pPr>
              <w:jc w:val="center"/>
              <w:ind w:right="441"/>
              <w:spacing w:after="0"/>
              <w:rPr>
                <w:sz w:val="20"/>
                <w:szCs w:val="20"/>
                <w:color w:val="auto"/>
              </w:rPr>
            </w:pPr>
            <w:r>
              <w:rPr>
                <w:rFonts w:ascii="Arial" w:cs="Arial" w:eastAsia="Arial" w:hAnsi="Arial"/>
                <w:sz w:val="16"/>
                <w:szCs w:val="16"/>
                <w:color w:val="auto"/>
                <w:w w:val="92"/>
              </w:rPr>
              <w:t>Nasdaq Global Select Market</w:t>
            </w:r>
          </w:p>
        </w:tc>
      </w:tr>
    </w:tbl>
    <w:p>
      <w:pPr>
        <w:spacing w:after="0" w:line="76" w:lineRule="exact"/>
        <w:rPr>
          <w:sz w:val="24"/>
          <w:szCs w:val="24"/>
          <w:color w:val="auto"/>
        </w:rPr>
      </w:pPr>
    </w:p>
    <w:p>
      <w:pPr>
        <w:ind w:right="40"/>
        <w:spacing w:after="0" w:line="219" w:lineRule="exact"/>
        <w:rPr>
          <w:sz w:val="20"/>
          <w:szCs w:val="20"/>
          <w:color w:val="auto"/>
        </w:rPr>
      </w:pPr>
      <w:r>
        <w:rPr>
          <w:rFonts w:ascii="Arial" w:cs="Arial" w:eastAsia="Arial" w:hAnsi="Arial"/>
          <w:sz w:val="18"/>
          <w:szCs w:val="18"/>
          <w:color w:val="auto"/>
        </w:rPr>
        <w:t xml:space="preserve">Indicate by check mark whether the issuer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ind w:right="120"/>
        <w:spacing w:after="0" w:line="21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ind w:right="320"/>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1"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3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2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320"/>
              <w:spacing w:after="0"/>
              <w:rPr>
                <w:sz w:val="20"/>
                <w:szCs w:val="20"/>
                <w:color w:val="auto"/>
              </w:rPr>
            </w:pPr>
            <w:r>
              <w:rPr>
                <w:rFonts w:ascii="Arial" w:cs="Arial" w:eastAsia="Arial" w:hAnsi="Arial"/>
                <w:sz w:val="18"/>
                <w:szCs w:val="18"/>
                <w:color w:val="auto"/>
              </w:rPr>
              <w:t>Accelerated filer</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3060" w:type="dxa"/>
            <w:vAlign w:val="bottom"/>
          </w:tcPr>
          <w:p>
            <w:pPr>
              <w:spacing w:after="0"/>
              <w:rPr>
                <w:sz w:val="20"/>
                <w:szCs w:val="20"/>
                <w:color w:val="auto"/>
              </w:rPr>
            </w:pPr>
            <w:r>
              <w:rPr>
                <w:rFonts w:ascii="Arial" w:cs="Arial" w:eastAsia="Arial" w:hAnsi="Arial"/>
                <w:sz w:val="18"/>
                <w:szCs w:val="18"/>
                <w:color w:val="auto"/>
              </w:rPr>
              <w:t>Non-accelerated filer</w:t>
            </w:r>
          </w:p>
        </w:tc>
        <w:tc>
          <w:tcPr>
            <w:tcW w:w="192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320"/>
              <w:spacing w:after="0"/>
              <w:rPr>
                <w:sz w:val="20"/>
                <w:szCs w:val="20"/>
                <w:color w:val="auto"/>
              </w:rPr>
            </w:pPr>
            <w:r>
              <w:rPr>
                <w:rFonts w:ascii="Arial" w:cs="Arial" w:eastAsia="Arial" w:hAnsi="Arial"/>
                <w:sz w:val="18"/>
                <w:szCs w:val="18"/>
                <w:color w:val="auto"/>
              </w:rPr>
              <w:t>Smaller reporting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1"/>
        </w:trPr>
        <w:tc>
          <w:tcPr>
            <w:tcW w:w="3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00" w:type="dxa"/>
            <w:vAlign w:val="bottom"/>
          </w:tcPr>
          <w:p>
            <w:pPr>
              <w:ind w:left="320"/>
              <w:spacing w:after="0"/>
              <w:rPr>
                <w:sz w:val="20"/>
                <w:szCs w:val="20"/>
                <w:color w:val="auto"/>
              </w:rPr>
            </w:pPr>
            <w:r>
              <w:rPr>
                <w:rFonts w:ascii="Arial" w:cs="Arial" w:eastAsia="Arial" w:hAnsi="Arial"/>
                <w:sz w:val="18"/>
                <w:szCs w:val="18"/>
                <w:color w:val="auto"/>
              </w:rPr>
              <w:t>Emerging growth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4"/>
          <w:szCs w:val="24"/>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ind w:right="1720"/>
        <w:spacing w:after="0" w:line="287"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July 29, 2022, the registrant had 65,950,242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JUNE 30, 2022</w:t>
      </w: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520" w:type="dxa"/>
            <w:vAlign w:val="bottom"/>
            <w:gridSpan w:val="7"/>
          </w:tcPr>
          <w:p>
            <w:pPr>
              <w:jc w:val="center"/>
              <w:ind w:right="1440"/>
              <w:spacing w:after="0"/>
              <w:rPr>
                <w:sz w:val="20"/>
                <w:szCs w:val="20"/>
                <w:color w:val="auto"/>
              </w:rPr>
            </w:pPr>
            <w:r>
              <w:rPr>
                <w:rFonts w:ascii="Arial" w:cs="Arial" w:eastAsia="Arial" w:hAnsi="Arial"/>
                <w:sz w:val="18"/>
                <w:szCs w:val="18"/>
                <w:b w:val="1"/>
                <w:bCs w:val="1"/>
                <w:color w:val="auto"/>
              </w:rPr>
              <w:t>PART I – FINANCIAL INFORMATION</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8220" w:type="dxa"/>
            <w:vAlign w:val="bottom"/>
            <w:gridSpan w:val="14"/>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Financial Statements (Unaudited)</w:t>
              </w:r>
            </w:hyperlink>
          </w:p>
        </w:tc>
        <w:tc>
          <w:tcPr>
            <w:tcW w:w="19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20" w:type="dxa"/>
            <w:vAlign w:val="bottom"/>
            <w:gridSpan w:val="14"/>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Balance Sheets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20" w:type="dxa"/>
            <w:vAlign w:val="bottom"/>
            <w:gridSpan w:val="14"/>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Statements of Operations and Comprehensive Loss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920" w:type="dxa"/>
            <w:vAlign w:val="bottom"/>
            <w:vMerge w:val="restart"/>
          </w:tcPr>
          <w:p>
            <w:pPr>
              <w:spacing w:after="0" w:line="20" w:lineRule="exact"/>
              <w:rPr>
                <w:sz w:val="1"/>
                <w:szCs w:val="1"/>
                <w:color w:val="auto"/>
              </w:rPr>
            </w:pPr>
          </w:p>
        </w:tc>
        <w:tc>
          <w:tcPr>
            <w:tcW w:w="1780" w:type="dxa"/>
            <w:vAlign w:val="bottom"/>
            <w:vMerge w:val="restart"/>
          </w:tcPr>
          <w:p>
            <w:pPr>
              <w:spacing w:after="0" w:line="20" w:lineRule="exact"/>
              <w:rPr>
                <w:sz w:val="1"/>
                <w:szCs w:val="1"/>
                <w:color w:val="auto"/>
              </w:rPr>
            </w:pPr>
          </w:p>
        </w:tc>
        <w:tc>
          <w:tcPr>
            <w:tcW w:w="19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20" w:type="dxa"/>
            <w:vAlign w:val="bottom"/>
            <w:gridSpan w:val="12"/>
          </w:tcPr>
          <w:p>
            <w:pPr>
              <w:spacing w:after="0" w:line="182" w:lineRule="exact"/>
              <w:rPr>
                <w:rFonts w:ascii="Arial" w:cs="Arial" w:eastAsia="Arial" w:hAnsi="Arial"/>
                <w:sz w:val="18"/>
                <w:szCs w:val="18"/>
                <w:color w:val="0000FF"/>
              </w:rPr>
            </w:pPr>
            <w:hyperlink w:anchor="page7">
              <w:r>
                <w:rPr>
                  <w:rFonts w:ascii="Arial" w:cs="Arial" w:eastAsia="Arial" w:hAnsi="Arial"/>
                  <w:sz w:val="18"/>
                  <w:szCs w:val="18"/>
                  <w:color w:val="0000FF"/>
                </w:rPr>
                <w:t>Condensed Statements of Stockholders’ Equity</w:t>
              </w:r>
            </w:hyperlink>
          </w:p>
        </w:tc>
        <w:tc>
          <w:tcPr>
            <w:tcW w:w="1920" w:type="dxa"/>
            <w:vAlign w:val="bottom"/>
            <w:vMerge w:val="continue"/>
          </w:tcPr>
          <w:p>
            <w:pPr>
              <w:spacing w:after="0"/>
              <w:rPr>
                <w:sz w:val="15"/>
                <w:szCs w:val="15"/>
                <w:color w:val="auto"/>
              </w:rPr>
            </w:pPr>
          </w:p>
        </w:tc>
        <w:tc>
          <w:tcPr>
            <w:tcW w:w="1780" w:type="dxa"/>
            <w:vAlign w:val="bottom"/>
            <w:vMerge w:val="continue"/>
          </w:tcPr>
          <w:p>
            <w:pPr>
              <w:spacing w:after="0"/>
              <w:rPr>
                <w:sz w:val="15"/>
                <w:szCs w:val="15"/>
                <w:color w:val="auto"/>
              </w:rPr>
            </w:pPr>
          </w:p>
        </w:tc>
        <w:tc>
          <w:tcPr>
            <w:tcW w:w="1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100" w:type="dxa"/>
            <w:vAlign w:val="bottom"/>
            <w:gridSpan w:val="2"/>
            <w:vMerge w:val="restart"/>
          </w:tcPr>
          <w:p>
            <w:pPr>
              <w:spacing w:after="0" w:line="20" w:lineRule="exact"/>
              <w:rPr>
                <w:sz w:val="1"/>
                <w:szCs w:val="1"/>
                <w:color w:val="auto"/>
              </w:rPr>
            </w:pPr>
          </w:p>
        </w:tc>
        <w:tc>
          <w:tcPr>
            <w:tcW w:w="1780" w:type="dxa"/>
            <w:vAlign w:val="bottom"/>
            <w:vMerge w:val="restart"/>
          </w:tcPr>
          <w:p>
            <w:pPr>
              <w:spacing w:after="0" w:line="20" w:lineRule="exact"/>
              <w:rPr>
                <w:sz w:val="1"/>
                <w:szCs w:val="1"/>
                <w:color w:val="auto"/>
              </w:rPr>
            </w:pPr>
          </w:p>
        </w:tc>
        <w:tc>
          <w:tcPr>
            <w:tcW w:w="19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80" w:type="dxa"/>
            <w:vAlign w:val="bottom"/>
            <w:gridSpan w:val="9"/>
          </w:tcPr>
          <w:p>
            <w:pPr>
              <w:spacing w:after="0" w:line="182" w:lineRule="exact"/>
              <w:rPr>
                <w:rFonts w:ascii="Arial" w:cs="Arial" w:eastAsia="Arial" w:hAnsi="Arial"/>
                <w:sz w:val="18"/>
                <w:szCs w:val="18"/>
                <w:color w:val="0000FF"/>
              </w:rPr>
            </w:pPr>
            <w:hyperlink w:anchor="page8">
              <w:r>
                <w:rPr>
                  <w:rFonts w:ascii="Arial" w:cs="Arial" w:eastAsia="Arial" w:hAnsi="Arial"/>
                  <w:sz w:val="18"/>
                  <w:szCs w:val="18"/>
                  <w:color w:val="0000FF"/>
                </w:rPr>
                <w:t>Condensed Statements of Cash Flows</w:t>
              </w:r>
            </w:hyperlink>
          </w:p>
        </w:tc>
        <w:tc>
          <w:tcPr>
            <w:tcW w:w="5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1780" w:type="dxa"/>
            <w:vAlign w:val="bottom"/>
            <w:vMerge w:val="continue"/>
          </w:tcPr>
          <w:p>
            <w:pPr>
              <w:spacing w:after="0"/>
              <w:rPr>
                <w:sz w:val="15"/>
                <w:szCs w:val="15"/>
                <w:color w:val="auto"/>
              </w:rPr>
            </w:pPr>
          </w:p>
        </w:tc>
        <w:tc>
          <w:tcPr>
            <w:tcW w:w="1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20" w:type="dxa"/>
            <w:vAlign w:val="bottom"/>
            <w:gridSpan w:val="14"/>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Condensed Financial Statements (Unaudited)</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0" w:type="dxa"/>
            <w:vAlign w:val="bottom"/>
            <w:tcBorders>
              <w:right w:val="single" w:sz="8" w:color="0000EE"/>
            </w:tcBorders>
            <w:gridSpan w:val="4"/>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8220" w:type="dxa"/>
            <w:vAlign w:val="bottom"/>
            <w:gridSpan w:val="14"/>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Management’s Discussion and Analysis of Financial Condition and Results of Operations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8220" w:type="dxa"/>
            <w:vAlign w:val="bottom"/>
            <w:gridSpan w:val="14"/>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Quantitative and Qualitative Disclosures About Market Risk</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3880" w:type="dxa"/>
            <w:vAlign w:val="bottom"/>
            <w:tcBorders>
              <w:left w:val="single" w:sz="8" w:color="0000FF"/>
            </w:tcBorders>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8220" w:type="dxa"/>
            <w:vAlign w:val="bottom"/>
            <w:gridSpan w:val="14"/>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Controls and Procedures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60" w:type="dxa"/>
            <w:vAlign w:val="bottom"/>
            <w:gridSpan w:val="6"/>
          </w:tcPr>
          <w:p>
            <w:pPr>
              <w:jc w:val="center"/>
              <w:ind w:right="1980"/>
              <w:spacing w:after="0"/>
              <w:rPr>
                <w:sz w:val="20"/>
                <w:szCs w:val="20"/>
                <w:color w:val="auto"/>
              </w:rPr>
            </w:pPr>
            <w:r>
              <w:rPr>
                <w:rFonts w:ascii="Arial" w:cs="Arial" w:eastAsia="Arial" w:hAnsi="Arial"/>
                <w:sz w:val="18"/>
                <w:szCs w:val="18"/>
                <w:b w:val="1"/>
                <w:bCs w:val="1"/>
                <w:color w:val="auto"/>
              </w:rPr>
              <w:t>PART II – OTHER INFORMATION</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8220" w:type="dxa"/>
            <w:vAlign w:val="bottom"/>
            <w:gridSpan w:val="14"/>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Legal Proceedings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8220" w:type="dxa"/>
            <w:vAlign w:val="bottom"/>
            <w:gridSpan w:val="14"/>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Risk Factors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8220" w:type="dxa"/>
            <w:vAlign w:val="bottom"/>
            <w:gridSpan w:val="14"/>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Unregistered Sales of Equity Securities and Use of Proceeds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8220" w:type="dxa"/>
            <w:vAlign w:val="bottom"/>
            <w:gridSpan w:val="14"/>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Defaults Upon Senior Securities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5900" w:type="dxa"/>
            <w:vAlign w:val="bottom"/>
            <w:gridSpan w:val="8"/>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8220" w:type="dxa"/>
            <w:vAlign w:val="bottom"/>
            <w:gridSpan w:val="14"/>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Mine Safety Disclosures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460" w:type="dxa"/>
            <w:vAlign w:val="bottom"/>
            <w:gridSpan w:val="1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8220" w:type="dxa"/>
            <w:vAlign w:val="bottom"/>
            <w:gridSpan w:val="14"/>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Other Information</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920" w:type="dxa"/>
            <w:vAlign w:val="bottom"/>
            <w:gridSpan w:val="11"/>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8220" w:type="dxa"/>
            <w:vAlign w:val="bottom"/>
            <w:gridSpan w:val="14"/>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Exhibits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3"/>
        </w:trPr>
        <w:tc>
          <w:tcPr>
            <w:tcW w:w="1060" w:type="dxa"/>
            <w:vAlign w:val="bottom"/>
            <w:gridSpan w:val="3"/>
          </w:tcPr>
          <w:p>
            <w:pPr>
              <w:ind w:left="20"/>
              <w:spacing w:after="0" w:line="182" w:lineRule="exact"/>
              <w:rPr>
                <w:rFonts w:ascii="Arial" w:cs="Arial" w:eastAsia="Arial" w:hAnsi="Arial"/>
                <w:sz w:val="18"/>
                <w:szCs w:val="18"/>
                <w:color w:val="0000FF"/>
              </w:rPr>
            </w:pPr>
            <w:hyperlink w:anchor="page71">
              <w:r>
                <w:rPr>
                  <w:rFonts w:ascii="Arial" w:cs="Arial" w:eastAsia="Arial" w:hAnsi="Arial"/>
                  <w:sz w:val="18"/>
                  <w:szCs w:val="18"/>
                  <w:color w:val="0000FF"/>
                </w:rPr>
                <w:t>Signatures</w:t>
              </w:r>
            </w:hyperlink>
          </w:p>
        </w:tc>
        <w:tc>
          <w:tcPr>
            <w:tcW w:w="580" w:type="dxa"/>
            <w:vAlign w:val="bottom"/>
            <w:tcBorders>
              <w:top w:val="single" w:sz="8" w:color="0000FF"/>
            </w:tcBorders>
            <w:vMerge w:val="restart"/>
          </w:tcPr>
          <w:p>
            <w:pPr>
              <w:spacing w:after="0"/>
              <w:rPr>
                <w:sz w:val="15"/>
                <w:szCs w:val="15"/>
                <w:color w:val="auto"/>
              </w:rPr>
            </w:pPr>
          </w:p>
        </w:tc>
        <w:tc>
          <w:tcPr>
            <w:tcW w:w="5860" w:type="dxa"/>
            <w:vAlign w:val="bottom"/>
            <w:gridSpan w:val="12"/>
            <w:vMerge w:val="restart"/>
          </w:tcPr>
          <w:p>
            <w:pPr>
              <w:jc w:val="right"/>
              <w:ind w:right="1840"/>
              <w:spacing w:after="0"/>
              <w:rPr>
                <w:sz w:val="20"/>
                <w:szCs w:val="20"/>
                <w:color w:val="auto"/>
              </w:rPr>
            </w:pPr>
            <w:r>
              <w:rPr>
                <w:rFonts w:ascii="Arial" w:cs="Arial" w:eastAsia="Arial" w:hAnsi="Arial"/>
                <w:sz w:val="18"/>
                <w:szCs w:val="18"/>
                <w:color w:val="auto"/>
              </w:rPr>
              <w:t>2</w:t>
            </w:r>
          </w:p>
        </w:tc>
        <w:tc>
          <w:tcPr>
            <w:tcW w:w="1780" w:type="dxa"/>
            <w:vAlign w:val="bottom"/>
          </w:tcPr>
          <w:p>
            <w:pPr>
              <w:spacing w:after="0"/>
              <w:rPr>
                <w:sz w:val="15"/>
                <w:szCs w:val="15"/>
                <w:color w:val="auto"/>
              </w:rPr>
            </w:pPr>
          </w:p>
        </w:tc>
        <w:tc>
          <w:tcPr>
            <w:tcW w:w="1960" w:type="dxa"/>
            <w:vAlign w:val="bottom"/>
          </w:tcPr>
          <w:p>
            <w:pPr>
              <w:jc w:val="right"/>
              <w:spacing w:after="0" w:line="18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Borders>
              <w:top w:val="single" w:sz="8" w:color="0000FF"/>
            </w:tcBorders>
            <w:vMerge w:val="continue"/>
          </w:tcPr>
          <w:p>
            <w:pPr>
              <w:spacing w:after="0"/>
              <w:rPr>
                <w:sz w:val="24"/>
                <w:szCs w:val="24"/>
                <w:color w:val="auto"/>
              </w:rPr>
            </w:pPr>
          </w:p>
        </w:tc>
        <w:tc>
          <w:tcPr>
            <w:tcW w:w="5860" w:type="dxa"/>
            <w:vAlign w:val="bottom"/>
            <w:gridSpan w:val="12"/>
            <w:vMerge w:val="continue"/>
          </w:tcPr>
          <w:p>
            <w:pPr>
              <w:spacing w:after="0"/>
              <w:rPr>
                <w:sz w:val="24"/>
                <w:szCs w:val="24"/>
                <w:color w:val="auto"/>
              </w:rPr>
            </w:pPr>
          </w:p>
        </w:tc>
        <w:tc>
          <w:tcPr>
            <w:tcW w:w="1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19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08"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This Quarterly Report on Form 10-Q contains certain forward-looking statements that involve risks and uncertainties.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40" w:lineRule="exact"/>
        <w:rPr>
          <w:sz w:val="20"/>
          <w:szCs w:val="20"/>
          <w:color w:val="auto"/>
        </w:rPr>
      </w:pPr>
    </w:p>
    <w:p>
      <w:pPr>
        <w:ind w:right="120"/>
        <w:spacing w:after="0" w:line="324" w:lineRule="auto"/>
        <w:rPr>
          <w:sz w:val="20"/>
          <w:szCs w:val="20"/>
          <w:color w:val="auto"/>
        </w:rPr>
      </w:pPr>
      <w:r>
        <w:rPr>
          <w:rFonts w:ascii="Arial" w:cs="Arial" w:eastAsia="Arial" w:hAnsi="Arial"/>
          <w:sz w:val="16"/>
          <w:szCs w:val="16"/>
          <w:color w:val="auto"/>
        </w:rPr>
        <w:t>A number of important factors could cause our actual results to differ materially from those indicated in these forward-looking statements, including those factors identified in “Risk Factors” or “Management’s Discussion and Analysis of Financial Condition and Results of Operations” or the following:</w:t>
      </w:r>
    </w:p>
    <w:p>
      <w:pPr>
        <w:spacing w:after="0" w:line="111" w:lineRule="exact"/>
        <w:rPr>
          <w:sz w:val="20"/>
          <w:szCs w:val="20"/>
          <w:color w:val="auto"/>
        </w:rPr>
      </w:pPr>
    </w:p>
    <w:p>
      <w:pPr>
        <w:jc w:val="both"/>
        <w:ind w:left="1020" w:right="260" w:hanging="503"/>
        <w:spacing w:after="0" w:line="324"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extent to which the COVID-19 or any future pandemic and related governmental regulations and restrictions may impact our business, including our research, clinical trials, which include ongoing site initiation and patient enrollment, manufacturing and financial condition;</w:t>
      </w:r>
    </w:p>
    <w:p>
      <w:pPr>
        <w:spacing w:after="0" w:line="110" w:lineRule="exact"/>
        <w:rPr>
          <w:rFonts w:ascii="Arial" w:cs="Arial" w:eastAsia="Arial" w:hAnsi="Arial"/>
          <w:sz w:val="16"/>
          <w:szCs w:val="16"/>
          <w:color w:val="auto"/>
        </w:rPr>
      </w:pPr>
    </w:p>
    <w:p>
      <w:pPr>
        <w:ind w:left="1020" w:right="44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benefits, activity, effectiveness and safety of our product candidates and therapeutics developed utilizing our Probody® platform technology;</w:t>
      </w:r>
    </w:p>
    <w:p>
      <w:pPr>
        <w:spacing w:after="0" w:line="157" w:lineRule="exact"/>
        <w:rPr>
          <w:rFonts w:ascii="Arial" w:cs="Arial" w:eastAsia="Arial" w:hAnsi="Arial"/>
          <w:sz w:val="18"/>
          <w:szCs w:val="18"/>
          <w:color w:val="auto"/>
        </w:rPr>
      </w:pPr>
    </w:p>
    <w:p>
      <w:pPr>
        <w:ind w:left="1020" w:right="140" w:hanging="503"/>
        <w:spacing w:after="0" w:line="24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ongoing clinical trials, research and development programs, preclinical studies, and Investigational New Drug Application (“IND”), Clinical Trial Application, New Drug Application (“NDA”), Biologics License Application (“BLA”); and other regulatory submissions;</w:t>
      </w:r>
    </w:p>
    <w:p>
      <w:pPr>
        <w:spacing w:after="0" w:line="168"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completion of our ongoing clinical trials and the timing and availability of clinical data from such clinical trials;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w:t>
      </w:r>
    </w:p>
    <w:p>
      <w:pPr>
        <w:spacing w:after="0" w:line="198" w:lineRule="exact"/>
        <w:rPr>
          <w:rFonts w:ascii="Arial" w:cs="Arial" w:eastAsia="Arial" w:hAnsi="Arial"/>
          <w:sz w:val="18"/>
          <w:szCs w:val="18"/>
          <w:color w:val="auto"/>
        </w:rPr>
      </w:pPr>
    </w:p>
    <w:p>
      <w:pPr>
        <w:ind w:left="1020" w:right="88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collaborators for developing, obtaining regulatory approval for and commercializing product candidates in the collaboration;</w:t>
      </w:r>
    </w:p>
    <w:p>
      <w:pPr>
        <w:spacing w:after="0" w:line="15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or a collaborator’s ability to obtain and maintain regulatory approval of any of our product candidates;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receipt and timing of any milestone payments or royalties under any research collaboration and license agreements or arrangements;</w:t>
      </w:r>
    </w:p>
    <w:p>
      <w:pPr>
        <w:spacing w:after="0" w:line="221" w:lineRule="exact"/>
        <w:rPr>
          <w:rFonts w:ascii="Arial" w:cs="Arial" w:eastAsia="Arial" w:hAnsi="Arial"/>
          <w:sz w:val="16"/>
          <w:szCs w:val="16"/>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and beliefs regarding the evolution of the market for cancer therapies and development of the immuno-oncology industry;</w:t>
      </w:r>
    </w:p>
    <w:p>
      <w:pPr>
        <w:spacing w:after="0" w:line="221" w:lineRule="exact"/>
        <w:rPr>
          <w:rFonts w:ascii="Arial" w:cs="Arial" w:eastAsia="Arial" w:hAnsi="Arial"/>
          <w:sz w:val="16"/>
          <w:szCs w:val="16"/>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any approved product candidates;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any approved product candidates;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collaborations and retain commercial rights for our product candidates in such collaborations;</w:t>
      </w:r>
    </w:p>
    <w:p>
      <w:pPr>
        <w:spacing w:after="0" w:line="209"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technologies and product candidates;</w:t>
      </w:r>
    </w:p>
    <w:p>
      <w:pPr>
        <w:spacing w:after="0" w:line="198"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expenses, ongoing losses, future revenue and capital requirements, including our estimate of cash flow savings as a result of our recently announced restructuring plan;</w:t>
      </w:r>
    </w:p>
    <w:p>
      <w:pPr>
        <w:spacing w:after="0" w:line="15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funds for our operations;</w:t>
      </w:r>
    </w:p>
    <w:p>
      <w:pPr>
        <w:spacing w:after="0" w:line="198"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or any collaborator’s ability to obtain and maintain intellectual property protection for our technologies and product candidates and our ability to operate our business without infringing the intellectual property rights of others;</w:t>
      </w:r>
    </w:p>
    <w:p>
      <w:pPr>
        <w:spacing w:after="0" w:line="15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conduct our preclinical studies or any future clinical trials;</w:t>
      </w:r>
    </w:p>
    <w:p>
      <w:pPr>
        <w:spacing w:after="0" w:line="198"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supply and manufacturing partners to supply the materials and components for, and manufacture, our research and development, preclinical and clinical trial product supplies;</w:t>
      </w:r>
    </w:p>
    <w:p>
      <w:pPr>
        <w:spacing w:after="0" w:line="15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key management and technical personnel;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secure and maintain licenses of intellectual property to protect our technologies and product candidates;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or our industry or to international conflict and uncertainties.</w:t>
      </w:r>
    </w:p>
    <w:p>
      <w:pPr>
        <w:spacing w:after="0" w:line="171"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discussed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64"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This Quarterly Report on Form 10-Q also contains estimates, projections and other information concerning our industry, our business and the markets for certain drugs and therapeutic biologics,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w:t>
      </w:r>
    </w:p>
    <w:p>
      <w:pPr>
        <w:spacing w:after="0" w:line="12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Except where the context otherwise requires, in this Quarterly Report on Form 10-Q, “we,” “us,” “our” and the “Company” refer to CytomX Therapeutics, Inc.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0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This Quarterly Report on Form 10-Q includes trademarks, service marks and trade names owned by us or other companies. All trademarks, service marks and trade names included in this Quarterly Report on Form 10-Q are the property of their respective owners.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30" w:right="419" w:bottom="1440" w:gutter="0" w:footer="0" w:header="0"/>
        </w:sectPr>
      </w:pPr>
    </w:p>
    <w:bookmarkStart w:id="4" w:name="page5"/>
    <w:bookmarkEnd w:id="4"/>
    <w:p>
      <w:pPr>
        <w:ind w:left="4040"/>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Financial Statements (Unaudited)</w:t>
      </w:r>
    </w:p>
    <w:p>
      <w:pPr>
        <w:spacing w:after="0" w:line="212"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CYTOMX THERAPEUTICS, INC.</w:t>
      </w:r>
    </w:p>
    <w:p>
      <w:pPr>
        <w:spacing w:after="0" w:line="1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CONDENSED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June 30,</w:t>
            </w:r>
          </w:p>
        </w:tc>
        <w:tc>
          <w:tcPr>
            <w:tcW w:w="24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2022</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172"/>
              <w:spacing w:after="0"/>
              <w:rPr>
                <w:sz w:val="20"/>
                <w:szCs w:val="20"/>
                <w:color w:val="auto"/>
              </w:rPr>
            </w:pPr>
            <w:r>
              <w:rPr>
                <w:rFonts w:ascii="Arial" w:cs="Arial" w:eastAsia="Arial" w:hAnsi="Arial"/>
                <w:sz w:val="14"/>
                <w:szCs w:val="14"/>
                <w:b w:val="1"/>
                <w:bCs w:val="1"/>
                <w:color w:val="auto"/>
                <w:w w:val="95"/>
              </w:rPr>
              <w:t>(Unaudited)</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612"/>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129,290</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205,530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98,875</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99,696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1,014</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3,591</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232,770</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310,301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5,915</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5,960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948</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949</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949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917</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right-of-use asset</w:t>
            </w:r>
          </w:p>
        </w:tc>
        <w:tc>
          <w:tcPr>
            <w:tcW w:w="2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17,692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19,362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895</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901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260,086</w:t>
            </w:r>
          </w:p>
        </w:tc>
        <w:tc>
          <w:tcPr>
            <w:tcW w:w="3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339,411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1,920</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31,732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34,236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revenue, current portion</w:t>
            </w:r>
          </w:p>
        </w:tc>
        <w:tc>
          <w:tcPr>
            <w:tcW w:w="2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65,787</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69,262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99,439</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106,316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revenue, net of current portion</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95,863</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125,660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liabilities - long term</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16,076</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18,056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211,378</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250,032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Commitments and contingencies (Note 8)</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200"/>
              <w:spacing w:after="0" w:line="162" w:lineRule="exact"/>
              <w:rPr>
                <w:sz w:val="20"/>
                <w:szCs w:val="20"/>
                <w:color w:val="auto"/>
              </w:rPr>
            </w:pPr>
            <w:r>
              <w:rPr>
                <w:rFonts w:ascii="Arial" w:cs="Arial" w:eastAsia="Arial" w:hAnsi="Arial"/>
                <w:sz w:val="18"/>
                <w:szCs w:val="18"/>
                <w:color w:val="auto"/>
                <w:w w:val="92"/>
              </w:rPr>
              <w:t>Convertible preferred stock, $0.00001 par value; 10,000,000 shares authorized and no shares issued</w:t>
            </w:r>
          </w:p>
        </w:tc>
        <w:tc>
          <w:tcPr>
            <w:tcW w:w="260" w:type="dxa"/>
            <w:vAlign w:val="bottom"/>
          </w:tcPr>
          <w:p>
            <w:pPr>
              <w:spacing w:after="0"/>
              <w:rPr>
                <w:sz w:val="14"/>
                <w:szCs w:val="14"/>
                <w:color w:val="auto"/>
              </w:rPr>
            </w:pPr>
          </w:p>
        </w:tc>
        <w:tc>
          <w:tcPr>
            <w:tcW w:w="16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14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and outstanding at June 30, 2022 and December 31, 2021.</w:t>
            </w:r>
          </w:p>
        </w:tc>
        <w:tc>
          <w:tcPr>
            <w:tcW w:w="26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Common stock, $0.00001 par value; 150,000,000 shares authorized and 65,756,492 and</w:t>
            </w:r>
          </w:p>
        </w:tc>
        <w:tc>
          <w:tcPr>
            <w:tcW w:w="260" w:type="dxa"/>
            <w:vAlign w:val="bottom"/>
            <w:shd w:val="clear" w:color="auto" w:fill="CFF0FC"/>
          </w:tcPr>
          <w:p>
            <w:pPr>
              <w:spacing w:after="0"/>
              <w:rPr>
                <w:sz w:val="14"/>
                <w:szCs w:val="14"/>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5"/>
              </w:rPr>
              <w:t>65,392,758 shares issued and outstanding at June 30, 2022 and December 31, 2021, respectively</w:t>
            </w:r>
          </w:p>
        </w:tc>
        <w:tc>
          <w:tcPr>
            <w:tcW w:w="260" w:type="dxa"/>
            <w:vAlign w:val="bottom"/>
            <w:shd w:val="clear" w:color="auto" w:fill="CFF0FC"/>
          </w:tcPr>
          <w:p>
            <w:pPr>
              <w:spacing w:after="0"/>
              <w:rPr>
                <w:sz w:val="18"/>
                <w:szCs w:val="18"/>
                <w:color w:val="auto"/>
              </w:rPr>
            </w:pPr>
          </w:p>
        </w:tc>
        <w:tc>
          <w:tcPr>
            <w:tcW w:w="132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631,662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623,344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(1,162 )</w:t>
            </w:r>
          </w:p>
        </w:tc>
        <w:tc>
          <w:tcPr>
            <w:tcW w:w="2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(242 )</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7"/>
                <w:szCs w:val="17"/>
                <w:color w:val="auto"/>
              </w:rPr>
            </w:pPr>
          </w:p>
        </w:tc>
        <w:tc>
          <w:tcPr>
            <w:tcW w:w="16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(581,793 )</w:t>
            </w:r>
          </w:p>
        </w:tc>
        <w:tc>
          <w:tcPr>
            <w:tcW w:w="24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(533,724 )</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3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48,708</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89,379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260,086</w:t>
            </w:r>
          </w:p>
        </w:tc>
        <w:tc>
          <w:tcPr>
            <w:tcW w:w="3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339,411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8"/>
                <w:szCs w:val="18"/>
                <w:color w:val="auto"/>
              </w:rPr>
              <w:t>__________________</w:t>
            </w: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-2893695</wp:posOffset>
            </wp:positionV>
            <wp:extent cx="7683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-2893695</wp:posOffset>
            </wp:positionV>
            <wp:extent cx="685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-2087880</wp:posOffset>
            </wp:positionV>
            <wp:extent cx="7683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-2087880</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-296545</wp:posOffset>
            </wp:positionV>
            <wp:extent cx="7683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ind w:left="520" w:right="80" w:hanging="512"/>
        <w:spacing w:after="0" w:line="215" w:lineRule="auto"/>
        <w:tabs>
          <w:tab w:leader="none" w:pos="520" w:val="left"/>
        </w:tabs>
        <w:numPr>
          <w:ilvl w:val="0"/>
          <w:numId w:val="5"/>
        </w:numPr>
        <w:rPr>
          <w:rFonts w:ascii="Arial" w:cs="Arial" w:eastAsia="Arial" w:hAnsi="Arial"/>
          <w:sz w:val="24"/>
          <w:szCs w:val="24"/>
          <w:color w:val="auto"/>
          <w:vertAlign w:val="superscript"/>
        </w:rPr>
      </w:pPr>
      <w:r>
        <w:rPr>
          <w:rFonts w:ascii="Arial" w:cs="Arial" w:eastAsia="Arial" w:hAnsi="Arial"/>
          <w:sz w:val="18"/>
          <w:szCs w:val="18"/>
          <w:color w:val="auto"/>
        </w:rPr>
        <w:t>The condensed balance sheet as of December 31, 2021 was derived from the audited financial statements included in the Company's Annual Report on Form 10-K for the year ended December 31, 2021.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CYTOMX THERAPEUTICS, INC.</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jc w:val="center"/>
        <w:ind w:right="20"/>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5"/>
          </w:tcPr>
          <w:p>
            <w:pPr>
              <w:jc w:val="right"/>
              <w:ind w:right="81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2480" w:type="dxa"/>
            <w:vAlign w:val="bottom"/>
            <w:gridSpan w:val="5"/>
          </w:tcPr>
          <w:p>
            <w:pPr>
              <w:jc w:val="right"/>
              <w:ind w:right="741"/>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55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Revenues</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18,165</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16,288</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35,302</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32,259</w:t>
            </w:r>
          </w:p>
        </w:tc>
        <w:tc>
          <w:tcPr>
            <w:tcW w:w="100" w:type="dxa"/>
            <w:vAlign w:val="bottom"/>
            <w:shd w:val="clear" w:color="auto" w:fill="CFF0FC"/>
          </w:tcPr>
          <w:p>
            <w:pPr>
              <w:spacing w:after="0"/>
              <w:rPr>
                <w:sz w:val="17"/>
                <w:szCs w:val="17"/>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5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31,159</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26,100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61,718</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48,472</w:t>
            </w:r>
          </w:p>
        </w:tc>
        <w:tc>
          <w:tcPr>
            <w:tcW w:w="100" w:type="dxa"/>
            <w:vAlign w:val="bottom"/>
            <w:shd w:val="clear" w:color="auto" w:fill="CFF0FC"/>
          </w:tcPr>
          <w:p>
            <w:pPr>
              <w:spacing w:after="0"/>
              <w:rPr>
                <w:sz w:val="17"/>
                <w:szCs w:val="17"/>
                <w:color w:val="auto"/>
              </w:rPr>
            </w:pPr>
          </w:p>
        </w:tc>
      </w:tr>
      <w:tr>
        <w:trPr>
          <w:trHeight w:val="203"/>
        </w:trPr>
        <w:tc>
          <w:tcPr>
            <w:tcW w:w="5580" w:type="dxa"/>
            <w:vAlign w:val="bottom"/>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11,748</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9,393</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22,292</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18,619</w:t>
            </w:r>
          </w:p>
        </w:tc>
        <w:tc>
          <w:tcPr>
            <w:tcW w:w="100" w:type="dxa"/>
            <w:vAlign w:val="bottom"/>
          </w:tcPr>
          <w:p>
            <w:pPr>
              <w:spacing w:after="0"/>
              <w:rPr>
                <w:sz w:val="17"/>
                <w:szCs w:val="17"/>
                <w:color w:val="auto"/>
              </w:rPr>
            </w:pPr>
          </w:p>
        </w:tc>
      </w:tr>
      <w:tr>
        <w:trPr>
          <w:trHeight w:val="196"/>
        </w:trPr>
        <w:tc>
          <w:tcPr>
            <w:tcW w:w="558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42,907</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35,493</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84,010</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67,091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580" w:type="dxa"/>
            <w:vAlign w:val="bottom"/>
          </w:tcPr>
          <w:p>
            <w:pPr>
              <w:spacing w:after="0" w:line="196" w:lineRule="exact"/>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7"/>
                <w:szCs w:val="17"/>
                <w:color w:val="auto"/>
              </w:rPr>
            </w:pPr>
          </w:p>
        </w:tc>
        <w:tc>
          <w:tcPr>
            <w:tcW w:w="11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(24,742 )</w:t>
            </w:r>
          </w:p>
        </w:tc>
        <w:tc>
          <w:tcPr>
            <w:tcW w:w="300" w:type="dxa"/>
            <w:vAlign w:val="bottom"/>
          </w:tcPr>
          <w:p>
            <w:pPr>
              <w:spacing w:after="0"/>
              <w:rPr>
                <w:sz w:val="17"/>
                <w:szCs w:val="17"/>
                <w:color w:val="auto"/>
              </w:rPr>
            </w:pPr>
          </w:p>
        </w:tc>
        <w:tc>
          <w:tcPr>
            <w:tcW w:w="11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(19,205 )</w:t>
            </w:r>
          </w:p>
        </w:tc>
        <w:tc>
          <w:tcPr>
            <w:tcW w:w="180" w:type="dxa"/>
            <w:vAlign w:val="bottom"/>
          </w:tcPr>
          <w:p>
            <w:pPr>
              <w:spacing w:after="0"/>
              <w:rPr>
                <w:sz w:val="17"/>
                <w:szCs w:val="17"/>
                <w:color w:val="auto"/>
              </w:rPr>
            </w:pPr>
          </w:p>
        </w:tc>
        <w:tc>
          <w:tcPr>
            <w:tcW w:w="114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(48,708 )</w:t>
            </w:r>
          </w:p>
        </w:tc>
        <w:tc>
          <w:tcPr>
            <w:tcW w:w="300" w:type="dxa"/>
            <w:vAlign w:val="bottom"/>
          </w:tcPr>
          <w:p>
            <w:pPr>
              <w:spacing w:after="0"/>
              <w:rPr>
                <w:sz w:val="17"/>
                <w:szCs w:val="17"/>
                <w:color w:val="auto"/>
              </w:rPr>
            </w:pP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(34,832 )</w:t>
            </w:r>
          </w:p>
        </w:tc>
      </w:tr>
      <w:tr>
        <w:trPr>
          <w:trHeight w:val="203"/>
        </w:trPr>
        <w:tc>
          <w:tcPr>
            <w:tcW w:w="55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262</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330</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w:t>
            </w:r>
          </w:p>
        </w:tc>
        <w:tc>
          <w:tcPr>
            <w:tcW w:w="100" w:type="dxa"/>
            <w:vAlign w:val="bottom"/>
            <w:shd w:val="clear" w:color="auto" w:fill="CFF0FC"/>
          </w:tcPr>
          <w:p>
            <w:pPr>
              <w:spacing w:after="0"/>
              <w:rPr>
                <w:sz w:val="17"/>
                <w:szCs w:val="17"/>
                <w:color w:val="auto"/>
              </w:rPr>
            </w:pPr>
          </w:p>
        </w:tc>
      </w:tr>
      <w:tr>
        <w:trPr>
          <w:trHeight w:val="203"/>
        </w:trPr>
        <w:tc>
          <w:tcPr>
            <w:tcW w:w="5580" w:type="dxa"/>
            <w:vAlign w:val="bottom"/>
          </w:tcPr>
          <w:p>
            <w:pPr>
              <w:ind w:left="180"/>
              <w:spacing w:after="0" w:line="202" w:lineRule="exact"/>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296</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(82 )</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309</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(77 )</w:t>
            </w:r>
          </w:p>
        </w:tc>
      </w:tr>
      <w:tr>
        <w:trPr>
          <w:trHeight w:val="236"/>
        </w:trPr>
        <w:tc>
          <w:tcPr>
            <w:tcW w:w="55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(24,184</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(19,243</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(48,069</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(34,797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83"/>
        </w:trPr>
        <w:tc>
          <w:tcPr>
            <w:tcW w:w="5580" w:type="dxa"/>
            <w:vAlign w:val="bottom"/>
          </w:tcPr>
          <w:p>
            <w:pPr>
              <w:spacing w:after="0" w:line="183" w:lineRule="exact"/>
              <w:rPr>
                <w:sz w:val="20"/>
                <w:szCs w:val="20"/>
                <w:color w:val="auto"/>
              </w:rPr>
            </w:pPr>
            <w:r>
              <w:rPr>
                <w:rFonts w:ascii="Arial" w:cs="Arial" w:eastAsia="Arial" w:hAnsi="Arial"/>
                <w:sz w:val="18"/>
                <w:szCs w:val="18"/>
                <w:color w:val="auto"/>
              </w:rPr>
              <w:t>Other comprehensive loss:</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55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Unrealized gain (loss) on investments, net of tax</w:t>
            </w:r>
          </w:p>
        </w:tc>
        <w:tc>
          <w:tcPr>
            <w:tcW w:w="2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(243 )</w:t>
            </w: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(920 )</w:t>
            </w: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17"/>
                <w:szCs w:val="17"/>
                <w:color w:val="auto"/>
              </w:rPr>
            </w:pPr>
          </w:p>
        </w:tc>
      </w:tr>
      <w:tr>
        <w:trPr>
          <w:trHeight w:val="20"/>
        </w:trPr>
        <w:tc>
          <w:tcPr>
            <w:tcW w:w="55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580" w:type="dxa"/>
            <w:vAlign w:val="bottom"/>
          </w:tcPr>
          <w:p>
            <w:pPr>
              <w:spacing w:after="0" w:line="196" w:lineRule="exact"/>
              <w:rPr>
                <w:sz w:val="20"/>
                <w:szCs w:val="20"/>
                <w:color w:val="auto"/>
              </w:rPr>
            </w:pPr>
            <w:r>
              <w:rPr>
                <w:rFonts w:ascii="Arial" w:cs="Arial" w:eastAsia="Arial" w:hAnsi="Arial"/>
                <w:sz w:val="18"/>
                <w:szCs w:val="18"/>
                <w:color w:val="auto"/>
              </w:rPr>
              <w:t>Comprehensive loss</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(24,427 )</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(19,185 )</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(48,989 )</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(34,735 )</w:t>
            </w:r>
          </w:p>
        </w:tc>
      </w:tr>
      <w:tr>
        <w:trPr>
          <w:trHeight w:val="20"/>
        </w:trPr>
        <w:tc>
          <w:tcPr>
            <w:tcW w:w="5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Net loss per share:</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5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Basic and diluted net loss per share</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(0.37 )</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(0.30 )</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(0.73 )</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(0.55 )</w:t>
            </w:r>
          </w:p>
        </w:tc>
      </w:tr>
      <w:tr>
        <w:trPr>
          <w:trHeight w:val="183"/>
        </w:trPr>
        <w:tc>
          <w:tcPr>
            <w:tcW w:w="5580" w:type="dxa"/>
            <w:vAlign w:val="bottom"/>
            <w:tcBorders>
              <w:top w:val="single" w:sz="8" w:color="CFF0FC"/>
            </w:tcBorders>
          </w:tcPr>
          <w:p>
            <w:pPr>
              <w:ind w:left="180"/>
              <w:spacing w:after="0" w:line="183" w:lineRule="exact"/>
              <w:rPr>
                <w:sz w:val="20"/>
                <w:szCs w:val="20"/>
                <w:color w:val="auto"/>
              </w:rPr>
            </w:pPr>
            <w:r>
              <w:rPr>
                <w:rFonts w:ascii="Arial" w:cs="Arial" w:eastAsia="Arial" w:hAnsi="Arial"/>
                <w:sz w:val="18"/>
                <w:szCs w:val="18"/>
                <w:color w:val="auto"/>
              </w:rPr>
              <w:t>Shares used in computing basic and diluted net loss per share</w:t>
            </w:r>
          </w:p>
        </w:tc>
        <w:tc>
          <w:tcPr>
            <w:tcW w:w="2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97"/>
              </w:rPr>
              <w:t>65,542,762</w:t>
            </w:r>
          </w:p>
        </w:tc>
        <w:tc>
          <w:tcPr>
            <w:tcW w:w="260" w:type="dxa"/>
            <w:vAlign w:val="bottom"/>
            <w:tcBorders>
              <w:top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99"/>
              </w:rPr>
              <w:t>65,055,998</w:t>
            </w:r>
          </w:p>
        </w:tc>
        <w:tc>
          <w:tcPr>
            <w:tcW w:w="240" w:type="dxa"/>
            <w:vAlign w:val="bottom"/>
            <w:tcBorders>
              <w:top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95"/>
              </w:rPr>
              <w:t>65,468,638</w:t>
            </w:r>
          </w:p>
        </w:tc>
        <w:tc>
          <w:tcPr>
            <w:tcW w:w="240" w:type="dxa"/>
            <w:vAlign w:val="bottom"/>
            <w:tcBorders>
              <w:top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99"/>
              </w:rPr>
              <w:t>63,023,349</w:t>
            </w:r>
          </w:p>
        </w:tc>
        <w:tc>
          <w:tcPr>
            <w:tcW w:w="100" w:type="dxa"/>
            <w:vAlign w:val="bottom"/>
            <w:tcBorders>
              <w:top w:val="single" w:sz="8" w:color="CFF0FC"/>
            </w:tcBorders>
          </w:tcPr>
          <w:p>
            <w:pPr>
              <w:spacing w:after="0"/>
              <w:rPr>
                <w:sz w:val="15"/>
                <w:szCs w:val="15"/>
                <w:color w:val="auto"/>
              </w:rPr>
            </w:pPr>
          </w:p>
        </w:tc>
      </w:tr>
      <w:tr>
        <w:trPr>
          <w:trHeight w:val="20"/>
        </w:trPr>
        <w:tc>
          <w:tcPr>
            <w:tcW w:w="5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4257675</wp:posOffset>
            </wp:positionH>
            <wp:positionV relativeFrom="paragraph">
              <wp:posOffset>-1539240</wp:posOffset>
            </wp:positionV>
            <wp:extent cx="7683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-1539240</wp:posOffset>
            </wp:positionV>
            <wp:extent cx="685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-1539240</wp:posOffset>
            </wp:positionV>
            <wp:extent cx="6858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-1539240</wp:posOffset>
            </wp:positionV>
            <wp:extent cx="6858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4257675</wp:posOffset>
            </wp:positionH>
            <wp:positionV relativeFrom="paragraph">
              <wp:posOffset>-1010920</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4257675</wp:posOffset>
            </wp:positionH>
            <wp:positionV relativeFrom="paragraph">
              <wp:posOffset>-993775</wp:posOffset>
            </wp:positionV>
            <wp:extent cx="768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-1010920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-993775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-1010920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-993775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-1010920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-993775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4257675</wp:posOffset>
            </wp:positionH>
            <wp:positionV relativeFrom="paragraph">
              <wp:posOffset>-725170</wp:posOffset>
            </wp:positionV>
            <wp:extent cx="7683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-725170</wp:posOffset>
            </wp:positionV>
            <wp:extent cx="6858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-725170</wp:posOffset>
            </wp:positionV>
            <wp:extent cx="6858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-725170</wp:posOffset>
            </wp:positionV>
            <wp:extent cx="685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4257675</wp:posOffset>
            </wp:positionH>
            <wp:positionV relativeFrom="paragraph">
              <wp:posOffset>-179070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4257675</wp:posOffset>
            </wp:positionH>
            <wp:positionV relativeFrom="paragraph">
              <wp:posOffset>-161925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-179070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-161925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-179070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-161925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-179070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-161925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324" w:right="3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STOCKHOLDERS’ EQUITY</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61"/>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320" w:type="dxa"/>
            <w:vAlign w:val="bottom"/>
          </w:tcPr>
          <w:p>
            <w:pPr>
              <w:spacing w:after="0"/>
              <w:rPr>
                <w:sz w:val="16"/>
                <w:szCs w:val="16"/>
                <w:color w:val="auto"/>
              </w:rPr>
            </w:pPr>
          </w:p>
        </w:tc>
        <w:tc>
          <w:tcPr>
            <w:tcW w:w="2300" w:type="dxa"/>
            <w:vAlign w:val="bottom"/>
            <w:gridSpan w:val="3"/>
            <w:vMerge w:val="restart"/>
          </w:tcPr>
          <w:p>
            <w:pPr>
              <w:jc w:val="right"/>
              <w:ind w:right="476"/>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ind w:right="74"/>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61"/>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3320" w:type="dxa"/>
            <w:vAlign w:val="bottom"/>
          </w:tcPr>
          <w:p>
            <w:pPr>
              <w:spacing w:after="0"/>
              <w:rPr>
                <w:sz w:val="15"/>
                <w:szCs w:val="15"/>
                <w:color w:val="auto"/>
              </w:rPr>
            </w:pPr>
          </w:p>
        </w:tc>
        <w:tc>
          <w:tcPr>
            <w:tcW w:w="230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81"/>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5"/>
                <w:szCs w:val="15"/>
                <w:color w:val="auto"/>
              </w:rPr>
            </w:pPr>
          </w:p>
        </w:tc>
        <w:tc>
          <w:tcPr>
            <w:tcW w:w="114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3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100" w:type="dxa"/>
            <w:vAlign w:val="bottom"/>
          </w:tcPr>
          <w:p>
            <w:pPr>
              <w:jc w:val="right"/>
              <w:ind w:right="253"/>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960" w:type="dxa"/>
            <w:vAlign w:val="bottom"/>
          </w:tcPr>
          <w:p>
            <w:pPr>
              <w:jc w:val="right"/>
              <w:ind w:right="36"/>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81"/>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4"/>
                <w:szCs w:val="14"/>
                <w:color w:val="auto"/>
              </w:rPr>
            </w:pPr>
          </w:p>
        </w:tc>
        <w:tc>
          <w:tcPr>
            <w:tcW w:w="114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320" w:type="dxa"/>
            <w:vAlign w:val="bottom"/>
            <w:vMerge w:val="continue"/>
          </w:tcPr>
          <w:p>
            <w:pPr>
              <w:spacing w:after="0"/>
              <w:rPr>
                <w:sz w:val="17"/>
                <w:szCs w:val="17"/>
                <w:color w:val="auto"/>
              </w:rPr>
            </w:pPr>
          </w:p>
        </w:tc>
        <w:tc>
          <w:tcPr>
            <w:tcW w:w="1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65,392,758</w:t>
            </w:r>
          </w:p>
        </w:tc>
        <w:tc>
          <w:tcPr>
            <w:tcW w:w="240" w:type="dxa"/>
            <w:vAlign w:val="bottom"/>
          </w:tcPr>
          <w:p>
            <w:pPr>
              <w:spacing w:after="0"/>
              <w:rPr>
                <w:sz w:val="17"/>
                <w:szCs w:val="17"/>
                <w:color w:val="auto"/>
              </w:rPr>
            </w:pPr>
          </w:p>
        </w:tc>
        <w:tc>
          <w:tcPr>
            <w:tcW w:w="960" w:type="dxa"/>
            <w:vAlign w:val="bottom"/>
            <w:tcBorders>
              <w:top w:val="single" w:sz="8" w:color="auto"/>
            </w:tcBorders>
          </w:tcPr>
          <w:p>
            <w:pPr>
              <w:jc w:val="right"/>
              <w:ind w:right="776"/>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623,344</w:t>
            </w:r>
          </w:p>
        </w:tc>
        <w:tc>
          <w:tcPr>
            <w:tcW w:w="20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(242</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(533,724</w:t>
            </w:r>
          </w:p>
        </w:tc>
        <w:tc>
          <w:tcPr>
            <w:tcW w:w="20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89,379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Exercise of stock options</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5,597</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3,370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3,370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comprehensive loss</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(677 )</w:t>
            </w: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(677 )</w:t>
            </w: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(23,885 )</w:t>
            </w:r>
          </w:p>
        </w:tc>
        <w:tc>
          <w:tcPr>
            <w:tcW w:w="10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(23,885 )</w:t>
            </w:r>
          </w:p>
        </w:tc>
        <w:tc>
          <w:tcPr>
            <w:tcW w:w="0" w:type="dxa"/>
            <w:vAlign w:val="bottom"/>
          </w:tcPr>
          <w:p>
            <w:pPr>
              <w:spacing w:after="0"/>
              <w:rPr>
                <w:sz w:val="1"/>
                <w:szCs w:val="1"/>
                <w:color w:val="auto"/>
              </w:rPr>
            </w:pPr>
          </w:p>
        </w:tc>
      </w:tr>
      <w:tr>
        <w:trPr>
          <w:trHeight w:val="196"/>
        </w:trPr>
        <w:tc>
          <w:tcPr>
            <w:tcW w:w="3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at March 31, 2022</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65,398,355</w:t>
            </w:r>
          </w:p>
        </w:tc>
        <w:tc>
          <w:tcPr>
            <w:tcW w:w="240" w:type="dxa"/>
            <w:vAlign w:val="bottom"/>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626,721</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(919</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(557,609</w:t>
            </w:r>
          </w:p>
        </w:tc>
        <w:tc>
          <w:tcPr>
            <w:tcW w:w="2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68,194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Exercise of stock options</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95,393</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line="202" w:lineRule="exact"/>
              <w:rPr>
                <w:sz w:val="20"/>
                <w:szCs w:val="20"/>
                <w:color w:val="auto"/>
              </w:rPr>
            </w:pPr>
            <w:r>
              <w:rPr>
                <w:rFonts w:ascii="Arial" w:cs="Arial" w:eastAsia="Arial" w:hAnsi="Arial"/>
                <w:sz w:val="18"/>
                <w:szCs w:val="18"/>
                <w:color w:val="auto"/>
                <w:w w:val="94"/>
              </w:rPr>
              <w:t>Issuance of common stock under the ESPP</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262,744</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360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4,490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4,490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loss</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(243 )</w:t>
            </w: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(243 )</w:t>
            </w:r>
          </w:p>
        </w:tc>
        <w:tc>
          <w:tcPr>
            <w:tcW w:w="0" w:type="dxa"/>
            <w:vAlign w:val="bottom"/>
          </w:tcPr>
          <w:p>
            <w:pPr>
              <w:spacing w:after="0"/>
              <w:rPr>
                <w:sz w:val="1"/>
                <w:szCs w:val="1"/>
                <w:color w:val="auto"/>
              </w:rPr>
            </w:pPr>
          </w:p>
        </w:tc>
      </w:tr>
      <w:tr>
        <w:trPr>
          <w:trHeight w:val="203"/>
        </w:trPr>
        <w:tc>
          <w:tcPr>
            <w:tcW w:w="3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(24,184 )</w:t>
            </w: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(24,184 )</w:t>
            </w:r>
          </w:p>
        </w:tc>
        <w:tc>
          <w:tcPr>
            <w:tcW w:w="0" w:type="dxa"/>
            <w:vAlign w:val="bottom"/>
          </w:tcPr>
          <w:p>
            <w:pPr>
              <w:spacing w:after="0"/>
              <w:rPr>
                <w:sz w:val="1"/>
                <w:szCs w:val="1"/>
                <w:color w:val="auto"/>
              </w:rPr>
            </w:pPr>
          </w:p>
        </w:tc>
      </w:tr>
      <w:tr>
        <w:trPr>
          <w:trHeight w:val="20"/>
        </w:trPr>
        <w:tc>
          <w:tcPr>
            <w:tcW w:w="33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Balance at June 30, 2022</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65,756,492</w:t>
            </w:r>
          </w:p>
        </w:tc>
        <w:tc>
          <w:tcPr>
            <w:tcW w:w="240" w:type="dxa"/>
            <w:vAlign w:val="bottom"/>
          </w:tcPr>
          <w:p>
            <w:pPr>
              <w:spacing w:after="0"/>
              <w:rPr>
                <w:sz w:val="17"/>
                <w:szCs w:val="17"/>
                <w:color w:val="auto"/>
              </w:rPr>
            </w:pPr>
          </w:p>
        </w:tc>
        <w:tc>
          <w:tcPr>
            <w:tcW w:w="960" w:type="dxa"/>
            <w:vAlign w:val="bottom"/>
          </w:tcPr>
          <w:p>
            <w:pPr>
              <w:jc w:val="right"/>
              <w:ind w:right="776"/>
              <w:spacing w:after="0" w:line="182" w:lineRule="exact"/>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631,662</w:t>
            </w:r>
          </w:p>
        </w:tc>
        <w:tc>
          <w:tcPr>
            <w:tcW w:w="200" w:type="dxa"/>
            <w:vAlign w:val="bottom"/>
          </w:tcPr>
          <w:p>
            <w:pPr>
              <w:spacing w:after="0"/>
              <w:rPr>
                <w:sz w:val="17"/>
                <w:szCs w:val="17"/>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1"/>
              <w:spacing w:after="0" w:line="182" w:lineRule="exact"/>
              <w:rPr>
                <w:sz w:val="20"/>
                <w:szCs w:val="20"/>
                <w:color w:val="auto"/>
              </w:rPr>
            </w:pPr>
            <w:r>
              <w:rPr>
                <w:rFonts w:ascii="Arial" w:cs="Arial" w:eastAsia="Arial" w:hAnsi="Arial"/>
                <w:sz w:val="18"/>
                <w:szCs w:val="18"/>
                <w:color w:val="auto"/>
              </w:rPr>
              <w:t>(1,162 )</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0"/>
              <w:spacing w:after="0" w:line="182" w:lineRule="exact"/>
              <w:rPr>
                <w:sz w:val="20"/>
                <w:szCs w:val="20"/>
                <w:color w:val="auto"/>
              </w:rPr>
            </w:pPr>
            <w:r>
              <w:rPr>
                <w:rFonts w:ascii="Arial" w:cs="Arial" w:eastAsia="Arial" w:hAnsi="Arial"/>
                <w:sz w:val="18"/>
                <w:szCs w:val="18"/>
                <w:color w:val="auto"/>
              </w:rPr>
              <w:t>(581,793 )</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48,708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3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61"/>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320" w:type="dxa"/>
            <w:vAlign w:val="bottom"/>
          </w:tcPr>
          <w:p>
            <w:pPr>
              <w:spacing w:after="0"/>
              <w:rPr>
                <w:sz w:val="16"/>
                <w:szCs w:val="16"/>
                <w:color w:val="auto"/>
              </w:rPr>
            </w:pPr>
          </w:p>
        </w:tc>
        <w:tc>
          <w:tcPr>
            <w:tcW w:w="2300" w:type="dxa"/>
            <w:vAlign w:val="bottom"/>
            <w:gridSpan w:val="3"/>
            <w:vMerge w:val="restart"/>
          </w:tcPr>
          <w:p>
            <w:pPr>
              <w:jc w:val="right"/>
              <w:ind w:right="476"/>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ind w:right="74"/>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61"/>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3320" w:type="dxa"/>
            <w:vAlign w:val="bottom"/>
          </w:tcPr>
          <w:p>
            <w:pPr>
              <w:spacing w:after="0"/>
              <w:rPr>
                <w:sz w:val="15"/>
                <w:szCs w:val="15"/>
                <w:color w:val="auto"/>
              </w:rPr>
            </w:pPr>
          </w:p>
        </w:tc>
        <w:tc>
          <w:tcPr>
            <w:tcW w:w="230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81"/>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5"/>
                <w:szCs w:val="15"/>
                <w:color w:val="auto"/>
              </w:rPr>
            </w:pPr>
          </w:p>
        </w:tc>
        <w:tc>
          <w:tcPr>
            <w:tcW w:w="114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3320" w:type="dxa"/>
            <w:vAlign w:val="bottom"/>
          </w:tcPr>
          <w:p>
            <w:pPr>
              <w:spacing w:after="0"/>
              <w:rPr>
                <w:sz w:val="14"/>
                <w:szCs w:val="14"/>
                <w:color w:val="auto"/>
              </w:rPr>
            </w:pPr>
          </w:p>
        </w:tc>
        <w:tc>
          <w:tcPr>
            <w:tcW w:w="1100" w:type="dxa"/>
            <w:vAlign w:val="bottom"/>
          </w:tcPr>
          <w:p>
            <w:pPr>
              <w:jc w:val="right"/>
              <w:ind w:right="253"/>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960" w:type="dxa"/>
            <w:vAlign w:val="bottom"/>
          </w:tcPr>
          <w:p>
            <w:pPr>
              <w:jc w:val="right"/>
              <w:ind w:right="36"/>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61"/>
              <w:spacing w:after="0"/>
              <w:rPr>
                <w:sz w:val="20"/>
                <w:szCs w:val="20"/>
                <w:color w:val="auto"/>
              </w:rPr>
            </w:pPr>
            <w:r>
              <w:rPr>
                <w:rFonts w:ascii="Arial" w:cs="Arial" w:eastAsia="Arial" w:hAnsi="Arial"/>
                <w:sz w:val="14"/>
                <w:szCs w:val="14"/>
                <w:b w:val="1"/>
                <w:bCs w:val="1"/>
                <w:color w:val="auto"/>
                <w:w w:val="90"/>
              </w:rPr>
              <w:t>Income/(Loss)</w:t>
            </w:r>
          </w:p>
        </w:tc>
        <w:tc>
          <w:tcPr>
            <w:tcW w:w="100" w:type="dxa"/>
            <w:vAlign w:val="bottom"/>
          </w:tcPr>
          <w:p>
            <w:pPr>
              <w:spacing w:after="0"/>
              <w:rPr>
                <w:sz w:val="14"/>
                <w:szCs w:val="14"/>
                <w:color w:val="auto"/>
              </w:rPr>
            </w:pPr>
          </w:p>
        </w:tc>
        <w:tc>
          <w:tcPr>
            <w:tcW w:w="114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2020</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48,251,819</w:t>
            </w:r>
          </w:p>
        </w:tc>
        <w:tc>
          <w:tcPr>
            <w:tcW w:w="240" w:type="dxa"/>
            <w:vAlign w:val="bottom"/>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ind w:right="776"/>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499,964</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(450,115</w:t>
            </w:r>
          </w:p>
        </w:tc>
        <w:tc>
          <w:tcPr>
            <w:tcW w:w="2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49,803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line="162" w:lineRule="exact"/>
              <w:rPr>
                <w:sz w:val="20"/>
                <w:szCs w:val="20"/>
                <w:color w:val="auto"/>
              </w:rPr>
            </w:pPr>
            <w:r>
              <w:rPr>
                <w:rFonts w:ascii="Arial" w:cs="Arial" w:eastAsia="Arial" w:hAnsi="Arial"/>
                <w:sz w:val="18"/>
                <w:szCs w:val="18"/>
                <w:color w:val="auto"/>
              </w:rPr>
              <w:t>Issuance of common stock in follow-on</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16,428,571</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107,712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107,712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20"/>
              <w:spacing w:after="0"/>
              <w:rPr>
                <w:sz w:val="20"/>
                <w:szCs w:val="20"/>
                <w:color w:val="auto"/>
              </w:rPr>
            </w:pPr>
            <w:r>
              <w:rPr>
                <w:rFonts w:ascii="Arial" w:cs="Arial" w:eastAsia="Arial" w:hAnsi="Arial"/>
                <w:sz w:val="18"/>
                <w:szCs w:val="18"/>
                <w:color w:val="auto"/>
              </w:rPr>
              <w:t>offering, net of issuance costs</w:t>
            </w:r>
          </w:p>
        </w:tc>
        <w:tc>
          <w:tcPr>
            <w:tcW w:w="1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Exercise of stock options</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322,507</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1,023</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3,034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comprehensive income</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(15,554 )</w:t>
            </w:r>
          </w:p>
        </w:tc>
        <w:tc>
          <w:tcPr>
            <w:tcW w:w="10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(15,554 )</w:t>
            </w:r>
          </w:p>
        </w:tc>
        <w:tc>
          <w:tcPr>
            <w:tcW w:w="0" w:type="dxa"/>
            <w:vAlign w:val="bottom"/>
          </w:tcPr>
          <w:p>
            <w:pPr>
              <w:spacing w:after="0"/>
              <w:rPr>
                <w:sz w:val="1"/>
                <w:szCs w:val="1"/>
                <w:color w:val="auto"/>
              </w:rPr>
            </w:pPr>
          </w:p>
        </w:tc>
      </w:tr>
      <w:tr>
        <w:trPr>
          <w:trHeight w:val="196"/>
        </w:trPr>
        <w:tc>
          <w:tcPr>
            <w:tcW w:w="3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at March 31, 2021</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65,002,897</w:t>
            </w:r>
          </w:p>
        </w:tc>
        <w:tc>
          <w:tcPr>
            <w:tcW w:w="240" w:type="dxa"/>
            <w:vAlign w:val="bottom"/>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611,733</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(465,669</w:t>
            </w:r>
          </w:p>
        </w:tc>
        <w:tc>
          <w:tcPr>
            <w:tcW w:w="2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146,022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line="202" w:lineRule="exact"/>
              <w:rPr>
                <w:sz w:val="20"/>
                <w:szCs w:val="20"/>
                <w:color w:val="auto"/>
              </w:rPr>
            </w:pPr>
            <w:r>
              <w:rPr>
                <w:rFonts w:ascii="Arial" w:cs="Arial" w:eastAsia="Arial" w:hAnsi="Arial"/>
                <w:sz w:val="18"/>
                <w:szCs w:val="18"/>
                <w:color w:val="auto"/>
              </w:rPr>
              <w:t>Exercise of stock options</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68,971</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94"/>
              </w:rPr>
              <w:t>Issuance of common stock under the ESPP</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85,135</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518</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3,425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3,425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comprehensive income</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(19,243 )</w:t>
            </w:r>
          </w:p>
        </w:tc>
        <w:tc>
          <w:tcPr>
            <w:tcW w:w="10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(19,243 )</w:t>
            </w:r>
          </w:p>
        </w:tc>
        <w:tc>
          <w:tcPr>
            <w:tcW w:w="0" w:type="dxa"/>
            <w:vAlign w:val="bottom"/>
          </w:tcPr>
          <w:p>
            <w:pPr>
              <w:spacing w:after="0"/>
              <w:rPr>
                <w:sz w:val="1"/>
                <w:szCs w:val="1"/>
                <w:color w:val="auto"/>
              </w:rPr>
            </w:pPr>
          </w:p>
        </w:tc>
      </w:tr>
      <w:tr>
        <w:trPr>
          <w:trHeight w:val="236"/>
        </w:trPr>
        <w:tc>
          <w:tcPr>
            <w:tcW w:w="33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Balance at June 30, 2021</w:t>
            </w:r>
          </w:p>
        </w:tc>
        <w:tc>
          <w:tcPr>
            <w:tcW w:w="11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65,157,003</w:t>
            </w:r>
          </w:p>
        </w:tc>
        <w:tc>
          <w:tcPr>
            <w:tcW w:w="24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ind w:right="776"/>
              <w:spacing w:after="0" w:line="182"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615,849</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w:t>
            </w:r>
          </w:p>
        </w:tc>
        <w:tc>
          <w:tcPr>
            <w:tcW w:w="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(484,912</w:t>
            </w:r>
          </w:p>
        </w:tc>
        <w:tc>
          <w:tcPr>
            <w:tcW w:w="200" w:type="dxa"/>
            <w:vAlign w:val="bottom"/>
            <w:tcBorders>
              <w:bottom w:val="single" w:sz="8" w:color="CFF0FC"/>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130,953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-2593975</wp:posOffset>
            </wp:positionV>
            <wp:extent cx="7683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-2593975</wp:posOffset>
            </wp:positionV>
            <wp:extent cx="7747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-2593975</wp:posOffset>
            </wp:positionV>
            <wp:extent cx="6858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-2593975</wp:posOffset>
            </wp:positionV>
            <wp:extent cx="6858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-2593975</wp:posOffset>
            </wp:positionV>
            <wp:extent cx="6858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-2593975</wp:posOffset>
            </wp:positionV>
            <wp:extent cx="6858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-25400</wp:posOffset>
            </wp:positionV>
            <wp:extent cx="768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-8255</wp:posOffset>
            </wp:positionV>
            <wp:extent cx="768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-25400</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-8255</wp:posOffset>
            </wp:positionV>
            <wp:extent cx="77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-25400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-8255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-25400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-8255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-25400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-8255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7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8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7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840" w:type="dxa"/>
            <w:vAlign w:val="bottom"/>
          </w:tcPr>
          <w:p>
            <w:pPr>
              <w:ind w:left="200"/>
              <w:spacing w:after="0" w:line="202" w:lineRule="exact"/>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(48,069 )</w:t>
            </w:r>
          </w:p>
        </w:tc>
        <w:tc>
          <w:tcPr>
            <w:tcW w:w="560" w:type="dxa"/>
            <w:vAlign w:val="bottom"/>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(34,797 )</w:t>
            </w:r>
          </w:p>
        </w:tc>
      </w:tr>
      <w:tr>
        <w:trPr>
          <w:trHeight w:val="203"/>
        </w:trPr>
        <w:tc>
          <w:tcPr>
            <w:tcW w:w="78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840" w:type="dxa"/>
            <w:vAlign w:val="bottom"/>
          </w:tcPr>
          <w:p>
            <w:pPr>
              <w:ind w:left="380"/>
              <w:spacing w:after="0" w:line="202" w:lineRule="exact"/>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73</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73</w:t>
            </w:r>
          </w:p>
        </w:tc>
        <w:tc>
          <w:tcPr>
            <w:tcW w:w="100" w:type="dxa"/>
            <w:vAlign w:val="bottom"/>
          </w:tcPr>
          <w:p>
            <w:pPr>
              <w:spacing w:after="0"/>
              <w:rPr>
                <w:sz w:val="17"/>
                <w:szCs w:val="17"/>
                <w:color w:val="auto"/>
              </w:rPr>
            </w:pPr>
          </w:p>
        </w:tc>
      </w:tr>
      <w:tr>
        <w:trPr>
          <w:trHeight w:val="203"/>
        </w:trPr>
        <w:tc>
          <w:tcPr>
            <w:tcW w:w="78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1,139</w:t>
            </w: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1,278</w:t>
            </w:r>
          </w:p>
        </w:tc>
        <w:tc>
          <w:tcPr>
            <w:tcW w:w="100" w:type="dxa"/>
            <w:vAlign w:val="bottom"/>
            <w:shd w:val="clear" w:color="auto" w:fill="CFF0FC"/>
          </w:tcPr>
          <w:p>
            <w:pPr>
              <w:spacing w:after="0"/>
              <w:rPr>
                <w:sz w:val="17"/>
                <w:szCs w:val="17"/>
                <w:color w:val="auto"/>
              </w:rPr>
            </w:pPr>
          </w:p>
        </w:tc>
      </w:tr>
      <w:tr>
        <w:trPr>
          <w:trHeight w:val="203"/>
        </w:trPr>
        <w:tc>
          <w:tcPr>
            <w:tcW w:w="7840" w:type="dxa"/>
            <w:vAlign w:val="bottom"/>
          </w:tcPr>
          <w:p>
            <w:pPr>
              <w:ind w:left="380"/>
              <w:spacing w:after="0" w:line="202" w:lineRule="exact"/>
              <w:rPr>
                <w:sz w:val="20"/>
                <w:szCs w:val="20"/>
                <w:color w:val="auto"/>
              </w:rPr>
            </w:pPr>
            <w:r>
              <w:rPr>
                <w:rFonts w:ascii="Arial" w:cs="Arial" w:eastAsia="Arial" w:hAnsi="Arial"/>
                <w:sz w:val="18"/>
                <w:szCs w:val="18"/>
                <w:color w:val="auto"/>
              </w:rPr>
              <w:t>Amortization of premium (accretion of discounts) on investments</w:t>
            </w:r>
          </w:p>
        </w:tc>
        <w:tc>
          <w:tcPr>
            <w:tcW w:w="340" w:type="dxa"/>
            <w:vAlign w:val="bottom"/>
          </w:tcPr>
          <w:p>
            <w:pPr>
              <w:spacing w:after="0"/>
              <w:rPr>
                <w:sz w:val="17"/>
                <w:szCs w:val="17"/>
                <w:color w:val="auto"/>
              </w:rPr>
            </w:pPr>
          </w:p>
        </w:tc>
        <w:tc>
          <w:tcPr>
            <w:tcW w:w="13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(33 )</w:t>
            </w:r>
          </w:p>
        </w:tc>
        <w:tc>
          <w:tcPr>
            <w:tcW w:w="5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281</w:t>
            </w:r>
          </w:p>
        </w:tc>
        <w:tc>
          <w:tcPr>
            <w:tcW w:w="100" w:type="dxa"/>
            <w:vAlign w:val="bottom"/>
          </w:tcPr>
          <w:p>
            <w:pPr>
              <w:spacing w:after="0"/>
              <w:rPr>
                <w:sz w:val="17"/>
                <w:szCs w:val="17"/>
                <w:color w:val="auto"/>
              </w:rPr>
            </w:pPr>
          </w:p>
        </w:tc>
      </w:tr>
      <w:tr>
        <w:trPr>
          <w:trHeight w:val="203"/>
        </w:trPr>
        <w:tc>
          <w:tcPr>
            <w:tcW w:w="78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7,860</w:t>
            </w: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6,459</w:t>
            </w:r>
          </w:p>
        </w:tc>
        <w:tc>
          <w:tcPr>
            <w:tcW w:w="100" w:type="dxa"/>
            <w:vAlign w:val="bottom"/>
            <w:shd w:val="clear" w:color="auto" w:fill="CFF0FC"/>
          </w:tcPr>
          <w:p>
            <w:pPr>
              <w:spacing w:after="0"/>
              <w:rPr>
                <w:sz w:val="17"/>
                <w:szCs w:val="17"/>
                <w:color w:val="auto"/>
              </w:rPr>
            </w:pPr>
          </w:p>
        </w:tc>
      </w:tr>
      <w:tr>
        <w:trPr>
          <w:trHeight w:val="203"/>
        </w:trPr>
        <w:tc>
          <w:tcPr>
            <w:tcW w:w="7840" w:type="dxa"/>
            <w:vAlign w:val="bottom"/>
          </w:tcPr>
          <w:p>
            <w:pPr>
              <w:ind w:left="380"/>
              <w:spacing w:after="0" w:line="202" w:lineRule="exact"/>
              <w:rPr>
                <w:sz w:val="20"/>
                <w:szCs w:val="20"/>
                <w:color w:val="auto"/>
              </w:rPr>
            </w:pPr>
            <w:r>
              <w:rPr>
                <w:rFonts w:ascii="Arial" w:cs="Arial" w:eastAsia="Arial" w:hAnsi="Arial"/>
                <w:sz w:val="18"/>
                <w:szCs w:val="18"/>
                <w:color w:val="auto"/>
              </w:rPr>
              <w:t>Non-cash lease expense</w:t>
            </w: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1,670</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1,534</w:t>
            </w:r>
          </w:p>
        </w:tc>
        <w:tc>
          <w:tcPr>
            <w:tcW w:w="100" w:type="dxa"/>
            <w:vAlign w:val="bottom"/>
          </w:tcPr>
          <w:p>
            <w:pPr>
              <w:spacing w:after="0"/>
              <w:rPr>
                <w:sz w:val="17"/>
                <w:szCs w:val="17"/>
                <w:color w:val="auto"/>
              </w:rPr>
            </w:pPr>
          </w:p>
        </w:tc>
      </w:tr>
      <w:tr>
        <w:trPr>
          <w:trHeight w:val="203"/>
        </w:trPr>
        <w:tc>
          <w:tcPr>
            <w:tcW w:w="78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840" w:type="dxa"/>
            <w:vAlign w:val="bottom"/>
          </w:tcPr>
          <w:p>
            <w:pPr>
              <w:ind w:left="560"/>
              <w:spacing w:after="0" w:line="202" w:lineRule="exact"/>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7"/>
                <w:szCs w:val="17"/>
                <w:color w:val="auto"/>
              </w:rPr>
            </w:pPr>
          </w:p>
        </w:tc>
        <w:tc>
          <w:tcPr>
            <w:tcW w:w="13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(290 )</w:t>
            </w:r>
          </w:p>
        </w:tc>
        <w:tc>
          <w:tcPr>
            <w:tcW w:w="560" w:type="dxa"/>
            <w:vAlign w:val="bottom"/>
          </w:tcPr>
          <w:p>
            <w:pPr>
              <w:spacing w:after="0"/>
              <w:rPr>
                <w:sz w:val="17"/>
                <w:szCs w:val="17"/>
                <w:color w:val="auto"/>
              </w:rPr>
            </w:pP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(133 )</w:t>
            </w:r>
          </w:p>
        </w:tc>
      </w:tr>
      <w:tr>
        <w:trPr>
          <w:trHeight w:val="203"/>
        </w:trPr>
        <w:tc>
          <w:tcPr>
            <w:tcW w:w="784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694</w:t>
            </w: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3,199</w:t>
            </w:r>
          </w:p>
        </w:tc>
        <w:tc>
          <w:tcPr>
            <w:tcW w:w="100" w:type="dxa"/>
            <w:vAlign w:val="bottom"/>
            <w:shd w:val="clear" w:color="auto" w:fill="CFF0FC"/>
          </w:tcPr>
          <w:p>
            <w:pPr>
              <w:spacing w:after="0"/>
              <w:rPr>
                <w:sz w:val="17"/>
                <w:szCs w:val="17"/>
                <w:color w:val="auto"/>
              </w:rPr>
            </w:pPr>
          </w:p>
        </w:tc>
      </w:tr>
      <w:tr>
        <w:trPr>
          <w:trHeight w:val="203"/>
        </w:trPr>
        <w:tc>
          <w:tcPr>
            <w:tcW w:w="7840" w:type="dxa"/>
            <w:vAlign w:val="bottom"/>
          </w:tcPr>
          <w:p>
            <w:pPr>
              <w:ind w:left="560"/>
              <w:spacing w:after="0" w:line="202" w:lineRule="exact"/>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1,271</w:t>
            </w:r>
          </w:p>
        </w:tc>
        <w:tc>
          <w:tcPr>
            <w:tcW w:w="100" w:type="dxa"/>
            <w:vAlign w:val="bottom"/>
          </w:tcPr>
          <w:p>
            <w:pPr>
              <w:spacing w:after="0"/>
              <w:rPr>
                <w:sz w:val="17"/>
                <w:szCs w:val="17"/>
                <w:color w:val="auto"/>
              </w:rPr>
            </w:pPr>
          </w:p>
        </w:tc>
      </w:tr>
      <w:tr>
        <w:trPr>
          <w:trHeight w:val="203"/>
        </w:trPr>
        <w:tc>
          <w:tcPr>
            <w:tcW w:w="784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(844 )</w:t>
            </w:r>
          </w:p>
        </w:tc>
        <w:tc>
          <w:tcPr>
            <w:tcW w:w="5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(1,173 )</w:t>
            </w:r>
          </w:p>
        </w:tc>
      </w:tr>
      <w:tr>
        <w:trPr>
          <w:trHeight w:val="203"/>
        </w:trPr>
        <w:tc>
          <w:tcPr>
            <w:tcW w:w="7840" w:type="dxa"/>
            <w:vAlign w:val="bottom"/>
          </w:tcPr>
          <w:p>
            <w:pPr>
              <w:ind w:left="560"/>
              <w:spacing w:after="0" w:line="202" w:lineRule="exact"/>
              <w:rPr>
                <w:sz w:val="20"/>
                <w:szCs w:val="20"/>
                <w:color w:val="auto"/>
              </w:rPr>
            </w:pPr>
            <w:r>
              <w:rPr>
                <w:rFonts w:ascii="Arial" w:cs="Arial" w:eastAsia="Arial" w:hAnsi="Arial"/>
                <w:sz w:val="18"/>
                <w:szCs w:val="18"/>
                <w:color w:val="auto"/>
              </w:rPr>
              <w:t>Accrued liabilities and other long-term liabilities</w:t>
            </w:r>
          </w:p>
        </w:tc>
        <w:tc>
          <w:tcPr>
            <w:tcW w:w="340" w:type="dxa"/>
            <w:vAlign w:val="bottom"/>
          </w:tcPr>
          <w:p>
            <w:pPr>
              <w:spacing w:after="0"/>
              <w:rPr>
                <w:sz w:val="17"/>
                <w:szCs w:val="17"/>
                <w:color w:val="auto"/>
              </w:rPr>
            </w:pPr>
          </w:p>
        </w:tc>
        <w:tc>
          <w:tcPr>
            <w:tcW w:w="13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(4,484 )</w:t>
            </w:r>
          </w:p>
        </w:tc>
        <w:tc>
          <w:tcPr>
            <w:tcW w:w="560" w:type="dxa"/>
            <w:vAlign w:val="bottom"/>
          </w:tcPr>
          <w:p>
            <w:pPr>
              <w:spacing w:after="0"/>
              <w:rPr>
                <w:sz w:val="17"/>
                <w:szCs w:val="17"/>
                <w:color w:val="auto"/>
              </w:rPr>
            </w:pP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(5,559 )</w:t>
            </w:r>
          </w:p>
        </w:tc>
      </w:tr>
      <w:tr>
        <w:trPr>
          <w:trHeight w:val="203"/>
        </w:trPr>
        <w:tc>
          <w:tcPr>
            <w:tcW w:w="784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Deferred revenue</w:t>
            </w: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(33,272 )</w:t>
            </w:r>
          </w:p>
        </w:tc>
        <w:tc>
          <w:tcPr>
            <w:tcW w:w="5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(30,572 )</w:t>
            </w:r>
          </w:p>
        </w:tc>
      </w:tr>
      <w:tr>
        <w:trPr>
          <w:trHeight w:val="20"/>
        </w:trPr>
        <w:tc>
          <w:tcPr>
            <w:tcW w:w="78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840" w:type="dxa"/>
            <w:vAlign w:val="bottom"/>
          </w:tcPr>
          <w:p>
            <w:pPr>
              <w:ind w:left="560"/>
              <w:spacing w:after="0" w:line="196" w:lineRule="exact"/>
              <w:rPr>
                <w:sz w:val="20"/>
                <w:szCs w:val="20"/>
                <w:color w:val="auto"/>
              </w:rPr>
            </w:pPr>
            <w:r>
              <w:rPr>
                <w:rFonts w:ascii="Arial" w:cs="Arial" w:eastAsia="Arial" w:hAnsi="Arial"/>
                <w:sz w:val="18"/>
                <w:szCs w:val="18"/>
                <w:color w:val="auto"/>
              </w:rPr>
              <w:t>Net cash used in operating activities</w:t>
            </w:r>
          </w:p>
        </w:tc>
        <w:tc>
          <w:tcPr>
            <w:tcW w:w="340" w:type="dxa"/>
            <w:vAlign w:val="bottom"/>
          </w:tcPr>
          <w:p>
            <w:pPr>
              <w:spacing w:after="0"/>
              <w:rPr>
                <w:sz w:val="17"/>
                <w:szCs w:val="17"/>
                <w:color w:val="auto"/>
              </w:rPr>
            </w:pPr>
          </w:p>
        </w:tc>
        <w:tc>
          <w:tcPr>
            <w:tcW w:w="138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(75,550 )</w:t>
            </w:r>
          </w:p>
        </w:tc>
        <w:tc>
          <w:tcPr>
            <w:tcW w:w="560" w:type="dxa"/>
            <w:vAlign w:val="bottom"/>
          </w:tcPr>
          <w:p>
            <w:pPr>
              <w:spacing w:after="0"/>
              <w:rPr>
                <w:sz w:val="17"/>
                <w:szCs w:val="17"/>
                <w:color w:val="auto"/>
              </w:rPr>
            </w:pPr>
          </w:p>
        </w:tc>
        <w:tc>
          <w:tcPr>
            <w:tcW w:w="11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(58,139 )</w:t>
            </w:r>
          </w:p>
        </w:tc>
      </w:tr>
      <w:tr>
        <w:trPr>
          <w:trHeight w:val="196"/>
        </w:trPr>
        <w:tc>
          <w:tcPr>
            <w:tcW w:w="7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840" w:type="dxa"/>
            <w:vAlign w:val="bottom"/>
          </w:tcPr>
          <w:p>
            <w:pPr>
              <w:ind w:left="200"/>
              <w:spacing w:after="0" w:line="202" w:lineRule="exact"/>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17"/>
                <w:szCs w:val="17"/>
                <w:color w:val="auto"/>
              </w:rPr>
            </w:pPr>
          </w:p>
        </w:tc>
        <w:tc>
          <w:tcPr>
            <w:tcW w:w="13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(1,148 )</w:t>
            </w:r>
          </w:p>
        </w:tc>
        <w:tc>
          <w:tcPr>
            <w:tcW w:w="560" w:type="dxa"/>
            <w:vAlign w:val="bottom"/>
          </w:tcPr>
          <w:p>
            <w:pPr>
              <w:spacing w:after="0"/>
              <w:rPr>
                <w:sz w:val="17"/>
                <w:szCs w:val="17"/>
                <w:color w:val="auto"/>
              </w:rPr>
            </w:pP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(1,096 )</w:t>
            </w:r>
          </w:p>
        </w:tc>
      </w:tr>
      <w:tr>
        <w:trPr>
          <w:trHeight w:val="203"/>
        </w:trPr>
        <w:tc>
          <w:tcPr>
            <w:tcW w:w="78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(99,898 )</w:t>
            </w:r>
          </w:p>
        </w:tc>
      </w:tr>
      <w:tr>
        <w:trPr>
          <w:trHeight w:val="203"/>
        </w:trPr>
        <w:tc>
          <w:tcPr>
            <w:tcW w:w="7840" w:type="dxa"/>
            <w:vAlign w:val="bottom"/>
          </w:tcPr>
          <w:p>
            <w:pPr>
              <w:ind w:left="200"/>
              <w:spacing w:after="0" w:line="202" w:lineRule="exact"/>
              <w:rPr>
                <w:sz w:val="20"/>
                <w:szCs w:val="20"/>
                <w:color w:val="auto"/>
              </w:rPr>
            </w:pPr>
            <w:r>
              <w:rPr>
                <w:rFonts w:ascii="Arial" w:cs="Arial" w:eastAsia="Arial" w:hAnsi="Arial"/>
                <w:sz w:val="18"/>
                <w:szCs w:val="18"/>
                <w:color w:val="auto"/>
              </w:rPr>
              <w:t>Maturities of investments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113,994</w:t>
            </w:r>
          </w:p>
        </w:tc>
        <w:tc>
          <w:tcPr>
            <w:tcW w:w="100" w:type="dxa"/>
            <w:vAlign w:val="bottom"/>
          </w:tcPr>
          <w:p>
            <w:pPr>
              <w:spacing w:after="0"/>
              <w:rPr>
                <w:sz w:val="17"/>
                <w:szCs w:val="17"/>
                <w:color w:val="auto"/>
              </w:rPr>
            </w:pPr>
          </w:p>
        </w:tc>
      </w:tr>
      <w:tr>
        <w:trPr>
          <w:trHeight w:val="196"/>
        </w:trPr>
        <w:tc>
          <w:tcPr>
            <w:tcW w:w="7840" w:type="dxa"/>
            <w:vAlign w:val="bottom"/>
            <w:tcBorders>
              <w:bottom w:val="single" w:sz="8" w:color="CFF0FC"/>
            </w:tcBorders>
            <w:shd w:val="clear" w:color="auto" w:fill="CFF0FC"/>
          </w:tcPr>
          <w:p>
            <w:pPr>
              <w:ind w:left="56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(1,148</w:t>
            </w:r>
          </w:p>
        </w:tc>
        <w:tc>
          <w:tcPr>
            <w:tcW w:w="2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13,000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issuance of common stock, net of issuance costs</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107,712</w:t>
            </w:r>
          </w:p>
        </w:tc>
        <w:tc>
          <w:tcPr>
            <w:tcW w:w="100" w:type="dxa"/>
            <w:vAlign w:val="bottom"/>
            <w:shd w:val="clear" w:color="auto" w:fill="CFF0FC"/>
          </w:tcPr>
          <w:p>
            <w:pPr>
              <w:spacing w:after="0"/>
              <w:rPr>
                <w:sz w:val="17"/>
                <w:szCs w:val="17"/>
                <w:color w:val="auto"/>
              </w:rPr>
            </w:pPr>
          </w:p>
        </w:tc>
      </w:tr>
      <w:tr>
        <w:trPr>
          <w:trHeight w:val="203"/>
        </w:trPr>
        <w:tc>
          <w:tcPr>
            <w:tcW w:w="7840" w:type="dxa"/>
            <w:vAlign w:val="bottom"/>
          </w:tcPr>
          <w:p>
            <w:pPr>
              <w:ind w:left="200"/>
              <w:spacing w:after="0" w:line="202" w:lineRule="exact"/>
              <w:rPr>
                <w:sz w:val="20"/>
                <w:szCs w:val="20"/>
                <w:color w:val="auto"/>
              </w:rPr>
            </w:pPr>
            <w:r>
              <w:rPr>
                <w:rFonts w:ascii="Arial" w:cs="Arial" w:eastAsia="Arial" w:hAnsi="Arial"/>
                <w:sz w:val="18"/>
                <w:szCs w:val="18"/>
                <w:color w:val="auto"/>
              </w:rPr>
              <w:t>Proceeds from employee stock purchase plan and exercise of stock options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458</w:t>
            </w:r>
          </w:p>
        </w:tc>
        <w:tc>
          <w:tcPr>
            <w:tcW w:w="2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1,714</w:t>
            </w:r>
          </w:p>
        </w:tc>
        <w:tc>
          <w:tcPr>
            <w:tcW w:w="100" w:type="dxa"/>
            <w:vAlign w:val="bottom"/>
          </w:tcPr>
          <w:p>
            <w:pPr>
              <w:spacing w:after="0"/>
              <w:rPr>
                <w:sz w:val="17"/>
                <w:szCs w:val="17"/>
                <w:color w:val="auto"/>
              </w:rPr>
            </w:pPr>
          </w:p>
        </w:tc>
      </w:tr>
      <w:tr>
        <w:trPr>
          <w:trHeight w:val="196"/>
        </w:trPr>
        <w:tc>
          <w:tcPr>
            <w:tcW w:w="7840" w:type="dxa"/>
            <w:vAlign w:val="bottom"/>
            <w:tcBorders>
              <w:bottom w:val="single" w:sz="8" w:color="CFF0FC"/>
            </w:tcBorders>
            <w:shd w:val="clear" w:color="auto" w:fill="CFF0FC"/>
          </w:tcPr>
          <w:p>
            <w:pPr>
              <w:ind w:left="56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458</w:t>
            </w:r>
          </w:p>
        </w:tc>
        <w:tc>
          <w:tcPr>
            <w:tcW w:w="28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109,426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40" w:type="dxa"/>
            <w:vAlign w:val="bottom"/>
          </w:tcPr>
          <w:p>
            <w:pPr>
              <w:ind w:left="20"/>
              <w:spacing w:after="0" w:line="196" w:lineRule="exact"/>
              <w:rPr>
                <w:sz w:val="20"/>
                <w:szCs w:val="20"/>
                <w:color w:val="auto"/>
              </w:rPr>
            </w:pPr>
            <w:r>
              <w:rPr>
                <w:rFonts w:ascii="Arial" w:cs="Arial" w:eastAsia="Arial" w:hAnsi="Arial"/>
                <w:sz w:val="18"/>
                <w:szCs w:val="18"/>
                <w:color w:val="auto"/>
              </w:rPr>
              <w:t>Net increase (decrease) in cash, cash equivalents and restricted cash</w:t>
            </w:r>
          </w:p>
        </w:tc>
        <w:tc>
          <w:tcPr>
            <w:tcW w:w="340" w:type="dxa"/>
            <w:vAlign w:val="bottom"/>
          </w:tcPr>
          <w:p>
            <w:pPr>
              <w:spacing w:after="0"/>
              <w:rPr>
                <w:sz w:val="17"/>
                <w:szCs w:val="17"/>
                <w:color w:val="auto"/>
              </w:rPr>
            </w:pPr>
          </w:p>
        </w:tc>
        <w:tc>
          <w:tcPr>
            <w:tcW w:w="138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(76,240 )</w:t>
            </w:r>
          </w:p>
        </w:tc>
        <w:tc>
          <w:tcPr>
            <w:tcW w:w="56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64,287</w:t>
            </w:r>
          </w:p>
        </w:tc>
        <w:tc>
          <w:tcPr>
            <w:tcW w:w="100" w:type="dxa"/>
            <w:vAlign w:val="bottom"/>
          </w:tcPr>
          <w:p>
            <w:pPr>
              <w:spacing w:after="0"/>
              <w:rPr>
                <w:sz w:val="17"/>
                <w:szCs w:val="17"/>
                <w:color w:val="auto"/>
              </w:rPr>
            </w:pPr>
          </w:p>
        </w:tc>
      </w:tr>
      <w:tr>
        <w:trPr>
          <w:trHeight w:val="202"/>
        </w:trPr>
        <w:tc>
          <w:tcPr>
            <w:tcW w:w="78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cash equivalents and restricted cash, beginning of period</w:t>
            </w:r>
          </w:p>
        </w:tc>
        <w:tc>
          <w:tcPr>
            <w:tcW w:w="3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206,447</w:t>
            </w:r>
          </w:p>
        </w:tc>
        <w:tc>
          <w:tcPr>
            <w:tcW w:w="28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192,776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40" w:type="dxa"/>
            <w:vAlign w:val="bottom"/>
          </w:tcPr>
          <w:p>
            <w:pPr>
              <w:ind w:left="20"/>
              <w:spacing w:after="0" w:line="196" w:lineRule="exact"/>
              <w:rPr>
                <w:sz w:val="20"/>
                <w:szCs w:val="20"/>
                <w:color w:val="auto"/>
              </w:rPr>
            </w:pPr>
            <w:r>
              <w:rPr>
                <w:rFonts w:ascii="Arial" w:cs="Arial" w:eastAsia="Arial" w:hAnsi="Arial"/>
                <w:sz w:val="18"/>
                <w:szCs w:val="18"/>
                <w:color w:val="auto"/>
              </w:rPr>
              <w:t>Cash, cash equivalents and restricted cash, end of period</w:t>
            </w: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130,207</w:t>
            </w:r>
          </w:p>
        </w:tc>
        <w:tc>
          <w:tcPr>
            <w:tcW w:w="280" w:type="dxa"/>
            <w:vAlign w:val="bottom"/>
          </w:tcPr>
          <w:p>
            <w:pPr>
              <w:spacing w:after="0"/>
              <w:rPr>
                <w:sz w:val="17"/>
                <w:szCs w:val="17"/>
                <w:color w:val="auto"/>
              </w:rPr>
            </w:pPr>
          </w:p>
        </w:tc>
        <w:tc>
          <w:tcPr>
            <w:tcW w:w="5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257,063</w:t>
            </w:r>
          </w:p>
        </w:tc>
        <w:tc>
          <w:tcPr>
            <w:tcW w:w="100" w:type="dxa"/>
            <w:vAlign w:val="bottom"/>
          </w:tcPr>
          <w:p>
            <w:pPr>
              <w:spacing w:after="0"/>
              <w:rPr>
                <w:sz w:val="17"/>
                <w:szCs w:val="17"/>
                <w:color w:val="auto"/>
              </w:rPr>
            </w:pPr>
          </w:p>
        </w:tc>
      </w:tr>
      <w:tr>
        <w:trPr>
          <w:trHeight w:val="20"/>
        </w:trPr>
        <w:tc>
          <w:tcPr>
            <w:tcW w:w="7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8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8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Supplemental disclosures of noncash investing items: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Purchases of property and equipment in accounts payable and accrued liabilities</w:t>
            </w: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w:t>
            </w: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-2139315</wp:posOffset>
            </wp:positionV>
            <wp:extent cx="6858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-2139315</wp:posOffset>
            </wp:positionV>
            <wp:extent cx="6858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-1342390</wp:posOffset>
            </wp:positionV>
            <wp:extent cx="6858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-1342390</wp:posOffset>
            </wp:positionV>
            <wp:extent cx="6858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-810895</wp:posOffset>
            </wp:positionV>
            <wp:extent cx="6858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-810895</wp:posOffset>
            </wp:positionV>
            <wp:extent cx="6858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-544830</wp:posOffset>
            </wp:positionV>
            <wp:extent cx="6858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-544830</wp:posOffset>
            </wp:positionV>
            <wp:extent cx="6858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0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CytomX Therapeutics, Inc. (the “Company”) is a clinical-stage, oncology-focused biopharmaceutical company dedicated to destroying cancer differently. The Company aims to build a commercial enterprise to maximize its impact on the treatment of cancer. The Company is advancing potential first-in-class and best-in-class antibody-based therapeutics created using its Probody® therapeutic technology platform that could meaningfully improve outcomes for cancer patients. Its proprietary and unique Probody technology platform is designed to enable “conditional activation” of antibody-based drugs in the tumor microenvironment while minimizing drug activity in healthy tissues and in circulation. The Company is located in South San Francisco, California and was incorporated in the state of Delaware in September 2010.</w:t>
      </w:r>
    </w:p>
    <w:p>
      <w:pPr>
        <w:spacing w:after="0" w:line="293" w:lineRule="exact"/>
        <w:rPr>
          <w:sz w:val="20"/>
          <w:szCs w:val="20"/>
          <w:color w:val="auto"/>
        </w:rPr>
      </w:pPr>
    </w:p>
    <w:p>
      <w:pPr>
        <w:ind w:right="5680" w:firstLine="8"/>
        <w:spacing w:after="0" w:line="362"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and 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The accompanying interim condensed financial statements have been prepared in conformity with accounting principles generally accepted in the United States of America (“U.S. GAAP”) and applicable rules and regulations of the U.S. Securities and Exchange Commission (“SEC”) regarding interim financial reporting.</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04" w:lineRule="exact"/>
        <w:rPr>
          <w:sz w:val="20"/>
          <w:szCs w:val="20"/>
          <w:color w:val="auto"/>
        </w:rPr>
      </w:pPr>
    </w:p>
    <w:p>
      <w:pPr>
        <w:jc w:val="both"/>
        <w:ind w:right="460"/>
        <w:spacing w:after="0" w:line="248" w:lineRule="auto"/>
        <w:rPr>
          <w:sz w:val="20"/>
          <w:szCs w:val="20"/>
          <w:color w:val="auto"/>
        </w:rPr>
      </w:pPr>
      <w:r>
        <w:rPr>
          <w:rFonts w:ascii="Arial" w:cs="Arial" w:eastAsia="Arial" w:hAnsi="Arial"/>
          <w:sz w:val="18"/>
          <w:szCs w:val="18"/>
          <w:color w:val="auto"/>
        </w:rPr>
        <w:t>The accompanying interim condensed financial statements and related disclosures are unaudited, have been prepared on the same basis as the annual financial statements and, in the opinion of management, reflect all adjustments, which include only normal recurring adjustments, necessary for a fair statement of the results of operations for the periods presented.</w:t>
      </w:r>
    </w:p>
    <w:p>
      <w:pPr>
        <w:spacing w:after="0" w:line="14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condensed results of operations for the three and six months ended June 30, 2022 are not necessarily indicative of the results to be expected for the full year or for any other future year or interim period. The accompanying condensed financial statements should be read in conjunction with the audited financial statements and the related notes thereto included in the Company’s Annual Report on Form 10-K for the year ended December 31, 2021 filed with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The preparation of the financial statements in conformity with U.S. GAAP requires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0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balance sheets that sum to the total of the amounts shown in the condensed statements of cash flows: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0"/>
              </w:rPr>
              <w:t>June 30, 2022</w:t>
            </w:r>
          </w:p>
        </w:tc>
        <w:tc>
          <w:tcPr>
            <w:tcW w:w="280" w:type="dxa"/>
            <w:vAlign w:val="bottom"/>
          </w:tcPr>
          <w:p>
            <w:pPr>
              <w:spacing w:after="0"/>
              <w:rPr>
                <w:sz w:val="14"/>
                <w:szCs w:val="14"/>
                <w:color w:val="auto"/>
              </w:rPr>
            </w:pPr>
          </w:p>
        </w:tc>
        <w:tc>
          <w:tcPr>
            <w:tcW w:w="100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w w:val="96"/>
              </w:rPr>
              <w:t>December 31,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4"/>
              </w:rPr>
              <w:t>June 30, 2021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9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4"/>
          </w:tcPr>
          <w:p>
            <w:pPr>
              <w:jc w:val="right"/>
              <w:ind w:right="775"/>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960" w:type="dxa"/>
            <w:vAlign w:val="bottom"/>
            <w:shd w:val="clear" w:color="auto" w:fill="CFF0FC"/>
          </w:tcPr>
          <w:p>
            <w:pPr>
              <w:ind w:left="20"/>
              <w:spacing w:after="0" w:line="204"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color w:val="auto"/>
              </w:rPr>
              <w:t>129,290</w:t>
            </w:r>
          </w:p>
        </w:tc>
        <w:tc>
          <w:tcPr>
            <w:tcW w:w="500" w:type="dxa"/>
            <w:vAlign w:val="bottom"/>
            <w:gridSpan w:val="2"/>
            <w:shd w:val="clear" w:color="auto" w:fill="CFF0FC"/>
          </w:tcPr>
          <w:p>
            <w:pPr>
              <w:jc w:val="right"/>
              <w:ind w:right="39"/>
              <w:spacing w:after="0" w:line="204"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color w:val="auto"/>
              </w:rPr>
              <w:t>205,530</w:t>
            </w:r>
          </w:p>
        </w:tc>
        <w:tc>
          <w:tcPr>
            <w:tcW w:w="400" w:type="dxa"/>
            <w:vAlign w:val="bottom"/>
            <w:gridSpan w:val="2"/>
            <w:shd w:val="clear" w:color="auto" w:fill="CFF0FC"/>
          </w:tcPr>
          <w:p>
            <w:pPr>
              <w:jc w:val="right"/>
              <w:spacing w:after="0" w:line="204"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color w:val="auto"/>
              </w:rPr>
              <w:t>256,146</w:t>
            </w:r>
          </w:p>
        </w:tc>
        <w:tc>
          <w:tcPr>
            <w:tcW w:w="360" w:type="dxa"/>
            <w:vAlign w:val="bottom"/>
            <w:gridSpan w:val="2"/>
            <w:shd w:val="clear" w:color="auto" w:fill="CFF0FC"/>
          </w:tcPr>
          <w:p>
            <w:pPr>
              <w:jc w:val="right"/>
              <w:spacing w:after="0" w:line="204"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color w:val="auto"/>
              </w:rPr>
              <w:t>191,859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20"/>
              <w:spacing w:after="0" w:line="202" w:lineRule="exact"/>
              <w:rPr>
                <w:sz w:val="20"/>
                <w:szCs w:val="20"/>
                <w:color w:val="auto"/>
              </w:rPr>
            </w:pPr>
            <w:r>
              <w:rPr>
                <w:rFonts w:ascii="Arial" w:cs="Arial" w:eastAsia="Arial" w:hAnsi="Arial"/>
                <w:sz w:val="18"/>
                <w:szCs w:val="18"/>
                <w:color w:val="auto"/>
              </w:rPr>
              <w:t>Restricted cash - non-current assets</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917</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917</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917</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9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130,207</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206,447</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257,063</w:t>
            </w: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192,776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-24765</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represents a standby letter of credit issued pursuant to an office lease.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Company’s revenues are primarily derived through its license, research, development and commercialization agreements. The terms of these types of agreements may include (i) licenses for the Company’s technology or programs, (ii) research and development services, and (iii) services or obligations in connection with participation in research or steering committees. Payments to the Company under these arrangements typically include one or more of the following: nonrefundable upfront and license fees, research funding, milestone and other contingent payments to the Company for the achievement of defined collaboration objectives and certain preclinical, clinical, regulatory and sales-based events, as well as royalties on sales of any commercialized products.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182" w:lineRule="exact"/>
        <w:rPr>
          <w:sz w:val="20"/>
          <w:szCs w:val="20"/>
          <w:color w:val="auto"/>
        </w:rPr>
      </w:pPr>
    </w:p>
    <w:p>
      <w:pPr>
        <w:ind w:right="380"/>
        <w:spacing w:after="0" w:line="248" w:lineRule="auto"/>
        <w:rPr>
          <w:sz w:val="20"/>
          <w:szCs w:val="20"/>
          <w:color w:val="auto"/>
        </w:rPr>
      </w:pPr>
      <w:r>
        <w:rPr>
          <w:rFonts w:ascii="Arial" w:cs="Arial" w:eastAsia="Arial" w:hAnsi="Arial"/>
          <w:sz w:val="18"/>
          <w:szCs w:val="18"/>
          <w:color w:val="auto"/>
        </w:rPr>
        <w:t>The Company assesses whether the promises in its arrangements with customers are distinct performance obligations that should be accounted for separately. Judgment is required to determine whether the license to the Company’s intellectual property is distinct from the research and development services or participation on steering committees.</w:t>
      </w:r>
    </w:p>
    <w:p>
      <w:pPr>
        <w:spacing w:after="0" w:line="168"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The Company’s collaboration and license agreements may include contingent payments related to specified research, development and regulatory milestones. Such milestone payments are typically payable under the collaborations when the collaboration partner claims or selects a target, or initiates or advances a covered product candidate in preclinical or clinical development, upon submission for marketing approval of a covered product with regulatory authorities, or upon receipt of actual marketing approvals of a covered product or for additional indications. Milestone payments that are not within the control of the Company or the licensee, such as regulatory approvals, are not considered probable of being achieved until those approvals are received. At each reporting date, the Company re-evaluates whether the milestones are considered probable of being reached and estimates the amount to be included in the transaction price by using the most likely amount method. If it is probable that a significant revenue reversal would not occur, the associated milestone value is included in the transaction price in such period of determination.</w:t>
      </w:r>
    </w:p>
    <w:p>
      <w:pPr>
        <w:spacing w:after="0" w:line="167"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The Company’s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instead, they are included when the sales or usage occur.</w:t>
      </w:r>
    </w:p>
    <w:p>
      <w:pPr>
        <w:spacing w:after="0" w:line="176"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The transaction price in each arrangement is allocated to the identified performance obligations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Due to the early stage of the Company’s licensed technology, the license of such technology is typically combined with research and development services and steering committee participation as one performance obligation. In the event that the Company receives non-cash consideration such as consideration in the form of a research license and research support services from the counterparty, the transaction price of a non-monetary exchange that has commercial substance is estimated based on the fair value of the non-cash consideration received, which may be determined through a valuation analysis.</w:t>
      </w:r>
    </w:p>
    <w:p>
      <w:pPr>
        <w:spacing w:after="0" w:line="150"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certain cases, the Company’s performance creates an asset that does not have an alternative use to the customer and the Company has an enforceable right to payment at all times for performance completed to date. In these cases,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176"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AbbVie Ireland Unlimited Company (“AbbVie”), one of the Company’s collaboration partners, entered into a license agreement with Seagen Inc., formerly Seattle Genetics, Inc. (“SGEN”) to license certain intellectual property rights. As part of the Company’s collaboration agreement with AbbVie, the Company is required to pay SGEN sublicense fees for certain milestone achievements and an annual maintenance fee. These sublicense fees are treated as reductions to the transaction price and combined with the performance obligation to which they relate.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04"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Customer payments are recorded as deferred revenue upon receipt or when due and may require deferral of revenue recognition to a future period until the Company satisfies its performance obligations under these arrangements. Amounts payable to the Company are recorded as accounts receivable when the Company’s right to consideration is unconditional.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10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Basic net loss per share is calculated by dividing the net loss by the weighted-average number of shares of common stock outstanding for the period. Diluted net loss per share is calculated using the weighted-average number of common shares outstanding, plus potential dilutive common stock during the period. Diluted net loss per share is the same as basic net loss per share since the effect of the potentially dilutive securities is anti-dilutive.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35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following weighted-average outstanding shares of potentially dilutive securities are excluded from the computation of diluted net loss per share for the periods presented, because including them would have been anti-dilutive: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00" w:type="dxa"/>
            <w:vAlign w:val="bottom"/>
          </w:tcPr>
          <w:p>
            <w:pPr>
              <w:spacing w:after="0"/>
              <w:rPr>
                <w:sz w:val="15"/>
                <w:szCs w:val="15"/>
                <w:color w:val="auto"/>
              </w:rPr>
            </w:pPr>
          </w:p>
        </w:tc>
        <w:tc>
          <w:tcPr>
            <w:tcW w:w="2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5"/>
                <w:szCs w:val="15"/>
                <w:color w:val="auto"/>
              </w:rPr>
            </w:pPr>
          </w:p>
        </w:tc>
        <w:tc>
          <w:tcPr>
            <w:tcW w:w="26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15"/>
                <w:szCs w:val="15"/>
                <w:color w:val="auto"/>
              </w:rPr>
            </w:pPr>
          </w:p>
        </w:tc>
      </w:tr>
      <w:tr>
        <w:trPr>
          <w:trHeight w:val="185"/>
        </w:trPr>
        <w:tc>
          <w:tcPr>
            <w:tcW w:w="5600" w:type="dxa"/>
            <w:vAlign w:val="bottom"/>
          </w:tcPr>
          <w:p>
            <w:pPr>
              <w:spacing w:after="0"/>
              <w:rPr>
                <w:sz w:val="16"/>
                <w:szCs w:val="16"/>
                <w:color w:val="auto"/>
              </w:rPr>
            </w:pPr>
          </w:p>
        </w:tc>
        <w:tc>
          <w:tcPr>
            <w:tcW w:w="1740" w:type="dxa"/>
            <w:vAlign w:val="bottom"/>
            <w:tcBorders>
              <w:bottom w:val="single" w:sz="8" w:color="auto"/>
            </w:tcBorders>
            <w:gridSpan w:val="3"/>
          </w:tcPr>
          <w:p>
            <w:pPr>
              <w:jc w:val="center"/>
              <w:ind w:left="864"/>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Borders>
              <w:bottom w:val="single" w:sz="8" w:color="auto"/>
            </w:tcBorders>
            <w:gridSpan w:val="3"/>
          </w:tcPr>
          <w:p>
            <w:pPr>
              <w:jc w:val="center"/>
              <w:ind w:left="864"/>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600" w:type="dxa"/>
            <w:vAlign w:val="bottom"/>
          </w:tcPr>
          <w:p>
            <w:pPr>
              <w:spacing w:after="0"/>
              <w:rPr>
                <w:sz w:val="14"/>
                <w:szCs w:val="14"/>
                <w:color w:val="auto"/>
              </w:rPr>
            </w:pPr>
          </w:p>
        </w:tc>
        <w:tc>
          <w:tcPr>
            <w:tcW w:w="120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18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56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Options, RSUs and ESPP to purchase common stock</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15,226,820</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12,117,149</w:t>
            </w:r>
          </w:p>
        </w:tc>
        <w:tc>
          <w:tcPr>
            <w:tcW w:w="24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14,888,352</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11,837,707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-25400</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-8255</wp:posOffset>
            </wp:positionV>
            <wp:extent cx="774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-25400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-8255</wp:posOffset>
            </wp:positionV>
            <wp:extent cx="768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-25400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-8255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 and Investments</w:t>
      </w:r>
    </w:p>
    <w:p>
      <w:pPr>
        <w:spacing w:after="0" w:line="10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In accordance with Accounting Standards Codification (“ASC”) 820-10, Fair Value Measurements and Disclosures, the Company determines the fair value of financial and non-financial assets and liabilities using the fair value hierarchy, which establishes three levels of inputs that may be used to measure fair value, as follows:</w:t>
      </w:r>
    </w:p>
    <w:p>
      <w:pPr>
        <w:spacing w:after="0" w:line="74"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103" w:lineRule="exact"/>
        <w:rPr>
          <w:rFonts w:ascii="Arial" w:cs="Arial" w:eastAsia="Arial" w:hAnsi="Arial"/>
          <w:sz w:val="18"/>
          <w:szCs w:val="18"/>
          <w:color w:val="auto"/>
        </w:rPr>
      </w:pPr>
    </w:p>
    <w:p>
      <w:pPr>
        <w:ind w:left="1020" w:right="500" w:hanging="503"/>
        <w:spacing w:after="0" w:line="24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3" w:lineRule="exact"/>
        <w:rPr>
          <w:rFonts w:ascii="Arial" w:cs="Arial" w:eastAsia="Arial" w:hAnsi="Arial"/>
          <w:sz w:val="18"/>
          <w:szCs w:val="18"/>
          <w:color w:val="auto"/>
        </w:rPr>
      </w:pPr>
    </w:p>
    <w:p>
      <w:pPr>
        <w:ind w:left="1020" w:right="540" w:hanging="503"/>
        <w:spacing w:after="0" w:line="26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III: Unobservable inputs that are supported by little or no market activity and that are significant to the fair value of the assets or liabilities.</w:t>
      </w:r>
    </w:p>
    <w:p>
      <w:pPr>
        <w:spacing w:after="0" w:line="157"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carrying amounts of the Company’s financial instruments, including restricted cash, accounts receivable, accounts payable and accrued liabilities approximate fair value due to their relatively short maturities. The Company’s financial instruments consist of Level I assets which consist primarily of highly liquid money market funds, some of which are included in restricted cash; and U.S. government bonds that are included in short-term investments.</w:t>
      </w:r>
    </w:p>
    <w:p>
      <w:pPr>
        <w:spacing w:after="0" w:line="13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following tables set forth the fair value of the Company’s investments subject to fair value measurements on a recurring basis and the level of inputs used in such measurements: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8"/>
          </w:tcPr>
          <w:p>
            <w:pPr>
              <w:ind w:left="900"/>
              <w:spacing w:after="0"/>
              <w:rPr>
                <w:sz w:val="20"/>
                <w:szCs w:val="20"/>
                <w:color w:val="auto"/>
              </w:rPr>
            </w:pPr>
            <w:r>
              <w:rPr>
                <w:rFonts w:ascii="Arial" w:cs="Arial" w:eastAsia="Arial" w:hAnsi="Arial"/>
                <w:sz w:val="14"/>
                <w:szCs w:val="14"/>
                <w:b w:val="1"/>
                <w:bCs w:val="1"/>
                <w:color w:val="auto"/>
              </w:rPr>
              <w:t>June 30, 2022</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4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2"/>
          </w:tcPr>
          <w:p>
            <w:pPr>
              <w:jc w:val="center"/>
              <w:ind w:right="20"/>
              <w:spacing w:after="0" w:line="133" w:lineRule="exact"/>
              <w:rPr>
                <w:sz w:val="20"/>
                <w:szCs w:val="20"/>
                <w:color w:val="auto"/>
              </w:rPr>
            </w:pPr>
            <w:r>
              <w:rPr>
                <w:rFonts w:ascii="Arial" w:cs="Arial" w:eastAsia="Arial" w:hAnsi="Arial"/>
                <w:sz w:val="14"/>
                <w:szCs w:val="14"/>
                <w:b w:val="1"/>
                <w:bCs w:val="1"/>
                <w:color w:val="auto"/>
                <w:w w:val="91"/>
              </w:rPr>
              <w:t>Valuation</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93"/>
              </w:rPr>
              <w:t>Amortized</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center"/>
              <w:ind w:right="108"/>
              <w:spacing w:after="0" w:line="13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3"/>
          </w:tcPr>
          <w:p>
            <w:pPr>
              <w:jc w:val="center"/>
              <w:ind w:right="361"/>
              <w:spacing w:after="0" w:line="133"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1"/>
                <w:szCs w:val="11"/>
                <w:color w:val="auto"/>
              </w:rPr>
            </w:pPr>
          </w:p>
        </w:tc>
        <w:tc>
          <w:tcPr>
            <w:tcW w:w="1180" w:type="dxa"/>
            <w:vAlign w:val="bottom"/>
          </w:tcPr>
          <w:p>
            <w:pPr>
              <w:jc w:val="right"/>
              <w:ind w:right="316"/>
              <w:spacing w:after="0" w:line="133" w:lineRule="exact"/>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1"/>
                <w:szCs w:val="11"/>
                <w:color w:val="auto"/>
              </w:rPr>
            </w:pPr>
          </w:p>
        </w:tc>
      </w:tr>
      <w:tr>
        <w:trPr>
          <w:trHeight w:val="185"/>
        </w:trPr>
        <w:tc>
          <w:tcPr>
            <w:tcW w:w="4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5"/>
              </w:rPr>
              <w:t>Hierarchy</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128"/>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gridSpan w:val="2"/>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169"/>
        </w:trPr>
        <w:tc>
          <w:tcPr>
            <w:tcW w:w="4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880"/>
              <w:spacing w:after="0"/>
              <w:rPr>
                <w:sz w:val="20"/>
                <w:szCs w:val="20"/>
                <w:color w:val="auto"/>
              </w:rPr>
            </w:pPr>
            <w:r>
              <w:rPr>
                <w:rFonts w:ascii="Arial" w:cs="Arial" w:eastAsia="Arial" w:hAnsi="Arial"/>
                <w:sz w:val="14"/>
                <w:szCs w:val="14"/>
                <w:b w:val="1"/>
                <w:bCs w:val="1"/>
                <w:color w:val="auto"/>
              </w:rPr>
              <w:t>(in</w:t>
            </w: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thousands)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0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1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0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Money market funds</w:t>
            </w:r>
          </w:p>
        </w:tc>
        <w:tc>
          <w:tcPr>
            <w:tcW w:w="112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94"/>
              </w:rPr>
              <w:t>Level I</w:t>
            </w:r>
          </w:p>
        </w:tc>
        <w:tc>
          <w:tcPr>
            <w:tcW w:w="3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75,878</w:t>
            </w:r>
          </w:p>
        </w:tc>
        <w:tc>
          <w:tcPr>
            <w:tcW w:w="4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ind w:left="880"/>
              <w:spacing w:after="0" w:line="202" w:lineRule="exact"/>
              <w:rPr>
                <w:sz w:val="20"/>
                <w:szCs w:val="20"/>
                <w:color w:val="auto"/>
              </w:rPr>
            </w:pPr>
            <w:r>
              <w:rPr>
                <w:rFonts w:ascii="Arial" w:cs="Arial" w:eastAsia="Arial" w:hAnsi="Arial"/>
                <w:sz w:val="18"/>
                <w:szCs w:val="18"/>
                <w:color w:val="auto"/>
                <w:w w:val="99"/>
              </w:rPr>
              <w:t>—</w:t>
            </w:r>
          </w:p>
        </w:tc>
        <w:tc>
          <w:tcPr>
            <w:tcW w:w="44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81"/>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75,878</w:t>
            </w:r>
          </w:p>
        </w:tc>
        <w:tc>
          <w:tcPr>
            <w:tcW w:w="100" w:type="dxa"/>
            <w:vAlign w:val="bottom"/>
          </w:tcPr>
          <w:p>
            <w:pPr>
              <w:spacing w:after="0"/>
              <w:rPr>
                <w:sz w:val="17"/>
                <w:szCs w:val="17"/>
                <w:color w:val="auto"/>
              </w:rPr>
            </w:pPr>
          </w:p>
        </w:tc>
      </w:tr>
      <w:tr>
        <w:trPr>
          <w:trHeight w:val="203"/>
        </w:trPr>
        <w:tc>
          <w:tcPr>
            <w:tcW w:w="408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Restricted cash (money market funds)</w:t>
            </w:r>
          </w:p>
        </w:tc>
        <w:tc>
          <w:tcPr>
            <w:tcW w:w="1120" w:type="dxa"/>
            <w:vAlign w:val="bottom"/>
            <w:gridSpan w:val="2"/>
            <w:shd w:val="clear" w:color="auto" w:fill="CFF0FC"/>
          </w:tcPr>
          <w:p>
            <w:pPr>
              <w:jc w:val="center"/>
              <w:ind w:right="20"/>
              <w:spacing w:after="0" w:line="202" w:lineRule="exact"/>
              <w:rPr>
                <w:sz w:val="20"/>
                <w:szCs w:val="20"/>
                <w:color w:val="auto"/>
              </w:rPr>
            </w:pPr>
            <w:r>
              <w:rPr>
                <w:rFonts w:ascii="Arial" w:cs="Arial" w:eastAsia="Arial" w:hAnsi="Arial"/>
                <w:sz w:val="18"/>
                <w:szCs w:val="18"/>
                <w:color w:val="auto"/>
                <w:w w:val="94"/>
              </w:rPr>
              <w:t>Level I</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917</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ind w:left="88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181"/>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917</w:t>
            </w:r>
          </w:p>
        </w:tc>
        <w:tc>
          <w:tcPr>
            <w:tcW w:w="100" w:type="dxa"/>
            <w:vAlign w:val="bottom"/>
            <w:shd w:val="clear" w:color="auto" w:fill="CFF0FC"/>
          </w:tcPr>
          <w:p>
            <w:pPr>
              <w:spacing w:after="0"/>
              <w:rPr>
                <w:sz w:val="17"/>
                <w:szCs w:val="17"/>
                <w:color w:val="auto"/>
              </w:rPr>
            </w:pPr>
          </w:p>
        </w:tc>
      </w:tr>
      <w:tr>
        <w:trPr>
          <w:trHeight w:val="203"/>
        </w:trPr>
        <w:tc>
          <w:tcPr>
            <w:tcW w:w="40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U.S. Government bonds</w:t>
            </w:r>
          </w:p>
        </w:tc>
        <w:tc>
          <w:tcPr>
            <w:tcW w:w="112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94"/>
              </w:rPr>
              <w:t>Level I</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100,037</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ind w:left="88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3"/>
          </w:tcPr>
          <w:p>
            <w:pPr>
              <w:jc w:val="right"/>
              <w:ind w:right="101"/>
              <w:spacing w:after="0" w:line="202" w:lineRule="exact"/>
              <w:rPr>
                <w:sz w:val="20"/>
                <w:szCs w:val="20"/>
                <w:color w:val="auto"/>
              </w:rPr>
            </w:pPr>
            <w:r>
              <w:rPr>
                <w:rFonts w:ascii="Arial" w:cs="Arial" w:eastAsia="Arial" w:hAnsi="Arial"/>
                <w:sz w:val="18"/>
                <w:szCs w:val="18"/>
                <w:color w:val="auto"/>
              </w:rPr>
              <w:t>(1,162 )</w:t>
            </w: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98,875</w:t>
            </w:r>
          </w:p>
        </w:tc>
        <w:tc>
          <w:tcPr>
            <w:tcW w:w="100" w:type="dxa"/>
            <w:vAlign w:val="bottom"/>
          </w:tcPr>
          <w:p>
            <w:pPr>
              <w:spacing w:after="0"/>
              <w:rPr>
                <w:sz w:val="17"/>
                <w:szCs w:val="17"/>
                <w:color w:val="auto"/>
              </w:rPr>
            </w:pPr>
          </w:p>
        </w:tc>
      </w:tr>
      <w:tr>
        <w:trPr>
          <w:trHeight w:val="236"/>
        </w:trPr>
        <w:tc>
          <w:tcPr>
            <w:tcW w:w="4080" w:type="dxa"/>
            <w:vAlign w:val="bottom"/>
            <w:tcBorders>
              <w:bottom w:val="single" w:sz="8" w:color="CFF0FC"/>
            </w:tcBorders>
            <w:gridSpan w:val="2"/>
            <w:shd w:val="clear" w:color="auto" w:fill="CFF0FC"/>
          </w:tcPr>
          <w:p>
            <w:pPr>
              <w:ind w:left="200"/>
              <w:spacing w:after="0" w:line="196" w:lineRule="exact"/>
              <w:rPr>
                <w:sz w:val="20"/>
                <w:szCs w:val="20"/>
                <w:color w:val="auto"/>
              </w:rPr>
            </w:pPr>
            <w:r>
              <w:rPr>
                <w:rFonts w:ascii="Arial" w:cs="Arial" w:eastAsia="Arial" w:hAnsi="Arial"/>
                <w:sz w:val="18"/>
                <w:szCs w:val="18"/>
                <w:color w:val="auto"/>
              </w:rPr>
              <w:t>Total</w:t>
            </w:r>
          </w:p>
        </w:tc>
        <w:tc>
          <w:tcPr>
            <w:tcW w:w="11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176,832</w:t>
            </w:r>
          </w:p>
        </w:tc>
        <w:tc>
          <w:tcPr>
            <w:tcW w:w="2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shd w:val="clear" w:color="auto" w:fill="CFF0FC"/>
          </w:tcPr>
          <w:p>
            <w:pPr>
              <w:ind w:left="88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(1,162</w:t>
            </w:r>
          </w:p>
        </w:tc>
        <w:tc>
          <w:tcPr>
            <w:tcW w:w="240" w:type="dxa"/>
            <w:vAlign w:val="bottom"/>
            <w:tcBorders>
              <w:bottom w:val="single" w:sz="8" w:color="CFF0FC"/>
            </w:tcBorders>
            <w:gridSpan w:val="2"/>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175,670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99"/>
        </w:trPr>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8"/>
          </w:tcPr>
          <w:p>
            <w:pPr>
              <w:ind w:left="72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3"/>
        </w:trPr>
        <w:tc>
          <w:tcPr>
            <w:tcW w:w="4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2"/>
          </w:tcPr>
          <w:p>
            <w:pPr>
              <w:jc w:val="center"/>
              <w:ind w:right="40"/>
              <w:spacing w:after="0" w:line="133" w:lineRule="exact"/>
              <w:rPr>
                <w:sz w:val="20"/>
                <w:szCs w:val="20"/>
                <w:color w:val="auto"/>
              </w:rPr>
            </w:pPr>
            <w:r>
              <w:rPr>
                <w:rFonts w:ascii="Arial" w:cs="Arial" w:eastAsia="Arial" w:hAnsi="Arial"/>
                <w:sz w:val="14"/>
                <w:szCs w:val="14"/>
                <w:b w:val="1"/>
                <w:bCs w:val="1"/>
                <w:color w:val="auto"/>
                <w:w w:val="95"/>
              </w:rPr>
              <w:t>Valuation</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center"/>
              <w:ind w:right="148"/>
              <w:spacing w:after="0" w:line="13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3"/>
          </w:tcPr>
          <w:p>
            <w:pPr>
              <w:jc w:val="center"/>
              <w:ind w:right="361"/>
              <w:spacing w:after="0" w:line="133"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1"/>
                <w:szCs w:val="11"/>
                <w:color w:val="auto"/>
              </w:rPr>
            </w:pPr>
          </w:p>
        </w:tc>
        <w:tc>
          <w:tcPr>
            <w:tcW w:w="1180" w:type="dxa"/>
            <w:vAlign w:val="bottom"/>
          </w:tcPr>
          <w:p>
            <w:pPr>
              <w:jc w:val="right"/>
              <w:ind w:right="316"/>
              <w:spacing w:after="0" w:line="133" w:lineRule="exact"/>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1"/>
                <w:szCs w:val="11"/>
                <w:color w:val="auto"/>
              </w:rPr>
            </w:pPr>
          </w:p>
        </w:tc>
      </w:tr>
      <w:tr>
        <w:trPr>
          <w:trHeight w:val="185"/>
        </w:trPr>
        <w:tc>
          <w:tcPr>
            <w:tcW w:w="40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Hierarchy</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2"/>
              </w:rPr>
              <w:t>Gains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141"/>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169"/>
        </w:trPr>
        <w:tc>
          <w:tcPr>
            <w:tcW w:w="4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ind w:left="880"/>
              <w:spacing w:after="0"/>
              <w:rPr>
                <w:sz w:val="20"/>
                <w:szCs w:val="20"/>
                <w:color w:val="auto"/>
              </w:rPr>
            </w:pPr>
            <w:r>
              <w:rPr>
                <w:rFonts w:ascii="Arial" w:cs="Arial" w:eastAsia="Arial" w:hAnsi="Arial"/>
                <w:sz w:val="14"/>
                <w:szCs w:val="14"/>
                <w:b w:val="1"/>
                <w:bCs w:val="1"/>
                <w:color w:val="auto"/>
                <w:w w:val="93"/>
              </w:rPr>
              <w:t>(in</w:t>
            </w:r>
          </w:p>
        </w:tc>
        <w:tc>
          <w:tcPr>
            <w:tcW w:w="1520" w:type="dxa"/>
            <w:vAlign w:val="bottom"/>
            <w:gridSpan w:val="6"/>
          </w:tcPr>
          <w:p>
            <w:pPr>
              <w:ind w:left="20"/>
              <w:spacing w:after="0"/>
              <w:rPr>
                <w:sz w:val="20"/>
                <w:szCs w:val="20"/>
                <w:color w:val="auto"/>
              </w:rPr>
            </w:pPr>
            <w:r>
              <w:rPr>
                <w:rFonts w:ascii="Arial" w:cs="Arial" w:eastAsia="Arial" w:hAnsi="Arial"/>
                <w:sz w:val="14"/>
                <w:szCs w:val="14"/>
                <w:b w:val="1"/>
                <w:bCs w:val="1"/>
                <w:color w:val="auto"/>
              </w:rPr>
              <w:t>thousands)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0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1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0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Money market funds</w:t>
            </w:r>
          </w:p>
        </w:tc>
        <w:tc>
          <w:tcPr>
            <w:tcW w:w="1120" w:type="dxa"/>
            <w:vAlign w:val="bottom"/>
            <w:gridSpan w:val="2"/>
          </w:tcPr>
          <w:p>
            <w:pPr>
              <w:jc w:val="center"/>
              <w:ind w:right="40"/>
              <w:spacing w:after="0" w:line="202" w:lineRule="exact"/>
              <w:rPr>
                <w:sz w:val="20"/>
                <w:szCs w:val="20"/>
                <w:color w:val="auto"/>
              </w:rPr>
            </w:pPr>
            <w:r>
              <w:rPr>
                <w:rFonts w:ascii="Arial" w:cs="Arial" w:eastAsia="Arial" w:hAnsi="Arial"/>
                <w:sz w:val="18"/>
                <w:szCs w:val="18"/>
                <w:color w:val="auto"/>
                <w:w w:val="97"/>
              </w:rPr>
              <w:t>Level I</w:t>
            </w:r>
          </w:p>
        </w:tc>
        <w:tc>
          <w:tcPr>
            <w:tcW w:w="3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165,736</w:t>
            </w:r>
          </w:p>
        </w:tc>
        <w:tc>
          <w:tcPr>
            <w:tcW w:w="20" w:type="dxa"/>
            <w:vAlign w:val="bottom"/>
          </w:tcPr>
          <w:p>
            <w:pPr>
              <w:spacing w:after="0"/>
              <w:rPr>
                <w:sz w:val="17"/>
                <w:szCs w:val="17"/>
                <w:color w:val="auto"/>
              </w:rPr>
            </w:pPr>
          </w:p>
        </w:tc>
        <w:tc>
          <w:tcPr>
            <w:tcW w:w="46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ind w:left="880"/>
              <w:spacing w:after="0" w:line="202" w:lineRule="exact"/>
              <w:rPr>
                <w:sz w:val="20"/>
                <w:szCs w:val="20"/>
                <w:color w:val="auto"/>
              </w:rPr>
            </w:pPr>
            <w:r>
              <w:rPr>
                <w:rFonts w:ascii="Arial" w:cs="Arial" w:eastAsia="Arial" w:hAnsi="Arial"/>
                <w:sz w:val="18"/>
                <w:szCs w:val="18"/>
                <w:color w:val="auto"/>
                <w:w w:val="99"/>
              </w:rPr>
              <w:t>—</w:t>
            </w:r>
          </w:p>
        </w:tc>
        <w:tc>
          <w:tcPr>
            <w:tcW w:w="44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165,736</w:t>
            </w:r>
          </w:p>
        </w:tc>
        <w:tc>
          <w:tcPr>
            <w:tcW w:w="100" w:type="dxa"/>
            <w:vAlign w:val="bottom"/>
          </w:tcPr>
          <w:p>
            <w:pPr>
              <w:spacing w:after="0"/>
              <w:rPr>
                <w:sz w:val="17"/>
                <w:szCs w:val="17"/>
                <w:color w:val="auto"/>
              </w:rPr>
            </w:pPr>
          </w:p>
        </w:tc>
      </w:tr>
      <w:tr>
        <w:trPr>
          <w:trHeight w:val="203"/>
        </w:trPr>
        <w:tc>
          <w:tcPr>
            <w:tcW w:w="408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Restricted cash (money market funds)</w:t>
            </w:r>
          </w:p>
        </w:tc>
        <w:tc>
          <w:tcPr>
            <w:tcW w:w="1120" w:type="dxa"/>
            <w:vAlign w:val="bottom"/>
            <w:gridSpan w:val="2"/>
            <w:shd w:val="clear" w:color="auto" w:fill="CFF0FC"/>
          </w:tcPr>
          <w:p>
            <w:pPr>
              <w:jc w:val="center"/>
              <w:ind w:right="40"/>
              <w:spacing w:after="0" w:line="202" w:lineRule="exact"/>
              <w:rPr>
                <w:sz w:val="20"/>
                <w:szCs w:val="20"/>
                <w:color w:val="auto"/>
              </w:rPr>
            </w:pPr>
            <w:r>
              <w:rPr>
                <w:rFonts w:ascii="Arial" w:cs="Arial" w:eastAsia="Arial" w:hAnsi="Arial"/>
                <w:sz w:val="18"/>
                <w:szCs w:val="18"/>
                <w:color w:val="auto"/>
                <w:w w:val="97"/>
              </w:rPr>
              <w:t>Level I</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917</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ind w:left="88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917</w:t>
            </w:r>
          </w:p>
        </w:tc>
        <w:tc>
          <w:tcPr>
            <w:tcW w:w="100" w:type="dxa"/>
            <w:vAlign w:val="bottom"/>
            <w:shd w:val="clear" w:color="auto" w:fill="CFF0FC"/>
          </w:tcPr>
          <w:p>
            <w:pPr>
              <w:spacing w:after="0"/>
              <w:rPr>
                <w:sz w:val="17"/>
                <w:szCs w:val="17"/>
                <w:color w:val="auto"/>
              </w:rPr>
            </w:pPr>
          </w:p>
        </w:tc>
      </w:tr>
      <w:tr>
        <w:trPr>
          <w:trHeight w:val="203"/>
        </w:trPr>
        <w:tc>
          <w:tcPr>
            <w:tcW w:w="40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U.S. Government bonds</w:t>
            </w:r>
          </w:p>
        </w:tc>
        <w:tc>
          <w:tcPr>
            <w:tcW w:w="1120" w:type="dxa"/>
            <w:vAlign w:val="bottom"/>
            <w:gridSpan w:val="2"/>
          </w:tcPr>
          <w:p>
            <w:pPr>
              <w:jc w:val="center"/>
              <w:ind w:right="40"/>
              <w:spacing w:after="0" w:line="202" w:lineRule="exact"/>
              <w:rPr>
                <w:sz w:val="20"/>
                <w:szCs w:val="20"/>
                <w:color w:val="auto"/>
              </w:rPr>
            </w:pPr>
            <w:r>
              <w:rPr>
                <w:rFonts w:ascii="Arial" w:cs="Arial" w:eastAsia="Arial" w:hAnsi="Arial"/>
                <w:sz w:val="18"/>
                <w:szCs w:val="18"/>
                <w:color w:val="auto"/>
                <w:w w:val="97"/>
              </w:rPr>
              <w:t>Level I</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99,938</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ind w:left="88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3"/>
          </w:tcPr>
          <w:p>
            <w:pPr>
              <w:jc w:val="right"/>
              <w:ind w:right="81"/>
              <w:spacing w:after="0" w:line="202" w:lineRule="exact"/>
              <w:rPr>
                <w:sz w:val="20"/>
                <w:szCs w:val="20"/>
                <w:color w:val="auto"/>
              </w:rPr>
            </w:pPr>
            <w:r>
              <w:rPr>
                <w:rFonts w:ascii="Arial" w:cs="Arial" w:eastAsia="Arial" w:hAnsi="Arial"/>
                <w:sz w:val="18"/>
                <w:szCs w:val="18"/>
                <w:color w:val="auto"/>
              </w:rPr>
              <w:t>(242 )</w:t>
            </w: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99,696</w:t>
            </w:r>
          </w:p>
        </w:tc>
        <w:tc>
          <w:tcPr>
            <w:tcW w:w="100" w:type="dxa"/>
            <w:vAlign w:val="bottom"/>
          </w:tcPr>
          <w:p>
            <w:pPr>
              <w:spacing w:after="0"/>
              <w:rPr>
                <w:sz w:val="17"/>
                <w:szCs w:val="17"/>
                <w:color w:val="auto"/>
              </w:rPr>
            </w:pPr>
          </w:p>
        </w:tc>
      </w:tr>
      <w:tr>
        <w:trPr>
          <w:trHeight w:val="236"/>
        </w:trPr>
        <w:tc>
          <w:tcPr>
            <w:tcW w:w="4080" w:type="dxa"/>
            <w:vAlign w:val="bottom"/>
            <w:tcBorders>
              <w:bottom w:val="single" w:sz="8" w:color="CFF0FC"/>
            </w:tcBorders>
            <w:gridSpan w:val="2"/>
            <w:shd w:val="clear" w:color="auto" w:fill="CFF0FC"/>
          </w:tcPr>
          <w:p>
            <w:pPr>
              <w:ind w:left="200"/>
              <w:spacing w:after="0" w:line="196" w:lineRule="exact"/>
              <w:rPr>
                <w:sz w:val="20"/>
                <w:szCs w:val="20"/>
                <w:color w:val="auto"/>
              </w:rPr>
            </w:pPr>
            <w:r>
              <w:rPr>
                <w:rFonts w:ascii="Arial" w:cs="Arial" w:eastAsia="Arial" w:hAnsi="Arial"/>
                <w:sz w:val="18"/>
                <w:szCs w:val="18"/>
                <w:color w:val="auto"/>
              </w:rPr>
              <w:t>Total</w:t>
            </w:r>
          </w:p>
        </w:tc>
        <w:tc>
          <w:tcPr>
            <w:tcW w:w="11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266,591</w:t>
            </w:r>
          </w:p>
        </w:tc>
        <w:tc>
          <w:tcPr>
            <w:tcW w:w="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ind w:left="880"/>
              <w:spacing w:after="0" w:line="196" w:lineRule="exact"/>
              <w:rPr>
                <w:sz w:val="20"/>
                <w:szCs w:val="20"/>
                <w:color w:val="auto"/>
              </w:rPr>
            </w:pPr>
            <w:r>
              <w:rPr>
                <w:rFonts w:ascii="Arial" w:cs="Arial" w:eastAsia="Arial" w:hAnsi="Arial"/>
                <w:sz w:val="18"/>
                <w:szCs w:val="18"/>
                <w:color w:val="auto"/>
                <w:w w:val="88"/>
              </w:rPr>
              <w:t>—</w:t>
            </w:r>
          </w:p>
        </w:tc>
        <w:tc>
          <w:tcPr>
            <w:tcW w:w="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(242</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266,349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-1302385</wp:posOffset>
            </wp:positionV>
            <wp:extent cx="774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-1285240</wp:posOffset>
            </wp:positionV>
            <wp:extent cx="77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-1302385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-1285240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-1302385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-1285240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-24765</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-8255</wp:posOffset>
            </wp:positionV>
            <wp:extent cx="768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No securities have contractual maturities of greater than twelve months.</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of June 30, 2022, the unrealized losses on the Company’s investment in US Government bonds were caused by interest rate changes and were not attributable to credit losses. The remaining contractual terms of those investments are less than a year. The Company does not intend to sell the investments and it is not more likely than not that the Company will be required to sell the investments before recovery of their amortized cost bases.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335"/>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5"/>
                <w:szCs w:val="15"/>
                <w:color w:val="auto"/>
              </w:rPr>
            </w:pPr>
          </w:p>
        </w:tc>
      </w:tr>
      <w:tr>
        <w:trPr>
          <w:trHeight w:val="185"/>
        </w:trPr>
        <w:tc>
          <w:tcPr>
            <w:tcW w:w="7660" w:type="dxa"/>
            <w:vAlign w:val="bottom"/>
          </w:tcPr>
          <w:p>
            <w:pPr>
              <w:spacing w:after="0"/>
              <w:rPr>
                <w:sz w:val="16"/>
                <w:szCs w:val="16"/>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7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2"/>
              </w:rPr>
              <w:t>thousands)</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Research and clinical expenses</w:t>
            </w:r>
          </w:p>
        </w:tc>
        <w:tc>
          <w:tcPr>
            <w:tcW w:w="1040" w:type="dxa"/>
            <w:vAlign w:val="bottom"/>
            <w:shd w:val="clear" w:color="auto" w:fill="CFF0FC"/>
          </w:tcPr>
          <w:p>
            <w:pPr>
              <w:jc w:val="right"/>
              <w:ind w:right="859"/>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3"/>
              </w:rPr>
              <w:t>18,377</w:t>
            </w:r>
          </w:p>
        </w:tc>
        <w:tc>
          <w:tcPr>
            <w:tcW w:w="66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18,861</w:t>
            </w: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Payroll and related expenses</w:t>
            </w:r>
          </w:p>
        </w:tc>
        <w:tc>
          <w:tcPr>
            <w:tcW w:w="10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7,109</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9,576</w:t>
            </w: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Legal and professional expenses</w:t>
            </w:r>
          </w:p>
        </w:tc>
        <w:tc>
          <w:tcPr>
            <w:tcW w:w="10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2,259</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1,468</w:t>
            </w: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liabilities - short term</w:t>
            </w:r>
          </w:p>
        </w:tc>
        <w:tc>
          <w:tcPr>
            <w:tcW w:w="10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3,845</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3,618</w:t>
            </w:r>
          </w:p>
        </w:tc>
        <w:tc>
          <w:tcPr>
            <w:tcW w:w="100" w:type="dxa"/>
            <w:vAlign w:val="bottom"/>
          </w:tcPr>
          <w:p>
            <w:pPr>
              <w:spacing w:after="0"/>
              <w:rPr>
                <w:sz w:val="17"/>
                <w:szCs w:val="17"/>
                <w:color w:val="auto"/>
              </w:rPr>
            </w:pPr>
          </w:p>
        </w:tc>
      </w:tr>
      <w:tr>
        <w:trPr>
          <w:trHeight w:val="202"/>
        </w:trPr>
        <w:tc>
          <w:tcPr>
            <w:tcW w:w="76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accrued expenses</w:t>
            </w:r>
          </w:p>
        </w:tc>
        <w:tc>
          <w:tcPr>
            <w:tcW w:w="104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142</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713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60" w:type="dxa"/>
            <w:vAlign w:val="bottom"/>
          </w:tcPr>
          <w:p>
            <w:pPr>
              <w:ind w:left="200"/>
              <w:spacing w:after="0" w:line="196" w:lineRule="exact"/>
              <w:rPr>
                <w:sz w:val="20"/>
                <w:szCs w:val="20"/>
                <w:color w:val="auto"/>
              </w:rPr>
            </w:pPr>
            <w:r>
              <w:rPr>
                <w:rFonts w:ascii="Arial" w:cs="Arial" w:eastAsia="Arial" w:hAnsi="Arial"/>
                <w:sz w:val="18"/>
                <w:szCs w:val="18"/>
                <w:color w:val="auto"/>
              </w:rPr>
              <w:t>Total</w:t>
            </w:r>
          </w:p>
        </w:tc>
        <w:tc>
          <w:tcPr>
            <w:tcW w:w="1040" w:type="dxa"/>
            <w:vAlign w:val="bottom"/>
          </w:tcPr>
          <w:p>
            <w:pPr>
              <w:jc w:val="right"/>
              <w:ind w:right="859"/>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w w:val="83"/>
              </w:rPr>
              <w:t>31,732</w:t>
            </w:r>
          </w:p>
        </w:tc>
        <w:tc>
          <w:tcPr>
            <w:tcW w:w="66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34,236</w:t>
            </w:r>
          </w:p>
        </w:tc>
        <w:tc>
          <w:tcPr>
            <w:tcW w:w="100" w:type="dxa"/>
            <w:vAlign w:val="bottom"/>
          </w:tcPr>
          <w:p>
            <w:pPr>
              <w:spacing w:after="0"/>
              <w:rPr>
                <w:sz w:val="17"/>
                <w:szCs w:val="17"/>
                <w:color w:val="auto"/>
              </w:rPr>
            </w:pPr>
          </w:p>
        </w:tc>
      </w:tr>
      <w:tr>
        <w:trPr>
          <w:trHeight w:val="20"/>
        </w:trPr>
        <w:tc>
          <w:tcPr>
            <w:tcW w:w="76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-159385</wp:posOffset>
            </wp:positionV>
            <wp:extent cx="6858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Research and Collaboration Agreements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revenue by collaboration partner: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80" w:type="dxa"/>
            <w:vAlign w:val="bottom"/>
            <w:gridSpan w:val="3"/>
          </w:tcPr>
          <w:p>
            <w:pPr>
              <w:jc w:val="right"/>
              <w:ind w:right="239"/>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gridSpan w:val="3"/>
          </w:tcPr>
          <w:p>
            <w:pPr>
              <w:jc w:val="center"/>
              <w:ind w:left="498"/>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4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639"/>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498"/>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r>
      <w:tr>
        <w:trPr>
          <w:trHeight w:val="169"/>
        </w:trPr>
        <w:tc>
          <w:tcPr>
            <w:tcW w:w="4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220" w:type="dxa"/>
            <w:vAlign w:val="bottom"/>
            <w:gridSpan w:val="2"/>
          </w:tcPr>
          <w:p>
            <w:pPr>
              <w:jc w:val="right"/>
              <w:ind w:right="439"/>
              <w:spacing w:after="0"/>
              <w:rPr>
                <w:sz w:val="20"/>
                <w:szCs w:val="20"/>
                <w:color w:val="auto"/>
              </w:rPr>
            </w:pPr>
            <w:r>
              <w:rPr>
                <w:rFonts w:ascii="Arial" w:cs="Arial" w:eastAsia="Arial" w:hAnsi="Arial"/>
                <w:sz w:val="14"/>
                <w:szCs w:val="14"/>
                <w:b w:val="1"/>
                <w:bCs w:val="1"/>
                <w:color w:val="auto"/>
                <w:w w:val="90"/>
              </w:rPr>
              <w:t>thousands)</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82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w w:val="90"/>
              </w:rPr>
              <w:t>thousands)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9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AbbVie</w:t>
            </w:r>
          </w:p>
        </w:tc>
        <w:tc>
          <w:tcPr>
            <w:tcW w:w="3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5,377</w:t>
            </w:r>
          </w:p>
        </w:tc>
        <w:tc>
          <w:tcPr>
            <w:tcW w:w="1220" w:type="dxa"/>
            <w:vAlign w:val="bottom"/>
            <w:gridSpan w:val="2"/>
            <w:shd w:val="clear" w:color="auto" w:fill="CFF0FC"/>
          </w:tcPr>
          <w:p>
            <w:pPr>
              <w:jc w:val="right"/>
              <w:ind w:right="699"/>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2,078</w:t>
            </w:r>
          </w:p>
        </w:tc>
        <w:tc>
          <w:tcPr>
            <w:tcW w:w="5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7,804</w:t>
            </w:r>
          </w:p>
        </w:tc>
        <w:tc>
          <w:tcPr>
            <w:tcW w:w="820" w:type="dxa"/>
            <w:vAlign w:val="bottom"/>
            <w:gridSpan w:val="2"/>
            <w:shd w:val="clear" w:color="auto" w:fill="CFF0FC"/>
          </w:tcPr>
          <w:p>
            <w:pPr>
              <w:jc w:val="center"/>
              <w:ind w:right="9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3,306</w:t>
            </w:r>
          </w:p>
        </w:tc>
        <w:tc>
          <w:tcPr>
            <w:tcW w:w="100" w:type="dxa"/>
            <w:vAlign w:val="bottom"/>
            <w:shd w:val="clear" w:color="auto" w:fill="CFF0FC"/>
          </w:tcPr>
          <w:p>
            <w:pPr>
              <w:spacing w:after="0"/>
              <w:rPr>
                <w:sz w:val="17"/>
                <w:szCs w:val="17"/>
                <w:color w:val="auto"/>
              </w:rPr>
            </w:pPr>
          </w:p>
        </w:tc>
      </w:tr>
      <w:tr>
        <w:trPr>
          <w:trHeight w:val="203"/>
        </w:trPr>
        <w:tc>
          <w:tcPr>
            <w:tcW w:w="4900" w:type="dxa"/>
            <w:vAlign w:val="bottom"/>
          </w:tcPr>
          <w:p>
            <w:pPr>
              <w:ind w:left="200"/>
              <w:spacing w:after="0" w:line="202" w:lineRule="exact"/>
              <w:rPr>
                <w:sz w:val="20"/>
                <w:szCs w:val="20"/>
                <w:color w:val="auto"/>
              </w:rPr>
            </w:pPr>
            <w:r>
              <w:rPr>
                <w:rFonts w:ascii="Arial" w:cs="Arial" w:eastAsia="Arial" w:hAnsi="Arial"/>
                <w:sz w:val="18"/>
                <w:szCs w:val="18"/>
                <w:color w:val="auto"/>
              </w:rPr>
              <w:t>Amgen</w:t>
            </w: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369</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1,874</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2,657</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4,456</w:t>
            </w:r>
          </w:p>
        </w:tc>
        <w:tc>
          <w:tcPr>
            <w:tcW w:w="100" w:type="dxa"/>
            <w:vAlign w:val="bottom"/>
          </w:tcPr>
          <w:p>
            <w:pPr>
              <w:spacing w:after="0"/>
              <w:rPr>
                <w:sz w:val="17"/>
                <w:szCs w:val="17"/>
                <w:color w:val="auto"/>
              </w:rPr>
            </w:pPr>
          </w:p>
        </w:tc>
      </w:tr>
      <w:tr>
        <w:trPr>
          <w:trHeight w:val="203"/>
        </w:trPr>
        <w:tc>
          <w:tcPr>
            <w:tcW w:w="49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Astellas</w:t>
            </w: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5,014</w:t>
            </w: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4,931</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10,031</w:t>
            </w: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9,687</w:t>
            </w:r>
          </w:p>
        </w:tc>
        <w:tc>
          <w:tcPr>
            <w:tcW w:w="100" w:type="dxa"/>
            <w:vAlign w:val="bottom"/>
            <w:shd w:val="clear" w:color="auto" w:fill="CFF0FC"/>
          </w:tcPr>
          <w:p>
            <w:pPr>
              <w:spacing w:after="0"/>
              <w:rPr>
                <w:sz w:val="17"/>
                <w:szCs w:val="17"/>
                <w:color w:val="auto"/>
              </w:rPr>
            </w:pPr>
          </w:p>
        </w:tc>
      </w:tr>
      <w:tr>
        <w:trPr>
          <w:trHeight w:val="203"/>
        </w:trPr>
        <w:tc>
          <w:tcPr>
            <w:tcW w:w="4900" w:type="dxa"/>
            <w:vAlign w:val="bottom"/>
          </w:tcPr>
          <w:p>
            <w:pPr>
              <w:ind w:left="200"/>
              <w:spacing w:after="0" w:line="202" w:lineRule="exact"/>
              <w:rPr>
                <w:sz w:val="20"/>
                <w:szCs w:val="20"/>
                <w:color w:val="auto"/>
              </w:rPr>
            </w:pPr>
            <w:r>
              <w:rPr>
                <w:rFonts w:ascii="Arial" w:cs="Arial" w:eastAsia="Arial" w:hAnsi="Arial"/>
                <w:sz w:val="18"/>
                <w:szCs w:val="18"/>
                <w:color w:val="auto"/>
              </w:rPr>
              <w:t>Bristol Myers Squibb</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7,405</w:t>
            </w:r>
          </w:p>
        </w:tc>
        <w:tc>
          <w:tcPr>
            <w:tcW w:w="3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7,405</w:t>
            </w:r>
          </w:p>
        </w:tc>
        <w:tc>
          <w:tcPr>
            <w:tcW w:w="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14,810</w:t>
            </w:r>
          </w:p>
        </w:tc>
        <w:tc>
          <w:tcPr>
            <w:tcW w:w="26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14,810</w:t>
            </w:r>
          </w:p>
        </w:tc>
        <w:tc>
          <w:tcPr>
            <w:tcW w:w="100" w:type="dxa"/>
            <w:vAlign w:val="bottom"/>
          </w:tcPr>
          <w:p>
            <w:pPr>
              <w:spacing w:after="0"/>
              <w:rPr>
                <w:sz w:val="17"/>
                <w:szCs w:val="17"/>
                <w:color w:val="auto"/>
              </w:rPr>
            </w:pPr>
          </w:p>
        </w:tc>
      </w:tr>
      <w:tr>
        <w:trPr>
          <w:trHeight w:val="236"/>
        </w:trPr>
        <w:tc>
          <w:tcPr>
            <w:tcW w:w="49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18,165</w:t>
            </w:r>
          </w:p>
        </w:tc>
        <w:tc>
          <w:tcPr>
            <w:tcW w:w="32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699"/>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16,288</w:t>
            </w:r>
          </w:p>
        </w:tc>
        <w:tc>
          <w:tcPr>
            <w:tcW w:w="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35,302</w:t>
            </w:r>
          </w:p>
        </w:tc>
        <w:tc>
          <w:tcPr>
            <w:tcW w:w="26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center"/>
              <w:ind w:right="3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32,259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-24765</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-7620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Ireland Unlimited Company</w:t>
      </w:r>
    </w:p>
    <w:p>
      <w:pPr>
        <w:spacing w:after="0" w:line="104"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In April 2016, the Company and AbbVie entered into two agreements, a CD71 Co-Development and Licensing Agreement (the “CD71 Agreement”) and a Discovery Collaboration and Licensing Agreement (as amended and restated in June 2019, the “Discovery Agreement” and together with the CD71 Agreement the “AbbVie Agreements”). Under the terms of the CD71 Agreement, the Company and AbbVie will co-develop a conditionally activated antibody-drug conjugate (“ADC”) against CD71, with the Company responsible for preclinical and early clinical development. AbbVie will be responsible for later development and commercialization, with global late-stage development costs shared between the two companies. The Company will assume 35% of the net profits or net losses related to later development and commercialization unless it opts-out. If the Company opts-out from participation of co-development of the CD71 conditionally activated ADC, which includes CX-2029, AbbVie will have sole right and responsibility for the further development, manufacturing and commercialization of such CD71 conditionally activated ADC.</w:t>
      </w:r>
    </w:p>
    <w:p>
      <w:pPr>
        <w:spacing w:after="0" w:line="154" w:lineRule="exact"/>
        <w:rPr>
          <w:sz w:val="20"/>
          <w:szCs w:val="20"/>
          <w:color w:val="auto"/>
        </w:rPr>
      </w:pPr>
    </w:p>
    <w:p>
      <w:pPr>
        <w:ind w:right="220"/>
        <w:spacing w:after="0" w:line="274" w:lineRule="auto"/>
        <w:rPr>
          <w:sz w:val="20"/>
          <w:szCs w:val="20"/>
          <w:color w:val="auto"/>
        </w:rPr>
      </w:pPr>
      <w:r>
        <w:rPr>
          <w:rFonts w:ascii="Arial" w:cs="Arial" w:eastAsia="Arial" w:hAnsi="Arial"/>
          <w:sz w:val="16"/>
          <w:szCs w:val="16"/>
          <w:color w:val="auto"/>
        </w:rPr>
        <w:t>Under the CD71 Agreement, the Company received an upfront payment of $20.0 million in April 2016, and was eligible to initially receive up to $470.0 million in development, regulatory and commercial milestone payments, a 35% profit split on U.S. sales, and royalties on ex-U.S. sales at percentages in the high teens to low twenties if the Company participates in the co-development of the CD71 conditionally activated ADC subject to a reversion to a royalty on U.S. sales, and reduction in royalties on ex-U.S. sales, if the Company opts-out from the co-development of the CD71 conditionally activated ADC. The Company’s share of later stage co-development costs for each CD71 conditionally activated ADC is capped, provided that AbbVie may offset the Company’s co-development cost above the capped amounts from future payments such as milestone payments and royalties. Inclusive of payments received in 2017, 2018 and 2020, as of June 30, 2022, the Company has received $100.0 million in milestone payments under the CD71 Agreement.</w:t>
      </w:r>
    </w:p>
    <w:p>
      <w:pPr>
        <w:spacing w:after="0" w:line="15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Under the terms of the Discovery Agreement, AbbVie receives exclusive worldwide rights to develop and commercialize conditionally activated ADCs against up to two targets, one of which was selected in March 2017. The Company shall perform research services to discover the Probody therapeutics and create conditionally activated ADCs for the nominated collaboration targets. From that point, AbbVie shall have sole right and responsibility for development and commercialization of products comprising or containing such conditionally activated ADCs (“Discovery Licensed Products”).</w:t>
      </w:r>
    </w:p>
    <w:p>
      <w:pPr>
        <w:spacing w:after="0" w:line="142"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Under the Discovery Agreement, the Company received an upfront payment of $10.0 million in April 2016 and subsequently earned an additional $10.0 million milestone payment triggered by selection of the second target by AbbVie in June 2019. The Company is also eligible to receive up to $265.0 million for each target, in development, regulatory and commercial milestone payments and royalties at percentages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18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in the high single to low teens from commercial sales of any resulting conditionally activated ADCs. The second target was selected under the Discovery Agreement that allows AbbVie to select a target for developing a conditionally activated ADC or a Probody.</w:t>
      </w:r>
    </w:p>
    <w:p>
      <w:pPr>
        <w:spacing w:after="0" w:line="157"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auto"/>
        </w:rPr>
        <w:t>The Company determined that the remaining potential milestone payments of both agreements, if recognized, are probable of significant revenue reversal as their achievement is highly dependent on factors outside the Company’s control. Therefore, these payments continue to be fully constrained and are not included in the transaction price as of June 30, 2022.</w:t>
      </w:r>
    </w:p>
    <w:p>
      <w:pPr>
        <w:spacing w:after="0" w:line="141" w:lineRule="exact"/>
        <w:rPr>
          <w:sz w:val="20"/>
          <w:szCs w:val="20"/>
          <w:color w:val="auto"/>
        </w:rPr>
      </w:pPr>
    </w:p>
    <w:p>
      <w:pPr>
        <w:ind w:right="80"/>
        <w:spacing w:after="0" w:line="324" w:lineRule="auto"/>
        <w:rPr>
          <w:sz w:val="20"/>
          <w:szCs w:val="20"/>
          <w:color w:val="auto"/>
        </w:rPr>
      </w:pPr>
      <w:r>
        <w:rPr>
          <w:rFonts w:ascii="Arial" w:cs="Arial" w:eastAsia="Arial" w:hAnsi="Arial"/>
          <w:sz w:val="16"/>
          <w:szCs w:val="16"/>
          <w:color w:val="auto"/>
        </w:rPr>
        <w:t>As of June 30, 2022 and December 31, 2021, deferred revenue related to the CD71 Agreement performance obligation was $9.5 million and $16.1 million, respectively, and deferred revenue related to the Discovery Agreement performance obligation was $4.0 million and $5.2 million,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Amgen, Inc.</w:t>
      </w:r>
    </w:p>
    <w:p>
      <w:pPr>
        <w:spacing w:after="0" w:line="10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On September 29, 2017, the Company and Amgen, Inc. (“Amgen”) entered into a Collaboration and License Agreement (the “Amgen Agreement”). Pursuant to the Amgen Agreement, the Company received an upfront payment of $40.0 million in October 2017. Concurrent with the Amgen Agreement, the Company and Amgen entered into a Share Purchase Agreement pursuant to which Amgen purchased 1,156,069 shares of the Company’s common stock at a price of $17.30 per share for total proceeds of $20.0 million.</w:t>
      </w:r>
    </w:p>
    <w:p>
      <w:pPr>
        <w:spacing w:after="0" w:line="161"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In October 2021, CytomX and Amgen executed an amendment to the Amgen Agreement primarily to (1) extend the target selection date for Amgen to select its additional targets for research and development, and (2) reduce the total number of milestone events and increase the total amount of milestone payments for EGFR Products.</w:t>
      </w:r>
    </w:p>
    <w:p>
      <w:pPr>
        <w:spacing w:after="0" w:line="168"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Under the terms of the Amgen Agreement, as amended, the Company and Amgen will co-develop a conditionally activated T-cell engaging bispecific therapeutic targeting epidermal growth factor receptor (the “EGFR Products”). The Company is responsible for early-stage development of EGFR Products and Amgen will be responsible for late-stage development and commercialization of EGFR Products. Following early-stage development, the Company will have the right to elect to participate financially in the global co-development of EGFR Products with Amgen, during which the Company would bear certain of the worldwide development costs for EGFR Products and Amgen would bear the rest of such costs (the “EGFR Co-Development Option”). If the Company exercises its EGFR Co-Development Option, the Company will share in somewhat less than 50% of the profit and losses from sales of such EGFR Products in the U.S., subject to certain caps, offsets, and deferrals. If the Company chooses not to exercise its EGFR Co-Development Option, the Company will not bear any costs of later stage development. The Company is also eligible to receive up to $460.0 million in development, regulatory, and commercial milestone payments for EGFR Products, and royalties in the low-double-digit to mid-teen percentage of worldwide commercial sales, provided that if the Company exercises its EGFR Co-Development option, it shall receive a profit and loss split of sales in the United States and royalties in the low-double-digit to mid-teen percentage of commercial sales outside of the United States.</w:t>
      </w:r>
    </w:p>
    <w:p>
      <w:pPr>
        <w:spacing w:after="0" w:line="172"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Amgen also has the right to select a total of up to three targets, including the two additional targets discussed below. The Company and Amgen collaborate in the research and development of conditionally activated T-cell engaging bispecifics products directed against such targets. Amgen has selected one such target (the “Amgen Other Product”). If Amgen exercises its option within a specified period of time, it can select two such additional targets (the “Amgen Option Products” and, together with the Amgen Other Product, the “Amgen Products”). Except with respect to preclinical activities to be conducted by CytomX, Amgen will be responsible, at its expense, for the development, manufacture, and commercialization of all Amgen Products. If Amgen exercises all of its options and advances all three of the Amgen Products, CytomX was initially eligible to receive up to $950.0 million in upfront, development, regulatory, and commercial milestones and tiered high single-digit to low-teen percentage royalties. The Company concluded that, at the inception of the agreement, Amgen’s option to select the two additional targets is not a material right and does not represent a performance obligation of the agreement.</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At the initiation of the collaboration, CytomX had the option to select, from programs specified in the Amgen Agreement, an existing preclinical stage T-cell engaging bispecific product from the Amgen preclinical pipeline. In March 2018, CytomX selected the program. CytomX is responsible, at its expense, for converting this program to a conditionally activated T-cell engaging bispecific product, and thereafter, will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 In January 2022, the IND for the EGFR product (CX-904) was allowed to proceed by the U.S. Food and Drug Administration (“FDA”).</w:t>
      </w:r>
    </w:p>
    <w:p>
      <w:pPr>
        <w:spacing w:after="0" w:line="162"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As of June 30, 2022 and December 31, 2021, deferred revenue related to the EGFR Products performance obligation was $19.6 million and $21.8 million, respectively. As of June 30, 2022 and December 31, 2021, deferred revenue related to the Amgen Other Products performance obligation was $1.0 million and $1.4 million, respectively.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Astellas Pharma Inc.</w:t>
      </w:r>
    </w:p>
    <w:p>
      <w:pPr>
        <w:spacing w:after="0" w:line="104"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The Company and Astellas Pharma, Inc. (“Astellas”) entered into a Collaboration and License Agreement (the “Astellas Agreement”) on March 23, 2020, the effective date, to collaborate on preclinical research activities to discover and develop certain antibody compounds for the treatment of cancer using the Company’s Probody therapeutic technology.</w:t>
      </w:r>
    </w:p>
    <w:p>
      <w:pPr>
        <w:spacing w:after="0" w:line="14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Under the terms of the Astellas Agreement, the Company granted Astellas an exclusive, worldwide right to develop and commercialize Probody therapeutics for up to four collaboration targets including one initial target and three additional targets (“Additional Targets”). In addition, Astellas has the right to expand the number of Additional Targets from three up to five (the “Expansion Option”) before the third anniversary of the effective date. Furthermore, for a specified number of targets, at a pre-specified time prior to the initiation of the first pivotal study of a product against such target, the Company may elect to participate in certain development costs and share in the profits generated in the United States with respect to such product (“Cost Share Option”). The Cost Share Option, if exercised, will also provide the option for the Company to co-commercialize such product in the United States. The Company does not consider the Cost Share Option as a performance obligation at the inception of the agreement as the participation is at the Company’s discretion.</w:t>
      </w:r>
    </w:p>
    <w:p>
      <w:pPr>
        <w:spacing w:after="0" w:line="16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Pursuant to the Astellas Agreement, the consideration from Astellas is comprised of an upfront fee of $80.0 million and contingent payments for development, regulatory and sales milestones of up to an aggregate of approximately $1.6 billion. If Astellas exercises its Expansion Option for the two Additional Targets, the Company would be eligible to receive additional upfront and milestone payments aggregating to approximately $0.9 billion. The Company is also entitled to tiered royalties from high-single digit to mid-teen percentage royalties from potential future sales. Astellas is responsible for all preclinical research costs incurred by either party as set forth in the preclinical research plan and the Company will receive research and development service fees based on a prescribed full time employee ("FTE") rate.</w:t>
      </w:r>
    </w:p>
    <w:p>
      <w:pPr>
        <w:spacing w:after="0" w:line="176" w:lineRule="exact"/>
        <w:rPr>
          <w:sz w:val="20"/>
          <w:szCs w:val="20"/>
          <w:color w:val="auto"/>
        </w:rPr>
      </w:pPr>
    </w:p>
    <w:p>
      <w:pPr>
        <w:jc w:val="both"/>
        <w:ind w:right="240"/>
        <w:spacing w:after="0" w:line="324" w:lineRule="auto"/>
        <w:rPr>
          <w:sz w:val="20"/>
          <w:szCs w:val="20"/>
          <w:color w:val="auto"/>
        </w:rPr>
      </w:pPr>
      <w:r>
        <w:rPr>
          <w:rFonts w:ascii="Arial" w:cs="Arial" w:eastAsia="Arial" w:hAnsi="Arial"/>
          <w:sz w:val="16"/>
          <w:szCs w:val="16"/>
          <w:color w:val="auto"/>
        </w:rPr>
        <w:t>As of June 30, 2022 and December 31, 2021, deferred revenue relating to the Astellas Agreement was $43.7 million and $51.6 million, respectively. The amount due from Astellas under the Astellas Agreement was $1.0 million and $0.8 million as of June 30, 2022 and December 31, 2021,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Bristol Myers Squibb Company</w:t>
      </w:r>
    </w:p>
    <w:p>
      <w:pPr>
        <w:spacing w:after="0" w:line="104" w:lineRule="exact"/>
        <w:rPr>
          <w:sz w:val="20"/>
          <w:szCs w:val="20"/>
          <w:color w:val="auto"/>
        </w:rPr>
      </w:pPr>
    </w:p>
    <w:p>
      <w:pPr>
        <w:jc w:val="both"/>
        <w:ind w:right="220"/>
        <w:spacing w:after="0" w:line="248" w:lineRule="auto"/>
        <w:rPr>
          <w:sz w:val="20"/>
          <w:szCs w:val="20"/>
          <w:color w:val="auto"/>
        </w:rPr>
      </w:pPr>
      <w:r>
        <w:rPr>
          <w:rFonts w:ascii="Arial" w:cs="Arial" w:eastAsia="Arial" w:hAnsi="Arial"/>
          <w:sz w:val="18"/>
          <w:szCs w:val="18"/>
          <w:color w:val="auto"/>
        </w:rPr>
        <w:t>On May 23, 2014, the Company and Bristol Myers Squibb Company (“Bristol Myers Squibb”) entered into a Collaboration and License Agreement (the “BMS Agreement”) to discover and develop compounds for use in human therapeutics aimed at multiple immuno-oncology targets using the Company’s Probody therapeutic technology. The effective date of the BMS Agreement was July 7, 2014.</w:t>
      </w:r>
    </w:p>
    <w:p>
      <w:pPr>
        <w:spacing w:after="0" w:line="16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Under the terms of the BMS Agreement, the Company granted Bristol Myers Squibb exclusive worldwide rights to develop and commercialize Probody therapeutics for up to four oncology targets. Bristol Myers Squibb had additional rights to substitute up to two collaboration targets within three years of the effective date of the BMS Agreement. These rights expired in May 2017. Each collaboration target had a two-year research term and the two additional targets had to be nominated by Bristol Myers Squibb within five years of the effective date of the BMS Agreement. The research term for each collaboration target could be extended in one year increments up to three times.</w:t>
      </w:r>
    </w:p>
    <w:p>
      <w:pPr>
        <w:spacing w:after="0" w:line="160"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Pursuant to the BMS Agreement, the financial consideration from Bristol Myers Squibb was comprised of an upfront payment of $50.0 million, and the Company was initially entitled to receive contingent payments of up to $25.0 million for additional targets and up to an aggregate of $1,192.0 million for development, regulatory and sales milestones. In addition, the Company was entitled to royalty payments in the mid-single digits to low double-digit percentages from potential future sales. The Company also received research and development service fees based on a prescribed FTE rate that was capped.</w:t>
      </w:r>
    </w:p>
    <w:p>
      <w:pPr>
        <w:spacing w:after="0" w:line="127"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On March 17, 2017, the Company and Bristol Myers Squibb entered into Amendment Number 1 to Extend Collaboration and License Agreement (“Amendment 1”). Amendment 1 granted Bristol Myers Squibb exclusive worldwide rights to develop and commercialize Probody therapeutics for up to eight additional targets. The effective date of Amendment 1 was April 25, 2017 (“Amendment Effective Date”). Under the terms of Amendment 1, the Company continued to have obligations to Bristol Myers Squibb to discover and conduct preclinical development of Probody therapeutics against any targets they chose to select during the research period under the terms of Amendment 1.</w:t>
      </w:r>
    </w:p>
    <w:p>
      <w:pPr>
        <w:spacing w:after="0" w:line="16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Pursuant to Amendment 1, the financial consideration from Bristol Myers Squibb was comprised of an upfront payment of $200.0 million and the Company was initially eligible to receive contingent payments for development, regulatory and sales milestones of up to an aggregate of $3,586.0 million for the eight targets. The Company was also entitled to tiered mid-single to low double-digit percentage royalties from potential future sales. Amendment 1 did not change the term of the Bristol Myers Squibb’s royalty obligation under the BMS Agreement. Bristol Myers Squibb’s royalty obligation continues on a licensed-product by licensed-product basis until the later of (i) the expiration of the last claim of the licensed patents covering the licensed products in the country, (ii) the twelfth anniversary of the first commercial sale of 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licensed product in a country, or (iii) the expiration of any applicable regulatory, pediatric, orphan drug or data exclusivity with respect to such product.</w:t>
      </w:r>
    </w:p>
    <w:p>
      <w:pPr>
        <w:spacing w:after="0" w:line="21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initial transaction price for the BMS Agreement and Amendment 1, collectively, was $272.8 million consisting of the upfront fees of $250.0 million, research and development service fees of $10.8 million and milestone payments received of $12.0 million upon the adoption of ASC 606 on January 1, 2018. The Company determined that the remaining potential milestone payments were probable of significant revenue reversal as their achievement was highly dependent on factors outside the Company’s control. Therefore, these payments were fully constrained and were not included in the transaction price upon the adoption of ASC 606 on January 1, 2018. The BMS Agreement represents an obligation to continuously make the Probody therapeutic technology platform available to Bristol Myers Squibb. Therefore, the initial transaction price is recognized over the estimated research service period, which ends on April 25, 2025.</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In February 2021, the Company and Bristol Myers Squibb entered into Amendment Number 2 to amend the Collaboration and License Agreement (“Amendment 2”), as amended by Amendment 1. Subsequent to Amendment 2, Bristol Myers Squibb has the exclusive worldwide rights to develop and commercialize Probody therapeutics for up to five oncology targets. Under the terms of Amendment 2, the period for target selection has been extended and the Company will continue to collaborate with Bristol Myers Squibb to discover and conduct preclinical development of Probody therapeutics against targets selected by Bristol Myers Squibb over the estimated research period, which ends in April 2025. Pursuant to Amendment 2, the Company is eligible to receive contingent payments for development, regulatory and sales milestones of up to an aggregate of $1,779.0 million. It is also entitled to tiered mid-single to low double-digit percentage of royalties from potential future sales. In addition, the Company will no longer be entitled to receive the research and development service fee as part of the arrangement.</w:t>
      </w:r>
    </w:p>
    <w:p>
      <w:pPr>
        <w:spacing w:after="0" w:line="167" w:lineRule="exact"/>
        <w:rPr>
          <w:sz w:val="20"/>
          <w:szCs w:val="20"/>
          <w:color w:val="auto"/>
        </w:rPr>
      </w:pPr>
    </w:p>
    <w:p>
      <w:pPr>
        <w:ind w:right="720"/>
        <w:spacing w:after="0" w:line="248" w:lineRule="auto"/>
        <w:rPr>
          <w:sz w:val="20"/>
          <w:szCs w:val="20"/>
          <w:color w:val="auto"/>
        </w:rPr>
      </w:pPr>
      <w:r>
        <w:rPr>
          <w:rFonts w:ascii="Arial" w:cs="Arial" w:eastAsia="Arial" w:hAnsi="Arial"/>
          <w:sz w:val="18"/>
          <w:szCs w:val="18"/>
          <w:color w:val="auto"/>
        </w:rPr>
        <w:t>The Company reevaluated the remaining potential milestone payments and determined that significant revenue reversal was still probable as the achievement of such milestones was highly dependent on factors outside the Company’s control. As a result, these payments continued to be fully constrained and are not included in the transaction price as of June 30, 2022.</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2022 and December 31, 2021, deferred revenue relating to the BMS Agreement was $83.9 million and $98.8 million, respectively.</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Company’s total contract liabilities during the six months ended June 30, 2022:</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ind w:left="120"/>
              <w:spacing w:after="0"/>
              <w:rPr>
                <w:sz w:val="20"/>
                <w:szCs w:val="20"/>
                <w:color w:val="auto"/>
              </w:rPr>
            </w:pPr>
            <w:r>
              <w:rPr>
                <w:rFonts w:ascii="Arial" w:cs="Arial" w:eastAsia="Arial" w:hAnsi="Arial"/>
                <w:sz w:val="14"/>
                <w:szCs w:val="14"/>
                <w:b w:val="1"/>
                <w:bCs w:val="1"/>
                <w:color w:val="auto"/>
              </w:rPr>
              <w:t>Balance at</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Additions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Deductions</w:t>
            </w:r>
          </w:p>
        </w:tc>
        <w:tc>
          <w:tcPr>
            <w:tcW w:w="280" w:type="dxa"/>
            <w:vAlign w:val="bottom"/>
            <w:vMerge w:val="restart"/>
          </w:tcPr>
          <w:p>
            <w:pPr>
              <w:spacing w:after="0"/>
              <w:rPr>
                <w:sz w:val="14"/>
                <w:szCs w:val="14"/>
                <w:color w:val="auto"/>
              </w:rPr>
            </w:pPr>
          </w:p>
        </w:tc>
        <w:tc>
          <w:tcPr>
            <w:tcW w:w="260" w:type="dxa"/>
            <w:vAlign w:val="bottom"/>
            <w:vMerge w:val="restart"/>
          </w:tcPr>
          <w:p>
            <w:pPr>
              <w:spacing w:after="0"/>
              <w:rPr>
                <w:sz w:val="14"/>
                <w:szCs w:val="14"/>
                <w:color w:val="auto"/>
              </w:rPr>
            </w:pPr>
          </w:p>
        </w:tc>
        <w:tc>
          <w:tcPr>
            <w:tcW w:w="1240" w:type="dxa"/>
            <w:vAlign w:val="bottom"/>
          </w:tcPr>
          <w:p>
            <w:pPr>
              <w:jc w:val="center"/>
              <w:ind w:right="162"/>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12/31/2021</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6/30/2022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ind w:left="920"/>
              <w:spacing w:after="0"/>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74"/>
              </w:rPr>
              <w:t>thousands)</w:t>
            </w: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Contract liabilities:</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194,922</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ind w:left="106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160"/>
              <w:spacing w:after="0"/>
              <w:rPr>
                <w:sz w:val="20"/>
                <w:szCs w:val="20"/>
                <w:color w:val="auto"/>
              </w:rPr>
            </w:pPr>
            <w:r>
              <w:rPr>
                <w:rFonts w:ascii="Arial" w:cs="Arial" w:eastAsia="Arial" w:hAnsi="Arial"/>
                <w:sz w:val="18"/>
                <w:szCs w:val="18"/>
                <w:color w:val="auto"/>
              </w:rPr>
              <w:t>(33,272 )   $</w:t>
            </w:r>
          </w:p>
        </w:tc>
        <w:tc>
          <w:tcPr>
            <w:tcW w:w="1240" w:type="dxa"/>
            <w:vAlign w:val="bottom"/>
          </w:tcPr>
          <w:p>
            <w:pPr>
              <w:jc w:val="right"/>
              <w:spacing w:after="0"/>
              <w:rPr>
                <w:sz w:val="20"/>
                <w:szCs w:val="20"/>
                <w:color w:val="auto"/>
              </w:rPr>
            </w:pPr>
            <w:r>
              <w:rPr>
                <w:rFonts w:ascii="Arial" w:cs="Arial" w:eastAsia="Arial" w:hAnsi="Arial"/>
                <w:sz w:val="18"/>
                <w:szCs w:val="18"/>
                <w:color w:val="auto"/>
              </w:rPr>
              <w:t>161,650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Company expects that the $161.7 million of deferred revenue related to the following contracts as of June 30, 2022 will be recognized as revenue as set forth below. However, the timing of revenue recognition could differ from the estimates depending on facts and circumstances impacting the various contracts, including progress of research and development, resources assigned to the contracts by the Company or its collaboration partners or other factors outside of the Company’s control.</w:t>
      </w:r>
    </w:p>
    <w:p>
      <w:pPr>
        <w:spacing w:after="0" w:line="80" w:lineRule="exact"/>
        <w:rPr>
          <w:sz w:val="20"/>
          <w:szCs w:val="20"/>
          <w:color w:val="auto"/>
        </w:rPr>
      </w:pPr>
    </w:p>
    <w:p>
      <w:pPr>
        <w:ind w:left="1020" w:right="240" w:hanging="503"/>
        <w:spacing w:after="0" w:line="26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$9.5 million of deferred revenue related to the CD71 Agreement with AbbVie is expected to be recognized based on actual FTE effort and program progress until 2023.</w:t>
      </w:r>
    </w:p>
    <w:p>
      <w:pPr>
        <w:spacing w:after="0" w:line="62"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$4.0 million of deferred revenue related to the second target under the Discovery Agreement with AbbVie is expected to be recognized ratably until 2024.</w:t>
      </w:r>
    </w:p>
    <w:p>
      <w:pPr>
        <w:spacing w:after="0" w:line="62"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$19.6 million of deferred revenue related to the Amgen EGFR Products is expected to be recognized based on actual FTE effort and program progress until 2024.</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$1.0 million of deferred revenue related to the Amgen Other Products is expected to be recognized ratably until 2023.</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$43.7 million of deferred revenue related to the Astellas Agreement is expected to be recognized ratably until 2025.</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$83.9 million of deferred revenue related to the BMS Agreement is expected to be recognized ratably until 2025.</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302" w:lineRule="exact"/>
        <w:rPr>
          <w:sz w:val="20"/>
          <w:szCs w:val="20"/>
          <w:color w:val="auto"/>
        </w:rPr>
      </w:pPr>
    </w:p>
    <w:p>
      <w:pPr>
        <w:ind w:right="8940" w:firstLine="8"/>
        <w:spacing w:after="0" w:line="407" w:lineRule="auto"/>
        <w:tabs>
          <w:tab w:leader="none" w:pos="18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b w:val="1"/>
          <w:bCs w:val="1"/>
          <w:i w:val="1"/>
          <w:iCs w:val="1"/>
          <w:color w:val="auto"/>
        </w:rPr>
        <w:t>Stock Options</w:t>
      </w:r>
    </w:p>
    <w:p>
      <w:pPr>
        <w:spacing w:after="0"/>
        <w:rPr>
          <w:rFonts w:ascii="Arial" w:cs="Arial" w:eastAsia="Arial" w:hAnsi="Arial"/>
          <w:sz w:val="16"/>
          <w:szCs w:val="16"/>
          <w:b w:val="1"/>
          <w:bCs w:val="1"/>
          <w:color w:val="auto"/>
        </w:rPr>
      </w:pPr>
      <w:r>
        <w:rPr>
          <w:rFonts w:ascii="Arial" w:cs="Arial" w:eastAsia="Arial" w:hAnsi="Arial"/>
          <w:sz w:val="18"/>
          <w:szCs w:val="18"/>
          <w:color w:val="auto"/>
        </w:rPr>
        <w:t>Activities for the Company’s stock option plans for the six months ended June 30, 2022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3500" w:type="dxa"/>
            <w:vAlign w:val="bottom"/>
            <w:tcBorders>
              <w:bottom w:val="single" w:sz="8" w:color="auto"/>
            </w:tcBorders>
            <w:gridSpan w:val="4"/>
          </w:tcPr>
          <w:p>
            <w:pPr>
              <w:jc w:val="right"/>
              <w:ind w:right="1038"/>
              <w:spacing w:after="0"/>
              <w:rPr>
                <w:sz w:val="20"/>
                <w:szCs w:val="20"/>
                <w:color w:val="auto"/>
              </w:rPr>
            </w:pPr>
            <w:r>
              <w:rPr>
                <w:rFonts w:ascii="Arial" w:cs="Arial" w:eastAsia="Arial" w:hAnsi="Arial"/>
                <w:sz w:val="14"/>
                <w:szCs w:val="14"/>
                <w:b w:val="1"/>
                <w:bCs w:val="1"/>
                <w:color w:val="auto"/>
              </w:rPr>
              <w:t>Options Outstanding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76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tcPr>
          <w:p>
            <w:pPr>
              <w:jc w:val="center"/>
              <w:ind w:right="158"/>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40" w:type="dxa"/>
            <w:vAlign w:val="bottom"/>
          </w:tcPr>
          <w:p>
            <w:pPr>
              <w:spacing w:after="0"/>
              <w:rPr>
                <w:sz w:val="12"/>
                <w:szCs w:val="12"/>
                <w:color w:val="auto"/>
              </w:rPr>
            </w:pPr>
          </w:p>
        </w:tc>
        <w:tc>
          <w:tcPr>
            <w:tcW w:w="184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2"/>
                <w:szCs w:val="12"/>
                <w:color w:val="auto"/>
              </w:rPr>
            </w:pPr>
          </w:p>
        </w:tc>
        <w:tc>
          <w:tcPr>
            <w:tcW w:w="14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4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Balances at December 31, 2021</w:t>
            </w:r>
          </w:p>
        </w:tc>
        <w:tc>
          <w:tcPr>
            <w:tcW w:w="18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6"/>
                <w:szCs w:val="16"/>
                <w:color w:val="auto"/>
              </w:rPr>
            </w:pPr>
          </w:p>
        </w:tc>
        <w:tc>
          <w:tcPr>
            <w:tcW w:w="142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40" w:type="dxa"/>
            <w:vAlign w:val="bottom"/>
            <w:vMerge w:val="continue"/>
          </w:tcPr>
          <w:p>
            <w:pPr>
              <w:spacing w:after="0"/>
              <w:rPr>
                <w:sz w:val="17"/>
                <w:szCs w:val="17"/>
                <w:color w:val="auto"/>
              </w:rPr>
            </w:pPr>
          </w:p>
        </w:tc>
        <w:tc>
          <w:tcPr>
            <w:tcW w:w="15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12,192,216</w:t>
            </w:r>
          </w:p>
        </w:tc>
        <w:tc>
          <w:tcPr>
            <w:tcW w:w="280" w:type="dxa"/>
            <w:vAlign w:val="bottom"/>
          </w:tcPr>
          <w:p>
            <w:pPr>
              <w:spacing w:after="0"/>
              <w:rPr>
                <w:sz w:val="17"/>
                <w:szCs w:val="17"/>
                <w:color w:val="auto"/>
              </w:rPr>
            </w:pPr>
          </w:p>
        </w:tc>
        <w:tc>
          <w:tcPr>
            <w:tcW w:w="240" w:type="dxa"/>
            <w:vAlign w:val="bottom"/>
            <w:tcBorders>
              <w:top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Options granted</w:t>
            </w: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3,416,918</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Options exercised</w:t>
            </w:r>
          </w:p>
        </w:tc>
        <w:tc>
          <w:tcPr>
            <w:tcW w:w="1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(100,990 )</w:t>
            </w:r>
          </w:p>
        </w:tc>
        <w:tc>
          <w:tcPr>
            <w:tcW w:w="24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0.98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Option forfeited/expired</w:t>
            </w:r>
          </w:p>
        </w:tc>
        <w:tc>
          <w:tcPr>
            <w:tcW w:w="18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(1,077,318 )</w:t>
            </w: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b w:val="1"/>
                <w:bCs w:val="1"/>
                <w:color w:val="auto"/>
              </w:rPr>
              <w:t>Balances at June 30, 2022</w:t>
            </w:r>
          </w:p>
        </w:tc>
        <w:tc>
          <w:tcPr>
            <w:tcW w:w="15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14,430,826</w:t>
            </w:r>
          </w:p>
        </w:tc>
        <w:tc>
          <w:tcPr>
            <w:tcW w:w="28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8.13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-159385</wp:posOffset>
            </wp:positionV>
            <wp:extent cx="6858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recorded $2.8 million and $3.3 million of stock-based compensation expense related to the stock options for the three months ended June 30, 2022 and 2021, respectively.</w:t>
      </w:r>
    </w:p>
    <w:p>
      <w:pPr>
        <w:spacing w:after="0" w:line="15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Company recorded $5.7 million and $6.3 million of stock-based compensation expense related to the stock options for the six months ended June 30, 2022 and 2021,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Time-based RSUs ("TRSU")</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Activities for the Company’s TRSUs for the six months ended June 30, 2022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20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68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Weighted Average Grant</w:t>
            </w:r>
          </w:p>
        </w:tc>
        <w:tc>
          <w:tcPr>
            <w:tcW w:w="100" w:type="dxa"/>
            <w:vAlign w:val="bottom"/>
          </w:tcPr>
          <w:p>
            <w:pPr>
              <w:spacing w:after="0"/>
              <w:rPr>
                <w:sz w:val="14"/>
                <w:szCs w:val="14"/>
                <w:color w:val="auto"/>
              </w:rPr>
            </w:pPr>
          </w:p>
        </w:tc>
      </w:tr>
      <w:tr>
        <w:trPr>
          <w:trHeight w:val="185"/>
        </w:trPr>
        <w:tc>
          <w:tcPr>
            <w:tcW w:w="7280" w:type="dxa"/>
            <w:vAlign w:val="bottom"/>
          </w:tcPr>
          <w:p>
            <w:pPr>
              <w:spacing w:after="0"/>
              <w:rPr>
                <w:sz w:val="16"/>
                <w:szCs w:val="16"/>
                <w:color w:val="auto"/>
              </w:rPr>
            </w:pPr>
          </w:p>
        </w:tc>
        <w:tc>
          <w:tcPr>
            <w:tcW w:w="206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Shares</w:t>
            </w:r>
          </w:p>
        </w:tc>
        <w:tc>
          <w:tcPr>
            <w:tcW w:w="180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8"/>
              </w:rPr>
              <w:t>Date Fair Value Per Share</w:t>
            </w:r>
          </w:p>
        </w:tc>
        <w:tc>
          <w:tcPr>
            <w:tcW w:w="100" w:type="dxa"/>
            <w:vAlign w:val="bottom"/>
          </w:tcPr>
          <w:p>
            <w:pPr>
              <w:spacing w:after="0"/>
              <w:rPr>
                <w:sz w:val="16"/>
                <w:szCs w:val="16"/>
                <w:color w:val="auto"/>
              </w:rPr>
            </w:pPr>
          </w:p>
        </w:tc>
      </w:tr>
      <w:tr>
        <w:trPr>
          <w:trHeight w:val="372"/>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433,250</w:t>
            </w:r>
          </w:p>
        </w:tc>
        <w:tc>
          <w:tcPr>
            <w:tcW w:w="2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4"/>
                <w:szCs w:val="24"/>
                <w:color w:val="auto"/>
              </w:rPr>
            </w:pPr>
          </w:p>
        </w:tc>
      </w:tr>
      <w:tr>
        <w:trPr>
          <w:trHeight w:val="203"/>
        </w:trPr>
        <w:tc>
          <w:tcPr>
            <w:tcW w:w="7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RSU's awarded</w:t>
            </w:r>
          </w:p>
        </w:tc>
        <w:tc>
          <w:tcPr>
            <w:tcW w:w="1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655,410</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3.89</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RSU's vested</w:t>
            </w:r>
          </w:p>
        </w:tc>
        <w:tc>
          <w:tcPr>
            <w:tcW w:w="20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7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RSU's cancelled</w:t>
            </w:r>
          </w:p>
        </w:tc>
        <w:tc>
          <w:tcPr>
            <w:tcW w:w="20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(97,044 )</w:t>
            </w:r>
          </w:p>
        </w:tc>
        <w:tc>
          <w:tcPr>
            <w:tcW w:w="1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4.75</w:t>
            </w:r>
          </w:p>
        </w:tc>
        <w:tc>
          <w:tcPr>
            <w:tcW w:w="100" w:type="dxa"/>
            <w:vAlign w:val="bottom"/>
            <w:shd w:val="clear" w:color="auto" w:fill="CFF0FC"/>
          </w:tcPr>
          <w:p>
            <w:pPr>
              <w:spacing w:after="0"/>
              <w:rPr>
                <w:sz w:val="17"/>
                <w:szCs w:val="17"/>
                <w:color w:val="auto"/>
              </w:rPr>
            </w:pPr>
          </w:p>
        </w:tc>
      </w:tr>
      <w:tr>
        <w:trPr>
          <w:trHeight w:val="196"/>
        </w:trPr>
        <w:tc>
          <w:tcPr>
            <w:tcW w:w="728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b w:val="1"/>
                <w:bCs w:val="1"/>
                <w:color w:val="auto"/>
              </w:rPr>
              <w:t>Balance at June 30, 2022</w:t>
            </w:r>
          </w:p>
        </w:tc>
        <w:tc>
          <w:tcPr>
            <w:tcW w:w="1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991,616</w:t>
            </w:r>
          </w:p>
        </w:tc>
        <w:tc>
          <w:tcPr>
            <w:tcW w:w="2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168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4.44</w:t>
            </w:r>
          </w:p>
        </w:tc>
        <w:tc>
          <w:tcPr>
            <w:tcW w:w="100" w:type="dxa"/>
            <w:vAlign w:val="bottom"/>
            <w:tcBorders>
              <w:top w:val="single" w:sz="8" w:color="CFF0FC"/>
            </w:tcBorders>
          </w:tcPr>
          <w:p>
            <w:pPr>
              <w:spacing w:after="0"/>
              <w:rPr>
                <w:sz w:val="17"/>
                <w:szCs w:val="17"/>
                <w:color w:val="auto"/>
              </w:rPr>
            </w:pPr>
          </w:p>
        </w:tc>
      </w:tr>
      <w:tr>
        <w:trPr>
          <w:trHeight w:val="20"/>
        </w:trPr>
        <w:tc>
          <w:tcPr>
            <w:tcW w:w="72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-159385</wp:posOffset>
            </wp:positionV>
            <wp:extent cx="6858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Company recorded $0.4 million and $0.7 million of stock-based compensation expense related to the TRSUs for the three and six months ended June 30, 2022, respectively. The Company began granting TRSUs in the fourth quarter of 2021.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RSUs ("PSUs")</w:t>
      </w:r>
    </w:p>
    <w:p>
      <w:pPr>
        <w:spacing w:after="0" w:line="104"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In October 2021, the Company granted 435,000 PSUs as recognition awards to executive employees with an aggregated grant date fair value of $2.3 million. 50% of the PSUs granted will vest within one year of the grant date upon achievement of certain specific milestones ("Tranche 1") and the remaining 50% will vest within two years of the grant date upon achievement of additional company objectives ("Tranche 2"). The Company determined that it is not probable that the performance conditions will be satisfied for each of these Tranches and hence no compensation cost was recorded for these awards for the year ended December 31, 2021.</w:t>
      </w:r>
    </w:p>
    <w:p>
      <w:pPr>
        <w:spacing w:after="0" w:line="14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of June 30, 2022, the Company determined that the achievement of the milestones for Tranche 1 was probable and hence recorded $1.0 million of stock-based compensation expense for the three and six months ended June 30, 2022. As the achievement of the milestones for Tranche 2 was not considered probable, no compensation cost was recorded for these awards as of and for the three and six months ended June 30, 2022.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Activities for the Company’s PSUs for the six months ended June 30, 2022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gridSpan w:val="5"/>
          </w:tcPr>
          <w:p>
            <w:pPr>
              <w:ind w:left="4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80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w w:val="99"/>
              </w:rPr>
              <w:t>Weighted Average Grant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94"/>
              </w:rPr>
              <w:t>Shares</w:t>
            </w:r>
          </w:p>
        </w:tc>
        <w:tc>
          <w:tcPr>
            <w:tcW w:w="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w w:val="98"/>
              </w:rPr>
              <w:t>Date Fair Value 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435,000</w:t>
            </w:r>
          </w:p>
        </w:tc>
        <w:tc>
          <w:tcPr>
            <w:tcW w:w="140" w:type="dxa"/>
            <w:vAlign w:val="bottom"/>
          </w:tcPr>
          <w:p>
            <w:pPr>
              <w:spacing w:after="0"/>
              <w:rPr>
                <w:sz w:val="24"/>
                <w:szCs w:val="24"/>
                <w:color w:val="auto"/>
              </w:rPr>
            </w:pP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PSU's awarded</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PSU's vested</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PSU's cancelled</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gridSpan w:val="3"/>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w w:val="94"/>
              </w:rPr>
              <w:t>(47,500 )</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0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b w:val="1"/>
                <w:bCs w:val="1"/>
                <w:color w:val="auto"/>
              </w:rPr>
              <w:t>Balance at June 30, 2022</w:t>
            </w:r>
          </w:p>
        </w:tc>
        <w:tc>
          <w:tcPr>
            <w:tcW w:w="260" w:type="dxa"/>
            <w:vAlign w:val="bottom"/>
            <w:tcBorders>
              <w:top w:val="single" w:sz="8" w:color="CFF0FC"/>
            </w:tcBorders>
          </w:tcPr>
          <w:p>
            <w:pPr>
              <w:spacing w:after="0"/>
              <w:rPr>
                <w:sz w:val="17"/>
                <w:szCs w:val="17"/>
                <w:color w:val="auto"/>
              </w:rPr>
            </w:pPr>
          </w:p>
        </w:tc>
        <w:tc>
          <w:tcPr>
            <w:tcW w:w="84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w w:val="92"/>
              </w:rPr>
              <w:t>387,500</w:t>
            </w:r>
          </w:p>
        </w:tc>
        <w:tc>
          <w:tcPr>
            <w:tcW w:w="140" w:type="dxa"/>
            <w:vAlign w:val="bottom"/>
            <w:tcBorders>
              <w:top w:val="single" w:sz="8" w:color="CFF0FC"/>
            </w:tcBorders>
          </w:tcPr>
          <w:p>
            <w:pPr>
              <w:spacing w:after="0"/>
              <w:rPr>
                <w:sz w:val="17"/>
                <w:szCs w:val="17"/>
                <w:color w:val="auto"/>
              </w:rPr>
            </w:pPr>
          </w:p>
        </w:tc>
        <w:tc>
          <w:tcPr>
            <w:tcW w:w="440" w:type="dxa"/>
            <w:vAlign w:val="bottom"/>
            <w:tcBorders>
              <w:top w:val="single" w:sz="8" w:color="CFF0FC"/>
            </w:tcBorders>
            <w:gridSpan w:val="2"/>
          </w:tcPr>
          <w:p>
            <w:pPr>
              <w:jc w:val="center"/>
              <w:spacing w:after="0" w:line="182"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tcPr>
          <w:p>
            <w:pPr>
              <w:spacing w:after="0"/>
              <w:rPr>
                <w:sz w:val="17"/>
                <w:szCs w:val="17"/>
                <w:color w:val="auto"/>
              </w:rPr>
            </w:pPr>
          </w:p>
        </w:tc>
        <w:tc>
          <w:tcPr>
            <w:tcW w:w="820" w:type="dxa"/>
            <w:vAlign w:val="bottom"/>
            <w:tcBorders>
              <w:top w:val="single" w:sz="8" w:color="CFF0FC"/>
            </w:tcBorders>
          </w:tcPr>
          <w:p>
            <w:pPr>
              <w:spacing w:after="0"/>
              <w:rPr>
                <w:sz w:val="17"/>
                <w:szCs w:val="17"/>
                <w:color w:val="auto"/>
              </w:rPr>
            </w:pPr>
          </w:p>
        </w:tc>
        <w:tc>
          <w:tcPr>
            <w:tcW w:w="46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5.34</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Stock-based Compensation</w:t>
            </w: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800" w:type="dxa"/>
            <w:vAlign w:val="bottom"/>
            <w:gridSpan w:val="6"/>
          </w:tcPr>
          <w:p>
            <w:pPr>
              <w:spacing w:after="0"/>
              <w:rPr>
                <w:sz w:val="20"/>
                <w:szCs w:val="20"/>
                <w:color w:val="auto"/>
              </w:rPr>
            </w:pPr>
            <w:r>
              <w:rPr>
                <w:rFonts w:ascii="Arial" w:cs="Arial" w:eastAsia="Arial" w:hAnsi="Arial"/>
                <w:sz w:val="18"/>
                <w:szCs w:val="18"/>
                <w:color w:val="auto"/>
                <w:w w:val="91"/>
              </w:rPr>
              <w:t>Total stock-based compensation recorded related to options, TRSUs, PSUs and the ESPP was as follows:</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gridSpan w:val="4"/>
          </w:tcPr>
          <w:p>
            <w:pPr>
              <w:jc w:val="center"/>
              <w:ind w:left="99"/>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w w:val="95"/>
              </w:rPr>
              <w:t>Six Months Ended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center"/>
              <w:ind w:left="99"/>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700" w:type="dxa"/>
            <w:vAlign w:val="bottom"/>
            <w:vMerge w:val="restart"/>
          </w:tcPr>
          <w:p>
            <w:pPr>
              <w:ind w:left="2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ind w:left="180"/>
              <w:spacing w:after="0"/>
              <w:rPr>
                <w:sz w:val="20"/>
                <w:szCs w:val="20"/>
                <w:color w:val="auto"/>
              </w:rPr>
            </w:pPr>
            <w:r>
              <w:rPr>
                <w:rFonts w:ascii="Arial" w:cs="Arial" w:eastAsia="Arial" w:hAnsi="Arial"/>
                <w:sz w:val="14"/>
                <w:szCs w:val="14"/>
                <w:b w:val="1"/>
                <w:bCs w:val="1"/>
                <w:color w:val="auto"/>
              </w:rPr>
              <w:t>(in</w:t>
            </w:r>
          </w:p>
        </w:tc>
        <w:tc>
          <w:tcPr>
            <w:tcW w:w="9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79"/>
              </w:rPr>
              <w:t>thousands)</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2,091</w:t>
            </w:r>
          </w:p>
        </w:tc>
        <w:tc>
          <w:tcPr>
            <w:tcW w:w="480" w:type="dxa"/>
            <w:vAlign w:val="bottom"/>
            <w:gridSpan w:val="2"/>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7"/>
                <w:szCs w:val="17"/>
                <w:color w:val="auto"/>
              </w:rPr>
            </w:pPr>
          </w:p>
        </w:tc>
        <w:tc>
          <w:tcPr>
            <w:tcW w:w="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88"/>
              </w:rPr>
              <w:t>1,548</w:t>
            </w:r>
          </w:p>
        </w:tc>
        <w:tc>
          <w:tcPr>
            <w:tcW w:w="18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395"/>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88"/>
              </w:rPr>
              <w:t>3,696</w:t>
            </w:r>
          </w:p>
        </w:tc>
        <w:tc>
          <w:tcPr>
            <w:tcW w:w="1040" w:type="dxa"/>
            <w:vAlign w:val="bottom"/>
            <w:gridSpan w:val="2"/>
            <w:shd w:val="clear" w:color="auto" w:fill="CFF0FC"/>
          </w:tcPr>
          <w:p>
            <w:pPr>
              <w:jc w:val="right"/>
              <w:ind w:right="639"/>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3"/>
              </w:rPr>
              <w:t>2,885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2,399</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w w:val="88"/>
              </w:rPr>
              <w:t>1,877</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88"/>
              </w:rPr>
              <w:t>4,164</w:t>
            </w:r>
          </w:p>
        </w:tc>
        <w:tc>
          <w:tcPr>
            <w:tcW w:w="2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3"/>
              </w:rPr>
              <w:t>3,574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0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4,490</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w w:val="88"/>
              </w:rPr>
              <w:t>3,425</w:t>
            </w:r>
          </w:p>
        </w:tc>
        <w:tc>
          <w:tcPr>
            <w:tcW w:w="18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ind w:right="395"/>
              <w:spacing w:after="0" w:line="196" w:lineRule="exact"/>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gridSpan w:val="2"/>
            <w:shd w:val="clear" w:color="auto" w:fill="CFF0FC"/>
          </w:tcPr>
          <w:p>
            <w:pPr>
              <w:jc w:val="center"/>
              <w:spacing w:after="0" w:line="196" w:lineRule="exact"/>
              <w:rPr>
                <w:sz w:val="20"/>
                <w:szCs w:val="20"/>
                <w:color w:val="auto"/>
              </w:rPr>
            </w:pPr>
            <w:r>
              <w:rPr>
                <w:rFonts w:ascii="Arial" w:cs="Arial" w:eastAsia="Arial" w:hAnsi="Arial"/>
                <w:sz w:val="18"/>
                <w:szCs w:val="18"/>
                <w:color w:val="auto"/>
                <w:w w:val="88"/>
              </w:rPr>
              <w:t>7,860</w:t>
            </w:r>
          </w:p>
        </w:tc>
        <w:tc>
          <w:tcPr>
            <w:tcW w:w="2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639"/>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6,459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-1830705</wp:posOffset>
            </wp:positionV>
            <wp:extent cx="6858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-25400</wp:posOffset>
            </wp:positionV>
            <wp:extent cx="774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98"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On March 4, 2020, Vytacera Bio, LLC filed a patent infringement lawsuit against the Company in the U.S. District Court for the District of Delaware. The lawsuit alleges that the Company's use, offers to sell, and/or sales of the Probody® technology platform for basic research applications constitutes infringement. The complaint seeks unspecified monetary damages. The Company filed an Answer, Affirmative Defenses, and Counterclaims on May 26, 2020. Vytacera Bio, LLC filed its Answer to CytomX Therapeutics Inc.’s Counterclaims on June 5, 2020. On October 13, 2021, the Court granted the parties’ stipulation to stay all pending case deadlines except for certain matters, pending resolution of claim construction. On May 9, 2022, the Court entered a claim construction ruling. Also on May 9, 2022, the case was assigned to the District of Delaware’s Vacant Judgeship. No new case deadlines have been set. The Company believes that the lawsuit is without merit and intends to vigorously defend itself, and has not recorded any amount for claims associated with this lawsuit as of June 30, 2022.</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02"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Company maintains a full valuation allowance against its net deferred tax assets due to the Company’s history of losses as of June 30, 2022 and December 31, 2021</w:t>
      </w:r>
      <w:r>
        <w:rPr>
          <w:rFonts w:ascii="Arial" w:cs="Arial" w:eastAsia="Arial" w:hAnsi="Arial"/>
          <w:sz w:val="18"/>
          <w:szCs w:val="18"/>
          <w:i w:val="1"/>
          <w:iCs w:val="1"/>
          <w:color w:val="auto"/>
        </w:rPr>
        <w:t>.</w:t>
      </w:r>
    </w:p>
    <w:p>
      <w:pPr>
        <w:spacing w:after="0" w:line="157"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The Company files income taxes in the U.S. federal jurisdiction, the state of California and various other U.S. states. The Company is currently under examination by the state of California for the years 2017 and 2018. The examination contests the Company’s tax position on revenue apportionment for upfront and milestone payments resulting from the Company’s collaboration and licensing agreements. As of the date of this filing, the state of California has not proposed adjustments to the tax returns. Due to the ongoing nature of the examination and discussions with the state of California, the Company is unable to estimate a date by which this matter will be resolved or reasonably estimate the potential impact should the tax position be revised. Based on the Company's current expectations and understanding of the reasonably possible outcomes, the Company does not anticipate that the resolution of this matter would result in a material impact on its financial position or results of operations.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ind w:right="-139"/>
        <w:spacing w:after="0"/>
        <w:rPr>
          <w:sz w:val="20"/>
          <w:szCs w:val="20"/>
          <w:color w:val="auto"/>
        </w:rPr>
      </w:pPr>
      <w:r>
        <w:rPr>
          <w:rFonts w:ascii="Arial" w:cs="Arial" w:eastAsia="Arial" w:hAnsi="Arial"/>
          <w:sz w:val="18"/>
          <w:szCs w:val="18"/>
          <w:b w:val="1"/>
          <w:bCs w:val="1"/>
          <w:color w:val="auto"/>
        </w:rPr>
        <w:t>CYTOMX THERAPEUTICS, INC.</w:t>
      </w:r>
    </w:p>
    <w:p>
      <w:pPr>
        <w:spacing w:after="0" w:line="1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On July 6, 2022 the Company announced Phase 2 topline results for praluzatamab ravtansine in breast cancer and its decision to not advance this program ("praluzatamab ravtansine") alone given the data and financial market conditions. The Company will seek a collaboration partnership to further develop praluzatamab ravtansine in patients with advanced breast cancer. On July 13, 2022, the Company announced a restructuring plan to prioritize its resources on its emerging pre-clinical and early clinical pipeline as well as its existing collaboration partnerships. The restructuring plan will result in a reduction to its workforce by approximately 40%, and is expected to be completed by the fourth quarter of 2022. The Company estimates that it will incur aggregate restructuring charges of approximately $10.0 million, primarily related to one-time severance payments and other employee-related costs, in the third and fourth quarters of 2022.</w:t>
      </w: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7"/>
          <w:szCs w:val="17"/>
          <w:i w:val="1"/>
          <w:iCs w:val="1"/>
          <w:color w:val="auto"/>
        </w:rPr>
        <w:t>You should read the following management’s discussion and analysis of our financial condition and results of operations in conjunction with our unaudited condensed financial statements and notes thereto included in Part I, Item 1 of this Quarterly Report on Form 10-Q and with our audited financial statements and notes thereto for the year ended December 31, 2021, included in our Annual Report on Form 10-K as filed with the U.S. Securities and Exchange Commission (“SEC”) on March 1, 2022. This discussion and other parts of this report contain forward-looking statements that involve risks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titled “Risk Factors.” Except as may be required by law, we assume no obligation to update these forward-looking statements or the reasons that results could differ from these forward-looking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are a clinical-stage, oncology-focused biopharmaceutical company dedicated to destroying cancer differently. We aim to build a commercial enterprise to maximize our impact on the treatment of cancer. By pioneering a novel class of conditionally activated biologic candidates, powered by our Probody® therapeutic technology platform, we lead the field of conditionally activated oncology therapeutics and have established conditional activation as a strategic area of biologics research and development. Our goal is to transcend the limits of current cancer treatments by successfully leveraging therapeutic targets and strategies that were once thought to be inaccessible.</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Our proprietary, unique and versatile Probody technology platform is designed to enable conditional activation of biologic therapeutic candidates within the tumor microenvironment, while minimizing drug activity in healthy tissues and circulation. Our industry-leading platform is built on a strong foundation of tumor biology expertise, including deep knowledge of tumor-associated enzymes known as proteases. Proteases are tightly controlled in normal tissues but often poorly regulated and active in tumor microenvironments where they play important roles in cancer cell migration, invasion and metastasis.</w:t>
      </w:r>
    </w:p>
    <w:p>
      <w:pPr>
        <w:spacing w:after="0" w:line="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Leveraging our deep scientific knowledge, we conceived of and constructed our Probody therapeutic platform which allows us to genetically engineer biologic therapeutic candidates to contain protease-cleavable masks. Our masking strategy is designed to reduce binding of biologic therapeutics to their targets until the mask is removed by proteases in the tumor microenvironment, providing more selective targeting of the tumor. We believe this innovative approach has the potential to improve cancer treatment in three ways:</w:t>
      </w:r>
    </w:p>
    <w:p>
      <w:pPr>
        <w:spacing w:after="0" w:line="81" w:lineRule="exact"/>
        <w:rPr>
          <w:sz w:val="20"/>
          <w:szCs w:val="20"/>
          <w:color w:val="auto"/>
        </w:rPr>
      </w:pPr>
    </w:p>
    <w:p>
      <w:pPr>
        <w:ind w:left="1020" w:right="22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Allowing the pursuit of high potential targets that were previously considered “undruggable” due to their ubiquitous expression on healthy tissues;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Enhancing an experimental treatment’s “therapeutic window,” the balance between tolerability and anti-tumor activity;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Enabling the development of new combination therapies, including immunotherapies, by improving tolerability.</w:t>
      </w:r>
    </w:p>
    <w:p>
      <w:pPr>
        <w:spacing w:after="0" w:line="198" w:lineRule="exact"/>
        <w:rPr>
          <w:sz w:val="20"/>
          <w:szCs w:val="20"/>
          <w:color w:val="auto"/>
        </w:rPr>
      </w:pPr>
    </w:p>
    <w:p>
      <w:pPr>
        <w:jc w:val="both"/>
        <w:ind w:right="260"/>
        <w:spacing w:after="0" w:line="294" w:lineRule="auto"/>
        <w:rPr>
          <w:sz w:val="20"/>
          <w:szCs w:val="20"/>
          <w:color w:val="auto"/>
        </w:rPr>
      </w:pPr>
      <w:r>
        <w:rPr>
          <w:rFonts w:ascii="Arial" w:cs="Arial" w:eastAsia="Arial" w:hAnsi="Arial"/>
          <w:sz w:val="16"/>
          <w:szCs w:val="16"/>
          <w:color w:val="auto"/>
        </w:rPr>
        <w:t>We are employing our conditional activation platform technology to address some of the biggest challenges in cancer therapy development today. These include the validation of potential new targets for antibody-drug conjugates (“ADCs”), opening solid tumor opportunities for T-cell engaging bispecific antibodies (“TCBs”), and increasing the therapeutic window for immune modulators such as cytokines and checkpoint inhibitors (“CPIs”).</w:t>
      </w:r>
    </w:p>
    <w:p>
      <w:pPr>
        <w:spacing w:after="0" w:line="13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Our robust portfolio of differentiated, experimental treatments includes the wholly-owned, praluzatamab ravtansine (CX-2009) and the AbbVie-partnered CX-2029, two conditionally activated ADCs directed toward the previously undruggable targets CD166 and CD71, respectively. These cancer targets were considered inaccessible to conventional ADCs due to their ubiquitous expression in many healthy tissues, but we believe they are potentially addressable with our Probody technology. Having demonstrated favorable tolerability and encouraging anti-tumor activity in separate dose-escalation Phase 1 studies, praluzatamab ravtansine and CX-2029 are currently in Phase 2 clinical studies.</w:t>
      </w:r>
    </w:p>
    <w:p>
      <w:pPr>
        <w:spacing w:after="0" w:line="160"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Praluzatamab ravtansine is our conditionally activated ADC directed toward CD166 and is being evaluated in a three-arm study in patients with advanced human epidermal growth factor receptor 2 (“HER2”)-non-amplified breast cancer. Arms A and B examined praluzatamab ravtansine monotherapy in patients with hormone receptor-positive/HER2-non-amplified breast cancer and triple-negative breast cancer (“TNBC”), respectively. Arm C studied praluzatamab ravtansine in combination with pacmilimab (CX-072), our wholly-owned PD-L1 inhibitor, in patients with TNBC. In July 2022, Phase 2 topline results were disclosed for Arms A and B as of data cut-off date May 2022. Arm A met the primary endpoint of confirmed objective response rate greater than 10% by central radiology review. The safety profile in Arm A was generally consistent with Phase 1 observations and the DM4 payload, with high-grade toxicities or toxicities resulting in dose modification predominantly ocular or neuropathic in nature. Specifically, 30% of patients in Arm A discontinued treatment for an adverse event. Grade 3 or greater ocular and neuropathic toxicities were 15% and 10%, respectively. All patients in Arm A were treated at the initial starting dose of 7 mg/kg administered every three weeks. Arm B did not pass the protocol-defined futility boundary in patients with advanced TNBC and enrollment into Arms B and C will be discontinued. Arm B evaluated patients at starting doses of 7 mg/kg or 6 mg/kg. The toxicity profile of the 7 mg/kg starting dose in Arm B was consistent with the 7 mg/kg starting dose in Arm A. In the 6 mg/kg cohort in Arm</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9" w:name="page20"/>
    <w:bookmarkEnd w:id="19"/>
    <w:p>
      <w:pPr>
        <w:ind w:right="60"/>
        <w:spacing w:after="0" w:line="248" w:lineRule="auto"/>
        <w:rPr>
          <w:sz w:val="20"/>
          <w:szCs w:val="20"/>
          <w:color w:val="auto"/>
        </w:rPr>
      </w:pPr>
      <w:r>
        <w:rPr>
          <w:rFonts w:ascii="Arial" w:cs="Arial" w:eastAsia="Arial" w:hAnsi="Arial"/>
          <w:sz w:val="18"/>
          <w:szCs w:val="18"/>
          <w:color w:val="auto"/>
        </w:rPr>
        <w:t>B, no patients discontinued treatment for an adverse event as of the data cut-off date and Grade 3 or greater ocular or neuropathic related events were 3% and 0%, respectively. Based on these results, the Company was encouraged by the emerging safety profile of 6 mg/kg and will seek a partnership to further develop praluzatamab ravtansine in patients with advanced breast cancer.</w:t>
      </w:r>
    </w:p>
    <w:p>
      <w:pPr>
        <w:spacing w:after="0" w:line="16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CX-2029 is being evaluated as monotherapy in a four-cohort Phase 2 expansion study designed to enroll twenty-five efficacy evaluable patients per cohort in the following malignancies: squamous non-small cell lung cancer (“sqNSCLC”), head and neck squamous cell carcinoma (“HNSCC”), esophageal and gastro-esophageal junction (“E/GEJ”) cancers, and diffuse large B-cell lymphoma (“DLBCL”). Patient enrollment into the study is now complete in all three solid cancer indications, including the E/GEJ cancer cohort. The DLBCL cohort was deprioritized due to strategic and competitive reasons and did not enroll any patients. A data update for the fully enrolled sqNSCLC cohort is expected in the fourth quarter of 2022. Data from the E/GEJ cancer cohort continues to mature.</w:t>
      </w:r>
    </w:p>
    <w:p>
      <w:pPr>
        <w:spacing w:after="0" w:line="176"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Our partner, Bristol Myers Squibb, is conducting a randomized Phase 2 study evaluating BMS-986249, a Probody version of ipilimumab, the anti-CTLA-4 antibody, in combination with nivolumab, the anti-PD-1 antibody, in patients with metastatic melanoma. In addition, BMS-986249 is being studied in combination with nivolumab in three additional indications: advanced hepatocellular carcinoma, metastatic castration-resistant prostate cancer and advanced TNBC. Bristol Myers Squibb also continues to evaluate BMS-986288, a Probody version of non-fucosylated ipilimumab, as monotherapy or in combination with nivolumab in a Phase 1 clinical study.</w:t>
      </w:r>
    </w:p>
    <w:p>
      <w:pPr>
        <w:spacing w:after="0" w:line="176"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Underscoring our commitment to destroying cancer differently, we have recently introduced a third treatment modality into the clinic from our Probody platform, reinforcing our leadership in the field of conditional activation of biologic therapeutics. As part of our partnership with Amgen, we have advanced CX-904, a conditionally activated TCB candidate against EGFR and CD3. Our investigational new drug application (“IND”) for CX-904 was allowed to proceed by the FDA in January 2022. In May 2022, the first patient was dosed in a Phase 1 study evaluating CX-904 as a treatment for patients with advanced solid tumors.</w:t>
      </w:r>
    </w:p>
    <w:p>
      <w:pPr>
        <w:spacing w:after="0" w:line="17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Our pipeline also includes CX-801, a wholly-owned interferon ("IFN") alpha-2b Probody. Preclinically, CX-801 demonstrated a wide therapeutic index with an enhanced tolerability profile versus unmasked IFN, without compromising its potent antitumor effects. CX-801 has broad potential applicability in traditionally immuno-oncology sensitive as well as insensitive (cold) tumors. An IND submission for CX-801 is planned in the second half of 2023.</w:t>
      </w:r>
    </w:p>
    <w:p>
      <w:pPr>
        <w:spacing w:after="0" w:line="13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Another wholly-owned emerging product candidate is CX-2051, a conditionally activated ADC paired with a next-generation payload and directed toward EpCAM with potential applicability across multiple EpCAM-expressing epithelial cancers. We plan to submit an IND for this program in the second half of 2023.</w:t>
      </w:r>
    </w:p>
    <w:p>
      <w:pPr>
        <w:spacing w:after="0" w:line="16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are also continuously engaged in drug discovery efforts towards the generation of new clinical candidates across multiple modalities for the treatment of cancer, including additional ADCs, Cytokines and TCBs, reflecting the versatility of our Probody platform.</w:t>
      </w:r>
    </w:p>
    <w:p>
      <w:pPr>
        <w:spacing w:after="0" w:line="157"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We do not have any products approved for sale, and we continue to incur significant research and development and general administrative expenses related to our operations. We are not profitable and have incurred losses in each year since our founding in 2008. Our net loss was $24.2 million and $48.1 million for the three and six months ended June 30, 2022, respectively. As of June 30, 2022 and December 31, 2021, we had an accumulated deficit of $581.8 million and $533.7 million, respectively. We expect to continue to incur significant losses for the foreseeable future.</w:t>
      </w:r>
    </w:p>
    <w:p>
      <w:pPr>
        <w:spacing w:after="0" w:line="159"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Global health authorities, including the FDA, regulate many aspects of a product candidate’s life cycle, including research and development and preclinical and clinical testing. We will need to commit significant time, resources, and funding to develop our wholly-owned and partnered product candidates in clinical trials. We are unable to provide the nature, timing, and estimated costs of the efforts necessary to complete the development of our product candidates because, among other reasons, of regulatory uncertainty, manufacturing limitations, and the pace of enrollment of our clinical trials, which is a function of many factors, including the availability and proximity of patients with the relevant condition.</w:t>
      </w:r>
    </w:p>
    <w:p>
      <w:pPr>
        <w:spacing w:after="0" w:line="160"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We currently have no manufacturing capabilities and do not intend to establish any such capabilities in the near term. As such, we are dependent on third parties to supply our product candidates according to our specifications, in sufficient quantities, on time, in compliance with appropriate regulatory standards and at competitive prices.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198"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On July 6, 2022, we announced Phase 2 topline results for praluzatamab ravtansine in breast cancer and our decision to not advance this program ("praluzatamab ravtansine") alone given the data and financial market conditions. We will seek a collaboration partnership to further develop praluzatamab ravtansine in patients with advanced breast cancer. On July 13, 2022, we announced a restructuring plan to prioritize its resources on our emerging pre-clinical and early clinical pipeline as well as our existing collaboration partnerships. The restructuring plan will result in a reduction to our workforce by approximately 40%, and is expected to be completed by the fourth quarter of 2022. We estimate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0" w:name="page21"/>
    <w:bookmarkEnd w:id="20"/>
    <w:p>
      <w:pPr>
        <w:ind w:right="200"/>
        <w:spacing w:after="0" w:line="261" w:lineRule="auto"/>
        <w:rPr>
          <w:sz w:val="20"/>
          <w:szCs w:val="20"/>
          <w:color w:val="auto"/>
        </w:rPr>
      </w:pPr>
      <w:r>
        <w:rPr>
          <w:rFonts w:ascii="Arial" w:cs="Arial" w:eastAsia="Arial" w:hAnsi="Arial"/>
          <w:sz w:val="18"/>
          <w:szCs w:val="18"/>
          <w:color w:val="auto"/>
        </w:rPr>
        <w:t>that we will incur aggregate restructuring charges of approximately $10.0 million, primarily related to one-time severance payments and other employee-related costs, in the third and fourth quarters of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02"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In December 2019, a strain of novel coronavirus-caused disease (now commonly known as COVID-19) was reported to have surfaced in Wuhan, China and in March 2020 the World Health Organization declared the outbreak a pandemic. There continues to be uncertainty as to the extent and duration of the COVID-19 pandemic including the ongoing emergence and impact of new variants.</w:t>
      </w:r>
    </w:p>
    <w:p>
      <w:pPr>
        <w:spacing w:after="0" w:line="168"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COVID-19 pandemic continues to impact our ongoing operations, including clinical trials. Any preventative or protective actions that we, our collaboration partners or others have taken, or may take, in respect of the virus may result in further disruption for our clinical trials, including clinical trials for praluzatamab ravtansine, CX-2029 and CX-904, manufacturing, research, financial reporting capabilities and operations generally and could potentially impact our patients, partners, employees and third parties. Any resulting financial impact cannot be reasonably estimated at this time but may materially affect the business and our financial condition and results of operations. The extent to which the COVID-19 pandemic continues to impact our results will depend on future developments, which are highly uncertain and cannot be predicted, including new information which may emerge concerning the severity of COVID-19 and the actions necessary to contain the virus or treat its impact, among others. Currently, it is not possible to predict how long the pandemic will last or the extent or degree of its ongoing impact on economic activity, and our business. We do not know the full extent of any impact or delay on our business or our operations, including clinical trial activity, however, we will continue to monitor the COVID-19 situation closely and operate in accordance with all relevant health and safety guidelines as they evolve in response to changing public health conditions.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The preparation of our Condensed Financial Statements requires us to make estimates and judgments that affect the reported amounts in the financial statements and related disclosures. On an ongoing basis, management evaluates its significant accounting policies and estimates.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significantly from these estimates. Estimates are assessed each period and updated to reflect current information. A summary of our critical accounting policies and estimates is presented in Part II, Item 7 of our Annual Report on Form 10-K for the year ended December 31, 2021. Except as noted below, there have been no material changes to our critical accounting policies and estimates for the six months ended June 30, 2022.</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w:t>
      </w:r>
    </w:p>
    <w:p>
      <w:pPr>
        <w:spacing w:after="0" w:line="17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file income taxes in the U.S. federal jurisdiction, the state of California and various other U.S. states. We are currently under examination by the state of California for the years 2017 and 2018. The examination contests our tax position on revenue apportionment for upfront and milestone payments resulting from our collaboration and licensing agreements. As of the date of this filing, the state of California has not proposed adjustments to the tax returns. Due to the ongoing nature of the examination and discussions with the state of California, we are unable to estimate a date by which this matter will be resolved or reasonably estimate the potential impact should the tax position be revised. Based on our current expectations and understanding of the reasonably possible outcomes, we do not anticipate that the resolution of this matter would result in a material impact on our financial position or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Our revenue to date has been primarily derived from non-refundable license payments, milestone payments and reimbursements for research and development expenses under our research, collaboration, and license agreements. We recognize revenue from upfront payments over the term of our estimated period of performance under the agreement using a cost-based input method or a common measure of progress for the entire performance obligation. In addition to receiving upfront payments, we may also be entitled to milestone and other contingent payments upon achieving predefined objectives. Revenue from milestones and other contingent payments, when it is probable that there will not be a significant revenue reversal, is also recognized over the performance period based on a similar method. Reimbursements from Astellas and Bristol Myers Squibb for research and development costs when incurred under our research, collaboration and license agreements with them are classified as revenue.</w:t>
      </w:r>
    </w:p>
    <w:p>
      <w:pPr>
        <w:spacing w:after="0" w:line="123"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For the foreseeable future, we do not expect to generate any revenue from the sale of products unless and until such time as our product candidates have advanced through clinical development and obtained regulatory approval. We expect that any revenue we generate in the foreseeable future will fluctuate from year to year as a result of the timing and amount of milestones and other payments from our collaboration agreements with AbbVie, Amgen, Astellas, Bristol Myers Squibb and any other collaboration partners, and as a result of the fluctuations in the research and development expenses we incur in the performance of assigned activities under these agreements.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1" w:name="page22"/>
    <w:bookmarkEnd w:id="21"/>
    <w:p>
      <w:pPr>
        <w:ind w:right="60"/>
        <w:spacing w:after="0" w:line="259" w:lineRule="auto"/>
        <w:rPr>
          <w:sz w:val="20"/>
          <w:szCs w:val="20"/>
          <w:color w:val="auto"/>
        </w:rPr>
      </w:pPr>
      <w:r>
        <w:rPr>
          <w:rFonts w:ascii="Arial" w:cs="Arial" w:eastAsia="Arial" w:hAnsi="Arial"/>
          <w:sz w:val="17"/>
          <w:szCs w:val="17"/>
          <w:color w:val="auto"/>
        </w:rPr>
        <w:t>AbbVie, one of our collaboration partners, entered into a license agreement with Seagen Inc. (“SGEN”) to license certain intellectual property rights. As part of our collaboration agreement with AbbVie, we received a sublicense to these intellectual property rights and therefore pay SGEN sublicense fees. These sublicense fees are treated as reductions to the transaction price and combined with the performance obligation to which they relate. Milestone payments, when considered probable of being reached and when a significant revenue reversal would not be probable of occurring, are also recorded net of the associated sublicense fees and included in the transaction price.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ind w:right="300"/>
        <w:spacing w:after="0" w:line="257" w:lineRule="auto"/>
        <w:rPr>
          <w:sz w:val="20"/>
          <w:szCs w:val="20"/>
          <w:color w:val="auto"/>
        </w:rPr>
      </w:pPr>
      <w:r>
        <w:rPr>
          <w:rFonts w:ascii="Arial" w:cs="Arial" w:eastAsia="Arial" w:hAnsi="Arial"/>
          <w:sz w:val="17"/>
          <w:szCs w:val="17"/>
          <w:color w:val="auto"/>
        </w:rPr>
        <w:t>Our research and development expenses consist primarily of costs incurred to conduct research, such as the discovery and development of our product candidates, clinical development, including activities with third parties, such as contract research organizations (“CRO”) and contract development and manufacturing organizations (“CMO”), and the manufacture of drug products used in clinical trials, as well as the development of product candidates pursuant to our research, collaboration and license agreements. Research and development expenses include personnel costs, including stock-based compensation expense, contractor services, laboratory materials and supplies, depreciation and maintenance of research equipment, and an allocation of related facilities costs. We expense research and development costs as incurred.</w:t>
      </w:r>
    </w:p>
    <w:p>
      <w:pPr>
        <w:spacing w:after="0" w:line="175"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We expect our research and development expenses could vary substantially in the future as we prioritize our pipeline opportunities, advance our product candidates through clinical trials, initiate additional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 or when and to what extent we will generate revenue from the commercialization and sale of our product candidates.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General and administrative expenses include personnel costs, expenses for outside professional services and other allocated expenses. Personnel costs consist of salaries, bonuses, benefits and stock-based compensation. Outside professional services consist of accounting and audit services, legal and other consulting fees. Allocated expenses primarily consist of rent expense related to our office and information technology related costs.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Interest income primarily consists of interest income from our cash equivalents and investments, and accretion of discounts or amortization of premiums on our investments.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primarily of gains and losses resulting from changes to currency exchange rates.</w:t>
      </w:r>
    </w:p>
    <w:p>
      <w:pPr>
        <w:spacing w:after="0" w:line="194" w:lineRule="exact"/>
        <w:rPr>
          <w:sz w:val="20"/>
          <w:szCs w:val="20"/>
          <w:color w:val="auto"/>
        </w:rPr>
      </w:pPr>
    </w:p>
    <w:p>
      <w:pPr>
        <w:ind w:right="4840"/>
        <w:spacing w:after="0" w:line="456" w:lineRule="auto"/>
        <w:rPr>
          <w:sz w:val="20"/>
          <w:szCs w:val="20"/>
          <w:color w:val="auto"/>
        </w:rPr>
      </w:pPr>
      <w:r>
        <w:rPr>
          <w:rFonts w:ascii="Arial" w:cs="Arial" w:eastAsia="Arial" w:hAnsi="Arial"/>
          <w:sz w:val="18"/>
          <w:szCs w:val="18"/>
          <w:b w:val="1"/>
          <w:bCs w:val="1"/>
          <w:color w:val="auto"/>
        </w:rPr>
        <w:t xml:space="preserve">Results of Operations For the Three and Six Months Ended June 30, 2022 and 2021 </w:t>
      </w:r>
      <w:r>
        <w:rPr>
          <w:rFonts w:ascii="Arial" w:cs="Arial" w:eastAsia="Arial" w:hAnsi="Arial"/>
          <w:sz w:val="18"/>
          <w:szCs w:val="18"/>
          <w:b w:val="1"/>
          <w:bCs w:val="1"/>
          <w:i w:val="1"/>
          <w:iCs w:val="1"/>
          <w:color w:val="auto"/>
        </w:rPr>
        <w:t>Revenue</w:t>
      </w:r>
    </w:p>
    <w:p>
      <w:pPr>
        <w:spacing w:after="0"/>
        <w:rPr>
          <w:sz w:val="20"/>
          <w:szCs w:val="20"/>
          <w:color w:val="auto"/>
        </w:rPr>
      </w:pPr>
      <w:r>
        <w:rPr>
          <w:rFonts w:ascii="Arial" w:cs="Arial" w:eastAsia="Arial" w:hAnsi="Arial"/>
          <w:sz w:val="18"/>
          <w:szCs w:val="18"/>
          <w:color w:val="auto"/>
        </w:rPr>
        <w:t>The following table summarizes our revenue by collaboration partner during the respective periods: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gridSpan w:val="4"/>
          </w:tcPr>
          <w:p>
            <w:pPr>
              <w:jc w:val="center"/>
              <w:ind w:left="119"/>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3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r>
      <w:tr>
        <w:trPr>
          <w:trHeight w:val="169"/>
        </w:trPr>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38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AbbVie</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5,377</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2,078</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3,299</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7,804</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3,306</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4,498</w:t>
            </w:r>
          </w:p>
        </w:tc>
        <w:tc>
          <w:tcPr>
            <w:tcW w:w="100" w:type="dxa"/>
            <w:vAlign w:val="bottom"/>
            <w:shd w:val="clear" w:color="auto" w:fill="CFF0FC"/>
          </w:tcPr>
          <w:p>
            <w:pPr>
              <w:spacing w:after="0"/>
              <w:rPr>
                <w:sz w:val="17"/>
                <w:szCs w:val="17"/>
                <w:color w:val="auto"/>
              </w:rPr>
            </w:pPr>
          </w:p>
        </w:tc>
      </w:tr>
      <w:tr>
        <w:trPr>
          <w:trHeight w:val="203"/>
        </w:trPr>
        <w:tc>
          <w:tcPr>
            <w:tcW w:w="3880" w:type="dxa"/>
            <w:vAlign w:val="bottom"/>
          </w:tcPr>
          <w:p>
            <w:pPr>
              <w:ind w:left="200"/>
              <w:spacing w:after="0" w:line="202" w:lineRule="exact"/>
              <w:rPr>
                <w:sz w:val="20"/>
                <w:szCs w:val="20"/>
                <w:color w:val="auto"/>
              </w:rPr>
            </w:pPr>
            <w:r>
              <w:rPr>
                <w:rFonts w:ascii="Arial" w:cs="Arial" w:eastAsia="Arial" w:hAnsi="Arial"/>
                <w:sz w:val="18"/>
                <w:szCs w:val="18"/>
                <w:color w:val="auto"/>
              </w:rPr>
              <w:t>Amgen</w:t>
            </w: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369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1,874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(1,505 )</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2,657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4,456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(1,799 )</w:t>
            </w:r>
          </w:p>
        </w:tc>
      </w:tr>
      <w:tr>
        <w:trPr>
          <w:trHeight w:val="203"/>
        </w:trPr>
        <w:tc>
          <w:tcPr>
            <w:tcW w:w="38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Astellas</w:t>
            </w: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5,014</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4,931</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10,031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9,687</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344</w:t>
            </w:r>
          </w:p>
        </w:tc>
        <w:tc>
          <w:tcPr>
            <w:tcW w:w="100" w:type="dxa"/>
            <w:vAlign w:val="bottom"/>
            <w:shd w:val="clear" w:color="auto" w:fill="CFF0FC"/>
          </w:tcPr>
          <w:p>
            <w:pPr>
              <w:spacing w:after="0"/>
              <w:rPr>
                <w:sz w:val="17"/>
                <w:szCs w:val="17"/>
                <w:color w:val="auto"/>
              </w:rPr>
            </w:pPr>
          </w:p>
        </w:tc>
      </w:tr>
      <w:tr>
        <w:trPr>
          <w:trHeight w:val="203"/>
        </w:trPr>
        <w:tc>
          <w:tcPr>
            <w:tcW w:w="3880" w:type="dxa"/>
            <w:vAlign w:val="bottom"/>
          </w:tcPr>
          <w:p>
            <w:pPr>
              <w:ind w:left="200"/>
              <w:spacing w:after="0" w:line="202" w:lineRule="exact"/>
              <w:rPr>
                <w:sz w:val="20"/>
                <w:szCs w:val="20"/>
                <w:color w:val="auto"/>
              </w:rPr>
            </w:pPr>
            <w:r>
              <w:rPr>
                <w:rFonts w:ascii="Arial" w:cs="Arial" w:eastAsia="Arial" w:hAnsi="Arial"/>
                <w:sz w:val="18"/>
                <w:szCs w:val="18"/>
                <w:color w:val="auto"/>
              </w:rPr>
              <w:t>Bristol Myers Squibb</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7,405</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7,405</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14,810</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14,810</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36"/>
        </w:trPr>
        <w:tc>
          <w:tcPr>
            <w:tcW w:w="38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18,165</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16,288</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1,877</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35,302</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32,259</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3,043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-24765</wp:posOffset>
            </wp:positionV>
            <wp:extent cx="768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-7620</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-24765</wp:posOffset>
            </wp:positionV>
            <wp:extent cx="774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-24765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increase in revenue of $1.9 million and $3.0 million for the three and six months ended June 30, 2022, respectively, compared to the corresponding periods of 2021 was primarily due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2" w:name="page23"/>
    <w:bookmarkEnd w:id="22"/>
    <w:p>
      <w:pPr>
        <w:ind w:left="1020" w:right="26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revenue from AbbVie under the CD71 Co-Development and Licensing Agreement driven by a higher percentage of project completion in current periods;</w:t>
      </w:r>
    </w:p>
    <w:p>
      <w:pPr>
        <w:spacing w:after="0" w:line="62" w:lineRule="exact"/>
        <w:rPr>
          <w:rFonts w:ascii="Arial" w:cs="Arial" w:eastAsia="Arial" w:hAnsi="Arial"/>
          <w:sz w:val="18"/>
          <w:szCs w:val="18"/>
          <w:color w:val="auto"/>
        </w:rPr>
      </w:pPr>
    </w:p>
    <w:p>
      <w:pPr>
        <w:ind w:left="1020" w:right="160" w:hanging="503"/>
        <w:spacing w:after="0" w:line="291"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Offset by a decrease in revenue from Amgen under the Amgen Agreement driven by lower percentage of completion of the CX-904 project in the current periods due to the increase in projected hours-to-completion within the same projected research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 by program incurred during the respective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gridSpan w:val="4"/>
          </w:tcPr>
          <w:p>
            <w:pPr>
              <w:jc w:val="center"/>
              <w:ind w:left="96"/>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2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7"/>
              </w:rPr>
              <w:t>External costs incurred by product candidate (target):</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5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520" w:type="dxa"/>
            <w:vAlign w:val="bottom"/>
          </w:tcPr>
          <w:p>
            <w:pPr>
              <w:ind w:left="20"/>
              <w:spacing w:after="0"/>
              <w:rPr>
                <w:sz w:val="20"/>
                <w:szCs w:val="20"/>
                <w:color w:val="auto"/>
              </w:rPr>
            </w:pPr>
            <w:r>
              <w:rPr>
                <w:rFonts w:ascii="Arial" w:cs="Arial" w:eastAsia="Arial" w:hAnsi="Arial"/>
                <w:sz w:val="18"/>
                <w:szCs w:val="18"/>
                <w:color w:val="auto"/>
              </w:rPr>
              <w:t>Praluzatamab ravtansine, CX-2009 (CD166)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3,746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2,793</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953</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8,619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5,845</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CX-2029 (CD71)</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3,001</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3,349</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(348 )</w:t>
            </w: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5,079</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4,836</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20"/>
              <w:spacing w:after="0" w:line="202" w:lineRule="exact"/>
              <w:rPr>
                <w:sz w:val="20"/>
                <w:szCs w:val="20"/>
                <w:color w:val="auto"/>
              </w:rPr>
            </w:pPr>
            <w:r>
              <w:rPr>
                <w:rFonts w:ascii="Arial" w:cs="Arial" w:eastAsia="Arial" w:hAnsi="Arial"/>
                <w:sz w:val="18"/>
                <w:szCs w:val="18"/>
                <w:color w:val="auto"/>
              </w:rPr>
              <w:t>Pacmilimab, CX-072 (PD-L1)</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1,037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1,715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(678 )</w:t>
            </w: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1,036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1,514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(478 )</w:t>
            </w:r>
          </w:p>
        </w:tc>
        <w:tc>
          <w:tcPr>
            <w:tcW w:w="0" w:type="dxa"/>
            <w:vAlign w:val="bottom"/>
          </w:tcPr>
          <w:p>
            <w:pPr>
              <w:spacing w:after="0"/>
              <w:rPr>
                <w:sz w:val="1"/>
                <w:szCs w:val="1"/>
                <w:color w:val="auto"/>
              </w:rPr>
            </w:pPr>
          </w:p>
        </w:tc>
      </w:tr>
      <w:tr>
        <w:trPr>
          <w:trHeight w:val="203"/>
        </w:trPr>
        <w:tc>
          <w:tcPr>
            <w:tcW w:w="4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CX-904</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845</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1,171</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(326 )</w:t>
            </w: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1,512</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1,652</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03"/>
        </w:trPr>
        <w:tc>
          <w:tcPr>
            <w:tcW w:w="4520" w:type="dxa"/>
            <w:vAlign w:val="bottom"/>
          </w:tcPr>
          <w:p>
            <w:pPr>
              <w:ind w:left="20"/>
              <w:spacing w:after="0" w:line="202" w:lineRule="exact"/>
              <w:rPr>
                <w:sz w:val="20"/>
                <w:szCs w:val="20"/>
                <w:color w:val="auto"/>
              </w:rPr>
            </w:pPr>
            <w:r>
              <w:rPr>
                <w:rFonts w:ascii="Arial" w:cs="Arial" w:eastAsia="Arial" w:hAnsi="Arial"/>
                <w:sz w:val="18"/>
                <w:szCs w:val="18"/>
                <w:color w:val="auto"/>
              </w:rPr>
              <w:t>Other wholly owned and partnered programs</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4,566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2,229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2,337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8,029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3,558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4,471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research and development expenses</w:t>
            </w:r>
          </w:p>
        </w:tc>
        <w:tc>
          <w:tcPr>
            <w:tcW w:w="1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3,471</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3,363</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108</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7,723</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7,160</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563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16,666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14,620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2,046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31,998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24,565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7,433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Internal Costs</w:t>
            </w:r>
          </w:p>
        </w:tc>
        <w:tc>
          <w:tcPr>
            <w:tcW w:w="1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14,493</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11,480</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3,013</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29,720</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23,907</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5,813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Pr>
          <w:p>
            <w:pPr>
              <w:ind w:left="200"/>
              <w:spacing w:after="0" w:line="182" w:lineRule="exact"/>
              <w:rPr>
                <w:sz w:val="20"/>
                <w:szCs w:val="20"/>
                <w:color w:val="auto"/>
              </w:rPr>
            </w:pPr>
            <w:r>
              <w:rPr>
                <w:rFonts w:ascii="Arial" w:cs="Arial" w:eastAsia="Arial" w:hAnsi="Arial"/>
                <w:sz w:val="18"/>
                <w:szCs w:val="18"/>
                <w:b w:val="1"/>
                <w:bCs w:val="1"/>
                <w:color w:val="auto"/>
              </w:rPr>
              <w:t>Total research and development expenses</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31,159</w:t>
            </w:r>
          </w:p>
        </w:tc>
        <w:tc>
          <w:tcPr>
            <w:tcW w:w="3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26,100</w:t>
            </w:r>
          </w:p>
        </w:tc>
        <w:tc>
          <w:tcPr>
            <w:tcW w:w="240" w:type="dxa"/>
            <w:vAlign w:val="bottom"/>
          </w:tcPr>
          <w:p>
            <w:pPr>
              <w:spacing w:after="0"/>
              <w:rPr>
                <w:sz w:val="17"/>
                <w:szCs w:val="17"/>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5,059</w:t>
            </w:r>
          </w:p>
        </w:tc>
        <w:tc>
          <w:tcPr>
            <w:tcW w:w="220" w:type="dxa"/>
            <w:vAlign w:val="bottom"/>
          </w:tcPr>
          <w:p>
            <w:pPr>
              <w:spacing w:after="0"/>
              <w:rPr>
                <w:sz w:val="17"/>
                <w:szCs w:val="17"/>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61,718</w:t>
            </w:r>
          </w:p>
        </w:tc>
        <w:tc>
          <w:tcPr>
            <w:tcW w:w="3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48,472</w:t>
            </w:r>
          </w:p>
        </w:tc>
        <w:tc>
          <w:tcPr>
            <w:tcW w:w="240" w:type="dxa"/>
            <w:vAlign w:val="bottom"/>
          </w:tcPr>
          <w:p>
            <w:pPr>
              <w:spacing w:after="0"/>
              <w:rPr>
                <w:sz w:val="17"/>
                <w:szCs w:val="17"/>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13,246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-424815</wp:posOffset>
            </wp:positionV>
            <wp:extent cx="7683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-424815</wp:posOffset>
            </wp:positionV>
            <wp:extent cx="6858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-424815</wp:posOffset>
            </wp:positionV>
            <wp:extent cx="6858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-424815</wp:posOffset>
            </wp:positionV>
            <wp:extent cx="6858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-424815</wp:posOffset>
            </wp:positionV>
            <wp:extent cx="6858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-424815</wp:posOffset>
            </wp:positionV>
            <wp:extent cx="6858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-159385</wp:posOffset>
            </wp:positionV>
            <wp:extent cx="7683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-159385</wp:posOffset>
            </wp:positionV>
            <wp:extent cx="6858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-159385</wp:posOffset>
            </wp:positionV>
            <wp:extent cx="6858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-159385</wp:posOffset>
            </wp:positionV>
            <wp:extent cx="6858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-159385</wp:posOffset>
            </wp:positionV>
            <wp:extent cx="6858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The $5.1 million and $13.2 million increase in research and development expenses for the three and six months ended June 30, 2022, respectively, compared to the corresponding periods of 2021 was primarily due to an increase in personnel related expenses and laboratory contract services supporting our pre-clinical and clinical stage pipeline. The development expenses are expected to decrease over time due to the restructuring plans announced in July 2022, resulting in a pipeline reprioritization and a reduction to our workforce.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60" w:type="dxa"/>
            <w:vAlign w:val="bottom"/>
            <w:gridSpan w:val="4"/>
          </w:tcPr>
          <w:p>
            <w:pPr>
              <w:ind w:left="220"/>
              <w:spacing w:after="0"/>
              <w:rPr>
                <w:sz w:val="20"/>
                <w:szCs w:val="20"/>
                <w:color w:val="auto"/>
              </w:rPr>
            </w:pPr>
            <w:r>
              <w:rPr>
                <w:rFonts w:ascii="Arial" w:cs="Arial" w:eastAsia="Arial" w:hAnsi="Arial"/>
                <w:sz w:val="14"/>
                <w:szCs w:val="14"/>
                <w:b w:val="1"/>
                <w:bCs w:val="1"/>
                <w:color w:val="auto"/>
                <w:w w:val="92"/>
              </w:rPr>
              <w:t>Six Months Ended</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45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540" w:type="dxa"/>
            <w:vAlign w:val="bottom"/>
          </w:tcPr>
          <w:p>
            <w:pPr>
              <w:spacing w:after="0"/>
              <w:rPr>
                <w:sz w:val="14"/>
                <w:szCs w:val="14"/>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r>
      <w:tr>
        <w:trPr>
          <w:trHeight w:val="169"/>
        </w:trPr>
        <w:tc>
          <w:tcPr>
            <w:tcW w:w="4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4"/>
                <w:szCs w:val="14"/>
                <w:b w:val="1"/>
                <w:bCs w:val="1"/>
                <w:color w:val="auto"/>
                <w:w w:val="78"/>
              </w:rPr>
              <w:t>(in thousands)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administrative expenses</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   11,748</w:t>
            </w:r>
          </w:p>
        </w:tc>
        <w:tc>
          <w:tcPr>
            <w:tcW w:w="440" w:type="dxa"/>
            <w:vAlign w:val="bottom"/>
            <w:gridSpan w:val="2"/>
            <w:shd w:val="clear" w:color="auto" w:fill="CFF0FC"/>
          </w:tcPr>
          <w:p>
            <w:pPr>
              <w:jc w:val="right"/>
              <w:ind w:right="8"/>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9,393</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2,355</w:t>
            </w:r>
          </w:p>
        </w:tc>
        <w:tc>
          <w:tcPr>
            <w:tcW w:w="10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  22,292</w:t>
            </w: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18,619</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3,673</w:t>
            </w:r>
          </w:p>
        </w:tc>
        <w:tc>
          <w:tcPr>
            <w:tcW w:w="100" w:type="dxa"/>
            <w:vAlign w:val="bottom"/>
            <w:shd w:val="clear" w:color="auto" w:fill="CFF0FC"/>
          </w:tcPr>
          <w:p>
            <w:pPr>
              <w:spacing w:after="0"/>
              <w:rPr>
                <w:sz w:val="17"/>
                <w:szCs w:val="17"/>
                <w:color w:val="auto"/>
              </w:rPr>
            </w:pPr>
          </w:p>
        </w:tc>
      </w:tr>
    </w:tbl>
    <w:p>
      <w:pPr>
        <w:spacing w:after="0" w:line="188"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General and administrative expenses increased by $2.4 million for the three months ended June 30, 2022, compared to the corresponding period of 2021 primarily due to an increase in personnel related expenses as well as professional expenses driven by outside consulting services.</w:t>
      </w:r>
    </w:p>
    <w:p>
      <w:pPr>
        <w:spacing w:after="0" w:line="133" w:lineRule="exact"/>
        <w:rPr>
          <w:sz w:val="20"/>
          <w:szCs w:val="20"/>
          <w:color w:val="auto"/>
        </w:rPr>
      </w:pPr>
    </w:p>
    <w:p>
      <w:pPr>
        <w:ind w:right="420"/>
        <w:spacing w:after="0" w:line="291" w:lineRule="auto"/>
        <w:rPr>
          <w:sz w:val="20"/>
          <w:szCs w:val="20"/>
          <w:color w:val="auto"/>
        </w:rPr>
      </w:pPr>
      <w:r>
        <w:rPr>
          <w:rFonts w:ascii="Arial" w:cs="Arial" w:eastAsia="Arial" w:hAnsi="Arial"/>
          <w:sz w:val="17"/>
          <w:szCs w:val="17"/>
          <w:color w:val="auto"/>
        </w:rPr>
        <w:t>General and administrative expenses increased by $3.7 million for the six months ended June 30, 2022, compared to the corresponding period of 2021 primarily due to an increase in personnel related expenses as well as outside consulting, legal and intellectual property services.</w:t>
      </w:r>
    </w:p>
    <w:p>
      <w:pPr>
        <w:spacing w:after="0" w:line="13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General and administrative expenses are expected to decrease over time due to the restructuring plan announced in July 2022, resulting in a reduction to our workforce.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Liquidity and Capital Expenditures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As of June 30, 2022, we had cash, cash equivalents and short-term investments of $228.2 million and an accumulated deficit of $581.8 million, compared to cash, cash equivalents and short-term investments of $305.2 million and an accumulated deficit of $533.7 million as of December 31, 2021. In January and February 2021, in an underwritten public offering of our common stock, we raised an aggregate net proceeds of approximately $107.7 million. To date, we have financed our operations primarily through sales of our common stock in conjunction with the IPO, subsequent stock offerings and through our at-the-market offering, sales of our convertible preferred securities prior to our IPO and payments received under our collaboration agreements.</w:t>
      </w:r>
    </w:p>
    <w:p>
      <w:pPr>
        <w:spacing w:after="0" w:line="132"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On July 13, 2022, we announced a restructuring plan to prioritize resources on our emerging pre-clinical and early clinical pipeline as well as our existing collaboration partnerships. The restructuring plan will result in a reduction to our workforce by approximately 40%, and is expected to be completed by the fourth quarter of 2022. We estimate that we will incur aggregate restructuring charges of approximately $10.0 million, primarily related to one-time severance payments and other employee-related costs, in the third and fourth quarters of 2022.</w:t>
      </w:r>
    </w:p>
    <w:p>
      <w:pPr>
        <w:spacing w:after="0" w:line="147"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Based upon our current operating plan, we expect our existing capital resources will be sufficient to fund operations into 2025. However, if the anticipated operating results and future financing are not achieved in future periods, our planned expenditures may need to be reduced in order to extend the time period over which the then-available resources would be able to fund the operations. The amounts and timing of our actual expenditures depend on numerous factors, including the progress of our preclinical and clinical development efforts, the results of any clinical trials and other studies, our operating costs and expenditures and other factors described under the caption “Risk Factors” in this Quarterly Report on Form 10-Q. The cost and timing of developing our product candidates is highly uncertain and subject to substantial risks and changes. As such, we may alter our expenditures as a result of contingencies such as the failure of one or all of our product candidates currently in clinical development, the acceleration of one or all of our product candidates in clinical development, the initiating of clinical trials for additional product candidates, the identification of more promising product candidates in our research efforts or unexpected operating costs and expenditures. We will need to raise additional funds in the future. There can be no assurance, however, that such efforts will be successful; or if they are successful, that the terms and conditions of such financing will be favorable to us.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Statement of Cash Flows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Six Months Ended</w:t>
            </w:r>
          </w:p>
        </w:tc>
      </w:tr>
      <w:tr>
        <w:trPr>
          <w:trHeight w:val="185"/>
        </w:trPr>
        <w:tc>
          <w:tcPr>
            <w:tcW w:w="5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4"/>
                <w:szCs w:val="14"/>
                <w:color w:val="auto"/>
              </w:rPr>
            </w:pPr>
          </w:p>
        </w:tc>
      </w:tr>
      <w:tr>
        <w:trPr>
          <w:trHeight w:val="169"/>
        </w:trPr>
        <w:tc>
          <w:tcPr>
            <w:tcW w:w="5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59"/>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76"/>
              </w:rPr>
              <w:t>thousands)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5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FF0FC"/>
          </w:tcPr>
          <w:p>
            <w:pPr>
              <w:jc w:val="right"/>
              <w:ind w:right="68"/>
              <w:spacing w:after="0" w:line="202" w:lineRule="exact"/>
              <w:rPr>
                <w:sz w:val="20"/>
                <w:szCs w:val="20"/>
                <w:color w:val="auto"/>
              </w:rPr>
            </w:pPr>
            <w:r>
              <w:rPr>
                <w:rFonts w:ascii="Arial" w:cs="Arial" w:eastAsia="Arial" w:hAnsi="Arial"/>
                <w:sz w:val="18"/>
                <w:szCs w:val="18"/>
                <w:color w:val="auto"/>
              </w:rPr>
              <w:t>(75,550 )</w:t>
            </w:r>
          </w:p>
        </w:tc>
        <w:tc>
          <w:tcPr>
            <w:tcW w:w="400" w:type="dxa"/>
            <w:vAlign w:val="bottom"/>
            <w:shd w:val="clear" w:color="auto" w:fill="CFF0FC"/>
          </w:tcPr>
          <w:p>
            <w:pPr>
              <w:jc w:val="center"/>
              <w:ind w:right="19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(58,139 )</w:t>
            </w: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Pr>
          <w:p>
            <w:pPr>
              <w:spacing w:after="0"/>
              <w:rPr>
                <w:sz w:val="17"/>
                <w:szCs w:val="17"/>
                <w:color w:val="auto"/>
              </w:rPr>
            </w:pPr>
          </w:p>
        </w:tc>
        <w:tc>
          <w:tcPr>
            <w:tcW w:w="106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(1,148 )</w:t>
            </w:r>
          </w:p>
        </w:tc>
        <w:tc>
          <w:tcPr>
            <w:tcW w:w="4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13,000</w:t>
            </w:r>
          </w:p>
        </w:tc>
        <w:tc>
          <w:tcPr>
            <w:tcW w:w="80" w:type="dxa"/>
            <w:vAlign w:val="bottom"/>
          </w:tcPr>
          <w:p>
            <w:pPr>
              <w:spacing w:after="0"/>
              <w:rPr>
                <w:sz w:val="17"/>
                <w:szCs w:val="17"/>
                <w:color w:val="auto"/>
              </w:rPr>
            </w:pPr>
          </w:p>
        </w:tc>
      </w:tr>
      <w:tr>
        <w:trPr>
          <w:trHeight w:val="203"/>
        </w:trPr>
        <w:tc>
          <w:tcPr>
            <w:tcW w:w="53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458</w:t>
            </w:r>
          </w:p>
        </w:tc>
        <w:tc>
          <w:tcPr>
            <w:tcW w:w="22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109,426</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320" w:type="dxa"/>
            <w:vAlign w:val="bottom"/>
          </w:tcPr>
          <w:p>
            <w:pPr>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68"/>
              <w:spacing w:after="0" w:line="196" w:lineRule="exact"/>
              <w:rPr>
                <w:sz w:val="20"/>
                <w:szCs w:val="20"/>
                <w:color w:val="auto"/>
              </w:rPr>
            </w:pPr>
            <w:r>
              <w:rPr>
                <w:rFonts w:ascii="Arial" w:cs="Arial" w:eastAsia="Arial" w:hAnsi="Arial"/>
                <w:sz w:val="18"/>
                <w:szCs w:val="18"/>
                <w:color w:val="auto"/>
              </w:rPr>
              <w:t>(76,240 )</w:t>
            </w:r>
          </w:p>
        </w:tc>
        <w:tc>
          <w:tcPr>
            <w:tcW w:w="400" w:type="dxa"/>
            <w:vAlign w:val="bottom"/>
          </w:tcPr>
          <w:p>
            <w:pPr>
              <w:jc w:val="center"/>
              <w:ind w:right="19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64,287</w:t>
            </w:r>
          </w:p>
        </w:tc>
        <w:tc>
          <w:tcPr>
            <w:tcW w:w="80" w:type="dxa"/>
            <w:vAlign w:val="bottom"/>
          </w:tcPr>
          <w:p>
            <w:pPr>
              <w:spacing w:after="0"/>
              <w:rPr>
                <w:sz w:val="17"/>
                <w:szCs w:val="17"/>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-159385</wp:posOffset>
            </wp:positionV>
            <wp:extent cx="5143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-159385</wp:posOffset>
            </wp:positionV>
            <wp:extent cx="4318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8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During the six months ended June 30, 2022, cash used in operating activities was $75.6 million, which consisted of a net loss of $48.1 million, adjusted by non-cash charges of $10.7 million and a net decrease of $38.2 million relating to the change of our net operating assets and liabilities. The non-cash charges primarily consisted of $7.9 million in stock-based compensation, $1.6 million in non-cash lease expense and $1.2 million in depreciation and amortization.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change in our net operating assets and liabilities was primarily due to:</w:t>
      </w:r>
    </w:p>
    <w:p>
      <w:pPr>
        <w:spacing w:after="0" w:line="104"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net decrease of $33.3 million in deferred revenue resulting from the continued recognition of deferred revenue from existing customers;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of $5.3 million in accounts payable, accrued and other long-term liabilities primarily due to timing of payment; and</w:t>
      </w:r>
    </w:p>
    <w:p>
      <w:pPr>
        <w:spacing w:after="0" w:line="103"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$0.4 million in cash flows from accounts receivable and prepaid and other current assets primarily due to decreased advance payments to our third party manufacturing vendors and timing of payments.</w:t>
      </w:r>
    </w:p>
    <w:p>
      <w:pPr>
        <w:spacing w:after="0" w:line="157" w:lineRule="exact"/>
        <w:rPr>
          <w:sz w:val="20"/>
          <w:szCs w:val="20"/>
          <w:color w:val="auto"/>
        </w:rPr>
      </w:pPr>
    </w:p>
    <w:p>
      <w:pPr>
        <w:ind w:right="320"/>
        <w:spacing w:after="0" w:line="291" w:lineRule="auto"/>
        <w:rPr>
          <w:sz w:val="20"/>
          <w:szCs w:val="20"/>
          <w:color w:val="auto"/>
        </w:rPr>
      </w:pPr>
      <w:r>
        <w:rPr>
          <w:rFonts w:ascii="Arial" w:cs="Arial" w:eastAsia="Arial" w:hAnsi="Arial"/>
          <w:sz w:val="17"/>
          <w:szCs w:val="17"/>
          <w:color w:val="auto"/>
        </w:rPr>
        <w:t>During the six months ended June 30, 2021, cash used in operating activities was $58.1 million, which consisted of a net loss of $34.8 million and a net decrease of $33.0 million relating to the change of our net operating assets and liabilities, offset by non-cash charges of $9.7</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ind w:right="300"/>
        <w:spacing w:after="0" w:line="261" w:lineRule="auto"/>
        <w:rPr>
          <w:sz w:val="20"/>
          <w:szCs w:val="20"/>
          <w:color w:val="auto"/>
        </w:rPr>
      </w:pPr>
      <w:r>
        <w:rPr>
          <w:rFonts w:ascii="Arial" w:cs="Arial" w:eastAsia="Arial" w:hAnsi="Arial"/>
          <w:sz w:val="18"/>
          <w:szCs w:val="18"/>
          <w:color w:val="auto"/>
        </w:rPr>
        <w:t>million. The non-cash charges primarily consisted of $6.5 million in stock-based compensation, $1.5 million in non-cash lease expense, $1.4 million in depreciation and amortization and $0.3 million in amortization of premium on investments.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change in our net operating assets and liabilities was primarily due to:</w:t>
      </w:r>
    </w:p>
    <w:p>
      <w:pPr>
        <w:spacing w:after="0" w:line="104"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net decrease of $30.6 million in deferred revenue resulting from the continued recognition of deferred revenue from existing customers;</w:t>
      </w:r>
    </w:p>
    <w:p>
      <w:pPr>
        <w:spacing w:after="0" w:line="126" w:lineRule="exact"/>
        <w:rPr>
          <w:rFonts w:ascii="Arial" w:cs="Arial" w:eastAsia="Arial" w:hAnsi="Arial"/>
          <w:sz w:val="16"/>
          <w:szCs w:val="16"/>
          <w:color w:val="auto"/>
        </w:rPr>
      </w:pPr>
    </w:p>
    <w:p>
      <w:pPr>
        <w:ind w:left="1020" w:right="8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 of $6.7 million in accounts payable, accrued and other long-term liabilities primarily due to timing of payment and a reduction in research and clinical expenses;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$4.4 million in cash flows from other assets, prepaid and other current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85"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During the six months ended June 30, 2022, cash used in investing activities was $1.1 million of capital expenditures used to purchase property and equipment.</w:t>
      </w:r>
    </w:p>
    <w:p>
      <w:pPr>
        <w:spacing w:after="0" w:line="157"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During the six months ended June 30, 2021, cash provided by investing activities was $13.0 million, which consisted of $114.0 million in proceeds received upon the maturity of short-term marketable securities, partially offset by $99.9 million used in the purchase of long-term investments and $1.1 million of capital expenditures used to purchase property and equipment.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7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During the six months ended June 30, 2022, cash provided by financing activities consisted of $0.5 million of proceeds from the exercise of stock options and employee stock purchases under the employee stock purchase plan.</w:t>
      </w:r>
    </w:p>
    <w:p>
      <w:pPr>
        <w:spacing w:after="0" w:line="157" w:lineRule="exact"/>
        <w:rPr>
          <w:sz w:val="20"/>
          <w:szCs w:val="20"/>
          <w:color w:val="auto"/>
        </w:rPr>
      </w:pPr>
    </w:p>
    <w:p>
      <w:pPr>
        <w:ind w:right="240"/>
        <w:spacing w:after="0" w:line="324" w:lineRule="auto"/>
        <w:rPr>
          <w:sz w:val="20"/>
          <w:szCs w:val="20"/>
          <w:color w:val="auto"/>
        </w:rPr>
      </w:pPr>
      <w:r>
        <w:rPr>
          <w:rFonts w:ascii="Arial" w:cs="Arial" w:eastAsia="Arial" w:hAnsi="Arial"/>
          <w:sz w:val="16"/>
          <w:szCs w:val="16"/>
          <w:color w:val="auto"/>
        </w:rPr>
        <w:t>During the six months ended June 30, 2021, cash provided by financing activities consisted of $107.7 million of net proceeds from the follow-on public offering and $1.7 million of proceeds from the exercise of stock options and employee stock purchases under the employee stock purchase plan.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0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During the six months ended June 30, 2022, there were no material changes in contractual obligations from the amounts disclosed in our Annual Report on Form 10-K for the year ended December 31,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75"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 risks. We had cash, cash equivalents and short-term investments of $228.2 million and $305.2 million as of June 30, 2022 and December 31, 2021, respectively, which consists of bank deposits, money market funds and U.S. government bonds. Such interest-bearing instruments carry a degree of interest rate risk; however, historical fluctuations of interest income have not been significant.</w:t>
      </w:r>
    </w:p>
    <w:p>
      <w:pPr>
        <w:spacing w:after="0" w:line="17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do not enter into investments for trading or speculative purposes and have not used any derivative financial instruments to manage our interest rate exposure. We have not historically been exposed to material risks due to changes in interest rates. Based on our investment positions as of June 30, 2022, a hypothetical 100 basis point change in interest rates would not have material effect in the fair value of the portfolio.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term “disclosure controls and procedures,” as defined in Rules 13a-15(e) and 15d-15(e) under the Exchange Act of 1934, as amended (the “Exchange Act”) refers to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 of achieving their objectives and our management necessarily applies its judgment in evaluating the</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25" w:name="page26"/>
    <w:bookmarkEnd w:id="25"/>
    <w:p>
      <w:pPr>
        <w:ind w:right="280"/>
        <w:spacing w:after="0" w:line="261" w:lineRule="auto"/>
        <w:rPr>
          <w:sz w:val="20"/>
          <w:szCs w:val="20"/>
          <w:color w:val="auto"/>
        </w:rPr>
      </w:pPr>
      <w:r>
        <w:rPr>
          <w:rFonts w:ascii="Arial" w:cs="Arial" w:eastAsia="Arial" w:hAnsi="Arial"/>
          <w:sz w:val="18"/>
          <w:szCs w:val="18"/>
          <w:color w:val="auto"/>
        </w:rPr>
        <w:t>cost-benefit relationship of possible controls and procedures. Our disclosure controls and procedures are designed to provide reasonable assurance of achieving their control objectives.</w:t>
      </w:r>
    </w:p>
    <w:p>
      <w:pPr>
        <w:spacing w:after="0" w:line="14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 xml:space="preserve">Our management, with the participation of our Chief Executive Officer and Chief Financial Officer, has evaluated the effectiveness of our disclosure controls and procedures as of June 30, 2022, the end of the period covered by this Quarterly Report on Form 10-Q. Management’s assessment of internal control over financial reporting was conducted using the criteria defined in the </w:t>
      </w:r>
      <w:r>
        <w:rPr>
          <w:rFonts w:ascii="Arial" w:cs="Arial" w:eastAsia="Arial" w:hAnsi="Arial"/>
          <w:sz w:val="16"/>
          <w:szCs w:val="16"/>
          <w:i w:val="1"/>
          <w:iCs w:val="1"/>
          <w:color w:val="auto"/>
        </w:rPr>
        <w:t>Internal Control—Integrated Framework (2013 framework)</w:t>
      </w:r>
      <w:r>
        <w:rPr>
          <w:rFonts w:ascii="Arial" w:cs="Arial" w:eastAsia="Arial" w:hAnsi="Arial"/>
          <w:sz w:val="16"/>
          <w:szCs w:val="16"/>
          <w:color w:val="auto"/>
        </w:rPr>
        <w:t xml:space="preserve"> issued by the Committee of Sponsoring Organizations of the Treadway Commission (“COSO”). Based upon such evaluation, our Chief Executive Officer and Chief Financial Officer have concluded that our disclosure controls and procedures were effective at the reasonable assurance level as of such date.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71"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our fiscal quarter ended June 30, 2022 that has materially affected, or is reasonably likely to materially affect, our internal control over financial reporting.</w:t>
      </w:r>
    </w:p>
    <w:p>
      <w:pPr>
        <w:spacing w:after="0" w:line="18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503" w:right="55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We are subject to claims and assessments from time to time in the ordinary course of business but are not aware of any such matters, individually or in the aggregate, that will have a material adverse effect on our financial position, results of operations or cash flows.</w:t>
      </w:r>
    </w:p>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On March 4, 2020, Vytacera Bio, LLC filed a patent infringement lawsuit against us in the U.S. District Court for the District of Delaware. The lawsuit alleges that our use, offers to sell, and/or sales of the Probody® technology platform for basic research applications constitutes infringement. The complaint seeks unspecified monetary damages. We filed an Answer, Affirmative Defenses, and Counterclaims on May 26, 2020. Vytacera Bio, LLC filed its Answer to CytomX Therapeutics Inc.’s Counterclaims on June 5, 2020. On October 13, 2021, the Court granted the parties’ stipulation to stay all pending case deadlines except for certain matters, pending resolution of claim construction. On May 9, 2022, the Court entered a claim construction ruling. Also on May 9, 2022, the case was assigned to the District of Delaware’s Vacant Judgeship. No new case deadlines have been set. We believe that the lawsuit is without merit and intend to vigorously defend ourselves. Accordingly, we cannot reasonably estimate any range of potential future charges, and we have not recorded any accrual for a contingent liability associated with these legal proceedings.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02"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We are providing the following summary of risk factors contained in this Quarterly Report on Form 10-Q to enhance the readability and accessibility of our risk factor disclosures in accordance with SEC rules. Please carefully review the full risk factors pertaining to this summary and to additional general risk factors contained in this Quarterly Report on Form 10-Q in their entirety for additional information regarding the material factors that make an investment in our securities speculative or risky. These risks and uncertainties include, but are not limited to, the following:</w:t>
      </w:r>
    </w:p>
    <w:p>
      <w:pPr>
        <w:spacing w:after="0" w:line="64" w:lineRule="exact"/>
        <w:rPr>
          <w:sz w:val="20"/>
          <w:szCs w:val="20"/>
          <w:color w:val="auto"/>
        </w:rPr>
      </w:pPr>
    </w:p>
    <w:p>
      <w:pPr>
        <w:ind w:left="1020" w:right="48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COVID-19 pandemic or any future pandemic could adversely impact our business, including our research, clinical trials, including clinical trial site initiation and patient enrollment, and financial condition.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are a clinical-stage biopharmaceutical company with a limited operating history and have not generated any revenue from product sales.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achieve the expected cost savings we anticipate from our recent restructuring.</w:t>
      </w:r>
    </w:p>
    <w:p>
      <w:pPr>
        <w:spacing w:after="0" w:line="103"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expect that we will need to raise substantial additional funds to advance development of our product candidates and we cannot guarantee that this additional funding will be available on acceptable terms or at all.</w:t>
      </w:r>
    </w:p>
    <w:p>
      <w:pPr>
        <w:spacing w:after="0" w:line="62"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development involves a lengthy and expensive process with an uncertain outcome, and results of earlier studies and trials may not be predictive of future trial results.</w:t>
      </w:r>
    </w:p>
    <w:p>
      <w:pPr>
        <w:spacing w:after="0" w:line="62"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product candidates are in early stages of development and may fail or suffer delays that materially and adversely affect their commercial viability.</w:t>
      </w:r>
    </w:p>
    <w:p>
      <w:pPr>
        <w:spacing w:after="0" w:line="62" w:lineRule="exact"/>
        <w:rPr>
          <w:rFonts w:ascii="Arial" w:cs="Arial" w:eastAsia="Arial" w:hAnsi="Arial"/>
          <w:sz w:val="18"/>
          <w:szCs w:val="18"/>
          <w:color w:val="auto"/>
        </w:rPr>
      </w:pPr>
    </w:p>
    <w:p>
      <w:pPr>
        <w:ind w:left="1020" w:right="200" w:hanging="503"/>
        <w:spacing w:after="0" w:line="324"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6" w:lineRule="exact"/>
        <w:rPr>
          <w:rFonts w:ascii="Arial" w:cs="Arial" w:eastAsia="Arial" w:hAnsi="Arial"/>
          <w:sz w:val="16"/>
          <w:szCs w:val="16"/>
          <w:color w:val="auto"/>
        </w:rPr>
      </w:pPr>
    </w:p>
    <w:p>
      <w:pPr>
        <w:ind w:left="1020" w:right="340" w:hanging="503"/>
        <w:spacing w:after="0" w:line="248"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spacing w:after="0" w:line="73"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of patients in clinical trials, our receipt of necessary regulatory approvals could be delayed or prevented.</w:t>
      </w:r>
    </w:p>
    <w:p>
      <w:pPr>
        <w:spacing w:after="0" w:line="62"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approach to the discovery and development of our therapeutic treatments is based on novel technologies that are unproven and may not result in marketable products.</w:t>
      </w:r>
    </w:p>
    <w:p>
      <w:pPr>
        <w:spacing w:after="0" w:line="62" w:lineRule="exact"/>
        <w:rPr>
          <w:rFonts w:ascii="Arial" w:cs="Arial" w:eastAsia="Arial" w:hAnsi="Arial"/>
          <w:sz w:val="18"/>
          <w:szCs w:val="18"/>
          <w:color w:val="auto"/>
        </w:rPr>
      </w:pPr>
    </w:p>
    <w:p>
      <w:pPr>
        <w:ind w:left="1020" w:right="54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market may not be receptive to our product candidates based on a novel therapeutic modality, and we may not generate any future revenue from the sale or licensing of product candidates.</w:t>
      </w:r>
    </w:p>
    <w:p>
      <w:pPr>
        <w:spacing w:after="0" w:line="62"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entered, and may in the future seek to enter, into collaborations with third parties for the development and commercialization of our product candidates using our Probody platform. If we fail to enter into such collaborations, 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6377940</wp:posOffset>
            </wp:positionH>
            <wp:positionV relativeFrom="paragraph">
              <wp:posOffset>-3619500</wp:posOffset>
            </wp:positionV>
            <wp:extent cx="2857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7" w:name="page28"/>
    <w:bookmarkEnd w:id="27"/>
    <w:p>
      <w:pPr>
        <w:ind w:left="1020" w:right="340"/>
        <w:spacing w:after="0" w:line="261" w:lineRule="auto"/>
        <w:rPr>
          <w:sz w:val="20"/>
          <w:szCs w:val="20"/>
          <w:color w:val="auto"/>
        </w:rPr>
      </w:pPr>
      <w:r>
        <w:rPr>
          <w:rFonts w:ascii="Arial" w:cs="Arial" w:eastAsia="Arial" w:hAnsi="Arial"/>
          <w:sz w:val="18"/>
          <w:szCs w:val="18"/>
          <w:color w:val="auto"/>
        </w:rPr>
        <w:t>collaborations are not successful, we may not be able to capitalize on the market potential of our Probody platform and resulting product candidates.</w:t>
      </w:r>
    </w:p>
    <w:p>
      <w:pPr>
        <w:spacing w:after="0" w:line="63" w:lineRule="exact"/>
        <w:rPr>
          <w:sz w:val="20"/>
          <w:szCs w:val="20"/>
          <w:color w:val="auto"/>
        </w:rPr>
      </w:pPr>
    </w:p>
    <w:p>
      <w:pPr>
        <w:ind w:left="1020" w:right="1200" w:hanging="503"/>
        <w:spacing w:after="0" w:line="291"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we do not achieve our projected development and commercialization goals in the timeframes we announce and expect, the commercialization of any of our product candidates may be delayed, and our business will be harmed.</w:t>
      </w:r>
    </w:p>
    <w:p>
      <w:pPr>
        <w:spacing w:after="0" w:line="38" w:lineRule="exact"/>
        <w:rPr>
          <w:rFonts w:ascii="Arial" w:cs="Arial" w:eastAsia="Arial" w:hAnsi="Arial"/>
          <w:sz w:val="17"/>
          <w:szCs w:val="17"/>
          <w:color w:val="auto"/>
        </w:rPr>
      </w:pPr>
    </w:p>
    <w:p>
      <w:pPr>
        <w:jc w:val="both"/>
        <w:ind w:left="1020" w:right="120" w:hanging="503"/>
        <w:spacing w:after="0" w:line="248"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73" w:lineRule="exact"/>
        <w:rPr>
          <w:rFonts w:ascii="Arial" w:cs="Arial" w:eastAsia="Arial" w:hAnsi="Arial"/>
          <w:sz w:val="18"/>
          <w:szCs w:val="18"/>
          <w:color w:val="auto"/>
        </w:rPr>
      </w:pPr>
    </w:p>
    <w:p>
      <w:pPr>
        <w:ind w:left="1020" w:right="180" w:hanging="503"/>
        <w:spacing w:after="0" w:line="243"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79" w:lineRule="exact"/>
        <w:rPr>
          <w:rFonts w:ascii="Arial" w:cs="Arial" w:eastAsia="Arial" w:hAnsi="Arial"/>
          <w:sz w:val="18"/>
          <w:szCs w:val="18"/>
          <w:color w:val="auto"/>
        </w:rPr>
      </w:pPr>
    </w:p>
    <w:p>
      <w:pPr>
        <w:ind w:left="1020" w:right="60" w:hanging="503"/>
        <w:spacing w:after="0" w:line="248"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73" w:lineRule="exact"/>
        <w:rPr>
          <w:rFonts w:ascii="Arial" w:cs="Arial" w:eastAsia="Arial" w:hAnsi="Arial"/>
          <w:sz w:val="18"/>
          <w:szCs w:val="18"/>
          <w:color w:val="auto"/>
        </w:rPr>
      </w:pPr>
    </w:p>
    <w:p>
      <w:pPr>
        <w:ind w:left="1020" w:right="180" w:hanging="503"/>
        <w:spacing w:after="0" w:line="324"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16" w:lineRule="exact"/>
        <w:rPr>
          <w:rFonts w:ascii="Arial" w:cs="Arial" w:eastAsia="Arial" w:hAnsi="Arial"/>
          <w:sz w:val="16"/>
          <w:szCs w:val="16"/>
          <w:color w:val="auto"/>
        </w:rPr>
      </w:pPr>
    </w:p>
    <w:p>
      <w:pPr>
        <w:ind w:left="1020" w:right="40" w:hanging="503"/>
        <w:spacing w:after="0" w:line="294"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39" w:lineRule="exact"/>
        <w:rPr>
          <w:rFonts w:ascii="Arial" w:cs="Arial" w:eastAsia="Arial" w:hAnsi="Arial"/>
          <w:sz w:val="16"/>
          <w:szCs w:val="16"/>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stock price may be volatile and purchasers of our common stock could incur substantial losses.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i w:val="1"/>
          <w:iCs w:val="1"/>
          <w:color w:val="auto"/>
        </w:rPr>
        <w:t>You should consider carefully the risks and uncertainties described below, together with all of the other information in this Quarterly Report on Form 10-Q, including our financial statements and the related notes and “Management’s Discussion and Analysis of Financial Condition and Results of Operations.” If any of the following risks are realized, our business, financial condition, results of operations and prospects could be materially and adversely affected. The risks described below are not the only risks facing the Company. Risks and uncertainties not currently known to us or that we currently deem to be immaterial also may materially adversely affect our business, financial condition, results of operations and/or prospects.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COVID-19 pandemic or any future pandemic could adversely impact our business, including our research, clinical trials, and financial condition.</w:t>
      </w:r>
    </w:p>
    <w:p>
      <w:pPr>
        <w:spacing w:after="0" w:line="233"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In December 2019, a novel strain of coronavirus, COVID-19, was reported to have surfaced in Wuhan, China. Since then,COVID-19 has spread to multiple countries, including the United States and European and Asia-Pacific countries, including countries in which we have planned or active clinical trial sites. As COVID-19 and its variants continue to spread around the globe, we will likely continue to experience disruptions that could severely impact our business, research, including research for our partners or research of our partners, and clinical trials, including ongoing or planned clinical trials for praluzatamab ravtansine, CX-2029, CX-904 and clinical trials of our partners, including Bristol Myers Squibb. These disruptions and impacts may include:</w:t>
      </w:r>
    </w:p>
    <w:p>
      <w:pPr>
        <w:spacing w:after="0" w:line="51"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 or the clinical trials of our partners;</w:t>
      </w:r>
    </w:p>
    <w:p>
      <w:pPr>
        <w:spacing w:after="0" w:line="103"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for CX-2029, CX-904 or any other clinical trials we or our partners decide to initiate, including difficulties in recruiting clinical site investigators and clinical site staff;</w:t>
      </w:r>
    </w:p>
    <w:p>
      <w:pPr>
        <w:spacing w:after="0" w:line="62"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or our partners’ clinical trial sites and hospital staff supporting the conduct of our or our partners’ clinical trials;</w:t>
      </w:r>
    </w:p>
    <w:p>
      <w:pPr>
        <w:spacing w:after="0" w:line="62"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in interpreting clinical data due to patients being infected by COVID-19;</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28" w:name="page29"/>
    <w:bookmarkEnd w:id="28"/>
    <w:p>
      <w:pPr>
        <w:ind w:left="1020" w:right="240" w:hanging="503"/>
        <w:spacing w:after="0" w:line="324"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limitations in employee resources that would otherwise be focused on the conduct of our clinical trials or the clinical trials of our partners, including because of sickness of employees or their families or the desire of employees to avoid contact with large groups of people;</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or our partners’ planned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or our partners’ clinical trials;</w:t>
      </w:r>
    </w:p>
    <w:p>
      <w:pPr>
        <w:spacing w:after="0" w:line="103" w:lineRule="exact"/>
        <w:rPr>
          <w:rFonts w:ascii="Arial" w:cs="Arial" w:eastAsia="Arial" w:hAnsi="Arial"/>
          <w:sz w:val="18"/>
          <w:szCs w:val="18"/>
          <w:color w:val="auto"/>
        </w:rPr>
      </w:pPr>
    </w:p>
    <w:p>
      <w:pPr>
        <w:ind w:left="1020" w:right="66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interruption in manufacturing or global shipping that may affect the timely delivery or transport of research materials or clinical trial materials, such as investigational drug product used in our or our partners’ clinical trials;</w:t>
      </w:r>
    </w:p>
    <w:p>
      <w:pPr>
        <w:spacing w:after="0" w:line="62" w:lineRule="exact"/>
        <w:rPr>
          <w:rFonts w:ascii="Arial" w:cs="Arial" w:eastAsia="Arial" w:hAnsi="Arial"/>
          <w:sz w:val="18"/>
          <w:szCs w:val="18"/>
          <w:color w:val="auto"/>
        </w:rPr>
      </w:pPr>
    </w:p>
    <w:p>
      <w:pPr>
        <w:ind w:left="1020" w:right="400" w:hanging="503"/>
        <w:spacing w:after="0" w:line="248"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outbreak which may require us or our partners to change the ways in which clinical trials are conducted, which may result in unexpected costs, or cause us or our partners to discontinue the clinical trials altogether;</w:t>
      </w:r>
    </w:p>
    <w:p>
      <w:pPr>
        <w:spacing w:after="0" w:line="73"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outside the United States.</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For example, in March 2020, we announced the temporary pause in new patient enrollment and new site activation in our Phase 2 clinical trial of praluzatamab ravtansine as a result of the COVID-19 pandemic, primarily due to delays in patient enrollment and clinical site initiations, and the termination of the Phase 2 clinical trial of pacmilimab (CX-072) in combination with ipilimumab after a re-evaluation of the evolving clinical, competitive and commercial landscapes in immuno-oncology, taken together with impact of the COVID -19 pandemic. Since then, we revised our strategy for developing praluzatamab ravtansine, including redesigning the study. We cannot be certain of the continuing impact of the COVID-19 pandemic, including COVID-19 variants on clinical trial planning, or that site initiation, patient recruitment or other clinical trial activities will not continue to be delayed, discontinued or otherwise impacted.</w:t>
      </w:r>
    </w:p>
    <w:p>
      <w:pPr>
        <w:spacing w:after="0" w:line="177"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Furthermore, the COVID-19 pandemic and government limitations on activities may continue to impact our ability to conduct research, including limiting our ability to obtain research materials and equipment, limiting access to our laboratories to conduct research, limiting the ability or willingness of employees to work at our facilities and limiting our ability to complete research and experiments in a timely basis or at all. In March 2020 we initiated a mandatory work-from-home program, limiting onsite activity to a substantially reduced level of laboratory research activities. Although we have gradually increased levels of such laboratory research activities, we continue to operate in a hybrid, work-from-home environment and there can be no assurance that we will be able to continue to increase or maintain current levels of such activity. Furthermore, in March 2022, China implemented additional regional lockdowns which continue to impact our ability to obtain some research materials on a timely basis. The COVID-19 pandemic and government limitations could further impact our ability to conduct business generally, including making timely payments, filing timely governmental and other business reports and filings, and otherwise comply with our obligations.</w:t>
      </w:r>
    </w:p>
    <w:p>
      <w:pPr>
        <w:spacing w:after="0" w:line="170"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Any of the potential business, research and clinical impacts arising as a result of the COVID-19 pandemic could cause us to default on our obligations to our collaborative partners, including our specific research and development obligations, potentially resulting in termination of one or more collaborations, and could materially and adversely affect our business, financial condition, results of operation and prospects.</w:t>
      </w:r>
    </w:p>
    <w:p>
      <w:pPr>
        <w:spacing w:after="0" w:line="16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 addition, the spread of COVID-19 may negatively impact the trading price of shares of our common stock and could further severely impact our ability to raise additional capital on a timely basis or at all.</w:t>
      </w:r>
    </w:p>
    <w:p>
      <w:pPr>
        <w:spacing w:after="0" w:line="15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global outbreak of COVID-19 continues to rapidly evolve, including with the discovery of new variants/mutations of the virus. The extent to which the COVID-19 pandemic continues to impact our business, including our clinical trials, research and financial condition will depend on future developments, which are highly uncertain and cannot be predicted with confidence,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w:t>
      </w:r>
    </w:p>
    <w:p>
      <w:pPr>
        <w:spacing w:after="0" w:line="176"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b w:val="1"/>
          <w:bCs w:val="1"/>
          <w:i w:val="1"/>
          <w:iCs w:val="1"/>
          <w:color w:val="auto"/>
        </w:rPr>
        <w:t>We are a clinical-stage biopharmaceutical company with a limited operating history and have not generated any revenue from product sales. We have a history of losses, expect to continue to incur significant losses for the foreseeable future and may never achieve or maintain profitability, which could result in a decline in the market value of our common stock.</w:t>
      </w:r>
    </w:p>
    <w:p>
      <w:pPr>
        <w:spacing w:after="0" w:line="168"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We are a clinical-stage biopharmaceutical company with a limited operating history, developing a novel class of therapeutic antibody product candidates, based on our proprietary biologic Probody technology platform. Since our inception, we have devoted our resources to the development of Probody therapeutics. We have had significant operating losses since our inception. As of June 30, 2022 and December 31, 2021, we had an accumulated deficit of $581.8 million and $533.7 million, respectively. Substantially all of our losses have resulted from expenses incurred in connection with our research and development programs and from general and administrative costs associated with our operations.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9" w:name="page30"/>
    <w:bookmarkEnd w:id="29"/>
    <w:p>
      <w:pPr>
        <w:spacing w:after="0" w:line="238" w:lineRule="auto"/>
        <w:rPr>
          <w:sz w:val="20"/>
          <w:szCs w:val="20"/>
          <w:color w:val="auto"/>
        </w:rPr>
      </w:pPr>
      <w:r>
        <w:rPr>
          <w:rFonts w:ascii="Arial" w:cs="Arial" w:eastAsia="Arial" w:hAnsi="Arial"/>
          <w:sz w:val="18"/>
          <w:szCs w:val="18"/>
          <w:color w:val="auto"/>
        </w:rPr>
        <w:t>Though we have developed our Probody platform, our technologies and product candidates are in early stages of development, and we are subject to the risks of failure inherent in the development of product candidates based on novel technologies. We have not yet demonstrated our ability to successfully complete any mid or late-stage clinical trials, including large-scale, pivotal clinical trials, obtain regulatory approvals, arrange for a third party to manufacture a commercial-scale product candidate, or conduct sales and marketing activities necessary for successful commercialization. Typically, it takes many years to develop one product candidate from the time it enters initial preclinical studies to when it is available for treating patients. Consequently, any predictions made about our future success or viability may not be as accurate as they could be if we had a longer operating history. We will need to transition from a company with a research and development focus to a company capable of supporting commercial activities. We may not be successful in such a transition.</w:t>
      </w:r>
    </w:p>
    <w:p>
      <w:pPr>
        <w:spacing w:after="0" w:line="180"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Furthermore, we have never generated any revenue from product sales, and have not obtained regulatory approval for any of our product candidates. We also do not expect to generate any revenue from product sales for the foreseeable future, and we expect to continue to incur significant operating losses for the foreseeable future due to the cost of research and development, preclinical studies and clinical trials and the regulatory approval process for our product candidates. We expect our net losses to increase substantially over time as we continue the development of our pipeline and advance additional programs into clinical development. However, the amount of our future losses is uncertain. Our ability to achieve profitability, if ever, will depend on, among other things, our,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our technologies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158" w:lineRule="exact"/>
        <w:rPr>
          <w:sz w:val="20"/>
          <w:szCs w:val="20"/>
          <w:color w:val="auto"/>
        </w:rPr>
      </w:pPr>
    </w:p>
    <w:p>
      <w:pPr>
        <w:jc w:val="both"/>
        <w:ind w:right="140"/>
        <w:spacing w:after="0" w:line="270" w:lineRule="auto"/>
        <w:rPr>
          <w:sz w:val="20"/>
          <w:szCs w:val="20"/>
          <w:color w:val="auto"/>
        </w:rPr>
      </w:pPr>
      <w:r>
        <w:rPr>
          <w:rFonts w:ascii="Arial" w:cs="Arial" w:eastAsia="Arial" w:hAnsi="Arial"/>
          <w:sz w:val="17"/>
          <w:szCs w:val="17"/>
          <w:b w:val="1"/>
          <w:bCs w:val="1"/>
          <w:i w:val="1"/>
          <w:iCs w:val="1"/>
          <w:color w:val="auto"/>
        </w:rPr>
        <w:t>We expect that we will need to raise substantial additional funds to advance development of our product candidates and we cannot guarantee that this additional funding will be available on acceptable terms or at all. Failure to obtain this necessary capital when needed may force us to delay, limit or terminate our product development and commercialization of our current or future product candidates.</w:t>
      </w:r>
    </w:p>
    <w:p>
      <w:pPr>
        <w:spacing w:after="0" w:line="150"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development of biopharmaceutical product candidates is capital-intensive. To date, we have used substantial funds to develop our technology and product candidates and will require significant funds to conduct our ongoing clinical trials as well as to further our research and development, preclinical testing and future clinical trials of additional product candidates, to seek regulatory approvals for our product candidates and to manufacture and market any products that are approved for commercial sale. In addition, we have incurred and will continue to incur additional costs associated with operating as a public company. However, financial market conditions, including the public equity markets, may make it difficult for biotechnology companies to raise additional funds. We cannot predict when or if market conditions will change.</w:t>
      </w:r>
    </w:p>
    <w:p>
      <w:pPr>
        <w:spacing w:after="0" w:line="16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As of June 30, 2022, we had $228.2 million in cash, cash equivalents and investments. We believe that our existing capital resources will be sufficient to fund our planned operations into 2025. Our future capital requirements and the period for which we expect our existing resources to support our operations may vary significantly from what we expect and we may not achieve the expected cash flow savings that we anticipate as a result of our recent restructuring. Our monthly spending levels vary based on our ongoing clinical trials, new and ongoing research and development and other corporate activities. Because the length of time and activities associated with conducting our clinical trials and successfully researching and developing our product candidates is highly uncertain, we are unable to estimate the actual funds we will require for development and, once any product candidate is approved, any subsequent marketing and commercialization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timing and amount of our operating expenditures will depend largely on:</w:t>
      </w:r>
    </w:p>
    <w:p>
      <w:pPr>
        <w:spacing w:after="0" w:line="104" w:lineRule="exact"/>
        <w:rPr>
          <w:sz w:val="20"/>
          <w:szCs w:val="20"/>
          <w:color w:val="auto"/>
        </w:rPr>
      </w:pPr>
    </w:p>
    <w:p>
      <w:pPr>
        <w:ind w:left="1020" w:right="4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timing and progress of our ongoing clinical trials as well as any other preclinical and clinical development activities which may be affected by, among other things, the COVID-19 pandemic;</w:t>
      </w:r>
    </w:p>
    <w:p>
      <w:pPr>
        <w:spacing w:after="0" w:line="62"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size and type of clinical trials and preclinical studies that we may be required to complete for our product candidates, as well as the cost and time of such studies and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scope and prioritization of preclinical and clinical programs we decide to pursue;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time and cost necessary to produce clinical supplies of our product candidates;</w:t>
      </w:r>
    </w:p>
    <w:p>
      <w:pPr>
        <w:spacing w:after="0" w:line="103"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time and cost necessary to scale our manufacturing capabilities prior to or following regulatory approval and commercial launch of any product candidates;</w:t>
      </w:r>
    </w:p>
    <w:p>
      <w:pPr>
        <w:spacing w:after="0" w:line="62"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we have entered or may in the future enter into collaborations and research and development agreements;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30" w:name="page31"/>
    <w:bookmarkEnd w:id="30"/>
    <w:p>
      <w:pPr>
        <w:ind w:left="1020" w:hanging="503"/>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timing and amount of payments we may receive or are obligated to pay under our collaboration agreements and license agreements;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maintain our current licenses and research and development programs and to establish new collaboration arrangements;</w:t>
      </w:r>
    </w:p>
    <w:p>
      <w:pPr>
        <w:spacing w:after="0" w:line="115" w:lineRule="exact"/>
        <w:rPr>
          <w:rFonts w:ascii="Arial" w:cs="Arial" w:eastAsia="Arial" w:hAnsi="Arial"/>
          <w:sz w:val="17"/>
          <w:szCs w:val="17"/>
          <w:color w:val="auto"/>
        </w:rPr>
      </w:pPr>
    </w:p>
    <w:p>
      <w:pPr>
        <w:ind w:left="1020" w:right="44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and other intellectual property claims, including the ongoing patent infringement lawsuit brought by Vytacera against us;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any existing or future litigation to which we are or may become a party;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and timing of regulatory approvals; and</w:t>
      </w:r>
    </w:p>
    <w:p>
      <w:pPr>
        <w:spacing w:after="0" w:line="103"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including personnel to support development and commercialization of our product candidates and satisfy our obligations as a public company.</w:t>
      </w:r>
    </w:p>
    <w:p>
      <w:pPr>
        <w:spacing w:after="0" w:line="157"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If we are unable to obtain funding on a timely basis or on acceptable terms, we may have to delay, reduce or terminate our research and development programs and preclinical studies or clinical trials, limit strategic opportunities or undergo reductions in our workforce or other corporate restructuring activities. We also could be required to seek funds through arrangements with collaborators or others that may require us to relinquish rights to some of our technologies or product candidates that we would otherwise pursue on our own. We do not expect to realize revenue from sales of products or royalties from licensed products in the foreseeable future, if at all, and unless and until our product candidates are clinically tested, approved for commercialization and successfully marketed. To date, we have financed our operations primarily through sales of our common stock, sale of our convertible preferred securities prior to our IPO and payments received under our collaboration agreements, including, most recently, the Collaboration and License Agreement that we entered into with Astellas in March 2020. We will be required to seek additional funding in the future and currently intend to do so through additional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including the COVID-19 pandemic. Additionally, our stock price has declined and our ability to raise adequate funding through equity offerings, if at all, may be limited. Additional funds may not be available to us on acceptable terms or at all.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spacing w:after="0" w:line="155"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product candidates.</w:t>
      </w:r>
    </w:p>
    <w:p>
      <w:pPr>
        <w:spacing w:after="0" w:line="168"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As is the case with all oncology drugs, our product candidates in clinical development or preclinical development go through a long process and have a high risk of failure, including termination for strategic reasons. It is impossible to predict when or if any of our or our partner’s product candidates will prove safe, pure and potent (or effective) in humans or will receive regulatory approval. Before obtaining marketing approval from regulatory authorities for the sale of any product candidate, we or our partners must complete extensive clinical trials to demonstrate the safety, purity and potency (or efficacy) of our product candidates in humans. Commencement of clinical trials for programs beyond praluzatamab ravtansine, CX-2029, BMS-986249, BMS-986288, and pacmilimab and CX-904 is subject to finalizing the trial design and submission of an IND or similar submission to the FDA or similar global health authorities. In addition, even if we submit an IND or a comparable submission in other jurisdictions for these or other product candidates, including CX-801 and CX-2051, the FDA or other regulatory authorities could disagree that we have satisfied their requirements to commence our clinical trials or disagree with our study design, which may require us to complete additional preclinical studies or amend our protocols or impose stricter conditions on the commencement of clinical trials and may delay our ability to begin Phase 1 clinical trials, causing an increase in the amount of time and expense required to develop our product candidates, including CX-801 and CX-2051. As a result of the foregoing, the research and development, preclinical studies and clinical testing of any product candidate is expensive and can take many years to complete, and its outcome is inherently uncertain. Failure can occur at any time during the development process.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Further, we or our collaborators may also experience delays in completing ongoing clinical trials, completing preclinical studies or initiating further clinical trials of our product candidates, including, for example, among other things, as a result of the COVID-19 pandemic. We do not know whether our or our collaborators’ ongoing clinical trials or preclinical studies will be completed on schedule or at all, or whether planned clinical trials or preclinical studies will begin on time, need to be redesigned, enroll patients on time or be completed on schedule, if at all. We or our collaborators may have insufficient internal resources to complete ongoing clinical trials or initiate clinical trials for our other product candidates. The development programs for our product candidates may also be delayed for a variety of reasons, including delays related to:</w:t>
      </w:r>
    </w:p>
    <w:p>
      <w:pPr>
        <w:spacing w:after="0" w:line="81" w:lineRule="exact"/>
        <w:rPr>
          <w:sz w:val="20"/>
          <w:szCs w:val="20"/>
          <w:color w:val="auto"/>
        </w:rPr>
      </w:pPr>
    </w:p>
    <w:p>
      <w:pPr>
        <w:ind w:left="5540" w:right="2480" w:hanging="5023"/>
        <w:spacing w:after="0" w:line="512" w:lineRule="auto"/>
        <w:tabs>
          <w:tab w:leader="none" w:pos="10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recruiting suitable patients to participate in a clinical trial, particularly in light of the COVID-19 pandemic;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1" w:name="page32"/>
    <w:bookmarkEnd w:id="31"/>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developing and validating any companion diagnostic to be used in a clinical trial;</w:t>
      </w:r>
    </w:p>
    <w:p>
      <w:pPr>
        <w:spacing w:after="0" w:line="103"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other regulatory authorities requiring us to submit additional data or imposing other requirements before permitting us to initiate a clinical trial;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103"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institutional review board (“IRB”) approval at each clinical trial site;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having patients complete a clinical trial or return for post-treatment follow-up;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manufacturing our product candidates in sufficient quality and quantity for use in clinical trials;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electing to not pursue development and commercialization of our product candidates.</w:t>
      </w:r>
    </w:p>
    <w:p>
      <w:pPr>
        <w:spacing w:after="0" w:line="19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addition,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safety profiles, notwithstanding promising results in earlier trials.</w:t>
      </w:r>
    </w:p>
    <w:p>
      <w:pPr>
        <w:spacing w:after="0" w:line="174"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b w:val="1"/>
          <w:bCs w:val="1"/>
          <w:i w:val="1"/>
          <w:iCs w:val="1"/>
          <w:color w:val="auto"/>
        </w:rPr>
        <w:t>Our product candidates are in early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spacing w:after="0" w:line="150"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We are very early in our development efforts, with only four product candidates, praluzatamab ravtansine (CX-2009), CX-2029, pacmilimab (CX-072), and CX-904 currently in early-stage clinical development. In addition, Bristol Myers Squibb is currently evaluating BMS-986249, a CTLA-4-directed Probody therapeutic in a randomized cohort expansion trial of a Phase 1/2 clinical trial that it initiated in January 2018, and BMS-986288, a second anti-CTLA-4 Probody, in a Phase 1/2 trial it initiated in 2019. We have no products on the market and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our collaborator must conduct extensive preclinical tests and clinical trials to demonstrate sufficient safety, purity and potency (or efficacy) of our product candidates in patients.</w:t>
      </w:r>
    </w:p>
    <w:p>
      <w:pPr>
        <w:spacing w:after="0" w:line="166" w:lineRule="exact"/>
        <w:rPr>
          <w:sz w:val="20"/>
          <w:szCs w:val="20"/>
          <w:color w:val="auto"/>
        </w:rPr>
      </w:pPr>
    </w:p>
    <w:p>
      <w:pPr>
        <w:ind w:right="520"/>
        <w:spacing w:after="0" w:line="324" w:lineRule="auto"/>
        <w:rPr>
          <w:sz w:val="20"/>
          <w:szCs w:val="20"/>
          <w:color w:val="auto"/>
        </w:rPr>
      </w:pPr>
      <w:r>
        <w:rPr>
          <w:rFonts w:ascii="Arial" w:cs="Arial" w:eastAsia="Arial" w:hAnsi="Arial"/>
          <w:sz w:val="16"/>
          <w:szCs w:val="16"/>
          <w:color w:val="auto"/>
        </w:rPr>
        <w:t>As a result, we may not have the financial resources to continue development of, or to modify existing or enter into new collaborations for, a product candidate if we experience any issues that delay or prevent regulatory approval of, or our ability to commercialize, product candidates, including:</w:t>
      </w:r>
    </w:p>
    <w:p>
      <w:pPr>
        <w:spacing w:after="0" w:line="16" w:lineRule="exact"/>
        <w:rPr>
          <w:sz w:val="20"/>
          <w:szCs w:val="20"/>
          <w:color w:val="auto"/>
        </w:rPr>
      </w:pPr>
    </w:p>
    <w:p>
      <w:pPr>
        <w:ind w:left="1020" w:right="560" w:hanging="503"/>
        <w:spacing w:after="0" w:line="248"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the clinical trials of our collaborators or the clinical trials of others for product candidates similar to ours, leading to a decision or requirement to conduct additional preclinical testing or clinical trials or abandon a program;</w:t>
      </w:r>
    </w:p>
    <w:p>
      <w:pPr>
        <w:spacing w:after="0" w:line="73"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product-related side effects experienced by participants in our clinical trials, the clinical trials of our collaborators or by individuals using drugs or therapeutic biologics similar to our product candidates;</w:t>
      </w:r>
    </w:p>
    <w:p>
      <w:pPr>
        <w:spacing w:after="0" w:line="62"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conditions imposed by the FDA or comparable foreign authorities regarding the scope or design of our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03" w:lineRule="exact"/>
        <w:rPr>
          <w:rFonts w:ascii="Arial" w:cs="Arial" w:eastAsia="Arial" w:hAnsi="Arial"/>
          <w:sz w:val="18"/>
          <w:szCs w:val="18"/>
          <w:color w:val="auto"/>
        </w:rPr>
      </w:pPr>
    </w:p>
    <w:p>
      <w:pPr>
        <w:ind w:left="1020" w:right="76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inadequate supply or quality of product candidate components or materials or other supplies necessary for the conduct of our or our collaborators’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 in the development or approval of companion diagnostic tests for our product candidates;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2" w:name="page33"/>
    <w:bookmarkEnd w:id="32"/>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03"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62"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198"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We could find that the therapeutics we or our collaborators pursue are not safe, pure, potent (or efficacious). Further, a clinical trial may be suspended or terminated by us, our collaborators, the IRBs of the institutions in which such trials are being conducted, the Data Safety Monitoring Board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or therapeutic biologic, changes in governmental regulations or administrative actions or lack of adequate funding to continue the clinical trial. Furthermore, we expect to rely on our collaborators, CROs and clinical trial sites to ensure proper and timely conduct of our clinical trials and while we expect to enter into agreements governing their committed activities, we have limited influence over their actual performance.</w:t>
      </w:r>
    </w:p>
    <w:p>
      <w:pPr>
        <w:spacing w:after="0" w:line="167"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If we or our collaborators experience delays in the completion of, or termination of, any clinical trial of our product candidates, the commercial prospects of our product candidates will be harmed, and our ability to generate product revenues or receive royalties from any of these product candidates will be delayed. In addition, any delays in completing our clinical trials will increase our costs, slow down our product development and approval process and jeopardize our ability to commence product sales and generate revenues. Furthermore, if one or more of our product candidates or our Probody therapeutic technology generally prove to be ineffective, unsafe or commercially unviable, the development of our entire platform and pipeline could be delayed, potentially permanently. Any of these occurrences may materially and adversely affect our business, financial condition, results of operations and prospects. In addition, many of the factors that cause, or lead to, a delay in the commencement or completion of clinical trials may also ultimately lead to the denial of regulatory approval of our product candidates.</w:t>
      </w:r>
    </w:p>
    <w:p>
      <w:pPr>
        <w:spacing w:after="0" w:line="16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For example, in March 2020, we made the strategic decision to terminate our Phase 2 clinical trial evaluating pacmilimab in combination ipilimumab in melanoma. This decision followed a re-evaluation of the evolving clinical, competitive and commercial landscapes in immuno-oncology, taken together with the impact of the COVID-19 pandemic. Additionally, in July 2022, we announced topline results of our Phase 2 clinical trial evaluating praluzatamab</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ravtansine in patients with breast cancer and that we do not plan to further advance this program alone and will be seeking a partnership.</w:t>
      </w:r>
    </w:p>
    <w:p>
      <w:pPr>
        <w:spacing w:after="0" w:line="225" w:lineRule="exact"/>
        <w:rPr>
          <w:sz w:val="20"/>
          <w:szCs w:val="20"/>
          <w:color w:val="auto"/>
        </w:rPr>
      </w:pPr>
    </w:p>
    <w:p>
      <w:pPr>
        <w:ind w:right="460"/>
        <w:spacing w:after="0" w:line="324"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1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For example, in December 2021 we announced preliminary data on two of the four expansion cohorts for CX-2029. We can make no assurances that the ultimate trial results for these two cohorts will be consistent with or better or worse than that reported data. We also make assumptions, estimations, calculations and conclusions as part of our analyses of data, and we may not have received or had the opportunity to fully and carefully evaluate all data. Further, as a result of the COVID-19 pandemic or for other reasons, we may not be able to collect accurate or complete data at the time we collect such preliminary data, including as a result of the inability of sites to properly record data due to staffing limitations or the inability of patients to visit sites at scheduled times, the inability of CROs to access site data or for other reasons.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7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top-line, or interim data and final data could significantly harm our business prospects.</w:t>
      </w:r>
    </w:p>
    <w:p>
      <w:pPr>
        <w:spacing w:after="0" w:line="174" w:lineRule="exact"/>
        <w:rPr>
          <w:sz w:val="20"/>
          <w:szCs w:val="20"/>
          <w:color w:val="auto"/>
        </w:rPr>
      </w:pPr>
    </w:p>
    <w:p>
      <w:pPr>
        <w:ind w:right="500"/>
        <w:spacing w:after="0" w:line="291"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3" w:name="page34"/>
    <w:bookmarkEnd w:id="33"/>
    <w:p>
      <w:pPr>
        <w:ind w:right="100"/>
        <w:spacing w:after="0" w:line="248" w:lineRule="auto"/>
        <w:rPr>
          <w:sz w:val="20"/>
          <w:szCs w:val="20"/>
          <w:color w:val="auto"/>
        </w:rPr>
      </w:pPr>
      <w:r>
        <w:rPr>
          <w:rFonts w:ascii="Arial" w:cs="Arial" w:eastAsia="Arial" w:hAnsi="Arial"/>
          <w:sz w:val="18"/>
          <w:szCs w:val="18"/>
          <w:color w:val="auto"/>
        </w:rPr>
        <w:t>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68"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b w:val="1"/>
          <w:bCs w:val="1"/>
          <w:i w:val="1"/>
          <w:iCs w:val="1"/>
          <w:color w:val="auto"/>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spacing w:after="0" w:line="168"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Undesirable side effects caused by our product candidates could cause us, our collaborators or regulatory authorities to interrupt, delay or halt clinical trials and could result in a more restrictive label or the delay or denial of regulatory approval by the FDA or other regulatory authorities. As is the case with all oncology drugs, there may be immediate or late side effects associated with the use of our product candidates (e.g., praluzatamab ravtansine (CX-2009), CX-2029, pacmilimab (CX-072) and CX-904). There can be no assurance that unexpected adverse events will not occur in our ongoing trials or in future trials involving our product candidates or the product candidates of our collaborators. Undesirable side effects may appear in later trials that were not observed in our earlier trials or may be more severe in later trials than earlier trials.</w:t>
      </w:r>
    </w:p>
    <w:p>
      <w:pPr>
        <w:spacing w:after="0" w:line="162"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In May 2020, we reported that the administration of monotherapy pacmilimab had been generally well tolerated with the majority of treatment-related adverse events (“TRAEs”) as Grade 1/2. At that time, we also reported that of the 114 monotherapy patients treated with 10 mg/kg every two weeks and who were evaluable for safety, ten (9%) patients experienced a grade ≥3 TRAE, and two (2%) experienced grade ≥3 immune-related adverse events (“irAEs”), with two (2%) TRAEs leading to treatment discontinuation. In June 2019, we also reported that at the 10 mg/kg dose, the anti-drug antibody (“ADA”) rate was approximately 62%. While we do not believe this ADA is impacting our ability to reach targeted drug exposures, we cannot provide assurance that the rate will not change or that it will not later limit drug exposure or cause severe adverse events. We also cannot provide assurance that the rates and the types of adverse events will not increase with time as more patients are treated in ongoing or future studies.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Administration of pacmilimab in combination with ipilimumab has been generally well tolerated with the majority of TRAEs as Grade 1/2. In October 2019, we reported that of the 27 patients treated across all combination doses, Grade 3/4 TRAEs were reported in nine (33%) patients and Grade 3/4 irAEs were reported in six (22%) patients. Of the 20 patients treated with ipilimumab at 3 mg/kg at varying doses of pacmilimab, Grade 3/4 TRAEs were reported in five (25%) patients and Grade 3/4 irAEs were reported in three (15%) patients. We cannot provide assurance that these rates and the types of adverse events will not increase over time with more patients being treated in future studies of our product candidates.</w:t>
      </w:r>
    </w:p>
    <w:p>
      <w:pPr>
        <w:spacing w:after="0" w:line="160"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Administration of praluzatamab ravtansine has also been generally well tolerated with most reported TRAEs being Grade 1/2. In May 2020, we announced that 34/92 (37%) patients experienced a Grade 3/4 TRAE. The most common adverse event observed was ocular toxicity, an anticipated toxicity associated with the DM4 payload. Other Grade 3/4 TRAEs included liver function test abnormalities, gastrointestinal disorders and nervous system disorders. In July 2022, we announced Phase 2 topline results for praluzatamab ravtansine. The safety profile in Arm A, patients with HR-/HER2 non amplified breast cancer, was generally consistent with toxicities observed in Phase 1 studies. High grade toxicities or toxicities resulting in dose modification were predominantly ocular or neuropathic in nature. Thirty percent of patients discontinued treatment for an adverse event and Grade 3 or greater ocular or neuropathic toxicities were 15 percent and 10 percent respectively. The toxicity profile in Arm B in patients with TNBC with a starting does of 7 mg/kg was consistent with Arm A. We cannot guarantee that these rates and the types of adverse events will not increase over time with more patients being treated in ongoing or future studies.</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In May 2020, we announced that CX-2029 was generally well tolerated at doses up to 3 mg/kg with the most common TRAEs being infusion related reactions, anemia and neutropenia/leukopenia. Grade 3 or greater hematologic TRAEs, anemia and neutropenia, were dose dependent, with anemia being managed with transfusions and supportive care. In December 2021, we announced preliminary data on two of four expansion cohorts for CX-2029, including that the most common Grade 3 TRAEs in 10% or more of patients were anemia (67.3%) and decreased neutrophil count (9.6% (plus one Grade 4 event 1.9%)). The etiology of anemia remains under investigation and is likely to be multi-factorial. While the MMAE payload is known to be associated with anemia, preclinical studies have shown that reduction of red blood cell precursors has been observed in response to targeting CD71, which is known to play a role in early erythroid development. Although we believe these TRAEs are manageable, there can be no assurance that the rate or severity of any of these side effects will not increase over time with more patients being treated in ongoing or future studies.</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results of our or our collaborators’ future clinical trials could reveal a high and unacceptable severity of adverse side effects, including immune system related adverse events or increased toxicity, and it is possible that patients enrolled in such clinical trials could respond in unexpected ways or otherwise have unexpected adverse events. For example, in 2022 we are in the process of initiating a first-in-human Phase 1 clinical trial with CX-904 and, while we believe our preclinical studies indicate the potential to reach a favorable therapeutic index, clinical data will be necessary to specify an acceptable dose. We cannot provide assurance that we will reach an acceptable dose for CX-904.</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4" w:name="page35"/>
    <w:bookmarkEnd w:id="34"/>
    <w:p>
      <w:pPr>
        <w:spacing w:after="0" w:line="239" w:lineRule="auto"/>
        <w:rPr>
          <w:sz w:val="20"/>
          <w:szCs w:val="20"/>
          <w:color w:val="auto"/>
        </w:rPr>
      </w:pPr>
      <w:r>
        <w:rPr>
          <w:rFonts w:ascii="Arial" w:cs="Arial" w:eastAsia="Arial" w:hAnsi="Arial"/>
          <w:sz w:val="18"/>
          <w:szCs w:val="18"/>
          <w:color w:val="auto"/>
        </w:rPr>
        <w:t>Additionally, the Phase 2 clinical trial of BMS-986249 being conducted by Bristol Myers Squibb includes the administration of the product candidate at relatively high dosage levels, which could further exacerbate such risks. In our Phase 2 clinical trials with praluzatamab ravtansine and CX-2029, we are targeting CD166 and CD71, respectively, targets that are broadly expressed on normal tissue, which could create unacceptable toxicity or fail to result in anti-tumor activity. For instance, CD71 is a metabolic protein with high levels of expression in healthy tissues, and the consequences of targeting such protein in humans are unknown. Any future clinical trials of our product candidates could face similar or heightened risks depending on the modality. Similarly, the combination of EGFR and CD3 has been shown to induce significant toxicities in preclinical animal studies due to the widespread expression of each target.</w:t>
      </w:r>
    </w:p>
    <w:p>
      <w:pPr>
        <w:spacing w:after="0" w:line="177"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In the event that our clinical trials or the clinical trials of our collaborators reveal severe adverse side effects, our or our collaborators’ clinical trials could be suspended or terminated and the FDA or comparable foreign regulatory authorities could impose a clinical hold, order us to cease further development of or deny approval of our product candidates for any or all targeted indications. Such side effects could also affect patient recruitment or the ability of enrolled patients to complete the trial or result in potential product liability claims. For example, in our Phase 1/2 clinical trial of praluzatamab ravtansine, some patients stopped treatment due to ocular toxicity. While we are using ocular toxicity prophylactic measures in our Phase 2 clinical trial, we cannot be assured that such measures will be effective. In addition, any of these occurrences with respect to one of our product candidates could negatively affect our or any collaborator’s ability to enroll patients and seek regulatory approval for other product candidates that we have developed using our Probody platform, which could also result in a collaborator terminating any program utilizing our Probody platform and the termination of such collaborative relationship. Any of these occurrences may materially and adversely affect our business, financial condition, results of operations and prospects. 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w:t>
      </w:r>
    </w:p>
    <w:p>
      <w:pPr>
        <w:spacing w:after="0" w:line="153"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In the event that any of our product candidates receives regulatory approval and we, our collaborators or others identify undesirable side effects caused by such product or any other Probody therapeutics, any of the following adverse events could occur, which could result in the loss of significant revenue to us and materially and adversely affect our results of operations and business:</w:t>
      </w:r>
    </w:p>
    <w:p>
      <w:pPr>
        <w:spacing w:after="0" w:line="74"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our collaborators may be required to recall the product or change the way the product is administered to patients;</w:t>
      </w:r>
    </w:p>
    <w:p>
      <w:pPr>
        <w:spacing w:after="0" w:line="103" w:lineRule="exact"/>
        <w:rPr>
          <w:rFonts w:ascii="Arial" w:cs="Arial" w:eastAsia="Arial" w:hAnsi="Arial"/>
          <w:sz w:val="18"/>
          <w:szCs w:val="18"/>
          <w:color w:val="auto"/>
        </w:rPr>
      </w:pPr>
    </w:p>
    <w:p>
      <w:pPr>
        <w:ind w:left="1020" w:right="46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98" w:lineRule="exact"/>
        <w:rPr>
          <w:sz w:val="20"/>
          <w:szCs w:val="20"/>
          <w:color w:val="auto"/>
        </w:rPr>
      </w:pPr>
    </w:p>
    <w:p>
      <w:pPr>
        <w:ind w:right="460"/>
        <w:spacing w:after="0" w:line="270" w:lineRule="auto"/>
        <w:rPr>
          <w:sz w:val="20"/>
          <w:szCs w:val="20"/>
          <w:color w:val="auto"/>
        </w:rPr>
      </w:pPr>
      <w:r>
        <w:rPr>
          <w:rFonts w:ascii="Arial" w:cs="Arial" w:eastAsia="Arial" w:hAnsi="Arial"/>
          <w:sz w:val="17"/>
          <w:szCs w:val="17"/>
          <w:color w:val="auto"/>
        </w:rPr>
        <w:t>In addition, adverse side effects caused by any drugs of other companies utilizing the same or similar antibodies of our product candidates, or that are similar in nature to our product candidates could delay or prevent regulatory approval of our product candidates, limit the commercial profile of an approved label for our product candidates, or result in significant negative consequences following marketing approval.</w:t>
      </w:r>
    </w:p>
    <w:p>
      <w:pPr>
        <w:spacing w:after="0" w:line="137" w:lineRule="exact"/>
        <w:rPr>
          <w:sz w:val="20"/>
          <w:szCs w:val="20"/>
          <w:color w:val="auto"/>
        </w:rPr>
      </w:pPr>
    </w:p>
    <w:p>
      <w:pPr>
        <w:jc w:val="both"/>
        <w:ind w:right="200"/>
        <w:spacing w:after="0" w:line="248"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our product candidates and could substantially increase the costs of commercializing our product candidates, if approved, and significantly impact our ability to successfully commercialize our product candidates and generate revenues.</w:t>
      </w:r>
    </w:p>
    <w:p>
      <w:pPr>
        <w:spacing w:after="0" w:line="168" w:lineRule="exact"/>
        <w:rPr>
          <w:sz w:val="20"/>
          <w:szCs w:val="20"/>
          <w:color w:val="auto"/>
        </w:rPr>
      </w:pPr>
    </w:p>
    <w:p>
      <w:pPr>
        <w:jc w:val="both"/>
        <w:ind w:right="180"/>
        <w:spacing w:after="0" w:line="26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57" w:lineRule="exact"/>
        <w:rPr>
          <w:sz w:val="20"/>
          <w:szCs w:val="20"/>
          <w:color w:val="auto"/>
        </w:rPr>
      </w:pPr>
    </w:p>
    <w:p>
      <w:pPr>
        <w:jc w:val="both"/>
        <w:ind w:right="360"/>
        <w:spacing w:after="0" w:line="248"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Patient enrollment, a significant factor in the timing of clinical trials, is affected by many factors, including:</w:t>
      </w:r>
    </w:p>
    <w:p>
      <w:pPr>
        <w:spacing w:after="0" w:line="74"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ongoing COVID-19 pandemic;</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size and nature of the target patient population;</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35" w:name="page36"/>
    <w:bookmarkEnd w:id="35"/>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98"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For example, in March 2020, we announced a temporary pause in new patient enrollment and new site activation in our Phase 2 clinical trial of praluzatamab ravtansine as a result of the COVID-19 pandemic. We revised our strategy for praluzatamab ravtansine and in December 2020, we initiated a new Phase 2 clinical trial of praluzatamab ravtansine, for which we anticipated to report initial clinical data in the fourth quarter of 2021. However, in August 2021, we announced that primarily due to the COVID-19 pandemic, that we anticipated initial clinical data from that trial in 2022. In July 2022, data from the Phase 2 trial were reported. However, there can be no assurances that the COVID-19 pandemic will not continue to have a significant impact on our ability to complete our ongoing clinical trials and enroll patients in any planned or future clinical trials.</w:t>
      </w:r>
    </w:p>
    <w:p>
      <w:pPr>
        <w:spacing w:after="0" w:line="16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In addition, competing clinical trials and clinicians’ and patients’ perceptions as to the potential advantages of the product candidate being studied in relation to other available therapies, including any new drugs or therapeutic biologics that may be approved for the indications we are investigating, could affect our ability to enroll a sufficient number of eligible patients in our clinical trials. There are currently several PD-1 and/or PD-L1 agents approved for a growing list of cancer types along with thousands of clinical trials exploring the use of PD-1 and PD-L1 agents. There can be no assurance that further trials with pacmilimab (CX-072) or our other drug candidates will not be adversely affected by a limited patient population. Our clinical trials of praluzatamab ravtansine and CX-2029 study or have studied patients who have one or a select number of specific tumor types rather than patients suffering from any cancer, which limits the rate of enrollment of the trial. In addition, some of our clinical trials seek to treat indications with small population sizes which could be particularly difficult to enroll. The clinical trials for our molecules also compete with thousands of clinical trials with alternative anti-cancer drugs in similar classes (e.g. antibody-drug conjugates), and certain arms of the clinical trials may be difficult to enroll due to the emerging standard of care for such indications in certain jurisdictions, including the United States. Likewise, our clinical trial of CX-904 is also competing with thousands of other anti-cancer clinical trials. Any clinical trials of our product candidates initiated by our collaborators, including Bristol Myers Squibb’s ongoing Phase 2 clinical trial, face similar and additional risks relating to enrollment. We or our collaborators could also encounter delays in the development of any of our product candidates if prescribing physicians encounter unresolved ethical issues associated with enrolling patients in clinical trials of our product candidates in lieu of prescribing existing treatments that have established safety and efficacy profiles. Any delays relating to patient enrollment could cause significant delays in the timing of our or our collaborators’ clinical trials, which may materially and adversely affect our business, financial condition, results of operations and prospects.</w:t>
      </w:r>
    </w:p>
    <w:p>
      <w:pPr>
        <w:spacing w:after="0" w:line="17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Our approach to the discovery and development of our therapeutic treatments is based on novel technologies that are unproven and may not result in marketable products.</w:t>
      </w:r>
    </w:p>
    <w:p>
      <w:pPr>
        <w:spacing w:after="0" w:line="157"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plan to continue to develop a pipeline of product candidates using our proprietary Probody platform. We believe that product candidates (including cancer immunotherapies, conditionally activated ADCs and bispecific antibodies) identified with our product discovery platform may offer an improved therapeutic approach by taking advantage of unique conditions in the tumor microenvironment, thereby reducing the dose-limiting toxic effects associated with traditional antibody products, which can also attack healthy tissue. However, the scientific research that forms the basis of our efforts to develop product candidates based on our Probody platform is ongoing, including the research resulting from our ongoing clinical trials for praluzatamab ravtansine (CX-2009), CX-2029, pacmilimab (CX-072) and CX-904.</w:t>
      </w:r>
    </w:p>
    <w:p>
      <w:pPr>
        <w:spacing w:after="0" w:line="176"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We may ultimately discover that our Probody platform and any product candidates resulting from it do not possess certain properties required for therapeutic effectiveness or protection from toxicity. For example, when Probody therapeutics are administered to human subjects, protease levels in tumors may not be sufficient and the peptide mask may not be cleaved, which would limit the potential efficacy of the antibody. In addition, if the peptide mask is inappropriately released, for example, due to an inflammatory disease, it may reduce the potential to limit toxicity of the anti-cancer agent or result in unforeseen events when administered in humans. Binding of the peptide mask to the antigen-binding domain of the Probody may not be constant, which could lead to intermittent periods when the antigen-binding domain or antibody portion is unmasked. Furthermore, Probody product candidates may not remain stable in the human body for the period of time required for the drug to reach and to bind to the target tissue. In addition, product candidates based on our Probody platform may demonstrate different chemical and pharmacological properties in patients than they do in laboratory studies. Although our Probody platform and certain product candidates have demonstrated successful results in animal studies, they may not demonstrate the same chemical and pharmacological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6" w:name="page37"/>
    <w:bookmarkEnd w:id="36"/>
    <w:p>
      <w:pPr>
        <w:ind w:right="60"/>
        <w:spacing w:after="0" w:line="251" w:lineRule="auto"/>
        <w:rPr>
          <w:sz w:val="20"/>
          <w:szCs w:val="20"/>
          <w:color w:val="auto"/>
        </w:rPr>
      </w:pPr>
      <w:r>
        <w:rPr>
          <w:rFonts w:ascii="Arial" w:cs="Arial" w:eastAsia="Arial" w:hAnsi="Arial"/>
          <w:sz w:val="17"/>
          <w:szCs w:val="17"/>
          <w:color w:val="auto"/>
        </w:rPr>
        <w:t>properties in humans and may interact with human biological systems in unforeseen, ineffective or harmful ways. Our understanding of the molecular pharmacology of Probody therapeutics, that is, the precise manner and sequence in which they are activated and behave in vivo, is incomplete. Probody therapeutics are complex biological molecules and we are evaluating the performance of this new technology in cancer patients for the first time. Many specific elements of Probody therapeutic function may contribute to their overall safety and efficacy profile including, but not limited to, the removal of only one mask from the dually-masked antibody, the removal of both masks from the dually-masked antibody, the binding strength of masks for the underlying antibody, and the binding strength of the underlying antibody for its target. We have limited structural evidence for how masks interact with antibodies. It may take many years before we develop a full understanding of Probody pharmacology, and we may never know precisely how they function in vivo. As with any new biologic or product developed on a novel platform, we have a limited understanding of the immunogenicity profile of Probody therapeutics. As a result, our Probody product candidates may trigger immune responses, such as anti-drug antibody (“ADA”), that may inhibit the ability of the antibody to reach the target tissue, inhibit the ability of the antibody to bind to its target, cause adverse side effects in humans or cause hypersensitivity reactions. For example, we reported in February 2019 that in our pacmilimab trial at the 10 mg/kg dose, the ADA rate was approximately 62%. We do not believe the ADA rate is impacting our ability to reach targeted drug exposures. However, we cannot provide assurance that it will not later limit drug exposure or cause severe adverse events. Problems that are specific to our Probody platform may have an unfavorable impact on all of our product candidates. As a result, we may never succeed in developing a marketable product and we may never become profitable, which would cause the value of our common stock to decline.</w:t>
      </w:r>
    </w:p>
    <w:p>
      <w:pPr>
        <w:spacing w:after="0" w:line="17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addition, the scientific evidence to support the feasibility of developing product candidates against novel, difficult to drug targets, is both preliminary and limited. For example, our understanding of the expression of CD166 and CD71 in both healthy and diseased tissues is still developing. As a result, we cannot provide any assurance that we will be able to successfully identify and advance any product candidates to target novel, difficult-to-drug targets.</w:t>
      </w:r>
    </w:p>
    <w:p>
      <w:pPr>
        <w:spacing w:after="0" w:line="134"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We believe that the FDA and foreign regulatory authorities have limited experience with conditionally activated therapeutics in oncology, such experience primarily coming from praluzatamab ravtansine, CX-2029, BMS-986249, BMS-986288, and pacmilimab. We believe that such limited experience may increase the complexity, uncertainty and length of the regulatory approval process for our product candidates and may keep us from commencing first-in-human trials in certain countries. As there is limited historical precedent for the regulatory clearance of Probody-based therapeutics in oncology, there is a higher degree of risk that the FDA or other regulatory authorities could disagree that we or our collaborators have satisfied their requirements to commence clinical trials for some product candidates or disagree with our study designs, which may require us to complete additional preclinical studies or amend our protocols or impose stricter conditions on the commencement of clinical trials. In addition, local clinical practice in other countries may affect whether we or our collaborators are able to initiate a clinical trial there. As a result, we and our collaborators may never receive approval to market and commercialize any product candidate. Even if we or our collaborators obtain regulatory approval, the approval may be for targets, disease indications or patient populations that are not as broad as we or they intended or desired or may require labeling that includes significant use or distribution restrictions or safety warnings. We or our collaborators may be required to perform additional or unanticipated clinical trials to obtain approval or be subject to post-marketing testing requirements to maintain regulatory approval. If one or more of our product candidates or our Probody technology generally prove to be ineffective, unsafe or commercially unviable, our entire platform and pipeline may have little, if any, value, which would have a material and adverse effect on our business, financial condition, results of operations and prospects.</w:t>
      </w:r>
    </w:p>
    <w:p>
      <w:pPr>
        <w:spacing w:after="0" w:line="16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The market may not be receptive to our product candidates based on a novel therapeutic modality, and we may not generate any future revenue from the sale or licensing of product candidates.</w:t>
      </w:r>
    </w:p>
    <w:p>
      <w:pPr>
        <w:spacing w:after="0" w:line="157"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Even if regulatory approval is obtained for a product candidate, we may not generate or sustain revenue from sales of the product due to factors such as whether the product can be sold at a competitive cost and whether it will otherwise be accepted in the market. The product candidates that we are developing are based on our Probody platform, which is a new technology and therapeutic approach. Market participants with significant influence over acceptance of new treatments, such as physicians and third-party payors, may not adopt a product or treatment based on our Probody platform and technologies, and we may not be able to convince the medical community and third-party payors to accept and use, or to provide favorable reimbursement for, any product candidates developed by us or our collaborators. This may be particularly true for any of our product candidates (including BMS-986249, BMS-986288, and pacmilimab (CX-072)) for which there are existing approved therapies, such as approved agents targeting PD-L1, PD-1, or CTLA-4. Market acceptance of our product candidates will depend on, among other factors:</w:t>
      </w:r>
    </w:p>
    <w:p>
      <w:pPr>
        <w:spacing w:after="0" w:line="73"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our receipt of any marketing and commercialization approvals;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terms of any approvals and the countries in which approvals are obtained;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safety, purity, potency (or efficacy) of our product candidates, including those being developed by our collaborators;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or warnings contained in any labeling approved by the FDA or other regulatory authority;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effective companion diagnostics;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7" w:name="page38"/>
    <w:bookmarkEnd w:id="37"/>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relative convenience and ease of administration of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willingness of patients to accept any new methods of administration;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 of our physician education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from government and third-party payors;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pricing of our products, particularly as compared to alternative treatments; and</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alternative effective treatments for the disease indications our product candidates are intended to treat and the relative risks, benefits and costs of those treatments.</w:t>
      </w:r>
    </w:p>
    <w:p>
      <w:pPr>
        <w:spacing w:after="0" w:line="157"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If any product candidate we commercialize fails to achieve market acceptance, it could have a material and adverse effect on our business, financial condition, results of operations and prospects.</w:t>
      </w:r>
    </w:p>
    <w:p>
      <w:pPr>
        <w:spacing w:after="0" w:line="157"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b w:val="1"/>
          <w:bCs w:val="1"/>
          <w:i w:val="1"/>
          <w:iCs w:val="1"/>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150"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Since 2013, we have entered into collaborations with AbbVie, Amgen, Astellas, Bristol Myers Squibb, ImmunoGen, Pfizer and others to develop certain Probody therapeutics. We may in the future seek third-party collaborators for development and commercialization of other therapeutic technologies or product candidates.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whether such collaborations pursue the development of our product candidates or the amount and timing of resources that such collaborators dedicate to the development or commercialization of our product candidates. For instance, in March 2018, Pfizer terminated the collaboration agreement we had entered into with them in May 2013. Such collaboration agreement had entitled Pfizer to nominate up to four research targets and since 2013, we had collaborated with Pfizer on three of such targets. However, no program was ever advanced beyond the lead optimization stage pursuant to the agreement, and Pfizer had previously elected not to select a fourth target and had decided to discontinue its epidermal growth factor receptor conditionally activated ADC. In July 2017, ImmunoGen discontinued the preclinical evaluation of one of its two programs being developed under our collaboration and in December 2019, licensed the other program to us, terminating their license agreement from us. In addition, in January 2019, Bristol Myers Squibb terminated its programs for three targets it had selected under our agreement with them. As a result, there can be no assurances that any of the programs covered by our existing or future collaborations will be developed further. Further, our ability to generate revenues from our existing and future arrangements will depend on our collaborators’ abilities to successfully perform the functions assigned to them in these arrangements. Additionally, some of our collaborations may require us to share in certain development and commercialization expenses. If we cannot afford to share such expenses when required, our rights under such collaborations may be adversely affected, including potentially that our collaborators may terminate the relevant agreement.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Overall, collaborations involving our product candidates currently pose, and will continue to pose, the following risks to us:</w:t>
      </w:r>
    </w:p>
    <w:p>
      <w:pPr>
        <w:spacing w:after="0" w:line="104" w:lineRule="exact"/>
        <w:rPr>
          <w:sz w:val="20"/>
          <w:szCs w:val="20"/>
          <w:color w:val="auto"/>
        </w:rPr>
      </w:pPr>
    </w:p>
    <w:p>
      <w:pPr>
        <w:ind w:left="1020" w:right="76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efforts and resources that they will apply to these collaborations, including, with respect to Bristol Myers Squibb, BMS-986249 and BMS-986288;</w:t>
      </w:r>
    </w:p>
    <w:p>
      <w:pPr>
        <w:spacing w:after="0" w:line="62" w:lineRule="exact"/>
        <w:rPr>
          <w:rFonts w:ascii="Arial" w:cs="Arial" w:eastAsia="Arial" w:hAnsi="Arial"/>
          <w:sz w:val="18"/>
          <w:szCs w:val="18"/>
          <w:color w:val="auto"/>
        </w:rPr>
      </w:pPr>
    </w:p>
    <w:p>
      <w:pPr>
        <w:ind w:left="1020" w:right="420" w:hanging="503"/>
        <w:spacing w:after="0" w:line="294"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or available funding or resources, or external factors such as an acquisition that diverts resources or creates competing priorities;</w:t>
      </w:r>
    </w:p>
    <w:p>
      <w:pPr>
        <w:spacing w:after="0" w:line="39" w:lineRule="exact"/>
        <w:rPr>
          <w:rFonts w:ascii="Arial" w:cs="Arial" w:eastAsia="Arial" w:hAnsi="Arial"/>
          <w:sz w:val="16"/>
          <w:szCs w:val="16"/>
          <w:color w:val="auto"/>
        </w:rPr>
      </w:pPr>
    </w:p>
    <w:p>
      <w:pPr>
        <w:ind w:left="1020" w:right="160" w:hanging="503"/>
        <w:spacing w:after="0" w:line="270" w:lineRule="auto"/>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collaborators have significant discretion in designing any clinical trials they operate pursuant to our collaboration agreements, including Bristol Myers Squibb’s ongoing Phase 2 cohort expansion of BMS-986249 and its Phase 1/2 clinical trial of BMS-986288, and may release data from such clinical trials, including with respect to our Probody therapeutics, without consulting us;</w:t>
      </w:r>
    </w:p>
    <w:p>
      <w:pPr>
        <w:spacing w:after="0" w:line="55" w:lineRule="exact"/>
        <w:rPr>
          <w:rFonts w:ascii="Arial" w:cs="Arial" w:eastAsia="Arial" w:hAnsi="Arial"/>
          <w:sz w:val="17"/>
          <w:szCs w:val="17"/>
          <w:color w:val="auto"/>
        </w:rPr>
      </w:pPr>
    </w:p>
    <w:p>
      <w:pPr>
        <w:ind w:left="1020" w:right="40" w:hanging="503"/>
        <w:spacing w:after="0" w:line="248"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and are not necessarily required to give us information about their clinical data;</w:t>
      </w:r>
    </w:p>
    <w:p>
      <w:pPr>
        <w:spacing w:after="0" w:line="73" w:lineRule="exact"/>
        <w:rPr>
          <w:rFonts w:ascii="Arial" w:cs="Arial" w:eastAsia="Arial" w:hAnsi="Arial"/>
          <w:sz w:val="18"/>
          <w:szCs w:val="18"/>
          <w:color w:val="auto"/>
        </w:rPr>
      </w:pPr>
    </w:p>
    <w:p>
      <w:pPr>
        <w:ind w:left="1020" w:right="60" w:hanging="503"/>
        <w:spacing w:after="0" w:line="248"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independently develop, or develop with third parties, products that compete directly or indirectly with our product candidate if the collaborators believe that competitive products are more likely to be successfully developed or can be commercialized under terms that are more economically attractive than ours;</w:t>
      </w:r>
    </w:p>
    <w:p>
      <w:pPr>
        <w:spacing w:after="0" w:line="73" w:lineRule="exact"/>
        <w:rPr>
          <w:rFonts w:ascii="Arial" w:cs="Arial" w:eastAsia="Arial" w:hAnsi="Arial"/>
          <w:sz w:val="18"/>
          <w:szCs w:val="18"/>
          <w:color w:val="auto"/>
        </w:rPr>
      </w:pPr>
    </w:p>
    <w:p>
      <w:pPr>
        <w:ind w:left="1020" w:right="52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8" w:name="page39"/>
    <w:bookmarkEnd w:id="38"/>
    <w:p>
      <w:pPr>
        <w:ind w:left="1020" w:right="20" w:hanging="503"/>
        <w:spacing w:after="0" w:line="248"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w:t>
      </w:r>
    </w:p>
    <w:p>
      <w:pPr>
        <w:spacing w:after="0" w:line="73" w:lineRule="exact"/>
        <w:rPr>
          <w:rFonts w:ascii="Arial" w:cs="Arial" w:eastAsia="Arial" w:hAnsi="Arial"/>
          <w:sz w:val="18"/>
          <w:szCs w:val="18"/>
          <w:color w:val="auto"/>
        </w:rPr>
      </w:pPr>
    </w:p>
    <w:p>
      <w:pPr>
        <w:ind w:left="1020" w:right="46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rights of third parties, which may expose us to litigation and potential liability;</w:t>
      </w:r>
    </w:p>
    <w:p>
      <w:pPr>
        <w:spacing w:after="0" w:line="62" w:lineRule="exact"/>
        <w:rPr>
          <w:rFonts w:ascii="Arial" w:cs="Arial" w:eastAsia="Arial" w:hAnsi="Arial"/>
          <w:sz w:val="18"/>
          <w:szCs w:val="18"/>
          <w:color w:val="auto"/>
        </w:rPr>
      </w:pPr>
    </w:p>
    <w:p>
      <w:pPr>
        <w:ind w:left="1020" w:hanging="503"/>
        <w:spacing w:after="0" w:line="324" w:lineRule="auto"/>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 and</w:t>
      </w:r>
    </w:p>
    <w:p>
      <w:pPr>
        <w:spacing w:after="0" w:line="16" w:lineRule="exact"/>
        <w:rPr>
          <w:rFonts w:ascii="Arial" w:cs="Arial" w:eastAsia="Arial" w:hAnsi="Arial"/>
          <w:sz w:val="16"/>
          <w:szCs w:val="16"/>
          <w:color w:val="auto"/>
        </w:rPr>
      </w:pPr>
    </w:p>
    <w:p>
      <w:pPr>
        <w:ind w:left="1020" w:right="94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57"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As a result of the foregoing, our current and any future collaboration agreements may not lead to development or commercialization of our product candidates in the most efficient manner or at all and may not result in the realization of the benefits we expected to achieve upon our entry into such agreements.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159" w:lineRule="exact"/>
        <w:rPr>
          <w:sz w:val="20"/>
          <w:szCs w:val="20"/>
          <w:color w:val="auto"/>
        </w:rPr>
      </w:pPr>
    </w:p>
    <w:p>
      <w:pPr>
        <w:ind w:right="100"/>
        <w:spacing w:after="0" w:line="362" w:lineRule="auto"/>
        <w:rPr>
          <w:sz w:val="20"/>
          <w:szCs w:val="20"/>
          <w:color w:val="auto"/>
        </w:rPr>
      </w:pPr>
      <w:r>
        <w:rPr>
          <w:rFonts w:ascii="Arial" w:cs="Arial" w:eastAsia="Arial" w:hAnsi="Arial"/>
          <w:sz w:val="15"/>
          <w:szCs w:val="15"/>
          <w:b w:val="1"/>
          <w:bCs w:val="1"/>
          <w:i w:val="1"/>
          <w:iCs w:val="1"/>
          <w:color w:val="auto"/>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spacing w:after="0" w:line="8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Substantially all of our revenue to date has been derived from our existing collaboration agreements, including, most recently, the agreement that we entered into with Astellas in March 2020, and a significant portion of our future revenue and cash resources is expected to be derived from these agreements or other similar agreements we may enter into in the future. Revenue from research and development collaborations depend upon continuation of the collaborations, reimbursement of development costs, the achievement of milestones and royalties, if any, derived from future products developed from our research. If our development partners do not select additional targets and we are unable to successfully advance the development of our product candidates or achieve milestones, revenue and cash resources from milestone payments under our collaboration agreements will be substantially less than expected.</w:t>
      </w:r>
    </w:p>
    <w:p>
      <w:pPr>
        <w:spacing w:after="0" w:line="17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to the extent that any of our collaborators were to terminate a collaboration agreement, we may decide to independently develop these product candidates to the extent we retain development rights. Such development could include funding preclinical or clinical trials, assuming marketing and distribution costs and defending intellectual property rights. Alternatively, in certain instances, we may choose to abandon product candidates altogether. For instance, in March 2018, Pfizer terminated our 2013 collaboration agreement with them, and in January 2019, Bristol Myers Squibb terminated its programs for three targets that it had selected under our agreement with them. The termination of any of our collaboration agreements or individual programs within a collaboration agreement could result in a change to our business plan and may have a material adverse effect on our business, financial condition, results of operations and prospects. If a collaboration is terminated, we would not be eligible to receive the milestone, royalty or other payments that would have been payable under the collaboration agreement. For example, as a result of ImmunoGen’s decision to out-license the EpCAM program and our licensing of the program from them in 2019, their license for the program from us ended and we will not receive milestone or other payments from them.</w:t>
      </w:r>
    </w:p>
    <w:p>
      <w:pPr>
        <w:spacing w:after="0" w:line="17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the commercialization of any of our product candidates may be delayed, and our business will be harmed.</w:t>
      </w:r>
    </w:p>
    <w:p>
      <w:pPr>
        <w:spacing w:after="0" w:line="157"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53"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available capital resources or capital constraints we experience;</w:t>
      </w:r>
    </w:p>
    <w:p>
      <w:pPr>
        <w:spacing w:after="0" w:line="103" w:lineRule="exact"/>
        <w:rPr>
          <w:rFonts w:ascii="Arial" w:cs="Arial" w:eastAsia="Arial" w:hAnsi="Arial"/>
          <w:sz w:val="18"/>
          <w:szCs w:val="18"/>
          <w:color w:val="auto"/>
        </w:rPr>
      </w:pPr>
    </w:p>
    <w:p>
      <w:pPr>
        <w:ind w:left="1020" w:right="58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trial eligibility criteria;</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receipt of approvals by the FDA and other regulatory authorities and the timing thereof;</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39" w:name="page40"/>
    <w:bookmarkEnd w:id="39"/>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actions, decisions or rules issued by regulators;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materials used in the manufacture of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manufacture and supply clinical trial materials to our clinical sites on a timely basis;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efforts of our collaborators with respect to the commercialization of our products;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securing of, costs related to, and timing issues associated with, product manufacturing as well as sales and marketing activities.</w:t>
      </w:r>
    </w:p>
    <w:p>
      <w:pPr>
        <w:spacing w:after="0" w:line="210"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For example, in March 2020, we announced the temporary pause in new patient enrollment and new site activation in our Phase 2 clinical trial of praluzatamab ravtansine (CX-2009) as a result of the COVID-19 pandemic and the termination of the Phase 2 clinical trial of pacmilimab (CX-072) in combination with ipilimumab after a re-evaluation of the evolving clinical, competitive and commercial landscapes in immuno-oncology, taken together with the impact of the COVID-19 pandemic. Further, we continue to see an impact as a result of the COVID-19 pandemic on our efforts, including ongoing clinical trial site activation and patient enrollment activities.</w:t>
      </w:r>
    </w:p>
    <w:p>
      <w:pPr>
        <w:spacing w:after="0" w:line="17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If we fail to achieve announced milestones in the timeframes we expect, the commercialization of any of our product candidates may be delayed, and our business and results of operations may be harmed.</w:t>
      </w:r>
    </w:p>
    <w:p>
      <w:pPr>
        <w:spacing w:after="0" w:line="157" w:lineRule="exact"/>
        <w:rPr>
          <w:sz w:val="20"/>
          <w:szCs w:val="20"/>
          <w:color w:val="auto"/>
        </w:rPr>
      </w:pPr>
    </w:p>
    <w:p>
      <w:pPr>
        <w:ind w:right="40"/>
        <w:spacing w:after="0" w:line="362" w:lineRule="auto"/>
        <w:rPr>
          <w:sz w:val="20"/>
          <w:szCs w:val="20"/>
          <w:color w:val="auto"/>
        </w:rPr>
      </w:pPr>
      <w:r>
        <w:rPr>
          <w:rFonts w:ascii="Arial" w:cs="Arial" w:eastAsia="Arial" w:hAnsi="Arial"/>
          <w:sz w:val="15"/>
          <w:szCs w:val="15"/>
          <w:b w:val="1"/>
          <w:bCs w:val="1"/>
          <w:i w:val="1"/>
          <w:iCs w:val="1"/>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87"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Since commencing operations, we have entered into several collaboration agreements. From time to time, we may consider strategic transactions, such as additional collaborations, acquisitions of companies, asset purchases and out- or in-licensing of product candidates or technologies. In particular, we will evaluate and, if strategically attractive, seek to enter into additional collaborations, including with major biotechnology or biopharmaceutical companies. For example, in July 2022, in connection with our announcement of Phase 2 topline results for praluzatamab ravtansine, we communicated our plans to seek collaborators to advance the program further. The competition for collaborators is intense and there can be no assurances that we will be able to secure any collaboration for praluzatamab ravtansine or any other program. The negotiation process for strategic collaborations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Any such collaboration, or other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and adverse effect on our business, financial condition, results of operations and prospects. The termination by a collaborator of a collaboration may cause a decrease in the price of our stock. Conversely, any failure to enter any additional collaboration or other strategic transaction that would be beneficial to us could delay the development and potential commercialization of our product candidates and have a negative impact on the competitiveness of any product candidate that reaches market.</w:t>
      </w:r>
    </w:p>
    <w:p>
      <w:pPr>
        <w:spacing w:after="0" w:line="15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If we are unable to successfully develop companion diagnostic tests for certain of our product candidates, or experience significant delays in doing so, we may not realize the full commercial potential of our product candidates.</w:t>
      </w:r>
    </w:p>
    <w:p>
      <w:pPr>
        <w:spacing w:after="0" w:line="13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Because we are focused on precision medicine, in which predictive biomarkers will be used to identify the right patients for our product candidates, we believe that our success may depend, in part, on the development of companion diagnostic tests. To successfully develop a companion diagnostic test, we would need to address a number of scientific, technical and logistical challenges. However, we have little experience in the development of companion diagnostic tests and may not be successful in developing appropriate tests to pair with any of our product candidates. Companion diagnostic tests are subject to regulation by the FDA and similar regulatory authorities outside the United States as medical devices and require separate regulatory approval prior to commercialization. Given our limited experience in developing companion diagnostic tests, we could seek to rely on third parties to design, manufacture, obtain regulatory approval for any companion diagnostic tests for our product candidates. However, we and such collaborators may encounter difficulties in developing and obtaining approval for the companion diagnostic tests, including issues relating to selectivity/specificity, analytical validation, reproducibility, or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0" w:name="page41"/>
    <w:bookmarkEnd w:id="40"/>
    <w:p>
      <w:pPr>
        <w:ind w:right="20"/>
        <w:spacing w:after="0" w:line="261" w:lineRule="auto"/>
        <w:rPr>
          <w:sz w:val="20"/>
          <w:szCs w:val="20"/>
          <w:color w:val="auto"/>
        </w:rPr>
      </w:pPr>
      <w:r>
        <w:rPr>
          <w:rFonts w:ascii="Arial" w:cs="Arial" w:eastAsia="Arial" w:hAnsi="Arial"/>
          <w:sz w:val="18"/>
          <w:szCs w:val="18"/>
          <w:color w:val="auto"/>
        </w:rPr>
        <w:t>clinical validation. Any delay or failure by us or our collaborators to develop or obtain regulatory approval of the companion diagnostic tests could delay or prevent approval of our product candidates. As a result, our business would be harmed, possibly materially.</w:t>
      </w:r>
    </w:p>
    <w:p>
      <w:pPr>
        <w:spacing w:after="0" w:line="15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b w:val="1"/>
          <w:bCs w:val="1"/>
          <w:i w:val="1"/>
          <w:iCs w:val="1"/>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134"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We do not have the ability to independently conduct clinical trials. As such, we currently rely and intend to continue to rely on third-party clinical investigators, CROs, clinical data management organizations and consultants to help us design, conduct, supervise and monitor clinical trials of our product candidates. As a result, we will have less control over the timing, quality and other aspects of our clinical trials than we would have had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with which we contract might not be diligent, careful or timely in conducting our preclinical studies or clinical trials, resulting in the preclinical studies or clinical trials being delayed or unsuccessful. Furthermore, our third-party contractors, including CROs are being and may continue to be impacted in their ability to conduct our work as a result of the COVID-19 pandemic.</w:t>
      </w:r>
    </w:p>
    <w:p>
      <w:pPr>
        <w:spacing w:after="0" w:line="154"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will be responsible for ensuring that each of our preclinical studies and clinical trials are conducted in accordance with the general investigational plan and protocols for the trial. The FDA requires preclinical studies to be conducted in accordance with good laboratory practices (“GLPs”) and clinical trials to be conducted in accordance with good clinical practices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will not relieve us of these responsibilities and requirements. Any adverse development or delay in our clinical trials could have a material and adverse effect on our business, financial condition, results of operations and prospects.</w:t>
      </w:r>
    </w:p>
    <w:p>
      <w:pPr>
        <w:spacing w:after="0" w:line="17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We are currently conducting and will continue to conduct clinical trials and will contract with third-party manufacturers in foreign countries, which could expose us to risks that could have a material adverse effect on the success of our business.</w:t>
      </w:r>
    </w:p>
    <w:p>
      <w:pPr>
        <w:spacing w:after="0" w:line="157"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We have enrolled or are planning to enroll patients in our clinical trials outside the United States, including in Europe and South Korea. While we generally conduct our clinical trials solely or partially in the U.S., to the extent that clinical trials are conducted outside of the U.S., the FDA may have certain additional requirements.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7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Conducting clinical trials outside the United States also exposes us to additional risks, including risks associated with additional foreign regulatory requirements; foreign exchange fluctuations; patient monitoring and compliance; compliance with foreign manufacturing, customs, shipment and storage requirements; the severity of the COVID-19 pandemic in such jurisdictions; and cultural differences in medical practice and clinical research. We are also subject to risks associated with doing business globally, including commercial, political, and financial risks. In addition, we are subject to potential disruption caused by military conflicts; potentially unstable governments or legal systems; civil or political upheaval or unrest; local labor policies and conditions; possible expropriation, nationalization, or confiscation of assets; problems with repatriation of foreign earnings; economic or trade sanctions; closure of markets to imports; anti-American sentiment; terrorism or other types of violence in or outside the United States; health pandemics; and a significant reduction in global travel. For example, pandemics and public health emergencies, such as the COVID-19 pandemic, have disrupted and delayed and could in the future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1" w:name="page42"/>
    <w:bookmarkEnd w:id="41"/>
    <w:p>
      <w:pPr>
        <w:spacing w:after="0" w:line="243" w:lineRule="auto"/>
        <w:rPr>
          <w:sz w:val="20"/>
          <w:szCs w:val="20"/>
          <w:color w:val="auto"/>
        </w:rPr>
      </w:pPr>
      <w:r>
        <w:rPr>
          <w:rFonts w:ascii="Arial" w:cs="Arial" w:eastAsia="Arial" w:hAnsi="Arial"/>
          <w:sz w:val="18"/>
          <w:szCs w:val="18"/>
          <w:color w:val="auto"/>
        </w:rPr>
        <w:t>disrupt or delay enrollment in our clinical trials in Europe, South Korea and elsewhere. Our success will depend, in part, on our ability to overcome the challenges we encounter with respect to these risks and other factors affecting U.S. companies with global operations. If our global clinical trials or foreign third-party suppliers were to experience significant disruption due to these risks or for other reasons, it could have a material adverse effect on our business, financial condition, results of operations and prospects.</w:t>
      </w:r>
    </w:p>
    <w:p>
      <w:pPr>
        <w:spacing w:after="0" w:line="174"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168"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We rely on third-party contract manufacturers to manufacture our clinical trial and preclinical study product supplies which, in addition to having other issues, could be adversely impacted by the COVID-19 pandemic. Most of our clinical trial manufacturing contractors and suppliers are our sole source for their respective manufacturing and supplies. Failure of any of these contractors could put our ability to have clinical trial material available when needed. This could result in a substantial delay of our clinical trials. For each of praluzatamab ravtansine (CX-2009), CX-2029, pacmilimab (CX-072), and CX-904, our manufacturing supply chain includes several contract manufacturers, and failure by any of these manufacturers could result in interruptions of our clinical studies. For example, in November 2019, one of our contract manufacturers that manufactures pacmilimab experienced a production failure. If we had not been able to assure sufficient supplies of clinical trial drug product after the production failure, we may have been required to suspend any ongoing trials and postpone future trials. Although we have taken sufficient steps to assure our current supply of pacmilimab clinical trial drug product for our ongoing clinical trial and planned clinical trials, there can be no assurance that we will not have future production failures, which could affect our ability to conduct our trials for praluzatamab ravtansine, CX-2029, pacmilimab, CX-904 or any other clinical trial drug candidates on our planned timeline or at all. We do not own manufacturing facilities for producing such supplies and do not have any long-term contracts and we do not currently have an alternative to any of our third-party contract manufacturers.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addition, we may encounter issues with transferring technology to a new third-party manufacturer, and we may encounter regulatory delays if we need to move the manufacturing of our products from one third-party manufacturer to another. For example, we were dependent on ImmunoGen under our collaboration for certain steps in the manufacturing of clinical quantities of praluzatamab ravtansine. At the end of 2018, ImmunoGen closed their clinical manufacturing facility in Norwood, MA. This site provided clinical manufacturing support for the praluzatamab ravtansine program. We completed transfer of the drug substance manufacturing process from ImmunoGen to a CMO, where we have an existing relationship and which has expertise in the manufacture of antibody-drug conjugates at a clinical and commercial scale. While the manufacturing transfer process has been completed, there can be no assurance that we will not experience a disruption in the supply of praluzatamab ravtansine as a result of such transfer or that we will not experience any other disruption in the manufacture of praluzatamab ravtansine.</w:t>
      </w:r>
    </w:p>
    <w:p>
      <w:pPr>
        <w:spacing w:after="0" w:line="154"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Practices (“cGMPs”). In the event that any of our manufacturers fails to comply with such requirements or to perform its obligations to us in relation to quality, timing or otherwise, such as the pacmilimab manufacturing production failure our contract manufacturer experienced in November 2019, or if our supply of components or other materials becomes limited or interrupted for other reasons, such as one of our manufacturers going out of business,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5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We may find that our third-party manufacturer is unable to scale up the process in order to produce commercial quantities of our products. Our or a third party’s failure to execute on our manufacturing requirements and comply with cGMPs could adversely affect our business in a number of ways, including:</w:t>
      </w:r>
    </w:p>
    <w:p>
      <w:pPr>
        <w:spacing w:after="0" w:line="83"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product candidates under development;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2" w:name="page43"/>
    <w:bookmarkEnd w:id="42"/>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the cooperation of a collaborator;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183"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 supply chain for the manufacturing of our product candidates is complicated and can involve many parties. This is especially the case for our clinical-stage conditionally activated ADCs, praluzatamab ravtansine and CX-2029. If we were to experience any supply chain issues, our product supply could be seriously disrupted. In addition, we expect the logistical challenges associated with our supply chain to grow more complex as additional product candidates commence any clinical trials.</w:t>
      </w:r>
    </w:p>
    <w:p>
      <w:pPr>
        <w:spacing w:after="0" w:line="174"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b w:val="1"/>
          <w:bCs w:val="1"/>
          <w:i w:val="1"/>
          <w:iCs w:val="1"/>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133"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It may prove more challenging than we anticipate to manufacture products that incorporate our Probody therapeutic technology. In order to conduct clinical trials of our product candidates, including our clinical trials for praluzatamab ravtansine (CX-2009), CX-2029, pacmilimab (CX-072), and CX-904 we will need to manufacture them in large quantities. To date, we have generally been able to successfully manufacture praluzatamab ravtansine, CX-2029, and pacmilimab for our ongoing early-stage clinical trials. However, in November 2019, we had a production failure at one of our contract manufacturers that manufactured pacmilimab for our Phase 1/2 clinical trial and for our future trials. If we had not been able to assure sufficient supplies of clinical trial drug product after the production failure, we may have been required to suspend any ongoing trials and postpone future trials. Although we have taken sufficient steps to assure our current supply of pacmilimab clinical trial drug product for our planned clinical trials, there can be no assurance that we will not have future production failures, which could affect our ability to conduct our trials for praluzatamab ravtansine, CX-2029, pacmilimab, CX-904 or any other clinical trial drug candidates on our planned timeline or at all. Furthermore, in order to conduct later stage clinical trials of our product candidates, such as our Phase 2 clinical trial for praluzatamab ravtansine, and eventually, if approved, commercial products, we will need to manufacture them in larger quantities. We, or any manufacturing partners, may be unable to successfully increase the manufacturing scale and capacity for any of our product candidates in a timely or cost-effective manner, or at all. For example, we are currently working with our CMOs to change our manufacturing processes and formulations as well as scaling up for larger drug manufacturing capability, including praluzatamab ravtansine drug product for late-stage clinical trials and commercialization. However, we may have to start late-stage trials with our early clinical trial drug product and switch to late-stage or commercial drug product mid trial. In such event, the FDA will require us to complete bridging studies to compare the earlier stage material with late-stage or commercial material to assure comparability between the earlier trial material and the late- stage or commercial material. Changing formulation and scaling up the process is a complicated and difficult task. While we believe we can complete this process successfully, there can be no assurances that the changes we make to the drug product and manufacturing process will be successful or completed in a timely manner or that the FDA will not require additional development steps or studies from those we believe are necessary. If we are not able to scale up our manufacturing capabilities with respect to praluzatamab ravtansine, pacmilimab or any of our other product candidates, increase the life of drug stability of product candidates, or successfully complete the FDA’s bridging requirements, we may not be able to successfully obtain FDA approval and commercialize product candidates in a timely manner or at all.</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Additionally, we were dependent on ImmunoGen under our collaboration for certain steps in the manufacturing of clinical quantities of praluzatamab ravtansine. At the end of 2018, ImmunoGen closed their clinical manufacturing facility in Norwood, Massachusetts, which provided clinical manufacturing support for the praluzatamab ravtansine program. We completed the transfer of the drug substance manufacturing process from ImmunoGen to a contract manufacturer, where we have an existing relationship and with expertise in the manufacture of antibody drug conjugates at a clinical and commercial scale. While the manufacturing transfer process has been completed, there can be no assurance that we will not experience a disruption in the supply of praluzatamab ravtansine in connection with such transfer or that we will not experience any other disruption in the manufacturing of praluzatamab ravtansine. In addition, for CX-2029, the manufacturing of additional clinical quantities could be particularly difficult because we are relying on three different parties to manufacture supplies. If we, or any manufacturing partners,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w:t>
      </w:r>
    </w:p>
    <w:p>
      <w:pPr>
        <w:spacing w:after="0" w:line="15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and fail to capitalize on product candidates that may be more profitable or for which there is a greater likelihood of success.</w:t>
      </w:r>
    </w:p>
    <w:p>
      <w:pPr>
        <w:spacing w:after="0" w:line="15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Because we have limited financial and managerial resources, we focus on specific product candidates and indications. As a result, we may forgo or delay pursuit of opportunities with those products in other indications or with other product candidates that later prove to have greater commercial potential. Our resource allocation decisions may cause us to fail to capitalize on viable commercial products or profitable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3" w:name="page44"/>
    <w:bookmarkEnd w:id="43"/>
    <w:p>
      <w:pPr>
        <w:ind w:right="40"/>
        <w:spacing w:after="0" w:line="262" w:lineRule="auto"/>
        <w:rPr>
          <w:sz w:val="20"/>
          <w:szCs w:val="20"/>
          <w:color w:val="auto"/>
        </w:rPr>
      </w:pPr>
      <w:r>
        <w:rPr>
          <w:rFonts w:ascii="Arial" w:cs="Arial" w:eastAsia="Arial" w:hAnsi="Arial"/>
          <w:sz w:val="17"/>
          <w:szCs w:val="17"/>
          <w:color w:val="auto"/>
        </w:rPr>
        <w:t>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in managing our growth and expanding when needed.</w:t>
      </w:r>
    </w:p>
    <w:p>
      <w:pPr>
        <w:spacing w:after="0" w:line="198"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Over the last few years we have expanded our workforce and activities to manage our expanding pipeline, including Phase 2 clinical trials. However, in July 2022, we announced we will not advance praluzatamab ravtansine into further clinical trials and will seek a partner for the program. As a result, we announced that we would reduce our workforce, primarily development and general and administrative staff, by approximately 40%. In the future we may need to grow our organization substantially to continue development and pursue the potential commercialization of our product candidates, including CX-801 and CX-2051 as well as function as a public company. As we increase the number of our product candidates entering and advancing through preclinical studies and clinical trials, we will need to expand our development, regulatory and manufacturing capabilities or contract with additional organizations to provide these capabilities for us. In addition, we expect our collaborations to require greater resources as the development of our product candidates under such agreements progresses. In the future, we expect to also have to manage additional relationships with collaborators or partners, suppliers and other organizations. In particular, if the third parties on which we currently rely are not capable of delivering services or supplies in a manner that is sufficient to meet our requirements as we expand our operations, we could be required to contract with new third parties and there can be no assurances that the services or supplies of such third parties will be available on commercially reasonable terms, or at all. Furthermore, our ability to manage our operations and future growth will require us to continue to increase headcount as well as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spacing w:after="0" w:line="16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13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or will develop product candidates and processes competitive with our product candidates. Competitive therapeutic treatments include those that have already been approved and accepted by the medical community and any new treatments that enter the market. We believe that a significant number of products are currently under development, and may become commercially available in the future, for the treatment of conditions for which we may try to develop product candidates. Additionally, there is intense and rapidly evolving competition in the biotechnology, biopharmaceutical and antibody and immunoregulatory therapeutics fields, and our competitors include larger and better funded biopharmaceutical, biotechnological and therapeutics companies. In addition, these companies compete with us in recruiting scientific and managerial talent.</w:t>
      </w:r>
    </w:p>
    <w:p>
      <w:pPr>
        <w:spacing w:after="0" w:line="178"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We believe that while our Probody platform, its associated intellectual property and our scientific and technical know-how, give us a competitive advantage in this space, competition from many sources remains. The clinical development pipeline for cancer includes small molecules, antibodies and therapies from a variety of groups. In addition, numerous compounds are in clinical development for cancer treatment. As a result, our success will partially depend on our ability to develop and protect therapeutics that are safer and more effective than competing products. Our commercial opportunity and success will be reduced or eliminated if competing products that are safer, more effective, or less expensive than the therapeutics we develop or if we are unable to utilize our Probody therapeutic technology to differentiate our Probody therapeutics from the products of our competitors. For instance, if any of our product candidates, including, praluzatamab ravtansine and CX-2029, are approved, they will compete with a range of therapeutic treatments that are either in development or currently marketed. A variety of oncology drugs and therapeutic biologics are currently on the market or in clinical development. The market for immunotherapies like pacmilimab (CX-072) is, in particular, highly competitive and the field is changing quickly. In March 2020, we made the strategic decision to terminate our Phase 2 study evaluating pacmilimab in combination ipilimumab. This decision followed a re-evaluation of the evolving clinical, competitive and commercial landscapes in immuno-oncology, taken together with the impact of the COVID-19 pandemic. Given the amount of time required to successfully develop and obtain regulatory approval for each of our product candidates, it is therefore possible that by the time we obtain any such approval, if ever, and commence sales, we may no longer be able to differentiate such product candidate from those of our competitors.</w:t>
      </w:r>
    </w:p>
    <w:p>
      <w:pPr>
        <w:spacing w:after="0" w:line="15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face substantial competition from pharmaceutical companies developing products in oncology, including companies such as Amgen, AstraZeneca PLC, Bristol Myers Squibb, GlaxoSmithKline plc, Merck &amp; Co., Inc. Novartis AG, Pfizer, Roche Holding Ltd. and Sanofi SA. Many large and mid-sized biotech companies, including BeiGene, Incyte, Nektar, and Alkermes have ongoing efforts in cancer immunotherapy. Several companies, including Adagene, Amgen, Sanofi, BioAtla, Halozyme, Harpoon Therapeutics, Revitope, Roche, Seagen, Takeda, Werewolf Therapeutics, and Xilio are exploring antibody masking and/or conditional activation strategies, which could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compete with our Probody platform. We are also aware of several companies that are developing ADCs, such as AbbVie, ADC Therapeutics, Daiichi Sankyo, Gilead, ImmunoGen, Merck &amp; Co., Mersana Therapeutics, Pfizer, Roche Holding Ltd. Seagen and Takeda. Furthermore, several large pharmaceutical companies, including Amgen, Novartis AG and Roche Holding Ltd., are developing T-cell engaging immunotherapies, and we are aware of several mid-sized biotech companies, such as MacroGenics and Xencor, and small companies with ongoing efforts to develop T-cell engaging immunotherapies. Any of these companies may be well capitalized and may have significant clinical experience. In addition, these companies include our collaborators.</w:t>
      </w:r>
    </w:p>
    <w:p>
      <w:pPr>
        <w:spacing w:after="0" w:line="176"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less differentiated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inability to attract and retain qualified key management and technical personnel would impair our ability to implement our business plan.</w:t>
      </w:r>
    </w:p>
    <w:p>
      <w:pPr>
        <w:spacing w:after="0" w:line="221"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Our success largely depends on the continued service of key management, advisors and other specialized personnel, including Sean A. McCarthy, D.Phil., our chief executive officer and chairman. The loss of one or more members of our management team or other key employees or advisors could delay our research and development programs and have a material and adverse effect on our business, financial condition, results of operations and prospects. The relationships that our key managers have cultivated within our industry make us particularly dependent upon their continued employment with us. We are dependent on the continued service of our technical personnel because of the highly technical nature of our product candidates and technologies and the specialized nature of the regulatory approval process. Because our management team and key employees are not obligated to provide us with continued service, they could terminate their employment with us at any time without penalty. In particular, as a result of the COVID-19 pandemic, the ability of employees to engage in a remote working environment has increased the competitive landscape across the country for us in seeking qualified employees. Employees are now able to consider opportunities across the country and it may be more difficult to hire employees. Furthermore, it is more difficult to engage employees in Company culture and build working rapport when they are working remotely. As a result, it may be more difficult to retain employees on a long-term basis. Our future success will depend in large part on our continued ability to attract and retain other highly qualified scientific, technical and management personnel, as well as personnel with expertise in clinical testing, manufacturing, governmental regulation and commercialization. We face competition for personnel from other companies, universities, public and private research institutions, government entities and other organizations, especially as job opportunities in the biotechnology industry have recently increased significantly in the San Francisco Bay Area and across the country.</w:t>
      </w:r>
    </w:p>
    <w:p>
      <w:pPr>
        <w:spacing w:after="0" w:line="174"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168"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We currently have no sales, marketing or distribution capabilities or experience. If any of our product candidates is approved,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could be materially and adversely affected.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controls imposed in foreign markets may adversely affect our future profitability.</w:t>
      </w:r>
    </w:p>
    <w:p>
      <w:pPr>
        <w:spacing w:after="0" w:line="198"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5" w:name="page46"/>
    <w:bookmarkEnd w:id="45"/>
    <w:p>
      <w:pPr>
        <w:ind w:right="60"/>
        <w:spacing w:after="0" w:line="272" w:lineRule="auto"/>
        <w:rPr>
          <w:sz w:val="20"/>
          <w:szCs w:val="20"/>
          <w:color w:val="auto"/>
        </w:rPr>
      </w:pPr>
      <w:r>
        <w:rPr>
          <w:rFonts w:ascii="Arial" w:cs="Arial" w:eastAsia="Arial" w:hAnsi="Arial"/>
          <w:sz w:val="16"/>
          <w:szCs w:val="16"/>
          <w:color w:val="auto"/>
        </w:rPr>
        <w:t>pricing negotiations may continue after reimbursement has been obtained. Reference pricing used by various European Union member states and parallel distribution, or arbitrage between low-priced and high-priced member states, can further reduce prices. In some countries, we or future collaborators may be required to conduct a clinical trial or other studies that compare the cost-effectiveness of our Probody therapeutic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We currently do not know how the exit of the United Kingdom from the European Union will affect the pricing of prescription drugs, either in the United Kingdom or in the remaining European Union member states.</w:t>
      </w:r>
    </w:p>
    <w:p>
      <w:pPr>
        <w:spacing w:after="0" w:line="15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157"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We are exposed to significant product liability risks inherent in the development, testing, manufacturing and marketing of therapeutic treatments, including as a result of the clinical testing of praluzatamab ravtansine (CX-2009), CX-2029, BMS-986249, BMS-986288, pacmilimab (CX-072) and CX-904 and any of our other product candidates or those of our collaborators. Product liability claims could delay or prevent completion of our development programs. If we succeed in marketing product candidates, such claims could result in an FDA investigation of the safety and effectiveness of our product candidates, our manufacturing processes and facilities (or the manufacturing processes and facilities of our third-party manufacturers)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insurance that we believe is appropriate for our stage of development and may need to obtain higher levels of insurance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154"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b w:val="1"/>
          <w:bCs w:val="1"/>
          <w:i w:val="1"/>
          <w:iCs w:val="1"/>
          <w:color w:val="auto"/>
        </w:rPr>
        <w:t>Our employees and independent contractors may engage in misconduct or other improper activities, including noncompliance with regulatory standards and requirements.</w:t>
      </w:r>
    </w:p>
    <w:p>
      <w:pPr>
        <w:spacing w:after="0" w:line="157"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We are exposed to the risk of fraud or other misconduct by our employees or independent contractors. Misconduct by these parties could include intentional failures to comply with FDA regulations, provide accurate information to the FDA, comply with manufacturing standards we may establish, comply with federal and state data privacy, security, fraud and abuse, and other healthcare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w:t>
      </w:r>
    </w:p>
    <w:p>
      <w:pPr>
        <w:spacing w:after="0" w:line="154" w:lineRule="exact"/>
        <w:rPr>
          <w:sz w:val="20"/>
          <w:szCs w:val="20"/>
          <w:color w:val="auto"/>
        </w:rPr>
      </w:pPr>
    </w:p>
    <w:p>
      <w:pPr>
        <w:ind w:right="180"/>
        <w:spacing w:after="0" w:line="362" w:lineRule="auto"/>
        <w:rPr>
          <w:sz w:val="20"/>
          <w:szCs w:val="20"/>
          <w:color w:val="auto"/>
        </w:rPr>
      </w:pPr>
      <w:r>
        <w:rPr>
          <w:rFonts w:ascii="Arial" w:cs="Arial" w:eastAsia="Arial" w:hAnsi="Arial"/>
          <w:sz w:val="15"/>
          <w:szCs w:val="15"/>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w:t>
      </w:r>
    </w:p>
    <w:p>
      <w:pPr>
        <w:spacing w:after="0" w:line="87"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6" w:name="page47"/>
    <w:bookmarkEnd w:id="46"/>
    <w:p>
      <w:pPr>
        <w:ind w:right="20"/>
        <w:spacing w:after="0" w:line="257" w:lineRule="auto"/>
        <w:rPr>
          <w:sz w:val="20"/>
          <w:szCs w:val="20"/>
          <w:color w:val="auto"/>
        </w:rPr>
      </w:pPr>
      <w:r>
        <w:rPr>
          <w:rFonts w:ascii="Arial" w:cs="Arial" w:eastAsia="Arial" w:hAnsi="Arial"/>
          <w:sz w:val="17"/>
          <w:szCs w:val="17"/>
          <w:color w:val="auto"/>
        </w:rPr>
        <w:t>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For example, in March 2020, the COVID-19 pandemic caused us to restrict access to our facility and initiate a work-from-home program limiting onsite activity to a substantially reduced level of laboratory research activities. Although we have gradually increased levels of our laboratory research activities, we continue to operate in a hybrid, work-from-home environment and there can be no assurance that we will be able to continue to increase or maintain current levels of such activity or that the COVID-19 pandemic will not continue to impact our ability to conduct business.</w:t>
      </w:r>
    </w:p>
    <w:p>
      <w:pPr>
        <w:spacing w:after="0" w:line="162"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and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U.S.</w:t>
      </w:r>
    </w:p>
    <w:p>
      <w:pPr>
        <w:spacing w:after="0" w:line="198"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 xml:space="preserve">We prepare our financial statements in conformity with accounting principles generally accepted in the U.S. These accounting principles are subject to interpretation by the Financial Accounting Standards Board (“FASB”) and the SEC. A change in these policies or interpretations could have a significant effect on our reported financial results, may retroactively affect previously reported results, could cause unexpected financial reporting fluctuations, and may require us to make costly changes to our operational processes and accounting systems. For example, in May 2014, the FASB issued Accounting Standards Update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requires an entity to recognize the amount of revenue to which it expects to be entitled for the transfer of promised goods or services to customers. The ASU replaced most existing revenue recognition guidance in the U.S. GAAP when it became effective. The new standard was effective at the beginning of our fiscal year 2018 with early adoption permitted for our fiscal year 2017. We evaluated the impact of ASU 2014-09 on our financial statements and adoption of the standard had a significant impact on our financial statements and retroactively affected the accounting treatment of transactions completed before adoption. Additionally, for the purpose of revenue recognition, we are required to estimate research service periods as well as the related cost to completion, of our research development program. Such estimates are inherently uncertain and may result in changes in estimates to financial statements in subsequent periods.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98" w:lineRule="exact"/>
        <w:rPr>
          <w:sz w:val="20"/>
          <w:szCs w:val="20"/>
          <w:color w:val="auto"/>
        </w:rPr>
      </w:pPr>
    </w:p>
    <w:p>
      <w:pPr>
        <w:jc w:val="both"/>
        <w:ind w:right="120"/>
        <w:spacing w:after="0" w:line="271" w:lineRule="auto"/>
        <w:rPr>
          <w:sz w:val="20"/>
          <w:szCs w:val="20"/>
          <w:color w:val="auto"/>
        </w:rPr>
      </w:pPr>
      <w:r>
        <w:rPr>
          <w:rFonts w:ascii="Arial" w:cs="Arial" w:eastAsia="Arial" w:hAnsi="Arial"/>
          <w:sz w:val="16"/>
          <w:szCs w:val="16"/>
          <w:color w:val="auto"/>
        </w:rPr>
        <w:t>Under Sections 382 and 383 of the Internal Revenue Code of 1986, as amended (the “IRC”), if a corporation undergoes an “ownership change” (generally defined as a greater than 50 percentage points change (by value) in the ownership of its equity over a rolling three-year period), the corporation’s ability to use its pre-change net operating loss carryforwards and certain other pre-change tax attributes to offset its post-change income and taxes may be limited.</w:t>
      </w:r>
    </w:p>
    <w:p>
      <w:pPr>
        <w:ind w:right="140"/>
        <w:spacing w:after="0" w:line="237" w:lineRule="auto"/>
        <w:rPr>
          <w:sz w:val="20"/>
          <w:szCs w:val="20"/>
          <w:color w:val="auto"/>
        </w:rPr>
      </w:pPr>
      <w:r>
        <w:rPr>
          <w:rFonts w:ascii="Arial" w:cs="Arial" w:eastAsia="Arial" w:hAnsi="Arial"/>
          <w:sz w:val="18"/>
          <w:szCs w:val="18"/>
          <w:color w:val="auto"/>
        </w:rPr>
        <w:t>California has similar rules. For example, we performed an IRC Section 382 analysis in 2017 and determined there was an ownership change that resulted in Section 382 limitations. The ownership change limited our ability to utilize net operating losses against taxable income in 2018 for both federal and California tax purposes. The remaining net operating losses and credit will be available in future years before expiration during their respective carryforward periods. We may experience ownership changes in the future as a result of shifts in our stock ownership, some of which are outside our control, and our ability to utilize net operating loss carryforwards could be limited by an “ownership change” as described above, which could result in additional increased tax liability to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02"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i w:val="1"/>
          <w:iCs w:val="1"/>
          <w:color w:val="auto"/>
        </w:rPr>
        <w:t>If we are not able to obtain and enforce patent protection for our technologies or product candidates, development and commercialization of our product candidates may be adversely affected.</w:t>
      </w:r>
    </w:p>
    <w:p>
      <w:pPr>
        <w:spacing w:after="0" w:line="157"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 xml:space="preserve">Our success depends in part on our ability to obtain and maintain patents and other forms of intellectual property rights, including in-licenses of intellectual property rights of others, for our product candidates, methods used to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We have a substantial number of issued patents and pending patent applications, some of which are co-owned with a third party, covering our Probody platforms and products as well as methods of use and production thereof; we have exclusively licensed UCSB’s interest in the patent family co-owned with UCSB that covers Probody and other pro-protein technology in the fields of therapeutics,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diagnostics and prophylactics. In addition, we have exclusively licensed a patent portfolio of three patent families from UCSB that includes patents and patent applications that cover compositions and methods related to the screening for and identification of the masks and protease-cleavable linkers that we incorporate into our Probody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7" w:name="page48"/>
    <w:bookmarkEnd w:id="47"/>
    <w:p>
      <w:pPr>
        <w:ind w:right="80"/>
        <w:spacing w:after="0" w:line="253" w:lineRule="auto"/>
        <w:rPr>
          <w:sz w:val="20"/>
          <w:szCs w:val="20"/>
          <w:color w:val="auto"/>
        </w:rPr>
      </w:pPr>
      <w:r>
        <w:rPr>
          <w:rFonts w:ascii="Arial" w:cs="Arial" w:eastAsia="Arial" w:hAnsi="Arial"/>
          <w:sz w:val="17"/>
          <w:szCs w:val="17"/>
          <w:color w:val="auto"/>
        </w:rPr>
        <w:t>candidates. We may not be able to apply for patents on certain aspects of our product candidates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 Moreover, the patent position of biotechnology and biopharmaceutical companies can be highly uncertain because it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U.S. Patent and Trademark Office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proprietary products and technology. While we will endeavor to try to protect our product candidates with intellectual property rights such as patents, as appropriate, the process of obtaining patents is time-consuming, expensive and sometimes unpredictable.</w:t>
      </w:r>
    </w:p>
    <w:p>
      <w:pPr>
        <w:spacing w:after="0" w:line="154"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 xml:space="preserve">In addition, there are numerous recent changes to the patent laws and proposed changes to the rules of the USPTO that may have a significant impact on our ability to protect our technology and enforce our intellectual property rights. For example, the America Invents Act (“AIA”) enacted within the last several years involves significant changes in patent legislation. The Supreme Court has ruled on several patent cases in recent years, some of which cases either narrow the scope of patent protection available in certain circumstances or weaken the rights of patent owners in certain situations. The recent decision by the Supreme Court in </w:t>
      </w:r>
      <w:r>
        <w:rPr>
          <w:rFonts w:ascii="Arial" w:cs="Arial" w:eastAsia="Arial" w:hAnsi="Arial"/>
          <w:sz w:val="16"/>
          <w:szCs w:val="16"/>
          <w:i w:val="1"/>
          <w:iCs w:val="1"/>
          <w:color w:val="auto"/>
        </w:rPr>
        <w:t>Association for Molecular Pathology v. Myriad Genetics, Inc</w:t>
      </w:r>
      <w:r>
        <w:rPr>
          <w:rFonts w:ascii="Arial" w:cs="Arial" w:eastAsia="Arial" w:hAnsi="Arial"/>
          <w:sz w:val="16"/>
          <w:szCs w:val="16"/>
          <w:color w:val="auto"/>
        </w:rPr>
        <w:t>. precludes a claim to a nucleic acid having a stated nucleotide sequence that is identical to a sequence found in nature and has not been modified. We currently are not aware of an immediate impact of this decision on our patents or patent applications because we are developing product candidates that contain modifications, such as our Probody substrates and masks, that we believe are not found in nature. However, this decision has yet to be clearly interpreted by courts and by the USPTO. We cannot assure you that the interpretations of this decision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58"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allowed or granted claims thus attacked, or may lose the allowed or granted claims altogether. In addition, there can be no assurance that:</w:t>
      </w:r>
    </w:p>
    <w:p>
      <w:pPr>
        <w:spacing w:after="0" w:line="81" w:lineRule="exact"/>
        <w:rPr>
          <w:sz w:val="20"/>
          <w:szCs w:val="20"/>
          <w:color w:val="auto"/>
        </w:rPr>
      </w:pPr>
    </w:p>
    <w:p>
      <w:pPr>
        <w:ind w:left="1020" w:right="22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62" w:lineRule="exact"/>
        <w:rPr>
          <w:rFonts w:ascii="Arial" w:cs="Arial" w:eastAsia="Arial" w:hAnsi="Arial"/>
          <w:sz w:val="18"/>
          <w:szCs w:val="18"/>
          <w:color w:val="auto"/>
        </w:rPr>
      </w:pPr>
    </w:p>
    <w:p>
      <w:pPr>
        <w:ind w:left="1020" w:right="58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our licensors, or our collaborators are the first to make the inventions covered by each of our issued patents and pending patent applications that we own or license.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our licensors, or our collaborators are the first to file patent applications covering certain aspects of our inventions.</w:t>
      </w:r>
    </w:p>
    <w:p>
      <w:pPr>
        <w:spacing w:after="0" w:line="103" w:lineRule="exact"/>
        <w:rPr>
          <w:rFonts w:ascii="Arial" w:cs="Arial" w:eastAsia="Arial" w:hAnsi="Arial"/>
          <w:sz w:val="18"/>
          <w:szCs w:val="18"/>
          <w:color w:val="auto"/>
        </w:rPr>
      </w:pPr>
    </w:p>
    <w:p>
      <w:pPr>
        <w:ind w:left="1020" w:right="90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will not independently develop similar or alternative technologies or duplicate any of our technologies without infringing, misappropriating or otherwise violating our intellectual property rights.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third party may not challenge our patents and, if challenged, a court would hold that our patents are valid, enforceable and infringed.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issued patents that we own or have licensed will provide us with any competitive advantages, or will not be challenged by third parties.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develop additional proprietary technologies that are patentable.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8" w:name="page49"/>
    <w:bookmarkEnd w:id="48"/>
    <w:p>
      <w:pPr>
        <w:ind w:left="1020" w:hanging="503"/>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patents of others will not have a material or adverse effect on our business, financial condition, results of operations and prospects.</w:t>
      </w:r>
    </w:p>
    <w:p>
      <w:pPr>
        <w:spacing w:after="0" w:line="115" w:lineRule="exact"/>
        <w:rPr>
          <w:rFonts w:ascii="Arial" w:cs="Arial" w:eastAsia="Arial" w:hAnsi="Arial"/>
          <w:sz w:val="17"/>
          <w:szCs w:val="17"/>
          <w:color w:val="auto"/>
        </w:rPr>
      </w:pPr>
    </w:p>
    <w:p>
      <w:pPr>
        <w:ind w:left="1020" w:right="20" w:hanging="503"/>
        <w:spacing w:after="0" w:line="291"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13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Probody therapeutics are a relatively new scientific field. We have obtained grants and issuances of Probody therapeutic patents and have licensed one patent family comprising several of these patents from a third party on an exclusive basis for therapeutics applications.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and have licensed a portfolio of patents, patent applications and other intellectual property covering Probody compositions of matter as well as their methods of manufacturing and use.</w:t>
      </w:r>
    </w:p>
    <w:p>
      <w:pPr>
        <w:spacing w:after="0" w:line="176" w:lineRule="exact"/>
        <w:rPr>
          <w:sz w:val="20"/>
          <w:szCs w:val="20"/>
          <w:color w:val="auto"/>
        </w:rPr>
      </w:pPr>
    </w:p>
    <w:p>
      <w:pPr>
        <w:jc w:val="both"/>
        <w:ind w:right="220"/>
        <w:spacing w:after="0" w:line="248" w:lineRule="auto"/>
        <w:rPr>
          <w:sz w:val="20"/>
          <w:szCs w:val="20"/>
          <w:color w:val="auto"/>
        </w:rPr>
      </w:pPr>
      <w:r>
        <w:rPr>
          <w:rFonts w:ascii="Arial" w:cs="Arial" w:eastAsia="Arial" w:hAnsi="Arial"/>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w:t>
      </w:r>
    </w:p>
    <w:p>
      <w:pPr>
        <w:spacing w:after="0" w:line="141"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74"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Probody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Obtaining a valid and enforceable issued or granted patent covering our technology in the U.S.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spacing w:after="0" w:line="170"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For example, in March 2022, Russia adopted a decree allowing local companies and individuals to use inventions from certain countries designated as “unfriendly”, including the U.S. Further, under current U.S. currency restrictions on payments to entities in Russia, we may be unable in the future to pay for the prosecution of patent applications or the maintenance of existing patents in Russia. As a result of these actions, we may not be able to protect our technology from unlicensed use in Russia.</w:t>
      </w:r>
    </w:p>
    <w:p>
      <w:pPr>
        <w:spacing w:after="0" w:line="17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 xml:space="preserve">We generally file a provisional patent application first (a priority filing) at the USPTO. An international application under the Patent Cooperation Treaty (“PCT”) is usually filed within twelve months after the priority filing. Based on the PCT filing, national and regional patent applications may be filed in the United States, Europe, Japan, Australia and Canada and, depending on the individual case, also in any or all of, </w:t>
      </w:r>
      <w:r>
        <w:rPr>
          <w:rFonts w:ascii="Arial" w:cs="Arial" w:eastAsia="Arial" w:hAnsi="Arial"/>
          <w:sz w:val="18"/>
          <w:szCs w:val="18"/>
          <w:i w:val="1"/>
          <w:iCs w:val="1"/>
          <w:color w:val="auto"/>
        </w:rPr>
        <w:t>inter alia</w:t>
      </w:r>
      <w:r>
        <w:rPr>
          <w:rFonts w:ascii="Arial" w:cs="Arial" w:eastAsia="Arial" w:hAnsi="Arial"/>
          <w:sz w:val="18"/>
          <w:szCs w:val="18"/>
          <w:color w:val="auto"/>
        </w:rPr>
        <w:t>, Brazil, China, Hong Kong, India, Indonesia, Israel, Malaysia, Mexico, New Zealand, Russia or Eurasian Patent Organization, Singapore,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various scopes of patent protection may be granted on the same product candidate or technology.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9" w:name="page50"/>
    <w:bookmarkEnd w:id="49"/>
    <w:p>
      <w:pPr>
        <w:spacing w:after="0" w:line="272" w:lineRule="auto"/>
        <w:rPr>
          <w:sz w:val="20"/>
          <w:szCs w:val="20"/>
          <w:color w:val="auto"/>
        </w:rPr>
      </w:pPr>
      <w:r>
        <w:rPr>
          <w:rFonts w:ascii="Arial" w:cs="Arial" w:eastAsia="Arial" w:hAnsi="Arial"/>
          <w:sz w:val="16"/>
          <w:szCs w:val="16"/>
          <w:color w:val="auto"/>
        </w:rPr>
        <w:t>The laws of some jurisdictions do not protect intellectual property rights to the same extent as the laws in the U.S.,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15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b w:val="1"/>
          <w:bCs w:val="1"/>
          <w:i w:val="1"/>
          <w:iCs w:val="1"/>
          <w:color w:val="auto"/>
        </w:rPr>
        <w:t>We or our licensors,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time consuming, delay or prevent the development and commercialization of our product candidates, or put our patents and other proprietary rights at risk.</w:t>
      </w:r>
    </w:p>
    <w:p>
      <w:pPr>
        <w:spacing w:after="0" w:line="174"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We or our licensors,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For example, in March 2020, Vytacera Bio, LLC filed a patent infringement lawsuit against the Company in the U.S. District Court for the District of Delaware. The lawsuit alleges that the Company’s use, offers to sell, and/or sales of the Probody technology platform for basic research applications constitutes infringement. The complaint seeks unspecified monetary damages. The Company believes that the lawsuit is without merit and intends to vigorously defend itself. However, there can be no assurance that a court might not rule against us in these proceedings. Even if we are successful in defending against such claim, this litigation could divert management’s attention, as well as our resources, from our business and any claims paid out of our cash reserves would harm our financial condition and operating results.</w:t>
      </w:r>
    </w:p>
    <w:p>
      <w:pPr>
        <w:spacing w:after="0" w:line="154"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153"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If we were to initiate legal proceedings against a third party to enforce a patent covering one of our products or our technology, the defendant could counterclaim that our patent is invalid or unenforceable. In patent litigation in the U.S.,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misappropriating or otherwise violating our patents or other intellectual property rights.</w:t>
      </w:r>
    </w:p>
    <w:p>
      <w:pPr>
        <w:spacing w:after="0" w:line="172" w:lineRule="exact"/>
        <w:rPr>
          <w:sz w:val="20"/>
          <w:szCs w:val="20"/>
          <w:color w:val="auto"/>
        </w:rPr>
      </w:pPr>
    </w:p>
    <w:p>
      <w:pPr>
        <w:jc w:val="both"/>
        <w:ind w:right="420"/>
        <w:spacing w:after="0" w:line="248" w:lineRule="auto"/>
        <w:rPr>
          <w:sz w:val="20"/>
          <w:szCs w:val="20"/>
          <w:color w:val="auto"/>
        </w:rPr>
      </w:pPr>
      <w:r>
        <w:rPr>
          <w:rFonts w:ascii="Arial" w:cs="Arial" w:eastAsia="Arial" w:hAnsi="Arial"/>
          <w:sz w:val="18"/>
          <w:szCs w:val="18"/>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168" w:lineRule="exact"/>
        <w:rPr>
          <w:sz w:val="20"/>
          <w:szCs w:val="20"/>
          <w:color w:val="auto"/>
        </w:rPr>
      </w:pPr>
    </w:p>
    <w:p>
      <w:pPr>
        <w:jc w:val="both"/>
        <w:ind w:right="440"/>
        <w:spacing w:after="0" w:line="291" w:lineRule="auto"/>
        <w:rPr>
          <w:sz w:val="20"/>
          <w:szCs w:val="20"/>
          <w:color w:val="auto"/>
        </w:rPr>
      </w:pPr>
      <w:r>
        <w:rPr>
          <w:rFonts w:ascii="Arial" w:cs="Arial" w:eastAsia="Arial" w:hAnsi="Arial"/>
          <w:sz w:val="17"/>
          <w:szCs w:val="17"/>
          <w:color w:val="auto"/>
        </w:rPr>
        <w:t>Because the antibody landscape is still evolving, including the masked antibody landscape, it is difficult to conclusively assess our freedom to operate without infringing on third-party rights. There are numerous companies that have pending patent applications and issued patents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50" w:name="page51"/>
    <w:bookmarkEnd w:id="50"/>
    <w:p>
      <w:pPr>
        <w:spacing w:after="0" w:line="268" w:lineRule="auto"/>
        <w:rPr>
          <w:sz w:val="20"/>
          <w:szCs w:val="20"/>
          <w:color w:val="auto"/>
        </w:rPr>
      </w:pPr>
      <w:r>
        <w:rPr>
          <w:rFonts w:ascii="Arial" w:cs="Arial" w:eastAsia="Arial" w:hAnsi="Arial"/>
          <w:sz w:val="16"/>
          <w:szCs w:val="16"/>
          <w:color w:val="auto"/>
        </w:rPr>
        <w:t>broadly covering antibodies generally or covering antibodies directed against the same targets as, or targets similar to, those we are pursuing. There are many issued patents and patent applications covering antibodies targeted against PD-1 and PD-L1, and the intellectual property covering PD-1 and PD-L1 antibodies has been the subject of litigation and licensing, especially regarding how broadly certain claims should be construed. If the claims were to be construed broadly by the courts, we may need to obtain a license to some of such intellectual property, covering PD-1 and/or PD-L1 antibodies, which would decrease the profits we would realize from the sale of such products. An increasing number of third parties are filing masked antibody patent applications, several of which contain claims that are patterned after our own patent claims. Our competitive position may suffer if patents issued to third parties or other third-party intellectual property rights cover our products or product candidates or elements thereof, or our manufacture or uses relevant to our development plans.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 enforceable, could be alleged to be infringed by our Probody therapeutic technologies. There also may be pending patent applications of which we are not aware that may result in issued patents, which could be alleged to be infringed by our Probody therapeutic technologies. If such an infringement claim should be brought and be successful, we may be required to pay substantial damages, be forced to abandon our product candidates or seek a license from any patent holders. No assurances can be given that a license will be available on commercially reasonable terms, if at all.</w:t>
      </w:r>
    </w:p>
    <w:p>
      <w:pPr>
        <w:spacing w:after="0" w:line="16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It is also possible that we have failed to identify relevant third-party patents or applications. For example, U.S. applications filed before November 29, 2000, and certain U.S.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210"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Litigation, including the ongoing patent infringement lawsuit brought by Vytacera Bio, LLC (“Vytacera”) against us,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67"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or from successfully challenging our intellectual property rights. For example, although we believe the Vytacera lawsuit is without merit and we intend to vigorously defend ourselves, we cannot provide any assurance that we will be successful. Uncertainties resulting from the initiation and continuation of patent litigation or other proceedings could have a material and adverse effect on our ability to compete in the marketplace.</w:t>
      </w:r>
    </w:p>
    <w:p>
      <w:pPr>
        <w:spacing w:after="0" w:line="148"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b w:val="1"/>
          <w:bCs w:val="1"/>
          <w:i w:val="1"/>
          <w:iCs w:val="1"/>
          <w:color w:val="auto"/>
        </w:rPr>
        <w:t>If we fail to comply with our obligations under any license, collaboration or other agreements, we may be required to pay damages and could lose our rights to intellectual property rights that are necessary for developing and protecting our product candidates or we could lose certain rights to grant sublicenses.</w:t>
      </w:r>
    </w:p>
    <w:p>
      <w:pPr>
        <w:spacing w:after="0" w:line="168" w:lineRule="exact"/>
        <w:rPr>
          <w:sz w:val="20"/>
          <w:szCs w:val="20"/>
          <w:color w:val="auto"/>
        </w:rPr>
      </w:pPr>
    </w:p>
    <w:p>
      <w:pPr>
        <w:ind w:right="500"/>
        <w:spacing w:after="0" w:line="270" w:lineRule="auto"/>
        <w:rPr>
          <w:sz w:val="20"/>
          <w:szCs w:val="20"/>
          <w:color w:val="auto"/>
        </w:rPr>
      </w:pPr>
      <w:r>
        <w:rPr>
          <w:rFonts w:ascii="Arial" w:cs="Arial" w:eastAsia="Arial" w:hAnsi="Arial"/>
          <w:sz w:val="17"/>
          <w:szCs w:val="17"/>
          <w:color w:val="auto"/>
        </w:rPr>
        <w:t>Our licenses from Amgen, ImmunoGen and UCSB impose, and any future licenses we enter into are likely to impose, various development, commercialization, funding, diligence, sublicensing, insurance, patent prosecution and enforcement and/or other obligations on us, including various payment obligations such as milestone and royalty payments and payments based on sublicensing revenues. Our rights under our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51" w:name="page52"/>
    <w:bookmarkEnd w:id="51"/>
    <w:p>
      <w:pPr>
        <w:ind w:right="60"/>
        <w:spacing w:after="0" w:line="271" w:lineRule="auto"/>
        <w:rPr>
          <w:sz w:val="20"/>
          <w:szCs w:val="20"/>
          <w:color w:val="auto"/>
        </w:rPr>
      </w:pPr>
      <w:r>
        <w:rPr>
          <w:rFonts w:ascii="Arial" w:cs="Arial" w:eastAsia="Arial" w:hAnsi="Arial"/>
          <w:sz w:val="16"/>
          <w:szCs w:val="16"/>
          <w:color w:val="auto"/>
        </w:rPr>
        <w:t>agreements with our licensors or collaborators may be limited or modified according to their terms. Additionally,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and collaborators may own or control intellectual property that has not been licensed to us and, as a result, we may be subject to claims, regardless of their merit, that we are infringing, misappropriating or otherwise violating the licensor’s rights. In addition, while we cannot currently determine the amount of the royalty or sublicense revenue payment obligations we would be required to pay on development or sales of future products, if any, the amounts may be significant. The amount of our future royalty or sublicense revenue payment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155" w:lineRule="exact"/>
        <w:rPr>
          <w:sz w:val="20"/>
          <w:szCs w:val="20"/>
          <w:color w:val="auto"/>
        </w:rPr>
      </w:pPr>
    </w:p>
    <w:p>
      <w:pPr>
        <w:jc w:val="both"/>
        <w:ind w:right="160"/>
        <w:spacing w:after="0" w:line="248" w:lineRule="auto"/>
        <w:rPr>
          <w:sz w:val="20"/>
          <w:szCs w:val="20"/>
          <w:color w:val="auto"/>
        </w:rPr>
      </w:pPr>
      <w:r>
        <w:rPr>
          <w:rFonts w:ascii="Arial" w:cs="Arial" w:eastAsia="Arial" w:hAnsi="Arial"/>
          <w:sz w:val="18"/>
          <w:szCs w:val="18"/>
          <w:b w:val="1"/>
          <w:bCs w:val="1"/>
          <w:i w:val="1"/>
          <w:iCs w:val="1"/>
          <w:color w:val="auto"/>
        </w:rPr>
        <w:t>Our intellectual property agreements with our licensors, collaborators and third parties may be subject to disagreements over contract interpretation, which could narrow the scope of, or result in termination of, our rights to the relevant intellectual property or technology or increase our financial or other obligations to such third parties.</w:t>
      </w:r>
    </w:p>
    <w:p>
      <w:pPr>
        <w:spacing w:after="0" w:line="168"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Certain provisions in our intellectual property agreements may be susceptible to multiple interpretations. For example, we may disagree with our licensors or collaborators regarding whether, when and to what extent various obligations under these agreements apply to certain of our product candidates and products, including various payment, development, commercialization, funding, diligence, sublicensing, insurance, patent prosecution and enforcement and/or other obligations. The resolution of any contract interpretation disagreement that may arise could affect the scope of our rights to the relevant intellectual property or technology, or affect financial or other obligations under the relevant agreement. In either case, such disagreement could have a material adverse effect on our business, financial condition, results of operations and prospects.</w:t>
      </w:r>
    </w:p>
    <w:p>
      <w:pPr>
        <w:spacing w:after="0" w:line="162" w:lineRule="exact"/>
        <w:rPr>
          <w:sz w:val="20"/>
          <w:szCs w:val="20"/>
          <w:color w:val="auto"/>
        </w:rPr>
      </w:pPr>
    </w:p>
    <w:p>
      <w:pPr>
        <w:ind w:right="120"/>
        <w:spacing w:after="0" w:line="208" w:lineRule="exact"/>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w:t>
      </w:r>
      <w:r>
        <w:rPr>
          <w:rFonts w:ascii="MS PGothic" w:cs="MS PGothic" w:eastAsia="MS PGothic" w:hAnsi="MS PGothic"/>
          <w:sz w:val="18"/>
          <w:szCs w:val="18"/>
          <w:color w:val="auto"/>
        </w:rPr>
        <w:t>‑</w:t>
      </w:r>
      <w:r>
        <w:rPr>
          <w:rFonts w:ascii="Arial" w:cs="Arial" w:eastAsia="Arial" w:hAnsi="Arial"/>
          <w:sz w:val="18"/>
          <w:szCs w:val="18"/>
          <w:color w:val="auto"/>
        </w:rPr>
        <w:t>executing or may be breached, and we may be forced to bring claims against third parties, or defend claims they may bring against us, to determine the ownership of what we regard as our intellectual property.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seeking patent protection for certain aspects of our product candidates, we also consider trade secrets, including confidential and unpatented know-how, important to the maintenance of our competitive position. We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w:t>
      </w:r>
    </w:p>
    <w:p>
      <w:pPr>
        <w:spacing w:after="0" w:line="149"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162" w:lineRule="exact"/>
        <w:rPr>
          <w:sz w:val="20"/>
          <w:szCs w:val="20"/>
          <w:color w:val="auto"/>
        </w:rPr>
      </w:pPr>
    </w:p>
    <w:p>
      <w:pPr>
        <w:ind w:right="380"/>
        <w:spacing w:after="0" w:line="270"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15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52" w:name="page53"/>
    <w:bookmarkEnd w:id="52"/>
    <w:p>
      <w:pPr>
        <w:ind w:right="100"/>
        <w:spacing w:after="0" w:line="26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7"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02"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i w:val="1"/>
          <w:iCs w:val="1"/>
          <w:color w:val="auto"/>
        </w:rPr>
        <w:t>We may be unable to obtain or be delayed in obtaining U.S. or foreign regulatory approval and, as a result, be unable or delayed in being able to commercialize our product candidates.</w:t>
      </w:r>
    </w:p>
    <w:p>
      <w:pPr>
        <w:spacing w:after="0" w:line="157"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Our product candidates that we are currently developing are regulated as therapeutic biologics that are subject to requirements for review and approval of a BLA by the FDA’s Center for Drug Evaluation and Research (“CDER”). Therefore, 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and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time consuming, uncertain and subject to unanticipated delays. For example, at this time it is impossible to predict whether the COVID-19 pandemic will cause regulatory delays in the U.S. or foreign jurisdictions. It is possible that none of the product candidates we may develop will obtain the regulatory approvals necessary for us or our existing or future collaborators to begin selling them.</w:t>
      </w:r>
    </w:p>
    <w:p>
      <w:pPr>
        <w:spacing w:after="0" w:line="170"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As a company, we have limited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Further, government shutdowns, such as the partial U.S. federal government shutdown in late 2018 or the United Kingdom’s departure from the European Union may impact our ability to access government agencies in a timely manner or otherwise impact our ability to move our product candidates through the regulatory process. It is impossible to predict whether legislative changes will be enacted, or whether FDA or foreign regulations, guidance or interpretations will be changed, or what the impact of such changes, if any, may be.</w:t>
      </w:r>
    </w:p>
    <w:p>
      <w:pPr>
        <w:spacing w:after="0" w:line="17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Moreover, the FDA may respond to our submissions by defining requirements we may not have anticipated. Such responses could lead to significant delays in the clinical development of our product candidates. In addition, because there may be approved treatments for some of the diseases for which we may seek approval, in order to receive regulatory approval, we may need to demonstrate through clinical trials that the product candidates we develop to treat these diseases, if any, are not only safe and effective, but safer or more effective than existing products. Furthermore, in recent years, there has been increased public and political pressure on the FDA with respect to the approval process for new drugs and therapeutic biologics, and the FDA’s standards, especially regarding product safety, appear to have become more stringent.</w:t>
      </w:r>
    </w:p>
    <w:p>
      <w:pPr>
        <w:spacing w:after="0" w:line="13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REMS as part of a BLA or after approval, which may impose further requirements or restrictions on the distribution or use of an approved drug or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177"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U.S. and vice versa.</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53" w:name="page54"/>
    <w:bookmarkEnd w:id="53"/>
    <w:p>
      <w:pPr>
        <w:ind w:right="20"/>
        <w:spacing w:after="0" w:line="243"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74"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Any regulatory approvals that we or our collaborators obtain for our product candidates may also be subject to limitations on the approved indicated uses for which a product may be marketed or to the conditions of approval, or contain requirements for potentially costly post-marketing testing, including “Phase 4” clinical trials, and surveillance to monitor the safety and efficacy of the product candidate. 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76" w:lineRule="exact"/>
        <w:rPr>
          <w:sz w:val="20"/>
          <w:szCs w:val="20"/>
          <w:color w:val="auto"/>
        </w:rPr>
      </w:pPr>
    </w:p>
    <w:p>
      <w:pPr>
        <w:ind w:left="1020" w:right="12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refusal by the FDA to approve pending applications or supplements to approved applications filed by us or our strategic partners;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suspension or revocation of product approvals;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98"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47"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candidates for which we intend to seek approval as biologic products may face competition sooner than anticipated.</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Affordable Care Act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62"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4" w:name="page55"/>
    <w:bookmarkEnd w:id="54"/>
    <w:p>
      <w:pPr>
        <w:ind w:right="140"/>
        <w:spacing w:after="0" w:line="238"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inherently fluid and unpredictable. Disruptions at the FDA and other agencies may also slow the time necessary for therapeutic biologics or modifications to approved therapeutic biologics to be reviewed and/or approved by necessary government agencies, which would adversely affect our business. For example, over the last several years, the U.S. government has shut down several times and certain regulatory agencies, such as the FDA, have had to furlough FDA employees and stop critical activities.</w:t>
      </w:r>
    </w:p>
    <w:p>
      <w:pPr>
        <w:spacing w:after="0" w:line="180"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Separately, in response to the COVID-19 pandemic, in March 2020, the FDA announced its intention to postpone most inspections of foreign manufacturing facilities, and on March 18, 2020, the FDA temporarily postponed routine surveillance inspections of domestic manufacturing facilities. Subsequently, in July 2020, the FDA resumed certain on-site inspections of domestic manufacturing facilities subject to a risk-based prioritization system. The FDA utilized this risk-based assessment system to assist in determining when and where it was the safest to conduct prioritized domestic inspections. Additionally, on April 15, 2021, the FDA issued a guidance document in which the FDA described its plans to conduct voluntary remote interactive evaluations of certain drug manufacturing facilities and clinical research sites, among other facilities. According to the guidance, the FDA may request such remote interactive evaluations where the FDA determines that remote evaluation would be appropriate based on mission needs and travel limitations. In May 2021, the FDA outlined a detailed plan to move toward a more consistent state of inspectional operations, and in July 2021, the FDA resumed standard inspectional operations of domestic facilities and was continuing to maintain this level of operation as of September 2021. More recently, the FDA has continued to monitor and implement changes to its inspectional activities to ensure the safety of its employees and those of the firms it regulates as it adapts to the evolving COVID-19 pandemic.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and adverse effect on our business and results of operations.</w:t>
      </w:r>
    </w:p>
    <w:p>
      <w:pPr>
        <w:spacing w:after="0" w:line="198"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(together, the “ACA”), was passed, which substantially changed the way healthcare is financed by both governmental and private insurers, and significantly impacts the U.S. pharmaceutical industry. The ACA, among other things, subjected therapeutic biologics to potential competition by lower-cost biosimilars, addressed a new methodology by which rebates owed by manufacturers under the Medicaid Drug Rebate Program are calculated for drugs and therapeutic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therapeutic biologics, and created a new Medicare Part D coverage gap discount program, in which manufacturers must agree to offer 50% point-of-sale discounts, which, through subsequent legislative amendments, was increased to 70% starting in 2019, off negotiated prices of applicable brand drugs and therapeutic biologics to eligible beneficiaries during their coverage gap period, as a condition for the manufacturer’s outpatient drugs and therapeutic biologics to be covered under Medicare Part D.</w:t>
      </w:r>
    </w:p>
    <w:p>
      <w:pPr>
        <w:spacing w:after="0" w:line="153"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It is unclear how healthcare reform measures enacted by Congress or implemented by the Biden administration, if any, will impact our business.</w:t>
      </w:r>
    </w:p>
    <w:p>
      <w:pPr>
        <w:spacing w:after="0" w:line="162"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to reduce healthcare expenditures.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2, 2020 through March 31, 2022, unless additional Congressional action is taken.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5" w:name="page56"/>
    <w:bookmarkEnd w:id="55"/>
    <w:p>
      <w:pPr>
        <w:ind w:right="200"/>
        <w:spacing w:after="0" w:line="261" w:lineRule="auto"/>
        <w:rPr>
          <w:sz w:val="20"/>
          <w:szCs w:val="20"/>
          <w:color w:val="auto"/>
        </w:rPr>
      </w:pPr>
      <w:r>
        <w:rPr>
          <w:rFonts w:ascii="Arial" w:cs="Arial" w:eastAsia="Arial" w:hAnsi="Arial"/>
          <w:sz w:val="18"/>
          <w:szCs w:val="18"/>
          <w:color w:val="auto"/>
        </w:rPr>
        <w:t>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15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 xml:space="preserve">Moreover, payment methodologies, including payment for companion diagnostics, may be subject to changes in healthcare legislation and regulatory initiatives. For example, in March 2018, the Centers for Medicare &amp; Medicaid Services (“CMS”) finalized a national coverage determination extending coverage under the Medicare program for certain diagnostic laboratory tests using next generation sequencing (“NGS”) that are approved by the FDA as a companion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and used in a cancer with an FDA-approved companion diagnostic indication. Under the national coverage determination, diagnostic tests that meet these criteria are covered only in patients with recurrent, metastatic, relapsed, refractory or stages III or IV cancer if the test has an FDA-approved or cleared indication for use in that patient’s cancer and results are provided to the treating physician for management of the patient using a report template to specify treatment options. Although the Medicare program increasingly is used as a model for how private payors and other governmental payors develop their coverage and reimbursement policies, it is difficult to predict at this time what third-party payors will decide with respect to the coverage and reimbursement for any companion diagnostics associated with our product candidates.</w:t>
      </w:r>
    </w:p>
    <w:p>
      <w:pPr>
        <w:spacing w:after="0" w:line="170"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In addition,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For example, the 21st Century Cures Act changed the reimbursement methodology for infusion drugs and biologics furnished through durable medical equipment in an attempt to remedy over- and underpayment of certain products. Furthermore, the Build Back Better Act, if enacted, would introduce substantial drug pricing reforms, including the establishment of a drug price negotiation program within the U.S. Department of Health and Human Services that would require manufacturers to charge a negotiated “maximum fair price” for certain selected drugs or pay an excise tax for noncompliance, and the establishment of rebate payment requirements on manufacturers of certain drugs payable under Medicare Parts B and D. If the Build Back Better Act is not enacted, similar or other drug pricing proposals could appear in future legislation.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companion diagnostics or additional pricing pressures.</w:t>
      </w:r>
    </w:p>
    <w:p>
      <w:pPr>
        <w:spacing w:after="0" w:line="361" w:lineRule="exact"/>
        <w:rPr>
          <w:sz w:val="20"/>
          <w:szCs w:val="20"/>
          <w:color w:val="auto"/>
        </w:rPr>
      </w:pPr>
    </w:p>
    <w:p>
      <w:pPr>
        <w:ind w:right="540"/>
        <w:spacing w:after="0" w:line="324" w:lineRule="auto"/>
        <w:rPr>
          <w:sz w:val="20"/>
          <w:szCs w:val="20"/>
          <w:color w:val="auto"/>
        </w:rPr>
      </w:pPr>
      <w:r>
        <w:rPr>
          <w:rFonts w:ascii="Arial" w:cs="Arial" w:eastAsia="Arial" w:hAnsi="Arial"/>
          <w:sz w:val="16"/>
          <w:szCs w:val="16"/>
          <w:b w:val="1"/>
          <w:bCs w:val="1"/>
          <w:i w:val="1"/>
          <w:iCs w:val="1"/>
          <w:color w:val="auto"/>
        </w:rPr>
        <w:t>If we or our collaborators, manufacturers or service providers fail to comply with healthcare laws and regulations, we or they could be subject to enforcement actions, which could affect our ability to develop, market and sell our products and may harm our reputation.</w:t>
      </w:r>
    </w:p>
    <w:p>
      <w:pPr>
        <w:spacing w:after="0" w:line="11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Although we do not currently have any products on the market, if and when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spacing w:after="0" w:line="83" w:lineRule="exact"/>
        <w:rPr>
          <w:sz w:val="20"/>
          <w:szCs w:val="20"/>
          <w:color w:val="auto"/>
        </w:rPr>
      </w:pPr>
    </w:p>
    <w:p>
      <w:pPr>
        <w:ind w:left="1020" w:right="20" w:hanging="503"/>
        <w:spacing w:after="0" w:line="24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81" w:lineRule="exact"/>
        <w:rPr>
          <w:rFonts w:ascii="Arial" w:cs="Arial" w:eastAsia="Arial" w:hAnsi="Arial"/>
          <w:sz w:val="18"/>
          <w:szCs w:val="18"/>
          <w:color w:val="auto"/>
        </w:rPr>
      </w:pPr>
    </w:p>
    <w:p>
      <w:pPr>
        <w:ind w:left="1020" w:right="80" w:hanging="503"/>
        <w:spacing w:after="0" w:line="257" w:lineRule="auto"/>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67" w:lineRule="exact"/>
        <w:rPr>
          <w:rFonts w:ascii="Arial" w:cs="Arial" w:eastAsia="Arial" w:hAnsi="Arial"/>
          <w:sz w:val="17"/>
          <w:szCs w:val="17"/>
          <w:color w:val="auto"/>
        </w:rPr>
      </w:pPr>
    </w:p>
    <w:p>
      <w:pPr>
        <w:ind w:left="1020" w:right="80" w:hanging="503"/>
        <w:spacing w:after="0" w:line="243"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6" w:name="page57"/>
    <w:bookmarkEnd w:id="56"/>
    <w:p>
      <w:pPr>
        <w:ind w:left="1020" w:right="60"/>
        <w:spacing w:after="0" w:line="261" w:lineRule="auto"/>
        <w:rPr>
          <w:sz w:val="20"/>
          <w:szCs w:val="20"/>
          <w:color w:val="auto"/>
        </w:rPr>
      </w:pPr>
      <w:r>
        <w:rPr>
          <w:rFonts w:ascii="Arial" w:cs="Arial" w:eastAsia="Arial" w:hAnsi="Arial"/>
          <w:sz w:val="18"/>
          <w:szCs w:val="18"/>
          <w:color w:val="auto"/>
        </w:rPr>
        <w:t>Anti-Kickback Statute, a person or entity does not need to have actual knowledge of the statute or specific intent to violate it in order to have committed a violation;</w:t>
      </w:r>
    </w:p>
    <w:p>
      <w:pPr>
        <w:spacing w:after="0" w:line="63" w:lineRule="exact"/>
        <w:rPr>
          <w:sz w:val="20"/>
          <w:szCs w:val="20"/>
          <w:color w:val="auto"/>
        </w:rPr>
      </w:pPr>
    </w:p>
    <w:p>
      <w:pPr>
        <w:ind w:left="1020" w:right="280" w:hanging="503"/>
        <w:spacing w:after="0" w:line="255" w:lineRule="auto"/>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certain non-physician practitioners (physician assistants, nurse practitioners, clinical nurse specialists, anesthesiologist assistants, certified registered nurse anesthetists and certified nurse midwives) and teaching hospitals, as well as ownership and investment interests held by the physicians described above and their immediate family members; and</w:t>
      </w:r>
    </w:p>
    <w:p>
      <w:pPr>
        <w:spacing w:after="0" w:line="71" w:lineRule="exact"/>
        <w:rPr>
          <w:rFonts w:ascii="Arial" w:cs="Arial" w:eastAsia="Arial" w:hAnsi="Arial"/>
          <w:sz w:val="17"/>
          <w:szCs w:val="17"/>
          <w:color w:val="auto"/>
        </w:rPr>
      </w:pPr>
    </w:p>
    <w:p>
      <w:pPr>
        <w:ind w:left="1020" w:hanging="503"/>
        <w:spacing w:after="0" w:line="279" w:lineRule="auto"/>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state laws that require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pricing information.</w:t>
      </w:r>
    </w:p>
    <w:p>
      <w:pPr>
        <w:spacing w:after="0" w:line="14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penalties, including civil or criminal penalties, monetary damages, the curtailment or restructuring of our operations, loss of eligibility to obtain approvals from the FDA, or exclusion from participation in government contracting, healthcare reimbursement or other government programs, including Medicare and Medicaid, any of which could adversely our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67"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If we or future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spacing w:after="0" w:line="74" w:lineRule="exact"/>
        <w:rPr>
          <w:sz w:val="20"/>
          <w:szCs w:val="20"/>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 regulatory inspection findings;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voluntary or mandatory product recalls or public notification or medical product safety alerts to healthcare professionals;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or prohibitions against, marketing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or prohibitions against, importation or exportation of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suspension of review or refusal to approve pending applications or supplements to approved applications;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exclusion from participation in government-funded healthcare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exclusion from eligibility for the award of government contracts for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suspension or withdrawal of product approvals;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seizures or administrative detention of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civil and criminal penalties and fines.</w:t>
      </w:r>
    </w:p>
    <w:p>
      <w:pPr>
        <w:spacing w:after="0" w:line="19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157" w:lineRule="exact"/>
        <w:rPr>
          <w:sz w:val="20"/>
          <w:szCs w:val="20"/>
          <w:color w:val="auto"/>
        </w:rPr>
      </w:pPr>
    </w:p>
    <w:p>
      <w:pPr>
        <w:jc w:val="both"/>
        <w:ind w:right="140"/>
        <w:spacing w:after="0" w:line="262" w:lineRule="auto"/>
        <w:rPr>
          <w:sz w:val="20"/>
          <w:szCs w:val="20"/>
          <w:color w:val="auto"/>
        </w:rPr>
      </w:pPr>
      <w:r>
        <w:rPr>
          <w:rFonts w:ascii="Arial" w:cs="Arial" w:eastAsia="Arial" w:hAnsi="Arial"/>
          <w:sz w:val="17"/>
          <w:szCs w:val="17"/>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U.S. and any foreign jurisdiction in which we seek regulatory approval. The FDA has significant post-market authority, including the authority to require labeling changes based on new safety information and to require post-market studies or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7" w:name="page58"/>
    <w:bookmarkEnd w:id="57"/>
    <w:p>
      <w:pPr>
        <w:ind w:right="20"/>
        <w:spacing w:after="0" w:line="252" w:lineRule="auto"/>
        <w:rPr>
          <w:sz w:val="20"/>
          <w:szCs w:val="20"/>
          <w:color w:val="auto"/>
        </w:rPr>
      </w:pPr>
      <w:r>
        <w:rPr>
          <w:rFonts w:ascii="Arial" w:cs="Arial" w:eastAsia="Arial" w:hAnsi="Arial"/>
          <w:sz w:val="17"/>
          <w:szCs w:val="17"/>
          <w:color w:val="auto"/>
        </w:rPr>
        <w:t>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If we rely on third-party manufacturers, we will not have control over compliance with applicable rules and regulations by such manufacturers. Any product promotion and advertising will also be subject to regulatory requirements and continuing regulatory review. If we or our collaborators, manufacturers or service providers fail to comply with applicable continuing regulatory requirements in the U.S. or foreign jurisdictions in which we seek to market our products, we or they may be subject to, among other things, fines, warning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 civil penalties and criminal prosecution.</w:t>
      </w:r>
    </w:p>
    <w:p>
      <w:pPr>
        <w:spacing w:after="0" w:line="17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5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regulatory environment surrounding data privacy and security is increasingly demanding. We are or may in the future be subject to numerous U.S. federal and state laws and non-U.S. regulations governing the collection, use, disclosure, retention, and security of personal and confidential information of our clinical subjects, clinical investigators, employees and vendors/business contacts.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158"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In the United States,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(“CCPA”) went into effect on January 1, 2020. The CCPA creates individual privacy rights for California consumers, including the expanded right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Further, the California Privacy Rights Act (“CPRA”) recently passed in California. The CPRA significantly amends the CCPA and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 laws have passed in Virginia and Colorado,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36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operations abroad may also be subject to increased scrutiny or attention from data protection authorities. For example, the GDPR went into effect in May 2018, and imposes stringent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4% total worldwide annual turnover or €20 million, whichever is higher. Among other requirements, the GDPR regulates transfers of personal data subject to the GDPR to third countries that have not been found to provide adequate protection to such personal data, including the United States; in July 2020, the Court of Justice of the European Union (“CJEU”) limited how organizations could lawfully transfer personal data from the EU/EEA to the United States by invalidating the EU-US Privacy Shield Framework for purposes of international transfers and imposing further restrictions on the use of standard contractual clauses (“SCCs”). The European Commission issued revised SCCs on June 4, 2021 to account for the decision of the CJEU and recommendations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8" w:name="page59"/>
    <w:bookmarkEnd w:id="58"/>
    <w:p>
      <w:pPr>
        <w:ind w:right="20"/>
        <w:spacing w:after="0" w:line="271" w:lineRule="auto"/>
        <w:rPr>
          <w:sz w:val="20"/>
          <w:szCs w:val="20"/>
          <w:color w:val="auto"/>
        </w:rPr>
      </w:pPr>
      <w:r>
        <w:rPr>
          <w:rFonts w:ascii="Arial" w:cs="Arial" w:eastAsia="Arial" w:hAnsi="Arial"/>
          <w:sz w:val="16"/>
          <w:szCs w:val="16"/>
          <w:color w:val="auto"/>
        </w:rPr>
        <w:t>made by the European Data Protection Board. The revised SCCs must be used for relevant new data transfers from September 27, 2021; existing standard contractual clauses arrangements must be migrated to the revised clauses by December 27, 2022. The new SCCs apply only to the transfer of personal data outside of the EEA and not the United Kingdom; the United Kingdom’s Information Commissioner’s Office launched a public consultation on its draft revised data transfers mechanisms in August 2021. There is some uncertainty around whether the revised clauses can be used for all types of data transfers, particularly whether they can be relied on for data transfers to non-EEA entities subject to the GDPR. As supervisory authorities issue further guidance on personal data export mechanisms, including circumstances where the standard contractual clauses cannot be used, 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products and services, the geographical location or segregation of our relevant systems and operations, and could adversely affect our financial results.</w:t>
      </w:r>
    </w:p>
    <w:p>
      <w:pPr>
        <w:spacing w:after="0" w:line="155"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Further, from January 1, 2021, we have had to comply with the GDPR and also the UK GDPR, which, together with the amended UK Data Protection Act 2018, retains the GDPR in UK national law. The UK GDPR mirrors the fines under the GDPR, i.e., fines up to the greater of €20 million (£17.5 million) or 4% of global turnover. The relationship between the United Kingdom and European Union in relation to certain aspects of data protection law remains unclear, including how data transfers between European Union member states and the United Kingdom will be treated. These changes may lead to additional compliance costs and could increase our overall risk.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or extends that decision.</w:t>
      </w:r>
    </w:p>
    <w:p>
      <w:pPr>
        <w:spacing w:after="0" w:line="15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recent years, U.S. and European lawmakers and regulators have expressed concern over electronic marketing and the use of third-party cookies, web beacons and similar technology for online behavioral advertising. In the European Union, the rules on e-marketing are currently set out in the ePrivacy Directive, which will be replaced by a new ePrivacy Regulation. While the ePrivacy Regulation was originally intended to be adopted on May 25, 2018 (alongside the GDPR), it is still going through the European legislative process. The current draft of the ePrivacy Regulation imposes strict opt-in e-marketing rules with limited exceptions for business to business communications, and significantly increases fines for non-compliance. Regulation of cookies and web beacons may lead to broader restrictions on our online activities, including our efforts to understand our users’ internet usage and promote ourselves to them.</w:t>
      </w:r>
    </w:p>
    <w:p>
      <w:pPr>
        <w:spacing w:after="0" w:line="177"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significant fines, penalties and damage to our reputation, and we may be forced to change the way we operate. This could result in additional cost and liability to us, which could negatively affect our business, results of operation, and financial condition.</w:t>
      </w:r>
    </w:p>
    <w:p>
      <w:pPr>
        <w:spacing w:after="0" w:line="16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157"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166"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Our ability to commercialize any products successfully also will depend in part on the extent to which coverage and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 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59" w:name="page60"/>
    <w:bookmarkEnd w:id="59"/>
    <w:p>
      <w:pPr>
        <w:ind w:right="20"/>
        <w:spacing w:after="0" w:line="270" w:lineRule="auto"/>
        <w:rPr>
          <w:sz w:val="20"/>
          <w:szCs w:val="20"/>
          <w:color w:val="auto"/>
        </w:rPr>
      </w:pPr>
      <w:r>
        <w:rPr>
          <w:rFonts w:ascii="Arial" w:cs="Arial" w:eastAsia="Arial" w:hAnsi="Arial"/>
          <w:sz w:val="16"/>
          <w:szCs w:val="16"/>
          <w:color w:val="auto"/>
        </w:rPr>
        <w:t>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not be 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U.S. Third-party payors often rely upon Medicare coverage policy and payment limitations in setting their own reimbursement rates. Our inability to promptly obtain coverage and adequate reimbursement rates from both government-funded and private payors for new drugs or therapeutic biologics that we develop and for which we obtain regulatory approval could have a material and adverse effect on our operating results, our ability to raise capital needed to commercialize products and our financial condition.</w:t>
      </w:r>
    </w:p>
    <w:p>
      <w:pPr>
        <w:spacing w:after="0" w:line="158"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b w:val="1"/>
          <w:bCs w:val="1"/>
          <w:i w:val="1"/>
          <w:iCs w:val="1"/>
          <w:color w:val="auto"/>
        </w:rPr>
        <w:t>We may seek and fail to obtain fast track or breakthrough therapy designations for our current or future product candidates. If we are successful, these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spacing w:after="0" w:line="17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a product is intended for the treatment of a serious or life-threatening condition and preclinical or clinical data demonstrate the potential to address an unmet medical need for this condition, the product sponsor may apply for fast track designation. Fast track designation provides increased opportunities for sponsor meetings with the FDA during preclinical and clinical development, in addition to the potential for rolling review of a BLA, if the sponsor provides a schedule for the submission of the sections of the BLA, the FDA agrees to accept sections of the BLA and determines that the schedule is acceptable, and the sponsor pays any required user fees upon submission of the first section of the BLA.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178"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170"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Product candidates may also be eligible for accelerated approval if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Products receiving accelerated approval may be subject to expedited withdrawal procedures if the sponsor fails to conduct the required post-marketing studies or if such studies fail to verify the predicted clinical benefit. In addition, the FDA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product may fail required post-approval confirmatory clinical trials, and we may be required to remove the product from the market or amend the product label in a way that adversely impacts its marketing.</w:t>
      </w:r>
    </w:p>
    <w:p>
      <w:pPr>
        <w:spacing w:after="0" w:line="15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As part of our business strategy, we may seek Orphan Drug Designation for our product candidates, and we may be unsuccessful. Regulatory authorities in some jurisdictions, including the United States and Europe, may designate drugs and therapeutic biologics for relatively small patient populations as orphan drugs. Under the Orphan Drug Act, the FDA may designate a drug or therapeutic biologic as an orphan drug if it is a drug or therapeutic biologic intended to treat a rare disease or condition, which is generally defined as a patient population of fewer than 200,000 individuals in the United States, or a patient population greater than 200,000 in the United States where there is no reasonable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0" w:name="page61"/>
    <w:bookmarkEnd w:id="60"/>
    <w:p>
      <w:pPr>
        <w:spacing w:after="0" w:line="257" w:lineRule="auto"/>
        <w:rPr>
          <w:sz w:val="20"/>
          <w:szCs w:val="20"/>
          <w:color w:val="auto"/>
        </w:rPr>
      </w:pPr>
      <w:r>
        <w:rPr>
          <w:rFonts w:ascii="Arial" w:cs="Arial" w:eastAsia="Arial" w:hAnsi="Arial"/>
          <w:sz w:val="17"/>
          <w:szCs w:val="17"/>
          <w:color w:val="auto"/>
        </w:rPr>
        <w:t>expectation that the cost of developing the drug or therapeutic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BLA, to market the same product for the same indication for seven years, except in limited circumstances, such as a showing of clinical superiority to the product with orphan drug exclusivity or where the manufacturer is unable to assure sufficient product quantity.</w:t>
      </w:r>
    </w:p>
    <w:p>
      <w:pPr>
        <w:spacing w:after="0" w:line="162"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Even if we obtain Orphan Drug Designation for our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biologics can be approved for the same condition. Even after an orphan product is approved, the FDA can subsequently approve the same drug or therapeutic biologic for the same condition if the FDA concludes that the later drug or therapeutic biologic is safer, more effective or makes a major contribution to patient care. Orphan Drug Designation neither shortens the development time or regulatory review time of a drug or therapeutic biologic nor gives the drug or therapeutic biologic any advantage in the regulatory review or approval process. In addition, while we may seek Orphan Drug Designation for our product candidates, we may never receive such designations.</w:t>
      </w:r>
    </w:p>
    <w:p>
      <w:pPr>
        <w:spacing w:after="0" w:line="131" w:lineRule="exact"/>
        <w:rPr>
          <w:sz w:val="20"/>
          <w:szCs w:val="20"/>
          <w:color w:val="auto"/>
        </w:rPr>
      </w:pPr>
    </w:p>
    <w:p>
      <w:pPr>
        <w:ind w:right="120"/>
        <w:spacing w:after="0" w:line="324" w:lineRule="auto"/>
        <w:rPr>
          <w:sz w:val="20"/>
          <w:szCs w:val="20"/>
          <w:color w:val="auto"/>
        </w:rPr>
      </w:pPr>
      <w:r>
        <w:rPr>
          <w:rFonts w:ascii="Arial" w:cs="Arial" w:eastAsia="Arial" w:hAnsi="Arial"/>
          <w:sz w:val="16"/>
          <w:szCs w:val="16"/>
          <w:color w:val="auto"/>
        </w:rPr>
        <w:t>Tax reform legislation passed in 2017 reduced the amount of the qualified clinical research costs for a designated orphan product that a sponsor may claim as a credit from 50% to 25%. Thus, further limiting the advantage and may impact our future business strategy of seeking the Orphan Drug Designation.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0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157"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3" w:lineRule="exact"/>
        <w:rPr>
          <w:sz w:val="20"/>
          <w:szCs w:val="20"/>
          <w:color w:val="auto"/>
        </w:rPr>
      </w:pPr>
    </w:p>
    <w:p>
      <w:pPr>
        <w:ind w:left="1020" w:right="8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variations in the level of expense related to the ongoing development of our Probody platform, our product candidates or future development programs;</w:t>
      </w:r>
    </w:p>
    <w:p>
      <w:pPr>
        <w:spacing w:after="0" w:line="62" w:lineRule="exact"/>
        <w:rPr>
          <w:rFonts w:ascii="Arial" w:cs="Arial" w:eastAsia="Arial" w:hAnsi="Arial"/>
          <w:sz w:val="18"/>
          <w:szCs w:val="18"/>
          <w:color w:val="auto"/>
        </w:rPr>
      </w:pPr>
    </w:p>
    <w:p>
      <w:pPr>
        <w:ind w:left="1020" w:right="66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results of clinical trials, or the addition or termination of clinical trials or funding support by us, or existing or future collaborators or licensing partners;</w:t>
      </w:r>
    </w:p>
    <w:p>
      <w:pPr>
        <w:spacing w:after="0" w:line="62"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62"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rFonts w:ascii="Arial" w:cs="Arial" w:eastAsia="Arial" w:hAnsi="Arial"/>
          <w:sz w:val="18"/>
          <w:szCs w:val="18"/>
          <w:color w:val="auto"/>
        </w:rPr>
      </w:pPr>
    </w:p>
    <w:p>
      <w:pPr>
        <w:ind w:left="1020" w:right="42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intellectual property infringement lawsuit or opposition, interference or cancellation proceeding in which we may become involved, including the ongoing patent infringement lawsuit brought by Vytacera against us;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03"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19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Our stock price may be volatile and purchasers of our common stock could incur substantial losses.</w:t>
      </w:r>
    </w:p>
    <w:p>
      <w:pPr>
        <w:spacing w:after="0" w:line="198"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Our stock price is volatile. Since our initial public offering (“IPO”), our stock had low and high sales prices in the range of $1.19 and $35.00 per share. The market price for our common stock may be influenced by many factors, including the other risks described in this section titled “Risk Factors” and the following:</w:t>
      </w:r>
    </w:p>
    <w:p>
      <w:pPr>
        <w:spacing w:after="0" w:line="74"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of clinical trials and preclinical studies of our product candidates, or those of our competitors or our collaborators;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regulatory or legal developments in the U.S. and other countries, especially changes in laws or regulations applicable to our products;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03"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future commercialization partners, or our competitors, and the timing of these introductions or announcements;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products, clinical studies, manufacturing process or sales and marketing terms;</w:t>
      </w:r>
    </w:p>
    <w:p>
      <w:pPr>
        <w:spacing w:after="0" w:line="126" w:lineRule="exact"/>
        <w:rPr>
          <w:rFonts w:ascii="Arial" w:cs="Arial" w:eastAsia="Arial" w:hAnsi="Arial"/>
          <w:sz w:val="16"/>
          <w:szCs w:val="16"/>
          <w:color w:val="auto"/>
        </w:rPr>
      </w:pPr>
    </w:p>
    <w:p>
      <w:pPr>
        <w:ind w:left="1020" w:right="180" w:hanging="503"/>
        <w:spacing w:after="0" w:line="248"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extent to which the COVID-19 pandemic and related governmental regulations and restrictions may impact our business, including our research, clinical trials, manufacturing and financial condition, as well as the impact of other pandemics, natural disasters and other calamities;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103"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concerning any existing or future collaborations, including but not limited to those with our sources of manufacturing supply and our commercialization partners;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15" w:lineRule="exact"/>
        <w:rPr>
          <w:rFonts w:ascii="Arial" w:cs="Arial" w:eastAsia="Arial" w:hAnsi="Arial"/>
          <w:sz w:val="17"/>
          <w:szCs w:val="17"/>
          <w:color w:val="auto"/>
        </w:rPr>
      </w:pPr>
    </w:p>
    <w:p>
      <w:pPr>
        <w:ind w:left="1020" w:right="140" w:hanging="503"/>
        <w:spacing w:after="0" w:line="26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03"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announcement and expectation of additional financing efforts;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natural disasters and other calamities;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0" w:right="379" w:bottom="1440" w:gutter="0" w:footer="0" w:header="0"/>
        </w:sectPr>
      </w:pPr>
    </w:p>
    <w:bookmarkStart w:id="62" w:name="page63"/>
    <w:bookmarkEnd w:id="62"/>
    <w:p>
      <w:pPr>
        <w:jc w:val="both"/>
        <w:ind w:right="260"/>
        <w:spacing w:after="0" w:line="270" w:lineRule="auto"/>
        <w:rPr>
          <w:sz w:val="20"/>
          <w:szCs w:val="20"/>
          <w:color w:val="auto"/>
        </w:rPr>
      </w:pPr>
      <w:r>
        <w:rPr>
          <w:rFonts w:ascii="Arial" w:cs="Arial" w:eastAsia="Arial" w:hAnsi="Arial"/>
          <w:sz w:val="17"/>
          <w:szCs w:val="17"/>
          <w:color w:val="auto"/>
        </w:rPr>
        <w:t>The stock markets in general, and the markets for pharmaceutical, biopharmaceutical and biotechnology stocks in particular, have experienced extreme volatility, including as a result of the COVID-19 pandemic, that has been often unrelated to the operating performance of the issuer. These broad market and industry factors may seriously harm the market price of our common stock, regardless of our operating performance.</w:t>
      </w:r>
    </w:p>
    <w:p>
      <w:pPr>
        <w:spacing w:after="0" w:line="15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 addition, the spread of COVID-19 may negatively impact the trading price of shares of our common stock and could further severely impact our ability to raise additional capital on a timely basis or at all.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future issuance of equity or of debt securities that are convertible into equity will dilute our share capital.</w:t>
      </w:r>
    </w:p>
    <w:p>
      <w:pPr>
        <w:spacing w:after="0" w:line="198"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On February 27, 2020, we entered into an Open Market Sale Agreement (the “Sales Agreement”) with Jefferies LLC (“Jefferies”), to sell shares of our common stock, par value $0.00001 per share, with aggregate gross sales proceeds of up to $75,000,000, from time to time, through an at the market offering under which Jefferies will act as sales agent. We have issued securities under the Sales Agreement and may do so in the future. In addition, in January and February 2021, we sold 16,428,571 shares of our common stock at $7.00 per share in an underwritten public offering. Future issuances of our common stock or other equity securities pursuant to the Sales Agreement or otherwise,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167"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b w:val="1"/>
          <w:bCs w:val="1"/>
          <w:i w:val="1"/>
          <w:iCs w:val="1"/>
          <w:color w:val="auto"/>
        </w:rPr>
        <w:t>The employment agreements with our executive officers may require us to pay severance benefits to officers in connection with termination of employment or upon a change of control of us, which could harm our financial condition.</w:t>
      </w:r>
    </w:p>
    <w:p>
      <w:pPr>
        <w:spacing w:after="0" w:line="157"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Each of our executive officers is entitled to receive a lump sum payment equal to one year or more of his or her base salary as well as continued medical and dental coverage for a period of one year or more plus a prorated portion of his or her target annual bonus for the calendar year in which his or her employment is terminated following his or her termination of employment due to good reason or without cause. In the event of a change in control and a termination of employment without cause or due to good reason, each of our executive officers would similarly receive one year or more of his or her base salary as well as continued medical and dental coverage for a period of one year or more, as well as an additional lump sum payment equal to 100% or more of his or her target annual bonus for the calendar year in which his or her employment is terminated and full vesting of his or her outstanding option awards. The accelerated vesting of options could result in dilution to our existing stockholders and harm the market price of our common stock. Furthermore, the payment of these severance benefits could harm our financial condition. In addition, these potential severance payments may discourage or prevent third parties from seeking a business combination with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market for our common stock may not be maintained.</w:t>
      </w:r>
    </w:p>
    <w:p>
      <w:pPr>
        <w:spacing w:after="0" w:line="198"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Prior to our IPO in October 2015, there had been no public market for shares of our common stock. Our stock began trading on the Nasdaq Global Select Market in 2015, and we can provide no assurance that we will be able to maintain an active trading market on The Nasdaq Global Select Market or any other exchange in the future. If an active market for our common stock is not maintained, it may be difficult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16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our executive officers, directors, holders of 5% or more of our capital stock based on publicly available filings made with the SEC and their respective affiliates beneficially owned approximately 37% of our outstanding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spacing w:after="0" w:line="176" w:lineRule="exact"/>
        <w:rPr>
          <w:sz w:val="20"/>
          <w:szCs w:val="20"/>
          <w:color w:val="auto"/>
        </w:rPr>
      </w:pPr>
    </w:p>
    <w:p>
      <w:pPr>
        <w:ind w:right="820"/>
        <w:spacing w:after="0" w:line="324"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11" w:lineRule="exact"/>
        <w:rPr>
          <w:sz w:val="20"/>
          <w:szCs w:val="20"/>
          <w:color w:val="auto"/>
        </w:rPr>
      </w:pPr>
    </w:p>
    <w:p>
      <w:pPr>
        <w:ind w:right="320"/>
        <w:spacing w:after="0" w:line="291"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delay or prevent an acquisition of us or a change in our management. In addition, these provisions may frustrate or prevent any attempts by our stockholders to replace or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63" w:name="page64"/>
    <w:bookmarkEnd w:id="63"/>
    <w:p>
      <w:pPr>
        <w:jc w:val="both"/>
        <w:ind w:right="20"/>
        <w:spacing w:after="0" w:line="248" w:lineRule="auto"/>
        <w:rPr>
          <w:sz w:val="20"/>
          <w:szCs w:val="20"/>
          <w:color w:val="auto"/>
        </w:rPr>
      </w:pPr>
      <w:r>
        <w:rPr>
          <w:rFonts w:ascii="Arial" w:cs="Arial" w:eastAsia="Arial" w:hAnsi="Arial"/>
          <w:sz w:val="18"/>
          <w:szCs w:val="18"/>
          <w:color w:val="auto"/>
        </w:rPr>
        <w:t>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74" w:lineRule="exact"/>
        <w:rPr>
          <w:sz w:val="20"/>
          <w:szCs w:val="20"/>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prohibition on actions by our stockholders by written consent;</w:t>
      </w:r>
    </w:p>
    <w:p>
      <w:pPr>
        <w:spacing w:after="0" w:line="103" w:lineRule="exact"/>
        <w:rPr>
          <w:rFonts w:ascii="Arial" w:cs="Arial" w:eastAsia="Arial" w:hAnsi="Arial"/>
          <w:sz w:val="18"/>
          <w:szCs w:val="18"/>
          <w:color w:val="auto"/>
        </w:rPr>
      </w:pPr>
    </w:p>
    <w:p>
      <w:pPr>
        <w:ind w:left="1020" w:right="60" w:hanging="503"/>
        <w:spacing w:after="0" w:line="24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which our company is not obligated to call more than once per calendar year, be called only by the chairman of our board of directors, our chief executive officer, our board of directors pursuant to a resolution adopted by a majority of the total number of authorized directors, or, subject to certain conditions, by our secretary at the request of the stockholders holding of record, in the aggregate, shares entitled to cast not less than ten percent of the votes at a meeting of the stockholders (assuming all shares entitled to vote at such meeting were present and voted);</w:t>
      </w:r>
    </w:p>
    <w:p>
      <w:pPr>
        <w:spacing w:after="0" w:line="81"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advance notice requirements for election to our board of directors and for proposing matters that can be acted upon at stockholder meetings;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division of our board of directors into three classes, serving staggered terms of three years each;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with such terms as the board of directors may determine.</w:t>
      </w:r>
    </w:p>
    <w:p>
      <w:pPr>
        <w:spacing w:after="0" w:line="198"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as amended, which prohibits a person who owns in excess of 15 percent of our outstanding voting stock from merging or combining with us for a period of three years after the date of the transaction in which the person acquired in excess of 15 percent of our outstanding voting stock, unless the merger or combination is approved in a prescribed manner. These provisions would apply even if the proposed merger or acquisition could be considered beneficial by some stockholders.</w:t>
      </w:r>
    </w:p>
    <w:p>
      <w:pPr>
        <w:spacing w:after="0" w:line="17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new compliance initiatives and corporate governance practices.</w:t>
      </w:r>
    </w:p>
    <w:p>
      <w:pPr>
        <w:spacing w:after="0" w:line="15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As a public company, we incur significant legal, accounting and other expenses.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increase our legal and financial compliance costs and make some activities more time 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6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If we are not able to comply with the requirements of Section 404 of the Sarbanes-Oxley Act of 2002 in a timely manner or with adequate compliance, we may be subject to sanctions by regulatory authorities.</w:t>
      </w:r>
    </w:p>
    <w:p>
      <w:pPr>
        <w:spacing w:after="0" w:line="157"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Section 404 of the Sarbanes-Oxley Act of 2002 requires that we evaluate and determine the effectiveness of our internal controls over financial reporting and provide a management report on the internal control over financial reporting. If we have a material weakness in our internal controls over financial reporting, we may not detect errors on a timely basis and our financial statements may be materially misstated. We evaluate our internal controls systems to allow management to report on the effectiveness of the operation of our internal controls.</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However, if we are not able to comply with the requirements of Section 404, or if we or our independent registered public accounting firm identify deficiencies in our internal controls that are deemed to be material weaknesses, we could be subject to sanctions or investigations by The Nasdaq Global Select Market, the SEC or other regulatory authorities, which would entail expenditure of additional financial and management resources and could materially adversely affect our stock price. Deficient internal controls could also cause us to fail to meet our reporting obligations or cause investors to lose confidence in our reported financial information, which could have a negative effect on our stock price.</w:t>
      </w:r>
    </w:p>
    <w:p>
      <w:pPr>
        <w:spacing w:after="0" w:line="160"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57" w:lineRule="exact"/>
        <w:rPr>
          <w:sz w:val="20"/>
          <w:szCs w:val="20"/>
          <w:color w:val="auto"/>
        </w:rPr>
      </w:pPr>
    </w:p>
    <w:p>
      <w:pPr>
        <w:ind w:right="140"/>
        <w:spacing w:after="0" w:line="324"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Under Sections 382 and 383 of the Internal Revenue Code of 1986, as amended, if a corporation undergoes an “ownership change,” generally defined as a greater than 50 percentage point change (by value) in its equity ownership by certain stockholders over a three-year period, the corporation’s ability to use its pre-change NOL and other pre-change tax attributes, such as research and development tax credits, to offset its post-change income or taxes may be limited. We may have experienced ownership changes in the past and may experience ownership changes as a result of subsequent shifts in our stock ownership, some of which are outside our control. As a result, our ability to use our pre-change NOLs and tax credits to offset post-change taxable income, if any, could be subject to limitations. Similar provisions of state tax law may also apply. In addition, at the state level, there may be periods during which the use of NOLs is suspended or otherwise limited, which could accelerate or permanently increase state taxes owed. For example, California recently imposed limits on the usability of California state NOLs and tax credits to offset California taxable income in tax years beginning after 2019 and before 2023. As a result, even if we attain profitability, we may be unable to use a material portion of our NOLs and tax credits.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costs from class action litigation due to our expected stock volatility.</w:t>
      </w:r>
    </w:p>
    <w:p>
      <w:pPr>
        <w:spacing w:after="0" w:line="198"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Our stock price may fluctuate for many reasons, including as a result of public announcements regarding the progress of our development efforts or the development efforts of future collaborators or competitors, the addition or departure of our key personnel, variations in our quarterly operating results and changes in market valuations of biopharmaceutical and biotechnology companies.</w:t>
      </w:r>
    </w:p>
    <w:p>
      <w:pPr>
        <w:spacing w:after="0" w:line="168"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This risk is especially relevant to us because biopharmaceutical and biotechnology companies have experienced significant stock price volatility in recent years. When the market price of a stock has been volatile as our stock price may be, holders of that stock have occasionally brought securities class action litigation against the company that issued the stock. For example, in May 2020, a putative securities class action lawsuit was brought against us (“Class Action Lawsuit”). While the Class Action Lawsuit was voluntarily dismissed without prejudice by the plaintiff and his attorneys in January 2021, a similar lawsuit or another lawsuit could be filed in the future. Stockholder lawsuits of this type against us, even if it is without merit, could cause us to incur substantial costs defending the lawsuit. The lawsuit could also divert the time and attention of our management.</w:t>
      </w:r>
    </w:p>
    <w:p>
      <w:pPr>
        <w:spacing w:after="0" w:line="148"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b w:val="1"/>
          <w:bCs w:val="1"/>
          <w:i w:val="1"/>
          <w:iCs w:val="1"/>
          <w:color w:val="auto"/>
        </w:rPr>
        <w:t>Our amended and restated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68"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Our amended and restated bylaws provide that, subject to limited exceptions, the Court of Chancery of the State of Delaware will be the sole and exclusive forum for any derivative action or proceeding brought on our behalf, any action asserting a claim of breach of a fiduciary duty owed by any of our directors, officers or other employees to us or our stockholders, any action asserting a claim against us arising pursuant to any provision of the Delaware General Corporation Law, as amended, our amended and restated certificate of incorporation or our amended and restated bylaws, any action to interpret, apply, enforce or determine the validity of our amended and restated certificate of incorporation or our amended and restated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acquire assets or form strategic alliances in the future, and we may not realize the benefits of such acquisitions</w:t>
      </w:r>
      <w:r>
        <w:rPr>
          <w:rFonts w:ascii="Arial" w:cs="Arial" w:eastAsia="Arial" w:hAnsi="Arial"/>
          <w:sz w:val="18"/>
          <w:szCs w:val="18"/>
          <w:color w:val="auto"/>
        </w:rPr>
        <w:t>.</w:t>
      </w:r>
    </w:p>
    <w:p>
      <w:pPr>
        <w:spacing w:after="0" w:line="198"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As we continue to mature our Probody platform and our clinical stage pipeline, we may seek to acquire and/or in-license other oncology products, product candidates, programs or companies that we consider complimentary to our efforts. Such efforts may never result in a transaction and any future growth through acquisition or in-licensing will depend upon the availability of suitable products, product candidates,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programs and companies is fierce, and many of our competitors are large, multinational pharmaceutical and biotechnology companies with considerably more financial, development and commercialization resources, personnel, and experience than we have. In order to compete successfully in the current business climate, we may have to pay higher prices for assets than may have been paid historically, which may make it more difficult for us to realize an adequate return on any acquisition. In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65" w:name="page66"/>
    <w:bookmarkEnd w:id="65"/>
    <w:p>
      <w:pPr>
        <w:ind w:right="80"/>
        <w:spacing w:after="0" w:line="261" w:lineRule="auto"/>
        <w:rPr>
          <w:sz w:val="20"/>
          <w:szCs w:val="20"/>
          <w:color w:val="auto"/>
        </w:rPr>
      </w:pPr>
      <w:r>
        <w:rPr>
          <w:rFonts w:ascii="Arial" w:cs="Arial" w:eastAsia="Arial" w:hAnsi="Arial"/>
          <w:sz w:val="18"/>
          <w:szCs w:val="18"/>
          <w:color w:val="auto"/>
        </w:rPr>
        <w:t>addition, even if we succeed in identifying promising products, product candidates, programs or companies, we may not have the ability to develop, obtain regulatory approval for and commercialize such opportunities, or the financial resources necessary to pursue them.</w:t>
      </w:r>
    </w:p>
    <w:p>
      <w:pPr>
        <w:spacing w:after="0" w:line="15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Even if we are able to successfully identify and acquire or in-license new products, product candidates, programs or companies, we may not be able to successfully manage the risks associated with integrating any products, product candidates,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Any failure in identifying and managing these risks and uncertainties effectively would have a material adverse effect on our business. In any event, we may not be able to realize the anticipated benefits of any acquisition or in-licensing for a variety of reasons, including the possibility that a product candidate fails to advance to clinical development, proves not to be safe or effective in clinical trials, or fails to reach its forecasted commercial potential or that the integration of a product, product candidate, program or company gives rise to unforeseen difficulties and expenditures. Any failure in identifying and managing these risks and uncertainties would have a material adverse effect on our business.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In addition, acquisitions create other uncertainties and risks, particularly when the acquisition takes the form of a merger or other business consolidation.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We may encounter unexpected difficulties, or incur unexpected costs, in connection with transition activities and integration efforts, which include:</w:t>
      </w:r>
    </w:p>
    <w:p>
      <w:pPr>
        <w:spacing w:after="0" w:line="99" w:lineRule="exact"/>
        <w:rPr>
          <w:sz w:val="20"/>
          <w:szCs w:val="20"/>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high acquisition costs;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need to incur substantial debt or engage in dilutive issuances of equity securities to pay for acquisitions;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potential disruption of our historical business and our activities under our collaboration agreements;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strain on, and need to expand, our existing operational, technical, financial and administrative infrastructure;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lack of experience in late-stage product development and commercialization;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difficulties in assimilating employees and corporate cultures;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difficulties in hiring qualified personnel and establishing necessary development and/or commercialization capabilities;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failure to retain key management and other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challenges in controlling additional costs and expenses in connection with and as a result of the acquisition;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need to write down assets or recognize impairment charges;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diversion of our management’s attention to integration of operations and corporate and administrative infrastructures;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unanticipated liabilities for activities of or related to the acquired business or its operations, products or product candidates.</w:t>
      </w:r>
    </w:p>
    <w:p>
      <w:pPr>
        <w:spacing w:after="0" w:line="198"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If we fail to integrate or otherwise manage an acquired business successfully and in a timely manner, resulting operating inefficiencies could increase our costs more than we planned, could negatively impact the market price of our common stock and could otherwise distract us from execution of our strategy. Failure to maintain effective financial controls and reporting systems and procedures could also impact our ability to produce timely and accurate financial statements.</w:t>
      </w:r>
    </w:p>
    <w:p>
      <w:pPr>
        <w:spacing w:after="0" w:line="17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157"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Our future growth may depend, in part, on our ability to develop and commercialize our product candidates in foreign markets for which we may rely on collaboration with third parties.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the reduced protection of intellectual property rights in some foreign countries. We may need to rely on third parties to market, distribute and sell our products in foreign markets.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6" w:name="page67"/>
    <w:bookmarkEnd w:id="66"/>
    <w:p>
      <w:pPr>
        <w:ind w:right="340"/>
        <w:spacing w:after="0" w:line="261" w:lineRule="auto"/>
        <w:rPr>
          <w:sz w:val="20"/>
          <w:szCs w:val="20"/>
          <w:color w:val="auto"/>
        </w:rPr>
      </w:pPr>
      <w:r>
        <w:rPr>
          <w:rFonts w:ascii="Arial" w:cs="Arial" w:eastAsia="Arial" w:hAnsi="Arial"/>
          <w:sz w:val="18"/>
          <w:szCs w:val="18"/>
          <w:b w:val="1"/>
          <w:bCs w:val="1"/>
          <w:i w:val="1"/>
          <w:iCs w:val="1"/>
          <w:color w:val="auto"/>
        </w:rPr>
        <w:t>Our information technology systems, or those of our CROs or other contractors or consultants we may utilize, may fail, suffer disruptions or suffer security breaches, which could result in a material disruption of our product development programs.</w:t>
      </w:r>
    </w:p>
    <w:p>
      <w:pPr>
        <w:spacing w:after="0" w:line="157"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We are increasingly dependent on information technology systems and infrastructure, including mobile technologies, to operate our business. In the ordinary course of our business, we collect and store confidential and sensitive electronic information on our networks and in our data centers. This information includes, among other things, our intellectual property and proprietary information, the confidential information of our collaborators and licensees, and the personally identifiable information of our employees. It is important to our operations and business strategy that this electronic information remains secure and is perceived to be secure. Our information technology and other internal infrastructure systems and those of our CROs and contractors and consultants are vulnerable to damage and interruption from computer viruses, unauthorized access, natural disasters, terrorism, war, telecommunication and electrical failures, hacking, cyberattacks, phishing attacks and other social engineering schemes, malicious code, employee theft or misuse, human error, fraud, denial or degradation of service attacks, sophisticated nation-state and nation-state-supported actors or unauthorized access or use by persons inside our organization, or persons with access to systems inside our organization. A system interruption or security breach that leads to disclosure or modification of or prevents access to personally identifiable information or other protected information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personal data, resulting in increased costs or loss of revenue. Similarly, the loss of clinical trial data from completed or ongoing or planned clinical trials could result in delays in our regulatory approval efforts and significantly increase our costs to recover or reproduce the data.</w:t>
      </w:r>
    </w:p>
    <w:p>
      <w:pPr>
        <w:spacing w:after="0" w:line="161"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Attacks upon information technology systems are also increasing in their frequency, levels of persistence, sophistication and intensity, and are being conducted by sophisticated and organized groups and individuals with a wide range of motives and expertise. As a result of the COVID-19 pandemic and resulting shelter-in-place and stay-at-home restrictions, we may also face increased cybersecurity risks due to our dependency on remote working technology and electronic monitoring of clinical trial sites,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To the extent that any disruption or security breach were to result in a loss of, or damage to, our data, or inappropriate disclosure of confidential or proprietary information, we could incur liability, recovery of our data could take a prolonged period of time, and the development of our research or product candidates could be delayed.</w:t>
      </w:r>
    </w:p>
    <w:p>
      <w:pPr>
        <w:spacing w:after="0" w:line="170"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As cyber threats continue to evolve, we may be required to expend significant additional resources to continue to modify or enhance our protective measures or to investigate and remediate any information security vulnerabilities. While we have implemented security measures to protect our data security and information technology systems, such measures may not prevent such events. Significant disruptions of our information technology systems or breaches of data security could have a material adverse effect on our business, financial condition and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ongoing armed conflict between Russia and Ukraine could adversely affect our business, financial condition, and results of operations.</w:t>
      </w:r>
    </w:p>
    <w:p>
      <w:pPr>
        <w:spacing w:after="0" w:line="194"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On February 24, 2022, Russian military forces launched a military action in Ukraine, and sustained conflict and disruption in the region is likely. The length, impact, and outcome of this ongoing military conflict is highly unpredictable, and could lead to significant market and other disruptions, including significant volatility in commodity prices and supply of energy resources, instability in financial markets, supply chain interruptions, political and social instability, trade disputes or trade barriers, changes in consumer or purchaser preferences, as well as an increase in cyberattacks and espionage.</w:t>
      </w:r>
    </w:p>
    <w:p>
      <w:pPr>
        <w:spacing w:after="0" w:line="14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Russia’s recognition of two separatist republics in the Donetsk and Luhansk regions of Ukraine and subsequent military action against Ukraine have led to substantial expansion of sanction programs imposed by the United States, the European Union, the United Kingdom, Canada, Switzerland, Japan, and other countries against Russia, Belarus, the Crimea Region of Ukraine, the so-called Donetsk People’s Republic, and the so-called Luhansk People’s Republic, including, among others:</w:t>
      </w:r>
    </w:p>
    <w:p>
      <w:pPr>
        <w:spacing w:after="0" w:line="80" w:lineRule="exact"/>
        <w:rPr>
          <w:sz w:val="20"/>
          <w:szCs w:val="20"/>
          <w:color w:val="auto"/>
        </w:rPr>
      </w:pPr>
    </w:p>
    <w:p>
      <w:pPr>
        <w:ind w:left="1020" w:right="120" w:hanging="503"/>
        <w:spacing w:after="0" w:line="248"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blocking sanctions against some of the largest state-owned and private Russian financial institutions (and their subsequent removal from the Society for Worldwide Interbank Financial Telecommunication (SWIFT) payment system) and certain Russian businesses, some of which have significant financial and trade ties to the European Union;</w:t>
      </w:r>
    </w:p>
    <w:p>
      <w:pPr>
        <w:spacing w:after="0" w:line="73"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blocking sanctions against Russian and Belarusian individuals, including the Russian President, other politicians, and those with government connections or involved in Russian military activities; and</w:t>
      </w:r>
    </w:p>
    <w:p>
      <w:pPr>
        <w:spacing w:after="0" w:line="62"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blocking of Russia’s foreign currency reserves as well as expansion of sectoral sanctions and export and trade restrictions, limitations on investments and access to capital markets, and bans on various Russian imports.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7" w:name="page68"/>
    <w:bookmarkEnd w:id="67"/>
    <w:p>
      <w:pPr>
        <w:ind w:right="20"/>
        <w:spacing w:after="0"/>
        <w:rPr>
          <w:sz w:val="20"/>
          <w:szCs w:val="20"/>
          <w:color w:val="auto"/>
        </w:rPr>
      </w:pPr>
      <w:r>
        <w:rPr>
          <w:rFonts w:ascii="Arial" w:cs="Arial" w:eastAsia="Arial" w:hAnsi="Arial"/>
          <w:sz w:val="18"/>
          <w:szCs w:val="18"/>
          <w:color w:val="auto"/>
        </w:rPr>
        <w:t>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 The situation is rapidly evolving, additional sanctions by Russia on the one hand, and by the other countries on the other hand, could adversely affect the global economy, financial markets, energy supply and prices, certain critical materials and metals, supply chains, and global logistics and could adversely affect our business, financial condition, and results of operations.</w:t>
      </w:r>
    </w:p>
    <w:p>
      <w:pPr>
        <w:spacing w:after="0" w:line="176"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We are actively monitoring the situation in Ukraine and Russia and assessing its impact on our business, including our business partners and customers. To date we have not experienced any material interruptions in our infrastructure, supplies, technology systems, or networks needed to support our operations. We have no way to predict the progress or outcome of the military conflict in Ukraine or its impacts in Ukraine, Russia, Belarus, Europe, or the U.S. The extent and duration of the military action, sanctions, and resulting market disruptions could be significant and could potentially have substantial impact on the global economy and our business for an unknown period of time.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221"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Our research and development activities involve the use of hazardous materials and various chemicals. We maintain quantities of various flammable and toxic chemicals in our facilities in South San Francisco, California that are required for our research and development activities. We are subject to federal, state and local laws and regulations governing the use, manufacture, storage, handling and disposal of these hazardous materials. We believe our procedures for storing, handling and disposing these materials in our South San Francisco facilities comply with the relevant guidelines of South San Francisco, the state of California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animals and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154"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Changes in U.S. or foreign tax laws or regulations that are applied adversely to us may have a material adverse effect on our business, cash flow, financial condition or results of operations.</w:t>
      </w:r>
    </w:p>
    <w:p>
      <w:pPr>
        <w:spacing w:after="0" w:line="157"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and financial condition. Further, existing tax laws, statutes, rules, regulations or ordinances could be interpreted, changed, modified or applied adversely to us. For example, legislation enacted in 2017, informally titled the Tax Cuts and Jobs Act (the “Tax Act”), enacted many significant changes to the U.S. tax laws. Future guidance from the Internal Revenue Service and other tax authorities with respect to the Tax Act may affect us, and certain aspects of the Tax Act could be repealed or modified in future legislation. Changes in applicable tax rules, including changes to corporate tax rates, the realization of net deferred tax assets relating to our operations, the taxation of foreign earnings, and the deductibility of expenses under future reform legislation could have a material impact on the value of our deferred tax assets, could result in significant one-time charges, and could increase our future tax expense.</w:t>
      </w:r>
    </w:p>
    <w:p>
      <w:pPr>
        <w:spacing w:after="0" w:line="15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adverse or misleading opinions regarding our stock, our stock price and trading volume could decline.</w:t>
      </w:r>
    </w:p>
    <w:p>
      <w:pPr>
        <w:spacing w:after="0" w:line="157"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of Shares or of Company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03" w:right="1440"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color w:val="auto"/>
        </w:rPr>
        <w:t>Item 6. Exhibits</w:t>
      </w:r>
    </w:p>
    <w:p>
      <w:pPr>
        <w:sectPr>
          <w:pgSz w:w="11900" w:h="16838" w:orient="portrait"/>
          <w:cols w:equalWidth="0" w:num="1">
            <w:col w:w="11220"/>
          </w:cols>
          <w:pgMar w:left="320" w:top="324" w:right="359" w:bottom="1440" w:gutter="0" w:footer="0" w:header="0"/>
        </w:sectPr>
      </w:pPr>
    </w:p>
    <w:p>
      <w:pPr>
        <w:spacing w:after="0" w:line="200" w:lineRule="exact"/>
        <w:rPr>
          <w:sz w:val="20"/>
          <w:szCs w:val="20"/>
          <w:color w:val="auto"/>
        </w:rPr>
      </w:pPr>
    </w:p>
    <w:p>
      <w:pPr>
        <w:spacing w:after="0" w:line="22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920" w:type="dxa"/>
            <w:vAlign w:val="bottom"/>
          </w:tcPr>
          <w:p>
            <w:pPr>
              <w:jc w:val="center"/>
              <w:ind w:right="1348"/>
              <w:spacing w:after="0"/>
              <w:rPr>
                <w:sz w:val="20"/>
                <w:szCs w:val="20"/>
                <w:color w:val="auto"/>
              </w:rPr>
            </w:pPr>
            <w:r>
              <w:rPr>
                <w:rFonts w:ascii="Arial" w:cs="Arial" w:eastAsia="Arial" w:hAnsi="Arial"/>
                <w:sz w:val="14"/>
                <w:szCs w:val="14"/>
                <w:b w:val="1"/>
                <w:bCs w:val="1"/>
                <w:color w:val="auto"/>
                <w:w w:val="98"/>
              </w:rPr>
              <w:t>Exhibit</w:t>
            </w:r>
          </w:p>
        </w:tc>
        <w:tc>
          <w:tcPr>
            <w:tcW w:w="2600" w:type="dxa"/>
            <w:vAlign w:val="bottom"/>
            <w:vMerge w:val="restart"/>
          </w:tcPr>
          <w:p>
            <w:pPr>
              <w:ind w:left="1380"/>
              <w:spacing w:after="0"/>
              <w:rPr>
                <w:sz w:val="20"/>
                <w:szCs w:val="20"/>
                <w:color w:val="auto"/>
              </w:rPr>
            </w:pPr>
            <w:r>
              <w:rPr>
                <w:rFonts w:ascii="Arial" w:cs="Arial" w:eastAsia="Arial" w:hAnsi="Arial"/>
                <w:sz w:val="14"/>
                <w:szCs w:val="14"/>
                <w:b w:val="1"/>
                <w:bCs w:val="1"/>
                <w:color w:val="auto"/>
                <w:w w:val="94"/>
              </w:rPr>
              <w:t>Exhibit Description</w:t>
            </w:r>
          </w:p>
        </w:tc>
        <w:tc>
          <w:tcPr>
            <w:tcW w:w="0" w:type="dxa"/>
            <w:vAlign w:val="bottom"/>
          </w:tcPr>
          <w:p>
            <w:pPr>
              <w:spacing w:after="0"/>
              <w:rPr>
                <w:sz w:val="1"/>
                <w:szCs w:val="1"/>
                <w:color w:val="auto"/>
              </w:rPr>
            </w:pPr>
          </w:p>
        </w:tc>
      </w:tr>
      <w:tr>
        <w:trPr>
          <w:trHeight w:val="186"/>
        </w:trPr>
        <w:tc>
          <w:tcPr>
            <w:tcW w:w="1920" w:type="dxa"/>
            <w:vAlign w:val="bottom"/>
          </w:tcPr>
          <w:p>
            <w:pPr>
              <w:jc w:val="center"/>
              <w:ind w:right="1328"/>
              <w:spacing w:after="0"/>
              <w:rPr>
                <w:sz w:val="20"/>
                <w:szCs w:val="20"/>
                <w:color w:val="auto"/>
              </w:rPr>
            </w:pPr>
            <w:r>
              <w:rPr>
                <w:rFonts w:ascii="Arial" w:cs="Arial" w:eastAsia="Arial" w:hAnsi="Arial"/>
                <w:sz w:val="14"/>
                <w:szCs w:val="14"/>
                <w:b w:val="1"/>
                <w:bCs w:val="1"/>
                <w:color w:val="auto"/>
                <w:w w:val="98"/>
              </w:rPr>
              <w:t>Number</w:t>
            </w:r>
          </w:p>
        </w:tc>
        <w:tc>
          <w:tcPr>
            <w:tcW w:w="2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0</wp:posOffset>
            </wp:positionV>
            <wp:extent cx="45688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109"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1060" w:type="dxa"/>
            <w:vAlign w:val="bottom"/>
          </w:tcPr>
          <w:p>
            <w:pPr>
              <w:jc w:val="center"/>
              <w:ind w:right="310"/>
              <w:spacing w:after="0"/>
              <w:rPr>
                <w:sz w:val="20"/>
                <w:szCs w:val="20"/>
                <w:color w:val="auto"/>
              </w:rPr>
            </w:pPr>
            <w:r>
              <w:rPr>
                <w:rFonts w:ascii="Arial" w:cs="Arial" w:eastAsia="Arial" w:hAnsi="Arial"/>
                <w:sz w:val="18"/>
                <w:szCs w:val="18"/>
                <w:color w:val="auto"/>
                <w:w w:val="87"/>
              </w:rPr>
              <w:t>3.1</w:t>
            </w:r>
          </w:p>
        </w:tc>
        <w:tc>
          <w:tcPr>
            <w:tcW w:w="5860" w:type="dxa"/>
            <w:vAlign w:val="bottom"/>
            <w:gridSpan w:val="12"/>
          </w:tcPr>
          <w:p>
            <w:pPr>
              <w:spacing w:after="0"/>
              <w:rPr>
                <w:rFonts w:ascii="Arial" w:cs="Arial" w:eastAsia="Arial" w:hAnsi="Arial"/>
                <w:sz w:val="18"/>
                <w:szCs w:val="18"/>
                <w:color w:val="0000FF"/>
              </w:rPr>
            </w:pPr>
            <w:hyperlink r:id="rId223">
              <w:r>
                <w:rPr>
                  <w:rFonts w:ascii="Arial" w:cs="Arial" w:eastAsia="Arial" w:hAnsi="Arial"/>
                  <w:sz w:val="18"/>
                  <w:szCs w:val="18"/>
                  <w:color w:val="0000FF"/>
                </w:rPr>
                <w:t>Amended and Restated Certificate of Incorporation.</w:t>
              </w:r>
            </w:hyperlink>
          </w:p>
        </w:tc>
        <w:tc>
          <w:tcPr>
            <w:tcW w:w="0" w:type="dxa"/>
            <w:vAlign w:val="bottom"/>
          </w:tcPr>
          <w:p>
            <w:pPr>
              <w:spacing w:after="0"/>
              <w:rPr>
                <w:sz w:val="1"/>
                <w:szCs w:val="1"/>
                <w:color w:val="auto"/>
              </w:rPr>
            </w:pPr>
          </w:p>
        </w:tc>
      </w:tr>
      <w:tr>
        <w:trPr>
          <w:trHeight w:val="20"/>
        </w:trPr>
        <w:tc>
          <w:tcPr>
            <w:tcW w:w="1060" w:type="dxa"/>
            <w:vAlign w:val="bottom"/>
            <w:vMerge w:val="restart"/>
          </w:tcPr>
          <w:p>
            <w:pPr>
              <w:jc w:val="center"/>
              <w:ind w:right="310"/>
              <w:spacing w:after="0"/>
              <w:rPr>
                <w:sz w:val="20"/>
                <w:szCs w:val="20"/>
                <w:color w:val="auto"/>
              </w:rPr>
            </w:pPr>
            <w:r>
              <w:rPr>
                <w:rFonts w:ascii="Arial" w:cs="Arial" w:eastAsia="Arial" w:hAnsi="Arial"/>
                <w:sz w:val="18"/>
                <w:szCs w:val="18"/>
                <w:color w:val="auto"/>
                <w:w w:val="87"/>
              </w:rPr>
              <w:t>3.2</w:t>
            </w:r>
          </w:p>
        </w:tc>
        <w:tc>
          <w:tcPr>
            <w:tcW w:w="4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vMerge w:val="continue"/>
          </w:tcPr>
          <w:p>
            <w:pPr>
              <w:spacing w:after="0"/>
              <w:rPr>
                <w:sz w:val="24"/>
                <w:szCs w:val="24"/>
                <w:color w:val="auto"/>
              </w:rPr>
            </w:pPr>
          </w:p>
        </w:tc>
        <w:tc>
          <w:tcPr>
            <w:tcW w:w="5860" w:type="dxa"/>
            <w:vAlign w:val="bottom"/>
            <w:gridSpan w:val="12"/>
          </w:tcPr>
          <w:p>
            <w:pPr>
              <w:spacing w:after="0"/>
              <w:rPr>
                <w:rFonts w:ascii="Arial" w:cs="Arial" w:eastAsia="Arial" w:hAnsi="Arial"/>
                <w:sz w:val="16"/>
                <w:szCs w:val="16"/>
                <w:color w:val="0000FF"/>
              </w:rPr>
            </w:pPr>
            <w:hyperlink r:id="rId224">
              <w:r>
                <w:rPr>
                  <w:rFonts w:ascii="Arial" w:cs="Arial" w:eastAsia="Arial" w:hAnsi="Arial"/>
                  <w:sz w:val="16"/>
                  <w:szCs w:val="16"/>
                  <w:color w:val="0000FF"/>
                </w:rPr>
                <w:t>Certificate of Amendment to Amended and Restated Certificate of Incorporation of</w:t>
              </w:r>
            </w:hyperlink>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544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224">
              <w:r>
                <w:rPr>
                  <w:rFonts w:ascii="Arial" w:cs="Arial" w:eastAsia="Arial" w:hAnsi="Arial"/>
                  <w:sz w:val="16"/>
                  <w:szCs w:val="16"/>
                  <w:color w:val="0000FF"/>
                </w:rPr>
                <w:t>CytomX Therapeutics, Inc.</w:t>
              </w:r>
            </w:hyperlink>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jc w:val="center"/>
              <w:ind w:right="310"/>
              <w:spacing w:after="0"/>
              <w:rPr>
                <w:sz w:val="20"/>
                <w:szCs w:val="20"/>
                <w:color w:val="auto"/>
              </w:rPr>
            </w:pPr>
            <w:r>
              <w:rPr>
                <w:rFonts w:ascii="Arial" w:cs="Arial" w:eastAsia="Arial" w:hAnsi="Arial"/>
                <w:sz w:val="18"/>
                <w:szCs w:val="18"/>
                <w:color w:val="auto"/>
                <w:w w:val="87"/>
              </w:rPr>
              <w:t>3.3</w:t>
            </w:r>
          </w:p>
        </w:tc>
        <w:tc>
          <w:tcPr>
            <w:tcW w:w="5860" w:type="dxa"/>
            <w:vAlign w:val="bottom"/>
            <w:gridSpan w:val="12"/>
          </w:tcPr>
          <w:p>
            <w:pPr>
              <w:spacing w:after="0"/>
              <w:rPr>
                <w:rFonts w:ascii="Arial" w:cs="Arial" w:eastAsia="Arial" w:hAnsi="Arial"/>
                <w:sz w:val="18"/>
                <w:szCs w:val="18"/>
                <w:color w:val="0000FF"/>
              </w:rPr>
            </w:pPr>
            <w:hyperlink r:id="rId225">
              <w:r>
                <w:rPr>
                  <w:rFonts w:ascii="Arial" w:cs="Arial" w:eastAsia="Arial" w:hAnsi="Arial"/>
                  <w:sz w:val="18"/>
                  <w:szCs w:val="18"/>
                  <w:color w:val="0000FF"/>
                </w:rPr>
                <w:t>Amended and Restated Bylaws.</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EE"/>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jc w:val="center"/>
              <w:ind w:right="310"/>
              <w:spacing w:after="0"/>
              <w:rPr>
                <w:sz w:val="20"/>
                <w:szCs w:val="20"/>
                <w:color w:val="auto"/>
              </w:rPr>
            </w:pPr>
            <w:r>
              <w:rPr>
                <w:rFonts w:ascii="Arial" w:cs="Arial" w:eastAsia="Arial" w:hAnsi="Arial"/>
                <w:sz w:val="18"/>
                <w:szCs w:val="18"/>
                <w:color w:val="auto"/>
                <w:w w:val="87"/>
              </w:rPr>
              <w:t>4.1</w:t>
            </w:r>
          </w:p>
        </w:tc>
        <w:tc>
          <w:tcPr>
            <w:tcW w:w="5860" w:type="dxa"/>
            <w:vAlign w:val="bottom"/>
            <w:gridSpan w:val="12"/>
          </w:tcPr>
          <w:p>
            <w:pPr>
              <w:spacing w:after="0"/>
              <w:rPr>
                <w:sz w:val="20"/>
                <w:szCs w:val="20"/>
                <w:color w:val="auto"/>
              </w:rPr>
            </w:pPr>
            <w:r>
              <w:rPr>
                <w:rFonts w:ascii="Arial" w:cs="Arial" w:eastAsia="Arial" w:hAnsi="Arial"/>
                <w:sz w:val="18"/>
                <w:szCs w:val="18"/>
                <w:color w:val="auto"/>
              </w:rPr>
              <w:t>Reference is made to Exhibits 3.1 through 3.2.</w:t>
            </w:r>
          </w:p>
        </w:tc>
        <w:tc>
          <w:tcPr>
            <w:tcW w:w="0" w:type="dxa"/>
            <w:vAlign w:val="bottom"/>
          </w:tcPr>
          <w:p>
            <w:pPr>
              <w:spacing w:after="0"/>
              <w:rPr>
                <w:sz w:val="1"/>
                <w:szCs w:val="1"/>
                <w:color w:val="auto"/>
              </w:rPr>
            </w:pPr>
          </w:p>
        </w:tc>
      </w:tr>
      <w:tr>
        <w:trPr>
          <w:trHeight w:val="297"/>
        </w:trPr>
        <w:tc>
          <w:tcPr>
            <w:tcW w:w="1060" w:type="dxa"/>
            <w:vAlign w:val="bottom"/>
          </w:tcPr>
          <w:p>
            <w:pPr>
              <w:jc w:val="center"/>
              <w:ind w:right="310"/>
              <w:spacing w:after="0"/>
              <w:rPr>
                <w:sz w:val="20"/>
                <w:szCs w:val="20"/>
                <w:color w:val="auto"/>
              </w:rPr>
            </w:pPr>
            <w:r>
              <w:rPr>
                <w:rFonts w:ascii="Arial" w:cs="Arial" w:eastAsia="Arial" w:hAnsi="Arial"/>
                <w:sz w:val="18"/>
                <w:szCs w:val="18"/>
                <w:color w:val="auto"/>
                <w:w w:val="87"/>
              </w:rPr>
              <w:t>4.2</w:t>
            </w:r>
          </w:p>
        </w:tc>
        <w:tc>
          <w:tcPr>
            <w:tcW w:w="5860" w:type="dxa"/>
            <w:vAlign w:val="bottom"/>
            <w:gridSpan w:val="12"/>
          </w:tcPr>
          <w:p>
            <w:pPr>
              <w:spacing w:after="0"/>
              <w:rPr>
                <w:rFonts w:ascii="Arial" w:cs="Arial" w:eastAsia="Arial" w:hAnsi="Arial"/>
                <w:sz w:val="18"/>
                <w:szCs w:val="18"/>
                <w:color w:val="0000FF"/>
              </w:rPr>
            </w:pPr>
            <w:hyperlink r:id="rId226">
              <w:r>
                <w:rPr>
                  <w:rFonts w:ascii="Arial" w:cs="Arial" w:eastAsia="Arial" w:hAnsi="Arial"/>
                  <w:sz w:val="18"/>
                  <w:szCs w:val="18"/>
                  <w:color w:val="0000FF"/>
                </w:rPr>
                <w:t>Specimen Common Stock Certificate</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EE"/>
            </w:tcBorders>
            <w:gridSpan w:val="3"/>
            <w:shd w:val="clear" w:color="auto" w:fill="0000FF"/>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jc w:val="center"/>
              <w:ind w:right="290"/>
              <w:spacing w:after="0"/>
              <w:rPr>
                <w:sz w:val="20"/>
                <w:szCs w:val="20"/>
                <w:color w:val="auto"/>
              </w:rPr>
            </w:pPr>
            <w:r>
              <w:rPr>
                <w:rFonts w:ascii="Arial" w:cs="Arial" w:eastAsia="Arial" w:hAnsi="Arial"/>
                <w:sz w:val="18"/>
                <w:szCs w:val="18"/>
                <w:color w:val="auto"/>
                <w:w w:val="91"/>
              </w:rPr>
              <w:t>31.1</w:t>
            </w:r>
          </w:p>
        </w:tc>
        <w:tc>
          <w:tcPr>
            <w:tcW w:w="5860" w:type="dxa"/>
            <w:vAlign w:val="bottom"/>
            <w:gridSpan w:val="12"/>
          </w:tcPr>
          <w:p>
            <w:pPr>
              <w:spacing w:after="0"/>
              <w:rPr>
                <w:rFonts w:ascii="Arial" w:cs="Arial" w:eastAsia="Arial" w:hAnsi="Arial"/>
                <w:sz w:val="18"/>
                <w:szCs w:val="18"/>
                <w:color w:val="0000FF"/>
                <w:w w:val="93"/>
              </w:rPr>
            </w:pPr>
            <w:hyperlink w:anchor="page72">
              <w:r>
                <w:rPr>
                  <w:rFonts w:ascii="Arial" w:cs="Arial" w:eastAsia="Arial" w:hAnsi="Arial"/>
                  <w:sz w:val="18"/>
                  <w:szCs w:val="18"/>
                  <w:color w:val="0000FF"/>
                  <w:w w:val="93"/>
                </w:rPr>
                <w:t>Certification of Chief Executive Officer required by Rule 13a-14(a) or Rule 15d-</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680" w:type="dxa"/>
            <w:vAlign w:val="bottom"/>
            <w:tcBorders>
              <w:right w:val="single" w:sz="8" w:color="0000FF"/>
            </w:tcBorders>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60" w:type="dxa"/>
            <w:vAlign w:val="bottom"/>
          </w:tcPr>
          <w:p>
            <w:pPr>
              <w:spacing w:after="0"/>
              <w:rPr>
                <w:sz w:val="13"/>
                <w:szCs w:val="13"/>
                <w:color w:val="auto"/>
              </w:rPr>
            </w:pPr>
          </w:p>
        </w:tc>
        <w:tc>
          <w:tcPr>
            <w:tcW w:w="5820" w:type="dxa"/>
            <w:vAlign w:val="bottom"/>
            <w:gridSpan w:val="10"/>
          </w:tcPr>
          <w:p>
            <w:pPr>
              <w:spacing w:after="0" w:line="156" w:lineRule="exact"/>
              <w:rPr>
                <w:rFonts w:ascii="Arial" w:cs="Arial" w:eastAsia="Arial" w:hAnsi="Arial"/>
                <w:sz w:val="18"/>
                <w:szCs w:val="18"/>
                <w:color w:val="0000FF"/>
              </w:rPr>
            </w:pPr>
            <w:hyperlink w:anchor="page72">
              <w:r>
                <w:rPr>
                  <w:rFonts w:ascii="Arial" w:cs="Arial" w:eastAsia="Arial" w:hAnsi="Arial"/>
                  <w:sz w:val="18"/>
                  <w:szCs w:val="18"/>
                  <w:color w:val="0000FF"/>
                </w:rPr>
                <w:t>14(a).</w:t>
              </w:r>
            </w:hyperlink>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jc w:val="center"/>
              <w:ind w:right="290"/>
              <w:spacing w:after="0"/>
              <w:rPr>
                <w:sz w:val="20"/>
                <w:szCs w:val="20"/>
                <w:color w:val="auto"/>
              </w:rPr>
            </w:pPr>
            <w:r>
              <w:rPr>
                <w:rFonts w:ascii="Arial" w:cs="Arial" w:eastAsia="Arial" w:hAnsi="Arial"/>
                <w:sz w:val="18"/>
                <w:szCs w:val="18"/>
                <w:color w:val="auto"/>
                <w:w w:val="91"/>
              </w:rPr>
              <w:t>31.2</w:t>
            </w:r>
          </w:p>
        </w:tc>
        <w:tc>
          <w:tcPr>
            <w:tcW w:w="5860" w:type="dxa"/>
            <w:vAlign w:val="bottom"/>
            <w:gridSpan w:val="12"/>
          </w:tcPr>
          <w:p>
            <w:pPr>
              <w:spacing w:after="0"/>
              <w:rPr>
                <w:rFonts w:ascii="Arial" w:cs="Arial" w:eastAsia="Arial" w:hAnsi="Arial"/>
                <w:sz w:val="18"/>
                <w:szCs w:val="18"/>
                <w:color w:val="0000FF"/>
                <w:w w:val="94"/>
              </w:rPr>
            </w:pPr>
            <w:hyperlink w:anchor="page73">
              <w:r>
                <w:rPr>
                  <w:rFonts w:ascii="Arial" w:cs="Arial" w:eastAsia="Arial" w:hAnsi="Arial"/>
                  <w:sz w:val="18"/>
                  <w:szCs w:val="18"/>
                  <w:color w:val="0000FF"/>
                  <w:w w:val="94"/>
                </w:rPr>
                <w:t>Certification of Chief Financial Officer required by Rule 13a-14(a) or Rule 15d-</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1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680" w:type="dxa"/>
            <w:vAlign w:val="bottom"/>
            <w:tcBorders>
              <w:right w:val="single" w:sz="8" w:color="0000FF"/>
            </w:tcBorders>
            <w:gridSpan w:val="6"/>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60" w:type="dxa"/>
            <w:vAlign w:val="bottom"/>
          </w:tcPr>
          <w:p>
            <w:pPr>
              <w:spacing w:after="0"/>
              <w:rPr>
                <w:sz w:val="13"/>
                <w:szCs w:val="13"/>
                <w:color w:val="auto"/>
              </w:rPr>
            </w:pPr>
          </w:p>
        </w:tc>
        <w:tc>
          <w:tcPr>
            <w:tcW w:w="5780" w:type="dxa"/>
            <w:vAlign w:val="bottom"/>
            <w:gridSpan w:val="8"/>
          </w:tcPr>
          <w:p>
            <w:pPr>
              <w:spacing w:after="0" w:line="156" w:lineRule="exact"/>
              <w:rPr>
                <w:rFonts w:ascii="Arial" w:cs="Arial" w:eastAsia="Arial" w:hAnsi="Arial"/>
                <w:sz w:val="18"/>
                <w:szCs w:val="18"/>
                <w:color w:val="0000FF"/>
              </w:rPr>
            </w:pPr>
            <w:hyperlink w:anchor="page73">
              <w:r>
                <w:rPr>
                  <w:rFonts w:ascii="Arial" w:cs="Arial" w:eastAsia="Arial" w:hAnsi="Arial"/>
                  <w:sz w:val="18"/>
                  <w:szCs w:val="18"/>
                  <w:color w:val="0000FF"/>
                </w:rPr>
                <w:t>14(a).</w:t>
              </w:r>
            </w:hyperlink>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jc w:val="center"/>
              <w:ind w:right="290"/>
              <w:spacing w:after="0"/>
              <w:rPr>
                <w:sz w:val="20"/>
                <w:szCs w:val="20"/>
                <w:color w:val="auto"/>
              </w:rPr>
            </w:pPr>
            <w:r>
              <w:rPr>
                <w:rFonts w:ascii="Arial" w:cs="Arial" w:eastAsia="Arial" w:hAnsi="Arial"/>
                <w:sz w:val="18"/>
                <w:szCs w:val="18"/>
                <w:color w:val="auto"/>
                <w:w w:val="95"/>
              </w:rPr>
              <w:t>32.1*</w:t>
            </w:r>
          </w:p>
        </w:tc>
        <w:tc>
          <w:tcPr>
            <w:tcW w:w="5860" w:type="dxa"/>
            <w:vAlign w:val="bottom"/>
            <w:gridSpan w:val="12"/>
          </w:tcPr>
          <w:p>
            <w:pPr>
              <w:spacing w:after="0"/>
              <w:rPr>
                <w:rFonts w:ascii="Arial" w:cs="Arial" w:eastAsia="Arial" w:hAnsi="Arial"/>
                <w:sz w:val="18"/>
                <w:szCs w:val="18"/>
                <w:color w:val="0000FF"/>
                <w:w w:val="93"/>
              </w:rPr>
            </w:pPr>
            <w:hyperlink w:anchor="page74">
              <w:r>
                <w:rPr>
                  <w:rFonts w:ascii="Arial" w:cs="Arial" w:eastAsia="Arial" w:hAnsi="Arial"/>
                  <w:sz w:val="18"/>
                  <w:szCs w:val="18"/>
                  <w:color w:val="0000FF"/>
                  <w:w w:val="93"/>
                </w:rPr>
                <w:t>Certification of Chief Executive Officer required by Rule 13a-14(b) or Rule 15d-</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1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680" w:type="dxa"/>
            <w:vAlign w:val="bottom"/>
            <w:tcBorders>
              <w:right w:val="single" w:sz="8" w:color="0000FF"/>
            </w:tcBorders>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60" w:type="dxa"/>
            <w:vAlign w:val="bottom"/>
          </w:tcPr>
          <w:p>
            <w:pPr>
              <w:spacing w:after="0"/>
              <w:rPr>
                <w:sz w:val="13"/>
                <w:szCs w:val="13"/>
                <w:color w:val="auto"/>
              </w:rPr>
            </w:pPr>
          </w:p>
        </w:tc>
        <w:tc>
          <w:tcPr>
            <w:tcW w:w="5840" w:type="dxa"/>
            <w:vAlign w:val="bottom"/>
            <w:gridSpan w:val="11"/>
          </w:tcPr>
          <w:p>
            <w:pPr>
              <w:spacing w:after="0" w:line="156" w:lineRule="exact"/>
              <w:rPr>
                <w:rFonts w:ascii="Arial" w:cs="Arial" w:eastAsia="Arial" w:hAnsi="Arial"/>
                <w:sz w:val="18"/>
                <w:szCs w:val="18"/>
                <w:color w:val="0000FF"/>
                <w:w w:val="92"/>
              </w:rPr>
            </w:pPr>
            <w:hyperlink w:anchor="page74">
              <w:r>
                <w:rPr>
                  <w:rFonts w:ascii="Arial" w:cs="Arial" w:eastAsia="Arial" w:hAnsi="Arial"/>
                  <w:sz w:val="18"/>
                  <w:szCs w:val="18"/>
                  <w:color w:val="0000FF"/>
                  <w:w w:val="92"/>
                </w:rPr>
                <w:t>14(b) and Section 1350 of Chapter 63 of Title 18 of the United States Code (18</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78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74">
              <w:r>
                <w:rPr>
                  <w:rFonts w:ascii="Arial" w:cs="Arial" w:eastAsia="Arial" w:hAnsi="Arial"/>
                  <w:sz w:val="18"/>
                  <w:szCs w:val="18"/>
                  <w:color w:val="0000FF"/>
                </w:rPr>
                <w:t>U.S.C. §1350).</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10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jc w:val="center"/>
              <w:ind w:right="290"/>
              <w:spacing w:after="0"/>
              <w:rPr>
                <w:sz w:val="20"/>
                <w:szCs w:val="20"/>
                <w:color w:val="auto"/>
              </w:rPr>
            </w:pPr>
            <w:r>
              <w:rPr>
                <w:rFonts w:ascii="Arial" w:cs="Arial" w:eastAsia="Arial" w:hAnsi="Arial"/>
                <w:sz w:val="18"/>
                <w:szCs w:val="18"/>
                <w:color w:val="auto"/>
                <w:w w:val="95"/>
              </w:rPr>
              <w:t>32.2*</w:t>
            </w:r>
          </w:p>
        </w:tc>
        <w:tc>
          <w:tcPr>
            <w:tcW w:w="5860" w:type="dxa"/>
            <w:vAlign w:val="bottom"/>
            <w:gridSpan w:val="12"/>
          </w:tcPr>
          <w:p>
            <w:pPr>
              <w:spacing w:after="0"/>
              <w:rPr>
                <w:rFonts w:ascii="Arial" w:cs="Arial" w:eastAsia="Arial" w:hAnsi="Arial"/>
                <w:sz w:val="18"/>
                <w:szCs w:val="18"/>
                <w:color w:val="0000FF"/>
                <w:w w:val="94"/>
              </w:rPr>
            </w:pPr>
            <w:hyperlink w:anchor="page75">
              <w:r>
                <w:rPr>
                  <w:rFonts w:ascii="Arial" w:cs="Arial" w:eastAsia="Arial" w:hAnsi="Arial"/>
                  <w:sz w:val="18"/>
                  <w:szCs w:val="18"/>
                  <w:color w:val="0000FF"/>
                  <w:w w:val="94"/>
                </w:rPr>
                <w:t>Certification of Chief Financial Officer required by Rule 13a-14(b) or Rule 15d-</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800" w:type="dxa"/>
            <w:vAlign w:val="bottom"/>
            <w:tcBorders>
              <w:left w:val="single" w:sz="8" w:color="0000EE"/>
            </w:tcBorders>
            <w:gridSpan w:val="9"/>
            <w:shd w:val="clear" w:color="auto" w:fill="0000FF"/>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60" w:type="dxa"/>
            <w:vAlign w:val="bottom"/>
          </w:tcPr>
          <w:p>
            <w:pPr>
              <w:spacing w:after="0"/>
              <w:rPr>
                <w:sz w:val="13"/>
                <w:szCs w:val="13"/>
                <w:color w:val="auto"/>
              </w:rPr>
            </w:pPr>
          </w:p>
        </w:tc>
        <w:tc>
          <w:tcPr>
            <w:tcW w:w="5800" w:type="dxa"/>
            <w:vAlign w:val="bottom"/>
            <w:gridSpan w:val="9"/>
          </w:tcPr>
          <w:p>
            <w:pPr>
              <w:spacing w:after="0" w:line="156" w:lineRule="exact"/>
              <w:rPr>
                <w:rFonts w:ascii="Arial" w:cs="Arial" w:eastAsia="Arial" w:hAnsi="Arial"/>
                <w:sz w:val="18"/>
                <w:szCs w:val="18"/>
                <w:color w:val="0000FF"/>
                <w:w w:val="92"/>
              </w:rPr>
            </w:pPr>
            <w:hyperlink w:anchor="page75">
              <w:r>
                <w:rPr>
                  <w:rFonts w:ascii="Arial" w:cs="Arial" w:eastAsia="Arial" w:hAnsi="Arial"/>
                  <w:sz w:val="18"/>
                  <w:szCs w:val="18"/>
                  <w:color w:val="0000FF"/>
                  <w:w w:val="92"/>
                </w:rPr>
                <w:t>14(b) and Section 1350 of Chapter 63 of Title 18 of the United States Code (18</w:t>
              </w:r>
            </w:hyperlink>
          </w:p>
        </w:tc>
        <w:tc>
          <w:tcPr>
            <w:tcW w:w="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578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75">
              <w:r>
                <w:rPr>
                  <w:rFonts w:ascii="Arial" w:cs="Arial" w:eastAsia="Arial" w:hAnsi="Arial"/>
                  <w:sz w:val="18"/>
                  <w:szCs w:val="18"/>
                  <w:color w:val="0000FF"/>
                </w:rPr>
                <w:t>U.S.C. §1350).</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10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47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tcPr>
          <w:p>
            <w:pPr>
              <w:jc w:val="center"/>
              <w:ind w:right="290"/>
              <w:spacing w:after="0"/>
              <w:rPr>
                <w:sz w:val="20"/>
                <w:szCs w:val="20"/>
                <w:color w:val="auto"/>
              </w:rPr>
            </w:pPr>
            <w:r>
              <w:rPr>
                <w:rFonts w:ascii="Arial" w:cs="Arial" w:eastAsia="Arial" w:hAnsi="Arial"/>
                <w:sz w:val="18"/>
                <w:szCs w:val="18"/>
                <w:color w:val="auto"/>
                <w:w w:val="92"/>
              </w:rPr>
              <w:t>101.INS</w:t>
            </w:r>
          </w:p>
        </w:tc>
        <w:tc>
          <w:tcPr>
            <w:tcW w:w="5860" w:type="dxa"/>
            <w:vAlign w:val="bottom"/>
            <w:gridSpan w:val="12"/>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w:t>
            </w:r>
          </w:p>
        </w:tc>
        <w:tc>
          <w:tcPr>
            <w:tcW w:w="0" w:type="dxa"/>
            <w:vAlign w:val="bottom"/>
          </w:tcPr>
          <w:p>
            <w:pPr>
              <w:spacing w:after="0"/>
              <w:rPr>
                <w:sz w:val="1"/>
                <w:szCs w:val="1"/>
                <w:color w:val="auto"/>
              </w:rPr>
            </w:pPr>
          </w:p>
        </w:tc>
      </w:tr>
      <w:tr>
        <w:trPr>
          <w:trHeight w:val="176"/>
        </w:trPr>
        <w:tc>
          <w:tcPr>
            <w:tcW w:w="1060" w:type="dxa"/>
            <w:vAlign w:val="bottom"/>
          </w:tcPr>
          <w:p>
            <w:pPr>
              <w:spacing w:after="0"/>
              <w:rPr>
                <w:sz w:val="15"/>
                <w:szCs w:val="15"/>
                <w:color w:val="auto"/>
              </w:rPr>
            </w:pPr>
          </w:p>
        </w:tc>
        <w:tc>
          <w:tcPr>
            <w:tcW w:w="5860" w:type="dxa"/>
            <w:vAlign w:val="bottom"/>
            <w:gridSpan w:val="12"/>
          </w:tcPr>
          <w:p>
            <w:pPr>
              <w:spacing w:after="0" w:line="176" w:lineRule="exact"/>
              <w:rPr>
                <w:sz w:val="20"/>
                <w:szCs w:val="20"/>
                <w:color w:val="auto"/>
              </w:rPr>
            </w:pPr>
            <w:r>
              <w:rPr>
                <w:rFonts w:ascii="Arial" w:cs="Arial" w:eastAsia="Arial" w:hAnsi="Arial"/>
                <w:sz w:val="18"/>
                <w:szCs w:val="18"/>
                <w:color w:val="auto"/>
                <w:w w:val="97"/>
              </w:rPr>
              <w:t>Interactive Data File because its XBRL tags are embedded within the Inline</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5860" w:type="dxa"/>
            <w:vAlign w:val="bottom"/>
            <w:gridSpan w:val="12"/>
          </w:tcPr>
          <w:p>
            <w:pPr>
              <w:spacing w:after="0"/>
              <w:rPr>
                <w:sz w:val="20"/>
                <w:szCs w:val="20"/>
                <w:color w:val="auto"/>
              </w:rPr>
            </w:pPr>
            <w:r>
              <w:rPr>
                <w:rFonts w:ascii="Arial" w:cs="Arial" w:eastAsia="Arial" w:hAnsi="Arial"/>
                <w:sz w:val="18"/>
                <w:szCs w:val="18"/>
                <w:color w:val="auto"/>
              </w:rPr>
              <w:t>XBRL document</w:t>
            </w:r>
          </w:p>
        </w:tc>
        <w:tc>
          <w:tcPr>
            <w:tcW w:w="0" w:type="dxa"/>
            <w:vAlign w:val="bottom"/>
          </w:tcPr>
          <w:p>
            <w:pPr>
              <w:spacing w:after="0"/>
              <w:rPr>
                <w:sz w:val="1"/>
                <w:szCs w:val="1"/>
                <w:color w:val="auto"/>
              </w:rPr>
            </w:pPr>
          </w:p>
        </w:tc>
      </w:tr>
      <w:tr>
        <w:trPr>
          <w:trHeight w:val="337"/>
        </w:trPr>
        <w:tc>
          <w:tcPr>
            <w:tcW w:w="1060" w:type="dxa"/>
            <w:vAlign w:val="bottom"/>
          </w:tcPr>
          <w:p>
            <w:pPr>
              <w:jc w:val="center"/>
              <w:ind w:right="310"/>
              <w:spacing w:after="0"/>
              <w:rPr>
                <w:sz w:val="20"/>
                <w:szCs w:val="20"/>
                <w:color w:val="auto"/>
              </w:rPr>
            </w:pPr>
            <w:r>
              <w:rPr>
                <w:rFonts w:ascii="Arial" w:cs="Arial" w:eastAsia="Arial" w:hAnsi="Arial"/>
                <w:sz w:val="18"/>
                <w:szCs w:val="18"/>
                <w:color w:val="auto"/>
                <w:w w:val="90"/>
              </w:rPr>
              <w:t>101.SCH</w:t>
            </w:r>
          </w:p>
        </w:tc>
        <w:tc>
          <w:tcPr>
            <w:tcW w:w="586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1060" w:type="dxa"/>
            <w:vAlign w:val="bottom"/>
          </w:tcPr>
          <w:p>
            <w:pPr>
              <w:jc w:val="center"/>
              <w:ind w:right="290"/>
              <w:spacing w:after="0"/>
              <w:rPr>
                <w:sz w:val="20"/>
                <w:szCs w:val="20"/>
                <w:color w:val="auto"/>
              </w:rPr>
            </w:pPr>
            <w:r>
              <w:rPr>
                <w:rFonts w:ascii="Arial" w:cs="Arial" w:eastAsia="Arial" w:hAnsi="Arial"/>
                <w:sz w:val="18"/>
                <w:szCs w:val="18"/>
                <w:color w:val="auto"/>
                <w:w w:val="97"/>
              </w:rPr>
              <w:t>101.CAL</w:t>
            </w:r>
          </w:p>
        </w:tc>
        <w:tc>
          <w:tcPr>
            <w:tcW w:w="586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1060" w:type="dxa"/>
            <w:vAlign w:val="bottom"/>
          </w:tcPr>
          <w:p>
            <w:pPr>
              <w:jc w:val="center"/>
              <w:ind w:right="310"/>
              <w:spacing w:after="0"/>
              <w:rPr>
                <w:sz w:val="20"/>
                <w:szCs w:val="20"/>
                <w:color w:val="auto"/>
              </w:rPr>
            </w:pPr>
            <w:r>
              <w:rPr>
                <w:rFonts w:ascii="Arial" w:cs="Arial" w:eastAsia="Arial" w:hAnsi="Arial"/>
                <w:sz w:val="18"/>
                <w:szCs w:val="18"/>
                <w:color w:val="auto"/>
                <w:w w:val="92"/>
              </w:rPr>
              <w:t>101.DEF</w:t>
            </w:r>
          </w:p>
        </w:tc>
        <w:tc>
          <w:tcPr>
            <w:tcW w:w="586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1060" w:type="dxa"/>
            <w:vAlign w:val="bottom"/>
          </w:tcPr>
          <w:p>
            <w:pPr>
              <w:jc w:val="center"/>
              <w:ind w:right="290"/>
              <w:spacing w:after="0"/>
              <w:rPr>
                <w:sz w:val="20"/>
                <w:szCs w:val="20"/>
                <w:color w:val="auto"/>
              </w:rPr>
            </w:pPr>
            <w:r>
              <w:rPr>
                <w:rFonts w:ascii="Arial" w:cs="Arial" w:eastAsia="Arial" w:hAnsi="Arial"/>
                <w:sz w:val="18"/>
                <w:szCs w:val="18"/>
                <w:color w:val="auto"/>
                <w:w w:val="98"/>
              </w:rPr>
              <w:t>101.LAB</w:t>
            </w:r>
          </w:p>
        </w:tc>
        <w:tc>
          <w:tcPr>
            <w:tcW w:w="586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1060" w:type="dxa"/>
            <w:vAlign w:val="bottom"/>
          </w:tcPr>
          <w:p>
            <w:pPr>
              <w:jc w:val="center"/>
              <w:ind w:right="290"/>
              <w:spacing w:after="0"/>
              <w:rPr>
                <w:sz w:val="20"/>
                <w:szCs w:val="20"/>
                <w:color w:val="auto"/>
              </w:rPr>
            </w:pPr>
            <w:r>
              <w:rPr>
                <w:rFonts w:ascii="Arial" w:cs="Arial" w:eastAsia="Arial" w:hAnsi="Arial"/>
                <w:sz w:val="18"/>
                <w:szCs w:val="18"/>
                <w:color w:val="auto"/>
                <w:w w:val="88"/>
              </w:rPr>
              <w:t>101.PRE</w:t>
            </w:r>
          </w:p>
        </w:tc>
        <w:tc>
          <w:tcPr>
            <w:tcW w:w="586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380" w:right="280" w:hanging="859"/>
        <w:spacing w:after="0" w:line="235" w:lineRule="auto"/>
        <w:tabs>
          <w:tab w:leader="none" w:pos="1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18173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tcPr>
          <w:p>
            <w:pPr>
              <w:spacing w:after="0"/>
              <w:rPr>
                <w:sz w:val="14"/>
                <w:szCs w:val="14"/>
                <w:color w:val="auto"/>
              </w:rPr>
            </w:pPr>
          </w:p>
        </w:tc>
        <w:tc>
          <w:tcPr>
            <w:tcW w:w="10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Date</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ind w:left="22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85"/>
        </w:trPr>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rPr>
              <w:t>Number    Herewith</w:t>
            </w:r>
          </w:p>
        </w:tc>
        <w:tc>
          <w:tcPr>
            <w:tcW w:w="0" w:type="dxa"/>
            <w:vAlign w:val="bottom"/>
          </w:tcPr>
          <w:p>
            <w:pPr>
              <w:spacing w:after="0"/>
              <w:rPr>
                <w:sz w:val="1"/>
                <w:szCs w:val="1"/>
                <w:color w:val="auto"/>
              </w:rPr>
            </w:pPr>
          </w:p>
        </w:tc>
      </w:tr>
      <w:tr>
        <w:trPr>
          <w:trHeight w:val="358"/>
        </w:trPr>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Pr>
          <w:p>
            <w:pPr>
              <w:spacing w:after="0"/>
              <w:rPr>
                <w:sz w:val="24"/>
                <w:szCs w:val="24"/>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10/19/2015</w:t>
            </w:r>
          </w:p>
        </w:tc>
        <w:tc>
          <w:tcPr>
            <w:tcW w:w="140" w:type="dxa"/>
            <w:vAlign w:val="bottom"/>
          </w:tcPr>
          <w:p>
            <w:pPr>
              <w:spacing w:after="0"/>
              <w:rPr>
                <w:sz w:val="24"/>
                <w:szCs w:val="24"/>
                <w:color w:val="auto"/>
              </w:rPr>
            </w:pPr>
          </w:p>
        </w:tc>
        <w:tc>
          <w:tcPr>
            <w:tcW w:w="640" w:type="dxa"/>
            <w:vAlign w:val="bottom"/>
            <w:tcBorders>
              <w:top w:val="single" w:sz="8" w:color="auto"/>
            </w:tcBorders>
          </w:tcPr>
          <w:p>
            <w:pPr>
              <w:jc w:val="right"/>
              <w:ind w:right="139"/>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6/23/2020</w:t>
            </w:r>
          </w:p>
        </w:tc>
        <w:tc>
          <w:tcPr>
            <w:tcW w:w="780" w:type="dxa"/>
            <w:vAlign w:val="bottom"/>
            <w:gridSpan w:val="2"/>
          </w:tcPr>
          <w:p>
            <w:pPr>
              <w:jc w:val="right"/>
              <w:ind w:right="139"/>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10/19/2015</w:t>
            </w:r>
          </w:p>
        </w:tc>
        <w:tc>
          <w:tcPr>
            <w:tcW w:w="780" w:type="dxa"/>
            <w:vAlign w:val="bottom"/>
            <w:gridSpan w:val="2"/>
          </w:tcPr>
          <w:p>
            <w:pPr>
              <w:jc w:val="right"/>
              <w:ind w:right="139"/>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8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9/28/2015</w:t>
            </w:r>
          </w:p>
        </w:tc>
        <w:tc>
          <w:tcPr>
            <w:tcW w:w="780" w:type="dxa"/>
            <w:vAlign w:val="bottom"/>
            <w:gridSpan w:val="2"/>
          </w:tcPr>
          <w:p>
            <w:pPr>
              <w:jc w:val="right"/>
              <w:ind w:right="139"/>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X</w:t>
      </w:r>
    </w:p>
    <w:p>
      <w:pPr>
        <w:spacing w:after="0" w:line="306"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82"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82"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X</w:t>
      </w:r>
    </w:p>
    <w:p>
      <w:pPr>
        <w:spacing w:after="0" w:line="306"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X</w:t>
      </w:r>
    </w:p>
    <w:p>
      <w:pPr>
        <w:spacing w:after="0" w:line="212"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X</w:t>
      </w:r>
    </w:p>
    <w:p>
      <w:pPr>
        <w:spacing w:after="0" w:line="292" w:lineRule="exact"/>
        <w:rPr>
          <w:sz w:val="20"/>
          <w:szCs w:val="20"/>
          <w:color w:val="auto"/>
        </w:rPr>
      </w:pPr>
    </w:p>
    <w:p>
      <w:pPr>
        <w:sectPr>
          <w:pgSz w:w="11900" w:h="16838" w:orient="portrait"/>
          <w:cols w:equalWidth="0" w:num="2">
            <w:col w:w="7220" w:space="220"/>
            <w:col w:w="3780"/>
          </w:cols>
          <w:pgMar w:left="320" w:top="324" w:right="359" w:bottom="1440" w:gutter="0" w:footer="0" w:header="0"/>
          <w:type w:val="continuous"/>
        </w:sectPr>
      </w:pPr>
    </w:p>
    <w:p>
      <w:pPr>
        <w:ind w:firstLine="8"/>
        <w:spacing w:after="0" w:line="294" w:lineRule="auto"/>
        <w:tabs>
          <w:tab w:leader="none" w:pos="135"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certifications attached as Exhibit 32.1 and 32.2 that accompany this Quarterly Report on Form 10-Q are not deemed filed with the SEC and are not to be incorporated by reference into any filing of CytomX Therapeutics, Inc. under the Securities Act of 1933, as amended, or the Securities Exchange Act of 1934, as amended, whether made before or after the date of this Form 10-Q, irrespective of any general incorporation language contained in such filing.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7260" w:type="dxa"/>
            <w:vAlign w:val="bottom"/>
            <w:gridSpan w:val="2"/>
          </w:tcPr>
          <w:p>
            <w:pPr>
              <w:ind w:left="2400"/>
              <w:spacing w:after="0"/>
              <w:rPr>
                <w:sz w:val="20"/>
                <w:szCs w:val="20"/>
                <w:color w:val="auto"/>
              </w:rPr>
            </w:pPr>
            <w:r>
              <w:rPr>
                <w:rFonts w:ascii="Arial" w:cs="Arial" w:eastAsia="Arial" w:hAnsi="Arial"/>
                <w:sz w:val="18"/>
                <w:szCs w:val="18"/>
                <w:b w:val="1"/>
                <w:bCs w:val="1"/>
                <w:color w:val="auto"/>
              </w:rPr>
              <w:t>CytomX Therapeutics, Inc.</w:t>
            </w: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Date: August 4, 2022</w:t>
            </w:r>
          </w:p>
        </w:tc>
        <w:tc>
          <w:tcPr>
            <w:tcW w:w="2820" w:type="dxa"/>
            <w:vAlign w:val="bottom"/>
          </w:tcPr>
          <w:p>
            <w:pPr>
              <w:ind w:left="240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Sean A. McCarthy</w:t>
            </w:r>
          </w:p>
        </w:tc>
      </w:tr>
      <w:tr>
        <w:trPr>
          <w:trHeight w:val="178"/>
        </w:trPr>
        <w:tc>
          <w:tcPr>
            <w:tcW w:w="39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444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2"/>
              </w:rPr>
              <w:t>Sean A. McCarthy, D. Phil.</w:t>
            </w:r>
          </w:p>
        </w:tc>
      </w:tr>
      <w:tr>
        <w:trPr>
          <w:trHeight w:val="180"/>
        </w:trPr>
        <w:tc>
          <w:tcPr>
            <w:tcW w:w="39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44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1"/>
              </w:rPr>
              <w:t>Chief Executive Officer and Chairman</w:t>
            </w:r>
          </w:p>
        </w:tc>
      </w:tr>
      <w:tr>
        <w:trPr>
          <w:trHeight w:val="230"/>
        </w:trPr>
        <w:tc>
          <w:tcPr>
            <w:tcW w:w="39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r>
        <w:trPr>
          <w:trHeight w:val="446"/>
        </w:trPr>
        <w:tc>
          <w:tcPr>
            <w:tcW w:w="3960" w:type="dxa"/>
            <w:vAlign w:val="bottom"/>
          </w:tcPr>
          <w:p>
            <w:pPr>
              <w:spacing w:after="0"/>
              <w:rPr>
                <w:sz w:val="20"/>
                <w:szCs w:val="20"/>
                <w:color w:val="auto"/>
              </w:rPr>
            </w:pPr>
            <w:r>
              <w:rPr>
                <w:rFonts w:ascii="Arial" w:cs="Arial" w:eastAsia="Arial" w:hAnsi="Arial"/>
                <w:sz w:val="18"/>
                <w:szCs w:val="18"/>
                <w:color w:val="auto"/>
              </w:rPr>
              <w:t>Date: August 4, 2022</w:t>
            </w:r>
          </w:p>
        </w:tc>
        <w:tc>
          <w:tcPr>
            <w:tcW w:w="2820" w:type="dxa"/>
            <w:vAlign w:val="bottom"/>
          </w:tcPr>
          <w:p>
            <w:pPr>
              <w:ind w:left="2400"/>
              <w:spacing w:after="0"/>
              <w:rPr>
                <w:sz w:val="20"/>
                <w:szCs w:val="20"/>
                <w:color w:val="auto"/>
              </w:rPr>
            </w:pPr>
            <w:r>
              <w:rPr>
                <w:rFonts w:ascii="Arial" w:cs="Arial" w:eastAsia="Arial" w:hAnsi="Arial"/>
                <w:sz w:val="18"/>
                <w:szCs w:val="18"/>
                <w:color w:val="auto"/>
              </w:rPr>
              <w:t>By:</w:t>
            </w:r>
          </w:p>
        </w:tc>
        <w:tc>
          <w:tcPr>
            <w:tcW w:w="4440" w:type="dxa"/>
            <w:vAlign w:val="bottom"/>
          </w:tcPr>
          <w:p>
            <w:pPr>
              <w:jc w:val="center"/>
              <w:spacing w:after="0"/>
              <w:rPr>
                <w:sz w:val="20"/>
                <w:szCs w:val="20"/>
                <w:color w:val="auto"/>
              </w:rPr>
            </w:pPr>
            <w:r>
              <w:rPr>
                <w:rFonts w:ascii="Arial" w:cs="Arial" w:eastAsia="Arial" w:hAnsi="Arial"/>
                <w:sz w:val="18"/>
                <w:szCs w:val="18"/>
                <w:color w:val="auto"/>
                <w:w w:val="90"/>
              </w:rPr>
              <w:t>/s/ Carlos Campoy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-8890</wp:posOffset>
            </wp:positionV>
            <wp:extent cx="28200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ind w:left="8420"/>
        <w:spacing w:after="0" w:line="234" w:lineRule="auto"/>
        <w:rPr>
          <w:sz w:val="20"/>
          <w:szCs w:val="20"/>
          <w:color w:val="auto"/>
        </w:rPr>
      </w:pPr>
      <w:r>
        <w:rPr>
          <w:rFonts w:ascii="Arial" w:cs="Arial" w:eastAsia="Arial" w:hAnsi="Arial"/>
          <w:sz w:val="18"/>
          <w:szCs w:val="18"/>
          <w:b w:val="1"/>
          <w:bCs w:val="1"/>
          <w:color w:val="auto"/>
        </w:rPr>
        <w:t>Carlos Campoy</w:t>
      </w:r>
    </w:p>
    <w:p>
      <w:pPr>
        <w:ind w:left="8120"/>
        <w:spacing w:after="0" w:line="204" w:lineRule="auto"/>
        <w:rPr>
          <w:sz w:val="20"/>
          <w:szCs w:val="20"/>
          <w:color w:val="auto"/>
        </w:rPr>
      </w:pPr>
      <w:r>
        <w:rPr>
          <w:rFonts w:ascii="Arial" w:cs="Arial" w:eastAsia="Arial" w:hAnsi="Arial"/>
          <w:sz w:val="18"/>
          <w:szCs w:val="18"/>
          <w:b w:val="1"/>
          <w:bCs w:val="1"/>
          <w:color w:val="auto"/>
        </w:rPr>
        <w:t>Chief Financial Officer</w:t>
      </w:r>
    </w:p>
    <w:p>
      <w:pPr>
        <w:jc w:val="center"/>
        <w:ind w:left="6740"/>
        <w:spacing w:after="0" w:line="203" w:lineRule="auto"/>
        <w:rPr>
          <w:sz w:val="20"/>
          <w:szCs w:val="20"/>
          <w:color w:val="auto"/>
        </w:rPr>
      </w:pPr>
      <w:r>
        <w:rPr>
          <w:rFonts w:ascii="Arial" w:cs="Arial" w:eastAsia="Arial" w:hAnsi="Arial"/>
          <w:sz w:val="18"/>
          <w:szCs w:val="18"/>
          <w:i w:val="1"/>
          <w:iCs w:val="1"/>
          <w:color w:val="auto"/>
        </w:rPr>
        <w:t>(Principal Financial Officer and Principal Accounting</w:t>
      </w:r>
    </w:p>
    <w:p>
      <w:pPr>
        <w:spacing w:after="0" w:line="1" w:lineRule="exact"/>
        <w:rPr>
          <w:sz w:val="20"/>
          <w:szCs w:val="20"/>
          <w:color w:val="auto"/>
        </w:rPr>
      </w:pPr>
    </w:p>
    <w:p>
      <w:pPr>
        <w:jc w:val="center"/>
        <w:ind w:left="6780"/>
        <w:spacing w:after="0"/>
        <w:rPr>
          <w:sz w:val="20"/>
          <w:szCs w:val="20"/>
          <w:color w:val="auto"/>
        </w:rPr>
      </w:pPr>
      <w:r>
        <w:rPr>
          <w:rFonts w:ascii="Arial" w:cs="Arial" w:eastAsia="Arial" w:hAnsi="Arial"/>
          <w:sz w:val="18"/>
          <w:szCs w:val="18"/>
          <w:i w:val="1"/>
          <w:iCs w:val="1"/>
          <w:color w:val="auto"/>
        </w:rPr>
        <w:t>Officer)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Sean A. McCarthy, Chief Executive Officer of CytomX Therapeutics, Inc., certify that:</w:t>
      </w:r>
    </w:p>
    <w:p>
      <w:pPr>
        <w:spacing w:after="0" w:line="104" w:lineRule="exact"/>
        <w:rPr>
          <w:sz w:val="20"/>
          <w:szCs w:val="20"/>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CytomX Therapeutics, Inc.;</w:t>
      </w:r>
    </w:p>
    <w:p>
      <w:pPr>
        <w:spacing w:after="0" w:line="211" w:lineRule="exact"/>
        <w:rPr>
          <w:rFonts w:ascii="Arial" w:cs="Arial" w:eastAsia="Arial" w:hAnsi="Arial"/>
          <w:sz w:val="18"/>
          <w:szCs w:val="18"/>
          <w:color w:val="auto"/>
        </w:rPr>
      </w:pPr>
    </w:p>
    <w:p>
      <w:pPr>
        <w:jc w:val="both"/>
        <w:ind w:left="1020" w:right="20" w:hanging="503"/>
        <w:spacing w:after="0" w:line="248"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020" w:right="500" w:hanging="503"/>
        <w:spacing w:after="0" w:line="324" w:lineRule="auto"/>
        <w:tabs>
          <w:tab w:leader="none" w:pos="10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Arial" w:cs="Arial" w:eastAsia="Arial" w:hAnsi="Arial"/>
          <w:sz w:val="16"/>
          <w:szCs w:val="16"/>
          <w:color w:val="auto"/>
        </w:rPr>
      </w:pPr>
    </w:p>
    <w:p>
      <w:pPr>
        <w:ind w:left="1020" w:right="120" w:hanging="503"/>
        <w:spacing w:after="0" w:line="212" w:lineRule="exact"/>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15d-15(e)) and internal control over financial reporting (as defined in Exchange Act Rules 13a-15(f) and 15d-15(f)) for the registrant and have:</w:t>
      </w:r>
    </w:p>
    <w:p>
      <w:pPr>
        <w:spacing w:after="0" w:line="81" w:lineRule="exact"/>
        <w:rPr>
          <w:rFonts w:ascii="Arial" w:cs="Arial" w:eastAsia="Arial" w:hAnsi="Arial"/>
          <w:sz w:val="18"/>
          <w:szCs w:val="18"/>
          <w:color w:val="auto"/>
        </w:rPr>
      </w:pPr>
    </w:p>
    <w:p>
      <w:pPr>
        <w:ind w:left="1540" w:right="600" w:hanging="514"/>
        <w:spacing w:after="0" w:line="248" w:lineRule="auto"/>
        <w:tabs>
          <w:tab w:leader="none" w:pos="15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540" w:right="180" w:hanging="514"/>
        <w:spacing w:after="0" w:line="248" w:lineRule="auto"/>
        <w:tabs>
          <w:tab w:leader="none" w:pos="15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540" w:hanging="514"/>
        <w:spacing w:after="0" w:line="248" w:lineRule="auto"/>
        <w:tabs>
          <w:tab w:leader="none" w:pos="15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1540" w:right="380" w:hanging="514"/>
        <w:spacing w:after="0" w:line="270" w:lineRule="auto"/>
        <w:tabs>
          <w:tab w:leader="none" w:pos="154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7"/>
          <w:szCs w:val="17"/>
          <w:color w:val="auto"/>
        </w:rPr>
      </w:pPr>
    </w:p>
    <w:p>
      <w:pPr>
        <w:ind w:left="1020" w:right="80" w:hanging="503"/>
        <w:spacing w:after="0" w:line="324" w:lineRule="auto"/>
        <w:tabs>
          <w:tab w:leader="none" w:pos="10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540" w:right="220" w:hanging="514"/>
        <w:spacing w:after="0" w:line="324" w:lineRule="auto"/>
        <w:tabs>
          <w:tab w:leader="none" w:pos="15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540" w:right="500" w:hanging="514"/>
        <w:spacing w:after="0" w:line="261" w:lineRule="auto"/>
        <w:tabs>
          <w:tab w:leader="none" w:pos="15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20" w:type="dxa"/>
            <w:vAlign w:val="bottom"/>
          </w:tcPr>
          <w:p>
            <w:pPr>
              <w:ind w:left="20"/>
              <w:spacing w:after="0"/>
              <w:rPr>
                <w:sz w:val="20"/>
                <w:szCs w:val="20"/>
                <w:color w:val="auto"/>
              </w:rPr>
            </w:pPr>
            <w:r>
              <w:rPr>
                <w:rFonts w:ascii="Arial" w:cs="Arial" w:eastAsia="Arial" w:hAnsi="Arial"/>
                <w:sz w:val="18"/>
                <w:szCs w:val="18"/>
                <w:color w:val="auto"/>
              </w:rPr>
              <w:t>Date: August 4, 2022</w:t>
            </w:r>
          </w:p>
        </w:tc>
        <w:tc>
          <w:tcPr>
            <w:tcW w:w="2720" w:type="dxa"/>
            <w:vAlign w:val="bottom"/>
          </w:tcPr>
          <w:p>
            <w:pPr>
              <w:ind w:left="184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A. McCarthy</w:t>
            </w:r>
          </w:p>
        </w:tc>
        <w:tc>
          <w:tcPr>
            <w:tcW w:w="580" w:type="dxa"/>
            <w:vAlign w:val="bottom"/>
          </w:tcPr>
          <w:p>
            <w:pPr>
              <w:spacing w:after="0"/>
              <w:rPr>
                <w:sz w:val="18"/>
                <w:szCs w:val="18"/>
                <w:color w:val="auto"/>
              </w:rPr>
            </w:pPr>
          </w:p>
        </w:tc>
      </w:tr>
      <w:tr>
        <w:trPr>
          <w:trHeight w:val="224"/>
        </w:trPr>
        <w:tc>
          <w:tcPr>
            <w:tcW w:w="3420" w:type="dxa"/>
            <w:vAlign w:val="bottom"/>
          </w:tcPr>
          <w:p>
            <w:pPr>
              <w:spacing w:after="0"/>
              <w:rPr>
                <w:sz w:val="19"/>
                <w:szCs w:val="19"/>
                <w:color w:val="auto"/>
              </w:rPr>
            </w:pPr>
          </w:p>
        </w:tc>
        <w:tc>
          <w:tcPr>
            <w:tcW w:w="2720" w:type="dxa"/>
            <w:vAlign w:val="bottom"/>
          </w:tcPr>
          <w:p>
            <w:pPr>
              <w:ind w:left="1840"/>
              <w:spacing w:after="0"/>
              <w:rPr>
                <w:sz w:val="20"/>
                <w:szCs w:val="20"/>
                <w:color w:val="auto"/>
              </w:rPr>
            </w:pPr>
            <w:r>
              <w:rPr>
                <w:rFonts w:ascii="Arial" w:cs="Arial" w:eastAsia="Arial" w:hAnsi="Arial"/>
                <w:sz w:val="18"/>
                <w:szCs w:val="18"/>
                <w:color w:val="auto"/>
              </w:rPr>
              <w:t>Name:</w:t>
            </w:r>
          </w:p>
        </w:tc>
        <w:tc>
          <w:tcPr>
            <w:tcW w:w="4520" w:type="dxa"/>
            <w:vAlign w:val="bottom"/>
          </w:tcPr>
          <w:p>
            <w:pPr>
              <w:ind w:left="20"/>
              <w:spacing w:after="0"/>
              <w:rPr>
                <w:sz w:val="20"/>
                <w:szCs w:val="20"/>
                <w:color w:val="auto"/>
              </w:rPr>
            </w:pPr>
            <w:r>
              <w:rPr>
                <w:rFonts w:ascii="Arial" w:cs="Arial" w:eastAsia="Arial" w:hAnsi="Arial"/>
                <w:sz w:val="18"/>
                <w:szCs w:val="18"/>
                <w:color w:val="auto"/>
              </w:rPr>
              <w:t>Sean A. McCarthy, D. Phil.</w:t>
            </w:r>
          </w:p>
        </w:tc>
        <w:tc>
          <w:tcPr>
            <w:tcW w:w="580" w:type="dxa"/>
            <w:vAlign w:val="bottom"/>
          </w:tcPr>
          <w:p>
            <w:pPr>
              <w:spacing w:after="0"/>
              <w:rPr>
                <w:sz w:val="19"/>
                <w:szCs w:val="19"/>
                <w:color w:val="auto"/>
              </w:rPr>
            </w:pPr>
          </w:p>
        </w:tc>
      </w:tr>
      <w:tr>
        <w:trPr>
          <w:trHeight w:val="242"/>
        </w:trPr>
        <w:tc>
          <w:tcPr>
            <w:tcW w:w="3420" w:type="dxa"/>
            <w:vAlign w:val="bottom"/>
          </w:tcPr>
          <w:p>
            <w:pPr>
              <w:spacing w:after="0"/>
              <w:rPr>
                <w:sz w:val="21"/>
                <w:szCs w:val="21"/>
                <w:color w:val="auto"/>
              </w:rPr>
            </w:pPr>
          </w:p>
        </w:tc>
        <w:tc>
          <w:tcPr>
            <w:tcW w:w="2720" w:type="dxa"/>
            <w:vAlign w:val="bottom"/>
          </w:tcPr>
          <w:p>
            <w:pPr>
              <w:ind w:left="1840"/>
              <w:spacing w:after="0"/>
              <w:rPr>
                <w:sz w:val="20"/>
                <w:szCs w:val="20"/>
                <w:color w:val="auto"/>
              </w:rPr>
            </w:pPr>
            <w:r>
              <w:rPr>
                <w:rFonts w:ascii="Arial" w:cs="Arial" w:eastAsia="Arial" w:hAnsi="Arial"/>
                <w:sz w:val="18"/>
                <w:szCs w:val="18"/>
                <w:color w:val="auto"/>
              </w:rPr>
              <w:t>Title:</w:t>
            </w:r>
          </w:p>
        </w:tc>
        <w:tc>
          <w:tcPr>
            <w:tcW w:w="452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580" w:type="dxa"/>
            <w:vAlign w:val="bottom"/>
          </w:tcPr>
          <w:p>
            <w:pPr>
              <w:spacing w:after="0"/>
              <w:rPr>
                <w:sz w:val="21"/>
                <w:szCs w:val="21"/>
                <w:color w:val="auto"/>
              </w:rPr>
            </w:pPr>
          </w:p>
        </w:tc>
      </w:tr>
      <w:tr>
        <w:trPr>
          <w:trHeight w:val="506"/>
        </w:trPr>
        <w:tc>
          <w:tcPr>
            <w:tcW w:w="34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Carlos Campoy, Chief Financial Officer of CytomX Therapeutics, Inc., certify that:</w:t>
      </w:r>
    </w:p>
    <w:p>
      <w:pPr>
        <w:spacing w:after="0" w:line="104" w:lineRule="exact"/>
        <w:rPr>
          <w:sz w:val="20"/>
          <w:szCs w:val="20"/>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CytomX Therapeutics, Inc.;</w:t>
      </w:r>
    </w:p>
    <w:p>
      <w:pPr>
        <w:spacing w:after="0" w:line="211" w:lineRule="exact"/>
        <w:rPr>
          <w:rFonts w:ascii="Arial" w:cs="Arial" w:eastAsia="Arial" w:hAnsi="Arial"/>
          <w:sz w:val="18"/>
          <w:szCs w:val="18"/>
          <w:color w:val="auto"/>
        </w:rPr>
      </w:pPr>
    </w:p>
    <w:p>
      <w:pPr>
        <w:jc w:val="both"/>
        <w:ind w:left="1020" w:right="20" w:hanging="503"/>
        <w:spacing w:after="0" w:line="248"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020" w:right="500" w:hanging="503"/>
        <w:spacing w:after="0" w:line="324" w:lineRule="auto"/>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Arial" w:cs="Arial" w:eastAsia="Arial" w:hAnsi="Arial"/>
          <w:sz w:val="16"/>
          <w:szCs w:val="16"/>
          <w:color w:val="auto"/>
        </w:rPr>
      </w:pPr>
    </w:p>
    <w:p>
      <w:pPr>
        <w:ind w:left="1020" w:right="120" w:hanging="503"/>
        <w:spacing w:after="0" w:line="212" w:lineRule="exact"/>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15d-15(e)) and internal control over financial reporting (as defined in Exchange Act Rules 13a-15(f) and 15d-15(f)) for the registrant and have:</w:t>
      </w:r>
    </w:p>
    <w:p>
      <w:pPr>
        <w:spacing w:after="0" w:line="81" w:lineRule="exact"/>
        <w:rPr>
          <w:rFonts w:ascii="Arial" w:cs="Arial" w:eastAsia="Arial" w:hAnsi="Arial"/>
          <w:sz w:val="18"/>
          <w:szCs w:val="18"/>
          <w:color w:val="auto"/>
        </w:rPr>
      </w:pPr>
    </w:p>
    <w:p>
      <w:pPr>
        <w:ind w:left="1540" w:right="600" w:hanging="514"/>
        <w:spacing w:after="0" w:line="248" w:lineRule="auto"/>
        <w:tabs>
          <w:tab w:leader="none" w:pos="15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540" w:right="180" w:hanging="514"/>
        <w:spacing w:after="0" w:line="248" w:lineRule="auto"/>
        <w:tabs>
          <w:tab w:leader="none" w:pos="15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540" w:hanging="514"/>
        <w:spacing w:after="0" w:line="248" w:lineRule="auto"/>
        <w:tabs>
          <w:tab w:leader="none" w:pos="15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1540" w:right="380" w:hanging="514"/>
        <w:spacing w:after="0" w:line="270" w:lineRule="auto"/>
        <w:tabs>
          <w:tab w:leader="none" w:pos="1540" w:val="left"/>
        </w:tabs>
        <w:numPr>
          <w:ilvl w:val="1"/>
          <w:numId w:val="4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7"/>
          <w:szCs w:val="17"/>
          <w:color w:val="auto"/>
        </w:rPr>
      </w:pPr>
    </w:p>
    <w:p>
      <w:pPr>
        <w:ind w:left="1020" w:right="80" w:hanging="503"/>
        <w:spacing w:after="0" w:line="324" w:lineRule="auto"/>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540" w:right="220" w:hanging="514"/>
        <w:spacing w:after="0" w:line="324" w:lineRule="auto"/>
        <w:tabs>
          <w:tab w:leader="none" w:pos="15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540" w:right="500" w:hanging="514"/>
        <w:spacing w:after="0" w:line="261" w:lineRule="auto"/>
        <w:tabs>
          <w:tab w:leader="none" w:pos="15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20" w:type="dxa"/>
            <w:vAlign w:val="bottom"/>
          </w:tcPr>
          <w:p>
            <w:pPr>
              <w:ind w:left="20"/>
              <w:spacing w:after="0"/>
              <w:rPr>
                <w:sz w:val="20"/>
                <w:szCs w:val="20"/>
                <w:color w:val="auto"/>
              </w:rPr>
            </w:pPr>
            <w:r>
              <w:rPr>
                <w:rFonts w:ascii="Arial" w:cs="Arial" w:eastAsia="Arial" w:hAnsi="Arial"/>
                <w:sz w:val="18"/>
                <w:szCs w:val="18"/>
                <w:color w:val="auto"/>
              </w:rPr>
              <w:t>Date: August 4, 2022</w:t>
            </w:r>
          </w:p>
        </w:tc>
        <w:tc>
          <w:tcPr>
            <w:tcW w:w="2600" w:type="dxa"/>
            <w:vAlign w:val="bottom"/>
          </w:tcPr>
          <w:p>
            <w:pPr>
              <w:ind w:left="184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Carlos Campoy</w:t>
            </w:r>
          </w:p>
        </w:tc>
        <w:tc>
          <w:tcPr>
            <w:tcW w:w="580" w:type="dxa"/>
            <w:vAlign w:val="bottom"/>
          </w:tcPr>
          <w:p>
            <w:pPr>
              <w:spacing w:after="0"/>
              <w:rPr>
                <w:sz w:val="18"/>
                <w:szCs w:val="18"/>
                <w:color w:val="auto"/>
              </w:rPr>
            </w:pPr>
          </w:p>
        </w:tc>
      </w:tr>
      <w:tr>
        <w:trPr>
          <w:trHeight w:val="224"/>
        </w:trPr>
        <w:tc>
          <w:tcPr>
            <w:tcW w:w="3420" w:type="dxa"/>
            <w:vAlign w:val="bottom"/>
          </w:tcPr>
          <w:p>
            <w:pPr>
              <w:spacing w:after="0"/>
              <w:rPr>
                <w:sz w:val="19"/>
                <w:szCs w:val="19"/>
                <w:color w:val="auto"/>
              </w:rPr>
            </w:pPr>
          </w:p>
        </w:tc>
        <w:tc>
          <w:tcPr>
            <w:tcW w:w="2600" w:type="dxa"/>
            <w:vAlign w:val="bottom"/>
          </w:tcPr>
          <w:p>
            <w:pPr>
              <w:ind w:left="1840"/>
              <w:spacing w:after="0"/>
              <w:rPr>
                <w:sz w:val="20"/>
                <w:szCs w:val="20"/>
                <w:color w:val="auto"/>
              </w:rPr>
            </w:pPr>
            <w:r>
              <w:rPr>
                <w:rFonts w:ascii="Arial" w:cs="Arial" w:eastAsia="Arial" w:hAnsi="Arial"/>
                <w:sz w:val="18"/>
                <w:szCs w:val="18"/>
                <w:color w:val="auto"/>
              </w:rPr>
              <w:t>Name:</w:t>
            </w:r>
          </w:p>
        </w:tc>
        <w:tc>
          <w:tcPr>
            <w:tcW w:w="4640" w:type="dxa"/>
            <w:vAlign w:val="bottom"/>
          </w:tcPr>
          <w:p>
            <w:pPr>
              <w:ind w:left="20"/>
              <w:spacing w:after="0"/>
              <w:rPr>
                <w:sz w:val="20"/>
                <w:szCs w:val="20"/>
                <w:color w:val="auto"/>
              </w:rPr>
            </w:pPr>
            <w:r>
              <w:rPr>
                <w:rFonts w:ascii="Arial" w:cs="Arial" w:eastAsia="Arial" w:hAnsi="Arial"/>
                <w:sz w:val="18"/>
                <w:szCs w:val="18"/>
                <w:color w:val="auto"/>
              </w:rPr>
              <w:t>Carlos Campoy</w:t>
            </w:r>
          </w:p>
        </w:tc>
        <w:tc>
          <w:tcPr>
            <w:tcW w:w="580" w:type="dxa"/>
            <w:vAlign w:val="bottom"/>
          </w:tcPr>
          <w:p>
            <w:pPr>
              <w:spacing w:after="0"/>
              <w:rPr>
                <w:sz w:val="19"/>
                <w:szCs w:val="19"/>
                <w:color w:val="auto"/>
              </w:rPr>
            </w:pPr>
          </w:p>
        </w:tc>
      </w:tr>
      <w:tr>
        <w:trPr>
          <w:trHeight w:val="242"/>
        </w:trPr>
        <w:tc>
          <w:tcPr>
            <w:tcW w:w="3420" w:type="dxa"/>
            <w:vAlign w:val="bottom"/>
          </w:tcPr>
          <w:p>
            <w:pPr>
              <w:spacing w:after="0"/>
              <w:rPr>
                <w:sz w:val="21"/>
                <w:szCs w:val="21"/>
                <w:color w:val="auto"/>
              </w:rPr>
            </w:pPr>
          </w:p>
        </w:tc>
        <w:tc>
          <w:tcPr>
            <w:tcW w:w="2600" w:type="dxa"/>
            <w:vAlign w:val="bottom"/>
          </w:tcPr>
          <w:p>
            <w:pPr>
              <w:ind w:left="1840"/>
              <w:spacing w:after="0"/>
              <w:rPr>
                <w:sz w:val="20"/>
                <w:szCs w:val="20"/>
                <w:color w:val="auto"/>
              </w:rPr>
            </w:pPr>
            <w:r>
              <w:rPr>
                <w:rFonts w:ascii="Arial" w:cs="Arial" w:eastAsia="Arial" w:hAnsi="Arial"/>
                <w:sz w:val="18"/>
                <w:szCs w:val="18"/>
                <w:color w:val="auto"/>
              </w:rPr>
              <w:t>Title:</w:t>
            </w:r>
          </w:p>
        </w:tc>
        <w:tc>
          <w:tcPr>
            <w:tcW w:w="464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580" w:type="dxa"/>
            <w:vAlign w:val="bottom"/>
          </w:tcPr>
          <w:p>
            <w:pPr>
              <w:spacing w:after="0"/>
              <w:rPr>
                <w:sz w:val="21"/>
                <w:szCs w:val="21"/>
                <w:color w:val="auto"/>
              </w:rPr>
            </w:pPr>
          </w:p>
        </w:tc>
      </w:tr>
      <w:tr>
        <w:trPr>
          <w:trHeight w:val="506"/>
        </w:trPr>
        <w:tc>
          <w:tcPr>
            <w:tcW w:w="34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In connection with the Quarterly Report of CytomX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quarter ended June 30, 2022,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Sean A. McCarthy, Chief Executive Officer of the Company, certify, pursuant to 18 U.S.C. Section 1350, as adopted pursuant to Section 906 of the Sarbanes-Oxley Act of 2002 (the “</w:t>
      </w:r>
      <w:r>
        <w:rPr>
          <w:rFonts w:ascii="Arial" w:cs="Arial" w:eastAsia="Arial" w:hAnsi="Arial"/>
          <w:sz w:val="17"/>
          <w:szCs w:val="17"/>
          <w:u w:val="single" w:color="auto"/>
          <w:color w:val="auto"/>
        </w:rPr>
        <w:t>Act</w:t>
      </w:r>
      <w:r>
        <w:rPr>
          <w:rFonts w:ascii="Arial" w:cs="Arial" w:eastAsia="Arial" w:hAnsi="Arial"/>
          <w:sz w:val="17"/>
          <w:szCs w:val="17"/>
          <w:color w:val="auto"/>
        </w:rPr>
        <w:t>”), that:</w:t>
      </w:r>
    </w:p>
    <w:p>
      <w:pPr>
        <w:spacing w:after="0" w:line="56" w:lineRule="exact"/>
        <w:rPr>
          <w:sz w:val="20"/>
          <w:szCs w:val="20"/>
          <w:color w:val="auto"/>
        </w:rPr>
      </w:pPr>
    </w:p>
    <w:p>
      <w:pPr>
        <w:ind w:left="520" w:hanging="512"/>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420" w:type="dxa"/>
            <w:vAlign w:val="bottom"/>
          </w:tcPr>
          <w:p>
            <w:pPr>
              <w:spacing w:after="0"/>
              <w:rPr>
                <w:sz w:val="20"/>
                <w:szCs w:val="20"/>
                <w:color w:val="auto"/>
              </w:rPr>
            </w:pPr>
            <w:r>
              <w:rPr>
                <w:rFonts w:ascii="Arial" w:cs="Arial" w:eastAsia="Arial" w:hAnsi="Arial"/>
                <w:sz w:val="18"/>
                <w:szCs w:val="18"/>
                <w:color w:val="auto"/>
              </w:rPr>
              <w:t>Date: August 4, 2022</w:t>
            </w:r>
          </w:p>
        </w:tc>
        <w:tc>
          <w:tcPr>
            <w:tcW w:w="2540" w:type="dxa"/>
            <w:vAlign w:val="bottom"/>
          </w:tcPr>
          <w:p>
            <w:pPr>
              <w:ind w:left="188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McCarthy</w:t>
            </w:r>
          </w:p>
        </w:tc>
      </w:tr>
      <w:tr>
        <w:trPr>
          <w:trHeight w:val="155"/>
        </w:trPr>
        <w:tc>
          <w:tcPr>
            <w:tcW w:w="3420" w:type="dxa"/>
            <w:vAlign w:val="bottom"/>
          </w:tcPr>
          <w:p>
            <w:pPr>
              <w:spacing w:after="0"/>
              <w:rPr>
                <w:sz w:val="13"/>
                <w:szCs w:val="13"/>
                <w:color w:val="auto"/>
              </w:rPr>
            </w:pPr>
          </w:p>
        </w:tc>
        <w:tc>
          <w:tcPr>
            <w:tcW w:w="2540" w:type="dxa"/>
            <w:vAlign w:val="bottom"/>
          </w:tcPr>
          <w:p>
            <w:pPr>
              <w:ind w:left="1880"/>
              <w:spacing w:after="0" w:line="154" w:lineRule="exact"/>
              <w:rPr>
                <w:sz w:val="20"/>
                <w:szCs w:val="20"/>
                <w:color w:val="auto"/>
              </w:rPr>
            </w:pPr>
            <w:r>
              <w:rPr>
                <w:rFonts w:ascii="Arial" w:cs="Arial" w:eastAsia="Arial" w:hAnsi="Arial"/>
                <w:sz w:val="17"/>
                <w:szCs w:val="17"/>
                <w:color w:val="auto"/>
              </w:rPr>
              <w:t>Name:</w:t>
            </w:r>
          </w:p>
        </w:tc>
        <w:tc>
          <w:tcPr>
            <w:tcW w:w="4700" w:type="dxa"/>
            <w:vAlign w:val="bottom"/>
          </w:tcPr>
          <w:p>
            <w:pPr>
              <w:spacing w:after="0" w:line="154" w:lineRule="exact"/>
              <w:rPr>
                <w:sz w:val="20"/>
                <w:szCs w:val="20"/>
                <w:color w:val="auto"/>
              </w:rPr>
            </w:pPr>
            <w:r>
              <w:rPr>
                <w:rFonts w:ascii="Arial" w:cs="Arial" w:eastAsia="Arial" w:hAnsi="Arial"/>
                <w:sz w:val="17"/>
                <w:szCs w:val="17"/>
                <w:color w:val="auto"/>
              </w:rPr>
              <w:t>Sean A. McCarthy, D. Phil.</w:t>
            </w:r>
          </w:p>
        </w:tc>
      </w:tr>
      <w:tr>
        <w:trPr>
          <w:trHeight w:val="230"/>
        </w:trPr>
        <w:tc>
          <w:tcPr>
            <w:tcW w:w="3420" w:type="dxa"/>
            <w:vAlign w:val="bottom"/>
          </w:tcPr>
          <w:p>
            <w:pPr>
              <w:spacing w:after="0"/>
              <w:rPr>
                <w:sz w:val="20"/>
                <w:szCs w:val="20"/>
                <w:color w:val="auto"/>
              </w:rPr>
            </w:pPr>
          </w:p>
        </w:tc>
        <w:tc>
          <w:tcPr>
            <w:tcW w:w="2540" w:type="dxa"/>
            <w:vAlign w:val="bottom"/>
          </w:tcPr>
          <w:p>
            <w:pPr>
              <w:ind w:left="1880"/>
              <w:spacing w:after="0"/>
              <w:rPr>
                <w:sz w:val="20"/>
                <w:szCs w:val="20"/>
                <w:color w:val="auto"/>
              </w:rPr>
            </w:pPr>
            <w:r>
              <w:rPr>
                <w:rFonts w:ascii="Arial" w:cs="Arial" w:eastAsia="Arial" w:hAnsi="Arial"/>
                <w:sz w:val="18"/>
                <w:szCs w:val="18"/>
                <w:color w:val="auto"/>
              </w:rPr>
              <w:t>Title:</w:t>
            </w:r>
          </w:p>
        </w:tc>
        <w:tc>
          <w:tcPr>
            <w:tcW w:w="47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75"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connection with the Quarterly Report of CytomX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quarter ended June 30, 2022,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Carlos Campoy, Chief Financial Officer of the Company, certify, pursuant to 18 U.S.C. Section 1350, as adopted pursuant to Section 906 of the Sarbanes-Oxley Act of 2002 (the “</w:t>
      </w:r>
      <w:r>
        <w:rPr>
          <w:rFonts w:ascii="Arial" w:cs="Arial" w:eastAsia="Arial" w:hAnsi="Arial"/>
          <w:sz w:val="17"/>
          <w:szCs w:val="17"/>
          <w:u w:val="single" w:color="auto"/>
          <w:color w:val="auto"/>
        </w:rPr>
        <w:t>Act</w:t>
      </w:r>
      <w:r>
        <w:rPr>
          <w:rFonts w:ascii="Arial" w:cs="Arial" w:eastAsia="Arial" w:hAnsi="Arial"/>
          <w:sz w:val="17"/>
          <w:szCs w:val="17"/>
          <w:color w:val="auto"/>
        </w:rPr>
        <w:t>”), that:</w:t>
      </w:r>
    </w:p>
    <w:p>
      <w:pPr>
        <w:spacing w:after="0" w:line="56" w:lineRule="exact"/>
        <w:rPr>
          <w:sz w:val="20"/>
          <w:szCs w:val="20"/>
          <w:color w:val="auto"/>
        </w:rPr>
      </w:pPr>
    </w:p>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420" w:type="dxa"/>
            <w:vAlign w:val="bottom"/>
          </w:tcPr>
          <w:p>
            <w:pPr>
              <w:spacing w:after="0"/>
              <w:rPr>
                <w:sz w:val="20"/>
                <w:szCs w:val="20"/>
                <w:color w:val="auto"/>
              </w:rPr>
            </w:pPr>
            <w:r>
              <w:rPr>
                <w:rFonts w:ascii="Arial" w:cs="Arial" w:eastAsia="Arial" w:hAnsi="Arial"/>
                <w:sz w:val="18"/>
                <w:szCs w:val="18"/>
                <w:color w:val="auto"/>
              </w:rPr>
              <w:t>Date: August 4, 2022</w:t>
            </w:r>
          </w:p>
        </w:tc>
        <w:tc>
          <w:tcPr>
            <w:tcW w:w="2540" w:type="dxa"/>
            <w:vAlign w:val="bottom"/>
          </w:tcPr>
          <w:p>
            <w:pPr>
              <w:ind w:left="188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Carlos Campoy</w:t>
            </w:r>
          </w:p>
        </w:tc>
      </w:tr>
      <w:tr>
        <w:trPr>
          <w:trHeight w:val="155"/>
        </w:trPr>
        <w:tc>
          <w:tcPr>
            <w:tcW w:w="3420" w:type="dxa"/>
            <w:vAlign w:val="bottom"/>
          </w:tcPr>
          <w:p>
            <w:pPr>
              <w:spacing w:after="0"/>
              <w:rPr>
                <w:sz w:val="13"/>
                <w:szCs w:val="13"/>
                <w:color w:val="auto"/>
              </w:rPr>
            </w:pPr>
          </w:p>
        </w:tc>
        <w:tc>
          <w:tcPr>
            <w:tcW w:w="2540" w:type="dxa"/>
            <w:vAlign w:val="bottom"/>
          </w:tcPr>
          <w:p>
            <w:pPr>
              <w:ind w:left="1880"/>
              <w:spacing w:after="0" w:line="154" w:lineRule="exact"/>
              <w:rPr>
                <w:sz w:val="20"/>
                <w:szCs w:val="20"/>
                <w:color w:val="auto"/>
              </w:rPr>
            </w:pPr>
            <w:r>
              <w:rPr>
                <w:rFonts w:ascii="Arial" w:cs="Arial" w:eastAsia="Arial" w:hAnsi="Arial"/>
                <w:sz w:val="17"/>
                <w:szCs w:val="17"/>
                <w:color w:val="auto"/>
              </w:rPr>
              <w:t>Name:</w:t>
            </w:r>
          </w:p>
        </w:tc>
        <w:tc>
          <w:tcPr>
            <w:tcW w:w="4700" w:type="dxa"/>
            <w:vAlign w:val="bottom"/>
          </w:tcPr>
          <w:p>
            <w:pPr>
              <w:spacing w:after="0" w:line="154" w:lineRule="exact"/>
              <w:rPr>
                <w:sz w:val="20"/>
                <w:szCs w:val="20"/>
                <w:color w:val="auto"/>
              </w:rPr>
            </w:pPr>
            <w:r>
              <w:rPr>
                <w:rFonts w:ascii="Arial" w:cs="Arial" w:eastAsia="Arial" w:hAnsi="Arial"/>
                <w:sz w:val="17"/>
                <w:szCs w:val="17"/>
                <w:color w:val="auto"/>
              </w:rPr>
              <w:t>Carlos Campoy</w:t>
            </w:r>
          </w:p>
        </w:tc>
      </w:tr>
      <w:tr>
        <w:trPr>
          <w:trHeight w:val="230"/>
        </w:trPr>
        <w:tc>
          <w:tcPr>
            <w:tcW w:w="3420" w:type="dxa"/>
            <w:vAlign w:val="bottom"/>
          </w:tcPr>
          <w:p>
            <w:pPr>
              <w:spacing w:after="0"/>
              <w:rPr>
                <w:sz w:val="20"/>
                <w:szCs w:val="20"/>
                <w:color w:val="auto"/>
              </w:rPr>
            </w:pPr>
          </w:p>
        </w:tc>
        <w:tc>
          <w:tcPr>
            <w:tcW w:w="2540" w:type="dxa"/>
            <w:vAlign w:val="bottom"/>
          </w:tcPr>
          <w:p>
            <w:pPr>
              <w:ind w:left="1880"/>
              <w:spacing w:after="0"/>
              <w:rPr>
                <w:sz w:val="20"/>
                <w:szCs w:val="20"/>
                <w:color w:val="auto"/>
              </w:rPr>
            </w:pPr>
            <w:r>
              <w:rPr>
                <w:rFonts w:ascii="Arial" w:cs="Arial" w:eastAsia="Arial" w:hAnsi="Arial"/>
                <w:sz w:val="18"/>
                <w:szCs w:val="18"/>
                <w:color w:val="auto"/>
              </w:rPr>
              <w:t>Title:</w:t>
            </w:r>
          </w:p>
        </w:tc>
        <w:tc>
          <w:tcPr>
            <w:tcW w:w="47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75"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287020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5" w:name="page76"/>
    <w:bookmarkEnd w:id="7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1."/>
      <w:numFmt w:val="decimal"/>
      <w:start w:val="2"/>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1."/>
      <w:numFmt w:val="decimal"/>
      <w:start w:val="7"/>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1"/>
      <w:numFmt w:val="decimal"/>
      <w:start w:val="104"/>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23" Type="http://schemas.openxmlformats.org/officeDocument/2006/relationships/hyperlink" Target="https://www.sec.gov/Archives/edgar/data/0001501989/000119312515347080/d78795dex31.htm" TargetMode="External"/><Relationship Id="rId224" Type="http://schemas.openxmlformats.org/officeDocument/2006/relationships/hyperlink" Target="https://www.sec.gov/Archives/edgar/data/1501989/000119312520176532/d920733dex31.htm" TargetMode="External"/><Relationship Id="rId225" Type="http://schemas.openxmlformats.org/officeDocument/2006/relationships/hyperlink" Target="https://www.sec.gov/Archives/edgar/data/0001501989/000119312515347080/d78795dex32.htm" TargetMode="External"/><Relationship Id="rId226" Type="http://schemas.openxmlformats.org/officeDocument/2006/relationships/hyperlink" Target="https://www.sec.gov/Archives/edgar/data/0001501989/000119312515329662/d94853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2022-08-04T15:30:58Z</dcterms:created>
  <dcterms:modified xsi:type="dcterms:W3CDTF">2022-08-04T15:30:58Z</dcterms:modified>
</cp:coreProperties>
</file>