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CytomX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20" w:type="dxa"/>
            <w:vAlign w:val="bottom"/>
          </w:tcPr>
          <w:p>
            <w:pPr>
              <w:jc w:val="center"/>
              <w:ind w:right="2062"/>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center"/>
              <w:ind w:left="2042"/>
              <w:spacing w:after="0"/>
              <w:rPr>
                <w:sz w:val="20"/>
                <w:szCs w:val="20"/>
                <w:color w:val="auto"/>
              </w:rPr>
            </w:pPr>
            <w:r>
              <w:rPr>
                <w:rFonts w:ascii="Arial" w:cs="Arial" w:eastAsia="Arial" w:hAnsi="Arial"/>
                <w:sz w:val="18"/>
                <w:szCs w:val="18"/>
                <w:b w:val="1"/>
                <w:bCs w:val="1"/>
                <w:color w:val="auto"/>
                <w:w w:val="91"/>
              </w:rPr>
              <w:t>27-3521219</w:t>
            </w:r>
          </w:p>
        </w:tc>
      </w:tr>
      <w:tr>
        <w:trPr>
          <w:trHeight w:val="149"/>
        </w:trPr>
        <w:tc>
          <w:tcPr>
            <w:tcW w:w="4020" w:type="dxa"/>
            <w:vAlign w:val="bottom"/>
          </w:tcPr>
          <w:p>
            <w:pPr>
              <w:jc w:val="center"/>
              <w:ind w:right="20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151 Oyster Point Blvd., Suite 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(650) 515-3185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w:t>
            </w:r>
          </w:p>
        </w:tc>
        <w:tc>
          <w:tcPr>
            <w:tcW w:w="5140" w:type="dxa"/>
            <w:vAlign w:val="bottom"/>
          </w:tcPr>
          <w:p>
            <w:pPr>
              <w:spacing w:after="0"/>
              <w:rPr>
                <w:sz w:val="17"/>
                <w:szCs w:val="17"/>
                <w:color w:val="auto"/>
              </w:rPr>
            </w:pPr>
          </w:p>
        </w:tc>
      </w:tr>
      <w:tr>
        <w:trPr>
          <w:trHeight w:val="213"/>
        </w:trPr>
        <w:tc>
          <w:tcPr>
            <w:tcW w:w="4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Symbol(s)</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$0.00001 par value per share</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CTMX</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90" w:lineRule="exact"/>
        <w:rPr>
          <w:sz w:val="24"/>
          <w:szCs w:val="24"/>
          <w:color w:val="auto"/>
        </w:rPr>
      </w:pPr>
    </w:p>
    <w:p>
      <w:pPr>
        <w:jc w:val="both"/>
        <w:ind w:right="180"/>
        <w:spacing w:after="0" w:line="227"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74"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9" w:lineRule="exact"/>
        <w:rPr>
          <w:sz w:val="24"/>
          <w:szCs w:val="24"/>
          <w:color w:val="auto"/>
        </w:rPr>
      </w:pPr>
    </w:p>
    <w:p>
      <w:pPr>
        <w:ind w:right="1900"/>
        <w:spacing w:after="0" w:line="29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2019, the registrant had 45,409,468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40" w:type="dxa"/>
            <w:vAlign w:val="bottom"/>
            <w:gridSpan w:val="9"/>
          </w:tcPr>
          <w:p>
            <w:pPr>
              <w:jc w:val="center"/>
              <w:ind w:right="2240"/>
              <w:spacing w:after="0"/>
              <w:rPr>
                <w:sz w:val="20"/>
                <w:szCs w:val="20"/>
                <w:color w:val="auto"/>
              </w:rPr>
            </w:pPr>
            <w:r>
              <w:rPr>
                <w:rFonts w:ascii="Arial" w:cs="Arial" w:eastAsia="Arial" w:hAnsi="Arial"/>
                <w:sz w:val="18"/>
                <w:szCs w:val="18"/>
                <w:b w:val="1"/>
                <w:bCs w:val="1"/>
                <w:color w:val="auto"/>
              </w:rPr>
              <w:t>PART I – FINANCIAL INFORMATION</w:t>
            </w:r>
          </w:p>
        </w:tc>
        <w:tc>
          <w:tcPr>
            <w:tcW w:w="2080" w:type="dxa"/>
            <w:vAlign w:val="bottom"/>
          </w:tcPr>
          <w:p>
            <w:pPr>
              <w:spacing w:after="0"/>
              <w:rPr>
                <w:sz w:val="20"/>
                <w:szCs w:val="20"/>
                <w:color w:val="auto"/>
              </w:rPr>
            </w:pPr>
          </w:p>
        </w:tc>
      </w:tr>
      <w:tr>
        <w:trPr>
          <w:trHeight w:val="297"/>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Financial Statements (unaudited)</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Balance Sheets</w:t>
              </w:r>
            </w:hyperlink>
          </w:p>
        </w:tc>
        <w:tc>
          <w:tcPr>
            <w:tcW w:w="1280" w:type="dxa"/>
            <w:vAlign w:val="bottom"/>
            <w:tcBorders>
              <w:top w:val="single" w:sz="8" w:color="0000EE"/>
            </w:tcBorders>
            <w:gridSpan w:val="4"/>
          </w:tcPr>
          <w:p>
            <w:pPr>
              <w:spacing w:after="0"/>
              <w:rPr>
                <w:sz w:val="17"/>
                <w:szCs w:val="17"/>
                <w:color w:val="auto"/>
              </w:rPr>
            </w:pPr>
          </w:p>
        </w:tc>
        <w:tc>
          <w:tcPr>
            <w:tcW w:w="5140" w:type="dxa"/>
            <w:vAlign w:val="bottom"/>
            <w:gridSpan w:val="6"/>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Statements of Operations and Comprehensive Loss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Statements of Stockholders’ Equity</w:t>
              </w:r>
            </w:hyperlink>
          </w:p>
        </w:tc>
        <w:tc>
          <w:tcPr>
            <w:tcW w:w="1120" w:type="dxa"/>
            <w:vAlign w:val="bottom"/>
            <w:tcBorders>
              <w:top w:val="single" w:sz="8" w:color="0000EE"/>
            </w:tcBorders>
            <w:gridSpan w:val="3"/>
          </w:tcPr>
          <w:p>
            <w:pPr>
              <w:spacing w:after="0"/>
              <w:rPr>
                <w:sz w:val="17"/>
                <w:szCs w:val="17"/>
                <w:color w:val="auto"/>
              </w:rPr>
            </w:pPr>
          </w:p>
        </w:tc>
        <w:tc>
          <w:tcPr>
            <w:tcW w:w="3840" w:type="dxa"/>
            <w:vAlign w:val="bottom"/>
            <w:gridSpan w:val="2"/>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36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Financial Statements</w:t>
              </w:r>
            </w:hyperlink>
          </w:p>
        </w:tc>
        <w:tc>
          <w:tcPr>
            <w:tcW w:w="5360" w:type="dxa"/>
            <w:vAlign w:val="bottom"/>
            <w:gridSpan w:val="7"/>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190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4000" w:type="dxa"/>
            <w:vAlign w:val="bottom"/>
            <w:gridSpan w:val="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36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35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40" w:type="dxa"/>
            <w:vAlign w:val="bottom"/>
            <w:gridSpan w:val="8"/>
          </w:tcPr>
          <w:p>
            <w:pPr>
              <w:jc w:val="center"/>
              <w:ind w:right="2640"/>
              <w:spacing w:after="0"/>
              <w:rPr>
                <w:sz w:val="20"/>
                <w:szCs w:val="20"/>
                <w:color w:val="auto"/>
              </w:rPr>
            </w:pPr>
            <w:r>
              <w:rPr>
                <w:rFonts w:ascii="Arial" w:cs="Arial" w:eastAsia="Arial" w:hAnsi="Arial"/>
                <w:sz w:val="18"/>
                <w:szCs w:val="18"/>
                <w:b w:val="1"/>
                <w:bCs w:val="1"/>
                <w:color w:val="auto"/>
              </w:rPr>
              <w:t>PART II – OTHER INFORMATION</w:t>
            </w:r>
          </w:p>
        </w:tc>
        <w:tc>
          <w:tcPr>
            <w:tcW w:w="2080" w:type="dxa"/>
            <w:vAlign w:val="bottom"/>
          </w:tcPr>
          <w:p>
            <w:pPr>
              <w:spacing w:after="0"/>
              <w:rPr>
                <w:sz w:val="24"/>
                <w:szCs w:val="24"/>
                <w:color w:val="auto"/>
              </w:rPr>
            </w:pPr>
          </w:p>
        </w:tc>
      </w:tr>
      <w:tr>
        <w:trPr>
          <w:trHeight w:val="297"/>
        </w:trPr>
        <w:tc>
          <w:tcPr>
            <w:tcW w:w="9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702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36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360" w:type="dxa"/>
            <w:vAlign w:val="bottom"/>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Unregistered Sales of Equity Securities and Use of Proceeds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Defaults Upon Senior Securities</w:t>
              </w:r>
            </w:hyperlink>
          </w:p>
        </w:tc>
        <w:tc>
          <w:tcPr>
            <w:tcW w:w="4020" w:type="dxa"/>
            <w:vAlign w:val="bottom"/>
            <w:gridSpan w:val="4"/>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6040" w:type="dxa"/>
            <w:vAlign w:val="bottom"/>
            <w:gridSpan w:val="9"/>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Other Information</w:t>
              </w:r>
            </w:hyperlink>
          </w:p>
        </w:tc>
        <w:tc>
          <w:tcPr>
            <w:tcW w:w="7040" w:type="dxa"/>
            <w:vAlign w:val="bottom"/>
            <w:gridSpan w:val="13"/>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9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360" w:type="dxa"/>
            <w:vAlign w:val="bottom"/>
            <w:gridSpan w:val="1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980" w:type="dxa"/>
            <w:vAlign w:val="bottom"/>
            <w:gridSpan w:val="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8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885"/>
        </w:trPr>
        <w:tc>
          <w:tcPr>
            <w:tcW w:w="7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15"/>
          </w:tcPr>
          <w:p>
            <w:pPr>
              <w:ind w:left="4680"/>
              <w:spacing w:after="0"/>
              <w:rPr>
                <w:sz w:val="20"/>
                <w:szCs w:val="20"/>
                <w:color w:val="auto"/>
              </w:rPr>
            </w:pPr>
            <w:r>
              <w:rPr>
                <w:rFonts w:ascii="Arial" w:cs="Arial" w:eastAsia="Arial" w:hAnsi="Arial"/>
                <w:sz w:val="18"/>
                <w:szCs w:val="18"/>
                <w:color w:val="auto"/>
              </w:rPr>
              <w:t>2</w:t>
            </w: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760" w:right="20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760" w:right="320" w:hanging="374"/>
        <w:spacing w:after="0" w:line="26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regulatory submissions, including Investigational New Drug applications (“IND”), Clinical Trial Applications, New Drug Applications (“NDA”) and, Biologics License Applications (“BLA”);</w:t>
      </w:r>
    </w:p>
    <w:p>
      <w:pPr>
        <w:spacing w:after="0" w:line="86"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collaborators for developing, obtaining regulatory approval for and commercializing product candidates in the collaboration;</w:t>
      </w:r>
    </w:p>
    <w:p>
      <w:pPr>
        <w:spacing w:after="0" w:line="153" w:lineRule="exact"/>
        <w:rPr>
          <w:rFonts w:ascii="Arial" w:cs="Arial" w:eastAsia="Arial" w:hAnsi="Arial"/>
          <w:sz w:val="16"/>
          <w:szCs w:val="16"/>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research collaboration and license agreements or arrangements;</w:t>
      </w:r>
    </w:p>
    <w:p>
      <w:pPr>
        <w:spacing w:after="0" w:line="142" w:lineRule="exact"/>
        <w:rPr>
          <w:rFonts w:ascii="Arial" w:cs="Arial" w:eastAsia="Arial" w:hAnsi="Arial"/>
          <w:sz w:val="17"/>
          <w:szCs w:val="17"/>
          <w:color w:val="auto"/>
        </w:rPr>
      </w:pPr>
    </w:p>
    <w:p>
      <w:pPr>
        <w:ind w:left="760" w:hanging="374"/>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beliefs regarding the evolution of the market for cancer therapies and development of the immuno-oncology industry;</w:t>
      </w:r>
    </w:p>
    <w:p>
      <w:pPr>
        <w:spacing w:after="0" w:line="142" w:lineRule="exact"/>
        <w:rPr>
          <w:rFonts w:ascii="Arial" w:cs="Arial" w:eastAsia="Arial" w:hAnsi="Arial"/>
          <w:sz w:val="17"/>
          <w:szCs w:val="17"/>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products candidates;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retain commercial rights for our product candidates in such collaborations;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75"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225" w:lineRule="exact"/>
        <w:rPr>
          <w:rFonts w:ascii="Arial" w:cs="Arial" w:eastAsia="Arial" w:hAnsi="Arial"/>
          <w:sz w:val="18"/>
          <w:szCs w:val="18"/>
          <w:color w:val="auto"/>
        </w:rPr>
      </w:pPr>
    </w:p>
    <w:p>
      <w:pPr>
        <w:ind w:left="760" w:right="480" w:hanging="374"/>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 a Delaware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740" w:type="dxa"/>
            <w:vAlign w:val="bottom"/>
          </w:tcPr>
          <w:p>
            <w:pPr>
              <w:jc w:val="center"/>
              <w:ind w:left="233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Condensed Financial Statements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740" w:type="dxa"/>
            <w:vAlign w:val="bottom"/>
          </w:tcPr>
          <w:p>
            <w:pPr>
              <w:jc w:val="center"/>
              <w:ind w:left="2310"/>
              <w:spacing w:after="0"/>
              <w:rPr>
                <w:sz w:val="20"/>
                <w:szCs w:val="20"/>
                <w:color w:val="auto"/>
              </w:rPr>
            </w:pPr>
            <w:r>
              <w:rPr>
                <w:rFonts w:ascii="Arial" w:cs="Arial" w:eastAsia="Arial" w:hAnsi="Arial"/>
                <w:sz w:val="18"/>
                <w:szCs w:val="18"/>
                <w:b w:val="1"/>
                <w:bCs w:val="1"/>
                <w:color w:val="auto"/>
              </w:rPr>
              <w:t>CYTOMX THERAPEUTICS, INC.</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40" w:type="dxa"/>
            <w:vAlign w:val="bottom"/>
          </w:tcPr>
          <w:p>
            <w:pPr>
              <w:jc w:val="center"/>
              <w:ind w:left="2330"/>
              <w:spacing w:after="0"/>
              <w:rPr>
                <w:sz w:val="20"/>
                <w:szCs w:val="20"/>
                <w:color w:val="auto"/>
              </w:rPr>
            </w:pPr>
            <w:r>
              <w:rPr>
                <w:rFonts w:ascii="Arial" w:cs="Arial" w:eastAsia="Arial" w:hAnsi="Arial"/>
                <w:sz w:val="18"/>
                <w:szCs w:val="18"/>
                <w:b w:val="1"/>
                <w:bCs w:val="1"/>
                <w:color w:val="auto"/>
                <w:w w:val="98"/>
              </w:rPr>
              <w:t>CONDENSED BALANCE SHEETS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740" w:type="dxa"/>
            <w:vAlign w:val="bottom"/>
          </w:tcPr>
          <w:p>
            <w:pPr>
              <w:jc w:val="center"/>
              <w:ind w:left="23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652"/>
              <w:spacing w:after="0"/>
              <w:rPr>
                <w:sz w:val="20"/>
                <w:szCs w:val="20"/>
                <w:color w:val="auto"/>
              </w:rPr>
            </w:pPr>
            <w:r>
              <w:rPr>
                <w:rFonts w:ascii="Arial" w:cs="Arial" w:eastAsia="Arial" w:hAnsi="Arial"/>
                <w:sz w:val="12"/>
                <w:szCs w:val="12"/>
                <w:b w:val="1"/>
                <w:bCs w:val="1"/>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149,392</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199,750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Goodwill</w:t>
            </w:r>
          </w:p>
        </w:tc>
        <w:tc>
          <w:tcPr>
            <w:tcW w:w="6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6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Operating lease right-of-use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67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67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405,284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457,108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22,469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payable</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Deferred revenue, current portion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 long term</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9"/>
              </w:rPr>
              <w:t>Total liabilities</w:t>
            </w:r>
          </w:p>
        </w:tc>
        <w:tc>
          <w:tcPr>
            <w:tcW w:w="6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gridSpan w:val="2"/>
          </w:tcPr>
          <w:p>
            <w:pPr>
              <w:spacing w:after="0"/>
              <w:rPr>
                <w:sz w:val="20"/>
                <w:szCs w:val="20"/>
                <w:color w:val="auto"/>
              </w:rPr>
            </w:pPr>
            <w:r>
              <w:rPr>
                <w:rFonts w:ascii="Arial" w:cs="Arial" w:eastAsia="Arial" w:hAnsi="Arial"/>
                <w:sz w:val="18"/>
                <w:szCs w:val="18"/>
                <w:color w:val="auto"/>
              </w:rPr>
              <w:t>Convertible preferred stock, $0.00001 par value; 10,000,000 shares authorized and no</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140"/>
              <w:spacing w:after="0"/>
              <w:rPr>
                <w:sz w:val="20"/>
                <w:szCs w:val="20"/>
                <w:color w:val="auto"/>
              </w:rPr>
            </w:pPr>
            <w:r>
              <w:rPr>
                <w:rFonts w:ascii="Arial" w:cs="Arial" w:eastAsia="Arial" w:hAnsi="Arial"/>
                <w:sz w:val="18"/>
                <w:szCs w:val="18"/>
                <w:color w:val="auto"/>
              </w:rPr>
              <w:t>shares issued and outstanding at June 30, 2019 and December 31, 2018.</w:t>
            </w:r>
          </w:p>
        </w:tc>
        <w:tc>
          <w:tcPr>
            <w:tcW w:w="26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$0.00001 par value; 75,000,000 shares authorized; 45,403,838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45,083,209 shares issued and outstanding at June 30, 2019 and December 31, 2018,</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w:t>
            </w:r>
          </w:p>
        </w:tc>
        <w:tc>
          <w:tcPr>
            <w:tcW w:w="6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459,367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788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(358,076)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(314,981)</w:t>
            </w: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101,501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40" w:hanging="512"/>
        <w:spacing w:after="0" w:line="277"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condensed balance sheet as of December 31, 2018 was derived from the audited financial statements included in the Company's Annual Report on Form 10-K for the year ended December 31,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40,246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(28,960)</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(26,051)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Borders>
              <w:bottom w:val="single" w:sz="8" w:color="CFF0FC"/>
            </w:tcBorders>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net loss per share,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45,340,023</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38,961,021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45,231,239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38,805,317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unrealized gain (loss) on short-term investments, net of tax</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Impact of adoption of new accounting pronouncement</w:t>
            </w:r>
          </w:p>
        </w:tc>
        <w:tc>
          <w:tcPr>
            <w:tcW w:w="2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(42,783)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3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Paid-in</w:t>
            </w:r>
          </w:p>
        </w:tc>
        <w:tc>
          <w:tcPr>
            <w:tcW w:w="15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50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420" w:type="dxa"/>
            <w:vAlign w:val="bottom"/>
            <w:gridSpan w:val="2"/>
          </w:tcPr>
          <w:p>
            <w:pPr>
              <w:jc w:val="center"/>
              <w:ind w:right="520"/>
              <w:spacing w:after="0" w:line="155" w:lineRule="exact"/>
              <w:rPr>
                <w:sz w:val="20"/>
                <w:szCs w:val="20"/>
                <w:color w:val="auto"/>
              </w:rPr>
            </w:pPr>
            <w:r>
              <w:rPr>
                <w:rFonts w:ascii="Arial" w:cs="Arial" w:eastAsia="Arial" w:hAnsi="Arial"/>
                <w:sz w:val="14"/>
                <w:szCs w:val="14"/>
                <w:b w:val="1"/>
                <w:bCs w:val="1"/>
                <w:color w:val="auto"/>
                <w:w w:val="90"/>
              </w:rPr>
              <w:t>Income/(Loss)</w:t>
            </w:r>
          </w:p>
        </w:tc>
        <w:tc>
          <w:tcPr>
            <w:tcW w:w="100" w:type="dxa"/>
            <w:vAlign w:val="bottom"/>
          </w:tcPr>
          <w:p>
            <w:pPr>
              <w:spacing w:after="0"/>
              <w:rPr>
                <w:sz w:val="13"/>
                <w:szCs w:val="13"/>
                <w:color w:val="auto"/>
              </w:rPr>
            </w:pPr>
          </w:p>
        </w:tc>
        <w:tc>
          <w:tcPr>
            <w:tcW w:w="11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2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45,083,209</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445,956</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(314,981)</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Impact of adoption of new accounting</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pronouncement - ASU 2018-02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74,443</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(14,124)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45,157,652</w:t>
            </w:r>
          </w:p>
        </w:tc>
        <w:tc>
          <w:tcPr>
            <w:tcW w:w="4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451,613</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(329,116)</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122,571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15,124</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w w:val="92"/>
              </w:rPr>
              <w:t>Issuance of common stock under the ESPP</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81,062</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Issuance of common stock pursuant to</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license agreement</w:t>
            </w:r>
          </w:p>
        </w:tc>
        <w:tc>
          <w:tcPr>
            <w:tcW w:w="1080" w:type="dxa"/>
            <w:vAlign w:val="bottom"/>
          </w:tcPr>
          <w:p>
            <w:pPr>
              <w:jc w:val="right"/>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(28,960)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(28,960)</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45,403,838</w:t>
            </w:r>
          </w:p>
        </w:tc>
        <w:tc>
          <w:tcPr>
            <w:tcW w:w="4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459,367</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1"/>
                <w:szCs w:val="21"/>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34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Paid-in</w:t>
            </w:r>
          </w:p>
        </w:tc>
        <w:tc>
          <w:tcPr>
            <w:tcW w:w="15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20"/>
                <w:szCs w:val="20"/>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Income/(Loss)</w:t>
            </w:r>
          </w:p>
        </w:tc>
        <w:tc>
          <w:tcPr>
            <w:tcW w:w="100" w:type="dxa"/>
            <w:vAlign w:val="bottom"/>
          </w:tcPr>
          <w:p>
            <w:pPr>
              <w:spacing w:after="0"/>
              <w:rPr>
                <w:sz w:val="20"/>
                <w:szCs w:val="2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38,478,560</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289,454</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(219,465)</w:t>
            </w: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Impact of adoption of new accounting</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pronouncement - ASC 606</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425,139</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3,688</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(15,493)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38,903,699</w:t>
            </w:r>
          </w:p>
        </w:tc>
        <w:tc>
          <w:tcPr>
            <w:tcW w:w="4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295,744</w:t>
            </w:r>
          </w:p>
        </w:tc>
        <w:tc>
          <w:tcPr>
            <w:tcW w:w="4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(245,870)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49,647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88,247</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w w:val="92"/>
              </w:rPr>
              <w:t>Issuance of common stock under the ESPP</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19,833</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4,161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(13,447)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39,011,779</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300,627</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(259,317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3"/>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(43,085)</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Accretion of discounts on investments</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(1,407)</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480"/>
              <w:spacing w:after="0"/>
              <w:rPr>
                <w:sz w:val="20"/>
                <w:szCs w:val="20"/>
                <w:color w:val="auto"/>
              </w:rPr>
            </w:pPr>
            <w:r>
              <w:rPr>
                <w:rFonts w:ascii="Arial" w:cs="Arial" w:eastAsia="Arial" w:hAnsi="Arial"/>
                <w:sz w:val="18"/>
                <w:szCs w:val="18"/>
                <w:color w:val="auto"/>
              </w:rPr>
              <w:t>Issuance of stock in connection with UCSB sublicense fee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1,602</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(9,907)</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720"/>
              <w:spacing w:after="0"/>
              <w:rPr>
                <w:sz w:val="20"/>
                <w:szCs w:val="20"/>
                <w:color w:val="auto"/>
              </w:rPr>
            </w:pPr>
            <w:r>
              <w:rPr>
                <w:rFonts w:ascii="Arial" w:cs="Arial" w:eastAsia="Arial" w:hAnsi="Arial"/>
                <w:sz w:val="18"/>
                <w:szCs w:val="18"/>
                <w:color w:val="auto"/>
              </w:rPr>
              <w:t>Accrued liabilities, income tax payable and other long-term liabilities</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(20,104)</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(28,470)</w:t>
            </w: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(87,682)</w:t>
            </w:r>
          </w:p>
        </w:tc>
        <w:tc>
          <w:tcPr>
            <w:tcW w:w="4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(2,166)</w:t>
            </w: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(101,643)</w:t>
            </w:r>
          </w:p>
        </w:tc>
        <w:tc>
          <w:tcPr>
            <w:tcW w:w="4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Maturities of short-term investments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92,143</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(11,666)</w:t>
            </w:r>
          </w:p>
        </w:tc>
        <w:tc>
          <w:tcPr>
            <w:tcW w:w="4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employee stock purchase plan and exercise of stock options</w:t>
            </w: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4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(98,185)</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248,494</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178,465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150,309</w:t>
            </w:r>
          </w:p>
        </w:tc>
        <w:tc>
          <w:tcPr>
            <w:tcW w:w="4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items:</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tcPr>
          <w:p>
            <w:pPr>
              <w:ind w:left="240"/>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412</w:t>
            </w:r>
          </w:p>
        </w:tc>
        <w:tc>
          <w:tcPr>
            <w:tcW w:w="420" w:type="dxa"/>
            <w:vAlign w:val="bottom"/>
          </w:tcPr>
          <w:p>
            <w:pPr>
              <w:spacing w:after="0"/>
              <w:rPr>
                <w:sz w:val="20"/>
                <w:szCs w:val="20"/>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minimize drug activity in healthy tissue and in circulation. The Company is located in South San Francisco, California and was incorporated in the state of Delaware in September 2010.</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condensed balance sheet data as of December 31, 2018 was derived from audited financial statements, but does not include all disclosures required by U.S. GAAP. The condensed results of operations for the three and six months ended June 30, 2019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2018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33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the date of purchase to be cash equivalents.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June 30, 2018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gridSpan w:val="4"/>
          </w:tcPr>
          <w:p>
            <w:pPr>
              <w:jc w:val="right"/>
              <w:ind w:right="794"/>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149,392</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247,577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132,908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177,548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 non-current assets</w:t>
            </w:r>
          </w:p>
        </w:tc>
        <w:tc>
          <w:tcPr>
            <w:tcW w:w="1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6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150,309</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248,494</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133,825</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920" w:type="dxa"/>
            <w:vAlign w:val="bottom"/>
            <w:vMerge w:val="restart"/>
          </w:tcPr>
          <w:p>
            <w:pPr>
              <w:jc w:val="right"/>
              <w:ind w:right="19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33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Comprehensive income (loss) represents all changes in stockholders’ equity except those resulting from distributions to stockholders. The Company’s unrealized gains and losses on short-term investments and impact of adoption of new accounting pronouncement represent the components of other comprehensive income (loss) that are excluded from the reported net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related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1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218"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Company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pays SGEN sublicense fees. These sublicense fees are treated as reductions to the transaction price and combined with the performance obligation to which they relate.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3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 arrangements. Amounts payable to the Company are recorded as accounts receivable when the Company’s right to consideration is unconditional.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January 2019, the Company acquired certain technology know-how that is complementary to the Company’s proprietary Probody technology from a third party for $5.0 million. The Company expects to use this technology with certain of the Company’s discovery stage projects, and accordingly the $5.0 million has been recorded as research and development expense for the six months ended June 30, 2019.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1"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19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estimates the fair value of its stock-based awards using the Black-Scholes option-pricing model, which requires the input of assumptions. The assumptions are as follows:</w:t>
      </w:r>
    </w:p>
    <w:p>
      <w:pPr>
        <w:spacing w:after="0" w:line="76" w:lineRule="exact"/>
        <w:rPr>
          <w:sz w:val="20"/>
          <w:szCs w:val="20"/>
          <w:color w:val="auto"/>
        </w:rPr>
      </w:pPr>
    </w:p>
    <w:p>
      <w:pPr>
        <w:jc w:val="both"/>
        <w:ind w:left="1040" w:right="8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period that the stock options are expected to remain outstanding and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vesting terms, exercise term and contractual lives of the options. The expected term of the ESPP shares is equal to the six-month look-back period.</w:t>
      </w:r>
    </w:p>
    <w:p>
      <w:pPr>
        <w:spacing w:after="0" w:line="73"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stock price volatility for the Company’s stock options was derived from the average historical volatilities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stock price and the stock price of several comparable publicly traded companies within the biotechnology and pharmaceutical industry. The Company will continue to apply this process until a sufficient amount of historical information on the Company’s own stock price becomes available.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19" w:lineRule="exact"/>
        <w:rPr>
          <w:sz w:val="20"/>
          <w:szCs w:val="20"/>
          <w:color w:val="auto"/>
        </w:rPr>
      </w:pPr>
    </w:p>
    <w:p>
      <w:pPr>
        <w:ind w:left="1040" w:right="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whose term was consistent with expected term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have no current plans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Company’s operating lease arrangement includes lease and non-lease components which are generally accounted for separately. See Note 9, Leases.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The Company adopted the Accounting Standard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on January 1, 2019, using the modified retrospective approach. This new standard amends the guidance for the accounting and disclosure of leases and requires that lessees recognize on the balance sheet the assets and liabilities that arise from leases, including leases classified as operating leases under current GAAP, and disclose qualitative and quantitative information about leasing arrangements. In July 2018, the Financial Accounting Standard Board (“FASB”) further amended this standard to allow for a new transition method that provides the option to use the effective date as the date of initial application. The Company has elected such option and accordingly the comparative periods are not recast.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also elected the package of practical expedients permitted under the new standard, or ASC 842. Accordingly, the Company continues to account for its existing operating leases as operating leases under the new guidance, without reassessing (a) whether the contracts contain a lease under ASC 842, (b) whether classification of the operating leases would be different in accordance with ASC 842, or (c) whether the unamortized initial direct costs before transition adjustments would have met the definition of initial direct costs in ASC 842 at lease commencement. In addition, the Company also elected the short-term lease practical expedients allowed under the standard. As a result of the adoption of ASC 842, the Company recorded a right-of-use asset of $28.0 million and a lease liability $30.1 million on January 1, 2019. This standard does not have material impact on the Company’s results of operations or cash flows. See Note 9, Leases.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2019, the FASB issued ASU No. 2019-01, </w:t>
      </w:r>
      <w:r>
        <w:rPr>
          <w:rFonts w:ascii="Arial" w:cs="Arial" w:eastAsia="Arial" w:hAnsi="Arial"/>
          <w:sz w:val="16"/>
          <w:szCs w:val="16"/>
          <w:i w:val="1"/>
          <w:iCs w:val="1"/>
          <w:color w:val="auto"/>
        </w:rPr>
        <w:t>Leases (Topic 842): Codification Improvements.</w:t>
      </w:r>
      <w:r>
        <w:rPr>
          <w:rFonts w:ascii="Arial" w:cs="Arial" w:eastAsia="Arial" w:hAnsi="Arial"/>
          <w:sz w:val="16"/>
          <w:szCs w:val="16"/>
          <w:color w:val="auto"/>
        </w:rPr>
        <w:t xml:space="preserve"> The amendments in this ASU provide clarifications to:</w:t>
      </w:r>
    </w:p>
    <w:p>
      <w:pPr>
        <w:spacing w:after="0" w:line="46" w:lineRule="exact"/>
        <w:rPr>
          <w:sz w:val="20"/>
          <w:szCs w:val="20"/>
          <w:color w:val="auto"/>
        </w:rPr>
      </w:pPr>
    </w:p>
    <w:p>
      <w:pPr>
        <w:jc w:val="both"/>
        <w:ind w:firstLine="8"/>
        <w:spacing w:after="0" w:line="253" w:lineRule="auto"/>
        <w:tabs>
          <w:tab w:leader="none" w:pos="25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determination of the fair value of the underlying asset by lessors that are not manufacturers or dealers; (b) the presentation on statement of cash flows for sales-type and direct financing leases specifically for lessors that are depository and lending institutions; and (c) certain exceptions to the transition disclosures requirements related to Topic 250, Accounting Changes and Error Corrections upon adoption of Topic 842. The Company does not expect the transition guidance in (a) and (b) above to have a material impact on its financial statements. Also, the adoption of transition guidance (c) did not have a material impact on its current period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 of Certain Tax Effects</w:t>
      </w:r>
    </w:p>
    <w:p>
      <w:pPr>
        <w:spacing w:after="0" w:line="3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The amendments in this standard allows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the Tax Cuts and Jobs Act. The Company adopted this standard on January 1, 2019. There was no material impact on its financial statement upon adoption of this ASU and the Company recorded an increase in other comprehensive income of $11,000 against its retained earnings upon the adoption.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Share-Based Payment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amendments in this ASU expand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The Company adopted this standard on January 1, 2019. There was no material impact on its financial statements upon the adoption of this ASU.</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The new standard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Company is currently evaluating the impact of this new guidance.</w:t>
      </w:r>
    </w:p>
    <w:p>
      <w:pPr>
        <w:spacing w:after="0" w:line="23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new guidance becomes effective for goodwill impairment tests in fiscal years beginning after December 15, 2019, though early adoption is permitted. The Company is currently evaluating the impact of this new guidance.</w:t>
      </w:r>
    </w:p>
    <w:p>
      <w:pPr>
        <w:spacing w:after="0" w:line="23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are effective for the Company on January 1, 2020. The additional disclosures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An entity is permitted to early adopt any removed or modified disclosures upon issuance of this ASU and delay adoption of the additional disclosures until their effective date. The Company does not expect the adoption of this ASU will have a material impact on its financial statements.</w:t>
      </w:r>
    </w:p>
    <w:p>
      <w:pPr>
        <w:spacing w:after="0" w:line="2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 Internal-Use Software (Subtopic 350-40)</w:t>
      </w:r>
      <w:r>
        <w:rPr>
          <w:rFonts w:ascii="Arial" w:cs="Arial" w:eastAsia="Arial" w:hAnsi="Arial"/>
          <w:sz w:val="18"/>
          <w:szCs w:val="18"/>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This ASU is effective for the Company on January 1, 2020. The Company is currently evaluating the impact of this new guidance.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6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 and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w:t>
      </w:r>
      <w:r>
        <w:rPr>
          <w:rFonts w:ascii="Arial" w:cs="Arial" w:eastAsia="Arial" w:hAnsi="Arial"/>
          <w:sz w:val="16"/>
          <w:szCs w:val="16"/>
          <w:color w:val="auto"/>
        </w:rPr>
        <w:t>. The amendments in this ASU targeted improvements to generally accepted accounting principles for collaborative arrangements by clarifying that</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In addition, unit-of-account guidance in Topic 808 was aligned with the guidance in Topic 606 (that is, a distinct good or service) when an entity is assessing whether the collaborative arrangement or a part of the arrangement is within the scope of Topic</w:t>
      </w:r>
    </w:p>
    <w:p>
      <w:pPr>
        <w:spacing w:after="0" w:line="5" w:lineRule="exact"/>
        <w:rPr>
          <w:sz w:val="20"/>
          <w:szCs w:val="20"/>
          <w:color w:val="auto"/>
        </w:rPr>
      </w:pPr>
    </w:p>
    <w:p>
      <w:pPr>
        <w:ind w:right="200" w:firstLine="8"/>
        <w:spacing w:after="0" w:line="290" w:lineRule="auto"/>
        <w:tabs>
          <w:tab w:leader="none" w:pos="357"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ASU is effective for the Company on January 1, 2020, and interim periods within those fiscal years. Early adoption is permitted. The Company is currently evaluating the impact of this new guidance.</w:t>
      </w:r>
    </w:p>
    <w:p>
      <w:pPr>
        <w:spacing w:after="0" w:line="1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In April 2019, the FASB issued ASU 2019-04, </w:t>
      </w:r>
      <w:r>
        <w:rPr>
          <w:rFonts w:ascii="Arial" w:cs="Arial" w:eastAsia="Arial" w:hAnsi="Arial"/>
          <w:sz w:val="17"/>
          <w:szCs w:val="17"/>
          <w:i w:val="1"/>
          <w:iCs w:val="1"/>
          <w:color w:val="auto"/>
        </w:rPr>
        <w:t>Codification Improvements to Topic 326, Financial Instruments-Credit Losses, Topic 815,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and Topic 825, Financial Instruments, </w:t>
      </w:r>
      <w:r>
        <w:rPr>
          <w:rFonts w:ascii="Arial" w:cs="Arial" w:eastAsia="Arial" w:hAnsi="Arial"/>
          <w:sz w:val="17"/>
          <w:szCs w:val="17"/>
          <w:color w:val="auto"/>
        </w:rPr>
        <w:t>to clarify and address certain items related to the amendments in ASU 2016-13,</w:t>
      </w:r>
      <w:r>
        <w:rPr>
          <w:rFonts w:ascii="Arial" w:cs="Arial" w:eastAsia="Arial" w:hAnsi="Arial"/>
          <w:sz w:val="17"/>
          <w:szCs w:val="17"/>
          <w:i w:val="1"/>
          <w:iCs w:val="1"/>
          <w:color w:val="auto"/>
        </w:rPr>
        <w:t xml:space="preserve"> Financial Instruments-Credit Losses (Topic 326): Measurement of Credit Losses on Financial Instruments</w:t>
      </w:r>
      <w:r>
        <w:rPr>
          <w:rFonts w:ascii="Arial" w:cs="Arial" w:eastAsia="Arial" w:hAnsi="Arial"/>
          <w:sz w:val="17"/>
          <w:szCs w:val="17"/>
          <w:color w:val="auto"/>
        </w:rPr>
        <w:t>. The amendments are effective for fiscal years beginning after December 15,</w:t>
      </w:r>
      <w:r>
        <w:rPr>
          <w:rFonts w:ascii="Arial" w:cs="Arial" w:eastAsia="Arial" w:hAnsi="Arial"/>
          <w:sz w:val="17"/>
          <w:szCs w:val="17"/>
          <w:i w:val="1"/>
          <w:iCs w:val="1"/>
          <w:color w:val="auto"/>
        </w:rPr>
        <w:t xml:space="preserve"> </w:t>
      </w:r>
      <w:r>
        <w:rPr>
          <w:rFonts w:ascii="Arial" w:cs="Arial" w:eastAsia="Arial" w:hAnsi="Arial"/>
          <w:sz w:val="17"/>
          <w:szCs w:val="17"/>
          <w:color w:val="auto"/>
        </w:rPr>
        <w:t>2019. The Company does not expect the adoption of this ASU will have a material impact on its financial statements.</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May 2019, ASU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was issued to provide entities with an option to irrevocably elect the fair value option in Subtopic 825-10, applied on an instrument-by-instrument basis for eligible instruments, that are within the scope of Subtopic 326-20, upon adoption of Topic 326. The fair value option election does not apply to held-to-maturity debt securities. This targeted transition relief is intended to increase comparability of financial statement information for some entities that otherwise would have measured similar financial instruments using different measuring methodologies. The effective date of this ASU is the same as ASU No. 2016-13, for the Company on January 1, 2020. The Company does not expect the adoption of this ASU will have a material impact on its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3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Diluted net loss per share attributable to common stockholders is calculated using the weighted-average number of common shares outstanding, plus potential dilutive common stock during the period. Diluted net loss per share attributable to common stockholders is the same as basic net loss per share attributable to common stockholders since the effect of the potentially dilutive securities is anti-dilutive.</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26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96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781"/>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16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9"/>
              </w:rPr>
              <w:t>9,874,549</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9"/>
              </w:rPr>
              <w:t>7,351,681</w:t>
            </w:r>
          </w:p>
        </w:tc>
        <w:tc>
          <w:tcPr>
            <w:tcW w:w="24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9"/>
              </w:rPr>
              <w:t>9,421,221</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9"/>
              </w:rPr>
              <w:t>7,329,531</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9"/>
              </w:rPr>
              <w:t>9,874,549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9"/>
              </w:rPr>
              <w:t>7,351,681</w:t>
            </w:r>
          </w:p>
        </w:tc>
        <w:tc>
          <w:tcPr>
            <w:tcW w:w="240" w:type="dxa"/>
            <w:vAlign w:val="bottom"/>
          </w:tcPr>
          <w:p>
            <w:pPr>
              <w:spacing w:after="0"/>
              <w:rPr>
                <w:sz w:val="19"/>
                <w:szCs w:val="19"/>
                <w:color w:val="auto"/>
              </w:rPr>
            </w:pP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9"/>
              </w:rPr>
              <w:t>9,421,221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9"/>
              </w:rPr>
              <w:t>7,329,531</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Short-Term Investments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73"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7" w:lineRule="exact"/>
        <w:rPr>
          <w:rFonts w:ascii="Arial" w:cs="Arial" w:eastAsia="Arial" w:hAnsi="Arial"/>
          <w:sz w:val="18"/>
          <w:szCs w:val="18"/>
          <w:color w:val="auto"/>
        </w:rPr>
      </w:pPr>
    </w:p>
    <w:p>
      <w:pPr>
        <w:jc w:val="both"/>
        <w:ind w:left="1040" w:right="14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19" w:lineRule="exact"/>
        <w:rPr>
          <w:sz w:val="20"/>
          <w:szCs w:val="20"/>
          <w:color w:val="auto"/>
        </w:rPr>
      </w:pPr>
    </w:p>
    <w:p>
      <w:pPr>
        <w:ind w:left="1040" w:right="6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set forth the fair value of the Company’s short-term investments subject to fair value measurements on a recurring basis and the level of inputs used in such measurements: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507"/>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1"/>
                <w:szCs w:val="11"/>
                <w:color w:val="auto"/>
              </w:rPr>
            </w:pPr>
          </w:p>
        </w:tc>
        <w:tc>
          <w:tcPr>
            <w:tcW w:w="880" w:type="dxa"/>
            <w:vAlign w:val="bottom"/>
          </w:tcPr>
          <w:p>
            <w:pPr>
              <w:jc w:val="center"/>
              <w:ind w:left="127"/>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88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Holding Gains</w:t>
            </w:r>
          </w:p>
        </w:tc>
        <w:tc>
          <w:tcPr>
            <w:tcW w:w="220" w:type="dxa"/>
            <w:vAlign w:val="bottom"/>
          </w:tcPr>
          <w:p>
            <w:pPr>
              <w:spacing w:after="0"/>
              <w:rPr>
                <w:sz w:val="14"/>
                <w:szCs w:val="14"/>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Holding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7"/>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3"/>
          </w:tcPr>
          <w:p>
            <w:pPr>
              <w:jc w:val="right"/>
              <w:ind w:right="547"/>
              <w:spacing w:after="0"/>
              <w:rPr>
                <w:sz w:val="20"/>
                <w:szCs w:val="20"/>
                <w:color w:val="auto"/>
              </w:rPr>
            </w:pPr>
            <w:r>
              <w:rPr>
                <w:rFonts w:ascii="Arial" w:cs="Arial" w:eastAsia="Arial" w:hAnsi="Arial"/>
                <w:sz w:val="13"/>
                <w:szCs w:val="13"/>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9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130,415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auto"/>
              </w:rPr>
              <w:t>Restricted cash (money market funds)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Government bonds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199,482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330,814</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no securities have contractual maturities of longer than one year.</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580"/>
              <w:spacing w:after="0" w:line="133" w:lineRule="exact"/>
              <w:rPr>
                <w:sz w:val="20"/>
                <w:szCs w:val="20"/>
                <w:color w:val="auto"/>
              </w:rPr>
            </w:pPr>
            <w:r>
              <w:rPr>
                <w:rFonts w:ascii="Arial" w:cs="Arial" w:eastAsia="Arial" w:hAnsi="Arial"/>
                <w:sz w:val="14"/>
                <w:szCs w:val="14"/>
                <w:b w:val="1"/>
                <w:bCs w:val="1"/>
                <w:color w:val="auto"/>
                <w:w w:val="98"/>
              </w:rPr>
              <w:t>Gross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Holding Gains</w:t>
            </w:r>
          </w:p>
        </w:tc>
        <w:tc>
          <w:tcPr>
            <w:tcW w:w="20" w:type="dxa"/>
            <w:vAlign w:val="bottom"/>
          </w:tcPr>
          <w:p>
            <w:pPr>
              <w:spacing w:after="0"/>
              <w:rPr>
                <w:sz w:val="14"/>
                <w:szCs w:val="14"/>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3"/>
              </w:rPr>
              <w:t>Holding 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7"/>
        </w:trPr>
        <w:tc>
          <w:tcPr>
            <w:tcW w:w="4500" w:type="dxa"/>
            <w:vAlign w:val="bottom"/>
            <w:gridSpan w:val="3"/>
            <w:vMerge w:val="restart"/>
          </w:tcPr>
          <w:p>
            <w:pPr>
              <w:ind w:left="58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w w:val="87"/>
              </w:rPr>
              <w:t>(in thousands)</w:t>
            </w: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500" w:type="dxa"/>
            <w:vAlign w:val="bottom"/>
            <w:gridSpan w:val="3"/>
            <w:vMerge w:val="continue"/>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226,979</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Restricted cash (money market funds)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U.S. Government bonds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w:t>
            </w:r>
          </w:p>
        </w:tc>
        <w:tc>
          <w:tcPr>
            <w:tcW w:w="2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416,512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5. Accrued Liabilities</w:t>
            </w: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00" w:type="dxa"/>
            <w:vAlign w:val="bottom"/>
            <w:gridSpan w:val="3"/>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rPr>
                <w:sz w:val="20"/>
                <w:szCs w:val="20"/>
                <w:color w:val="auto"/>
              </w:rPr>
            </w:pPr>
            <w:r>
              <w:rPr>
                <w:rFonts w:ascii="Arial" w:cs="Arial" w:eastAsia="Arial" w:hAnsi="Arial"/>
                <w:sz w:val="18"/>
                <w:szCs w:val="18"/>
                <w:color w:val="auto"/>
              </w:rPr>
              <w:t>Accrued liabilities consisted of the following:</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7"/>
          </w:tcPr>
          <w:p>
            <w:pPr>
              <w:ind w:left="64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20" w:type="dxa"/>
            <w:vAlign w:val="bottom"/>
            <w:gridSpan w:val="2"/>
          </w:tcPr>
          <w:p>
            <w:pPr>
              <w:ind w:left="1140"/>
              <w:spacing w:after="0"/>
              <w:rPr>
                <w:sz w:val="20"/>
                <w:szCs w:val="20"/>
                <w:color w:val="auto"/>
              </w:rPr>
            </w:pPr>
            <w:r>
              <w:rPr>
                <w:rFonts w:ascii="Arial" w:cs="Arial" w:eastAsia="Arial" w:hAnsi="Arial"/>
                <w:sz w:val="18"/>
                <w:szCs w:val="18"/>
                <w:color w:val="auto"/>
              </w:rPr>
              <w:t>Research and clinical expenses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14,046</w:t>
            </w:r>
          </w:p>
        </w:tc>
        <w:tc>
          <w:tcPr>
            <w:tcW w:w="320" w:type="dxa"/>
            <w:vAlign w:val="bottom"/>
            <w:gridSpan w:val="3"/>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18,520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expenses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w w:val="84"/>
              </w:rPr>
              <w:t>4,281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6,585</w:t>
            </w:r>
          </w:p>
        </w:tc>
        <w:tc>
          <w:tcPr>
            <w:tcW w:w="20" w:type="dxa"/>
            <w:vAlign w:val="bottom"/>
            <w:shd w:val="clear" w:color="auto" w:fill="CFF0FC"/>
          </w:tcPr>
          <w:p>
            <w:pPr>
              <w:spacing w:after="0"/>
              <w:rPr>
                <w:sz w:val="19"/>
                <w:szCs w:val="19"/>
                <w:color w:val="auto"/>
              </w:rPr>
            </w:pPr>
          </w:p>
        </w:tc>
        <w:tc>
          <w:tcPr>
            <w:tcW w:w="14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Legal and professional expenses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w w:val="84"/>
              </w:rPr>
              <w:t>1,429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w w:val="92"/>
              </w:rPr>
              <w:t>Operating lease liabilities - short term</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w w:val="84"/>
              </w:rPr>
              <w:t>2,631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22,469</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26,724</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Research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3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3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w w:val="96"/>
              </w:rPr>
              <w:t>2018</w:t>
            </w:r>
          </w:p>
        </w:tc>
        <w:tc>
          <w:tcPr>
            <w:tcW w:w="4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r>
      <w:tr>
        <w:trPr>
          <w:trHeight w:val="155"/>
        </w:trPr>
        <w:tc>
          <w:tcPr>
            <w:tcW w:w="3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center"/>
              <w:ind w:left="4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100" w:type="dxa"/>
            <w:vAlign w:val="bottom"/>
          </w:tcPr>
          <w:p>
            <w:pPr>
              <w:ind w:left="260"/>
              <w:spacing w:after="0"/>
              <w:rPr>
                <w:sz w:val="20"/>
                <w:szCs w:val="20"/>
                <w:color w:val="auto"/>
              </w:rPr>
            </w:pPr>
            <w:r>
              <w:rPr>
                <w:rFonts w:ascii="Arial" w:cs="Arial" w:eastAsia="Arial" w:hAnsi="Arial"/>
                <w:sz w:val="18"/>
                <w:szCs w:val="18"/>
                <w:color w:val="auto"/>
              </w:rPr>
              <w:t>AbbVie</w:t>
            </w:r>
          </w:p>
        </w:tc>
        <w:tc>
          <w:tcPr>
            <w:tcW w:w="27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1,382</w:t>
            </w:r>
          </w:p>
        </w:tc>
        <w:tc>
          <w:tcPr>
            <w:tcW w:w="8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10,763</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4,330</w:t>
            </w:r>
          </w:p>
        </w:tc>
        <w:tc>
          <w:tcPr>
            <w:tcW w:w="2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13,434</w:t>
            </w:r>
          </w:p>
        </w:tc>
        <w:tc>
          <w:tcPr>
            <w:tcW w:w="100" w:type="dxa"/>
            <w:vAlign w:val="bottom"/>
          </w:tcPr>
          <w:p>
            <w:pPr>
              <w:spacing w:after="0"/>
              <w:rPr>
                <w:sz w:val="20"/>
                <w:szCs w:val="20"/>
                <w:color w:val="auto"/>
              </w:rPr>
            </w:pPr>
          </w:p>
        </w:tc>
      </w:tr>
      <w:tr>
        <w:trPr>
          <w:trHeight w:val="230"/>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Amgen</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FF0FC"/>
          </w:tcPr>
          <w:p>
            <w:pPr>
              <w:spacing w:after="0"/>
              <w:rPr>
                <w:sz w:val="19"/>
                <w:szCs w:val="19"/>
                <w:color w:val="auto"/>
              </w:rPr>
            </w:pPr>
          </w:p>
        </w:tc>
      </w:tr>
      <w:tr>
        <w:trPr>
          <w:trHeight w:val="230"/>
        </w:trPr>
        <w:tc>
          <w:tcPr>
            <w:tcW w:w="3100" w:type="dxa"/>
            <w:vAlign w:val="bottom"/>
          </w:tcPr>
          <w:p>
            <w:pPr>
              <w:ind w:left="260"/>
              <w:spacing w:after="0"/>
              <w:rPr>
                <w:sz w:val="20"/>
                <w:szCs w:val="20"/>
                <w:color w:val="auto"/>
              </w:rPr>
            </w:pPr>
            <w:r>
              <w:rPr>
                <w:rFonts w:ascii="Arial" w:cs="Arial" w:eastAsia="Arial" w:hAnsi="Arial"/>
                <w:sz w:val="18"/>
                <w:szCs w:val="18"/>
                <w:color w:val="auto"/>
              </w:rPr>
              <w:t>BMS</w:t>
            </w:r>
          </w:p>
        </w:tc>
        <w:tc>
          <w:tcPr>
            <w:tcW w:w="1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7,409</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8,242</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32,911</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19"/>
                <w:szCs w:val="19"/>
                <w:color w:val="auto"/>
              </w:rPr>
            </w:pPr>
          </w:p>
        </w:tc>
      </w:tr>
      <w:tr>
        <w:trPr>
          <w:trHeight w:val="230"/>
        </w:trPr>
        <w:tc>
          <w:tcPr>
            <w:tcW w:w="3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ImmunoGen</w:t>
            </w:r>
          </w:p>
        </w:tc>
        <w:tc>
          <w:tcPr>
            <w:tcW w:w="19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FF0FC"/>
          </w:tcPr>
          <w:p>
            <w:pPr>
              <w:spacing w:after="0"/>
              <w:rPr>
                <w:sz w:val="19"/>
                <w:szCs w:val="19"/>
                <w:color w:val="auto"/>
              </w:rPr>
            </w:pPr>
          </w:p>
        </w:tc>
      </w:tr>
      <w:tr>
        <w:trPr>
          <w:trHeight w:val="230"/>
        </w:trPr>
        <w:tc>
          <w:tcPr>
            <w:tcW w:w="3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Pfizer</w:t>
            </w:r>
          </w:p>
        </w:tc>
        <w:tc>
          <w:tcPr>
            <w:tcW w:w="19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FF0FC"/>
            </w:tcBorders>
          </w:tcPr>
          <w:p>
            <w:pPr>
              <w:spacing w:after="0"/>
              <w:rPr>
                <w:sz w:val="19"/>
                <w:szCs w:val="19"/>
                <w:color w:val="auto"/>
              </w:rPr>
            </w:pP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9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9,013</w:t>
            </w:r>
          </w:p>
        </w:tc>
        <w:tc>
          <w:tcPr>
            <w:tcW w:w="4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4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38,498</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(as amended, the “Discovery Agreement” and together with the CD71 Agreement the “AbbVie Agreements”). Under the terms of the CD71 Agreement, the Company and AbbVie will co-develop a Probody Drug Conjugates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AbbVie will have sole right and responsibility for the further development, manufacturing and commercialization of such CD71 PDC.</w:t>
      </w:r>
    </w:p>
    <w:p>
      <w:pPr>
        <w:spacing w:after="0" w:line="21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if the Company participates in the co-development of the CD71 Licensed Product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the PDC targeting CD71. As a result, the Company achieved the IND success criteria under the CD71 Agreement and received a $21.0 million milestone payment (net of the payment of an associated sublicense fee of $4.0 million to SGEN). The Company commenced enrollment of our Phase 1/2 clinical trial and dosed the first patient in a clinical trial at the end of the second quarter of 2018.</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22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$275.0 million in development, regulatory and commercial milestone payments and royalties in the high single to low teens from commercial sales of any resulting PDCs. The second target was selected under an Amended and Restated Discovery Collaboration and License Agreement entered into in June 2019 that allows AbbVie to select a target for developing a PDC or a Probody.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determined that the CD71 Agreement and Discovery Agreement with AbbVie should be combined and evaluated as a single arrangement in determining revenue recognition, because both agreements were concurrently negotiated and executed.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AbbVie Agreements:</w:t>
      </w:r>
    </w:p>
    <w:p>
      <w:pPr>
        <w:spacing w:after="0" w:line="266" w:lineRule="exact"/>
        <w:rPr>
          <w:sz w:val="20"/>
          <w:szCs w:val="20"/>
          <w:color w:val="auto"/>
        </w:rPr>
      </w:pPr>
    </w:p>
    <w:p>
      <w:pPr>
        <w:ind w:left="5620" w:right="4240" w:hanging="5094"/>
        <w:spacing w:after="0" w:line="528" w:lineRule="auto"/>
        <w:tabs>
          <w:tab w:leader="none" w:pos="7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CD71 Probody therapeutic,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11" w:lineRule="exact"/>
        <w:rPr>
          <w:sz w:val="20"/>
          <w:szCs w:val="20"/>
          <w:color w:val="auto"/>
        </w:rPr>
      </w:pPr>
    </w:p>
    <w:p>
      <w:pPr>
        <w:ind w:left="780" w:hanging="254"/>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research services related to CD71 Probody therapeutic,</w:t>
      </w:r>
    </w:p>
    <w:p>
      <w:pPr>
        <w:spacing w:after="0" w:line="23" w:lineRule="exact"/>
        <w:rPr>
          <w:rFonts w:ascii="Arial" w:cs="Arial" w:eastAsia="Arial" w:hAnsi="Arial"/>
          <w:sz w:val="18"/>
          <w:szCs w:val="18"/>
          <w:color w:val="auto"/>
        </w:rPr>
      </w:pPr>
    </w:p>
    <w:p>
      <w:pPr>
        <w:ind w:left="780" w:hanging="254"/>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obligation to participate in the CD71 Agreement joint research committee,</w:t>
      </w:r>
    </w:p>
    <w:p>
      <w:pPr>
        <w:spacing w:after="0" w:line="9" w:lineRule="exact"/>
        <w:rPr>
          <w:rFonts w:ascii="Arial" w:cs="Arial" w:eastAsia="Arial" w:hAnsi="Arial"/>
          <w:sz w:val="18"/>
          <w:szCs w:val="18"/>
          <w:color w:val="auto"/>
        </w:rPr>
      </w:pPr>
    </w:p>
    <w:p>
      <w:pPr>
        <w:ind w:left="780" w:hanging="254"/>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research services related to the first discovery target,</w:t>
      </w:r>
    </w:p>
    <w:p>
      <w:pPr>
        <w:spacing w:after="0" w:line="9" w:lineRule="exact"/>
        <w:rPr>
          <w:rFonts w:ascii="Arial" w:cs="Arial" w:eastAsia="Arial" w:hAnsi="Arial"/>
          <w:sz w:val="18"/>
          <w:szCs w:val="18"/>
          <w:color w:val="auto"/>
        </w:rPr>
      </w:pPr>
    </w:p>
    <w:p>
      <w:pPr>
        <w:ind w:left="780" w:hanging="254"/>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the first discovery target, and</w:t>
      </w:r>
    </w:p>
    <w:p>
      <w:pPr>
        <w:spacing w:after="0" w:line="9" w:lineRule="exact"/>
        <w:rPr>
          <w:rFonts w:ascii="Arial" w:cs="Arial" w:eastAsia="Arial" w:hAnsi="Arial"/>
          <w:sz w:val="18"/>
          <w:szCs w:val="18"/>
          <w:color w:val="auto"/>
        </w:rPr>
      </w:pPr>
    </w:p>
    <w:p>
      <w:pPr>
        <w:ind w:left="780" w:hanging="254"/>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obligation to participate in the Discovery Agreement joint research committee.</w:t>
      </w:r>
    </w:p>
    <w:p>
      <w:pPr>
        <w:spacing w:after="0" w:line="25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concluded that, at the inception of the agreement, AbbVie’s option for the second discovery target is not a material right and is therefore not a performance obligation.</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194" w:lineRule="exact"/>
        <w:rPr>
          <w:sz w:val="20"/>
          <w:szCs w:val="20"/>
          <w:color w:val="auto"/>
        </w:rPr>
      </w:pPr>
    </w:p>
    <w:p>
      <w:pPr>
        <w:ind w:left="1140" w:right="500" w:hanging="511"/>
        <w:spacing w:after="0" w:line="258"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CD71 Agreement performance obligation consisting of the CD71 Agreement research, development and commercialization license, related research service and participation in the joint research committee, and</w:t>
      </w:r>
    </w:p>
    <w:p>
      <w:pPr>
        <w:spacing w:after="0" w:line="1" w:lineRule="exact"/>
        <w:rPr>
          <w:rFonts w:ascii="Arial" w:cs="Arial" w:eastAsia="Arial" w:hAnsi="Arial"/>
          <w:sz w:val="18"/>
          <w:szCs w:val="18"/>
          <w:color w:val="auto"/>
        </w:rPr>
      </w:pPr>
    </w:p>
    <w:p>
      <w:pPr>
        <w:ind w:left="1140" w:right="460" w:hanging="511"/>
        <w:spacing w:after="0" w:line="276"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Discovery Agreement performance obligation consisting of the Discovery Agreement research, development and commercialization license, related research service and participation in the joint research committee.</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total transaction price upon adoption of ASC 606 on January 1, 2018 of $39.8 million consists of $30.0 million in upfront payments, $14.0 million milestone payment received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estimated sublicense fees of $4.2 million are allocated to the CD71 Agreement performance obligation as they are directly related to the development of the CD71 Probody therapeutic.</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May 2018, the Company earned a $21.0 million milestone payment (net of the payment of an associated sublicense fee of $4.0 million to SGEN) under the CD71 Agreement. The $21.0 million milestone payment was included as part of the transaction price in May 2018 and a revenue adjustment of $9.9 million was recognized in the second quarter of 2018 reflecting the percentage completed to-date on the project related to this milestone. The Company determined that the remaining potential milestone payments are probable of significant revenue reversal as their achievement is highly dependent on factors outside the Company’s control. Therefore, these payments have been fully constrained and were not included in the transaction price as of June 30, 2019.</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obligated to make sublicense payments under the license agreement with the Regents of the University of California, acting through its Santa Barbara campus (“UCSB”), as amended, equal to 7.5% of certain upfront and milestone payments owed to or received by the Company. As of June 30, 2019 and December 31, 2018, the Company recorded a liability of $0.9 million and $1.1 million, respectively, representing the sublicense fee payable to UCSB under the Discovery Agreement and the CD71 Agreement.</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Of the $39.8 million total transaction price, the Company recognized the initial transaction price of $29.8 million allocated to the CD71 Agreement performance obligation using a cost-based input measure, the common measure of progress for the performance obligation. In applying the cost-based input method, revenue is recognized based on actual full-time employee (“FTE”) hours incurred as a percentage of total estimated FTE hours as the Company completes its combined performance obligation over the five-year service period. The Company evaluates the measure of progress each reporting period and, if necessary, adjusts the measure of performance and related revenue recognition. As the Discovery Agreement performance obligation represents an obligation to continuously make the Company’s Probody therapeutic technology platform available to AbbVie, the initial transaction price of $10.0 million allocated to this performance obligation is recognized over the common measure of progress for the entire performance obligation over the estimated research service period of five years through April 2021. In addition, the transaction price of $10.0 million representing the milestone payment for the second target selected in June 2019 is recognized over the common measure of progress of the related obligation over the estimated research service period. The research service period for the second target is estimated to be five years through June 2024.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revenue of $1.4 million and $10.8 million for the three months ended June 30, 2019 and 2018, respectively and $4.3 million and</w:t>
      </w:r>
    </w:p>
    <w:p>
      <w:pPr>
        <w:spacing w:after="0" w:line="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$13.4 million for the six months ended June 30, 2019 and 2018, respectively, related to the AbbVie Agreements. As of June 30, 2019 and December 31, 2018, deferred revenue related to the CD71 Agreement performance obligation was $19.8 million and $23.2 million, respectively, and deferred revenue related to the Discovery Agreements performance obligation was $13.7 million and $4.7 million, respectively. As of both June 30, 2019 and December 31, 2018, $10.0 million and $0 was due from AbbVie under the CD71 Agreement and the Discovery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0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Under the terms of the Amgen Agreement, the Company and Amgen will co-develop a Probody T-cell engaging bi-specific therapeutic targeting EGFR (“EGFR Products”). The Company is responsible for early-stage development of EGFR Products and all related costs up to certain pre-set costs and certain limits based on clinical study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208" w:lineRule="exact"/>
        <w:rPr>
          <w:sz w:val="20"/>
          <w:szCs w:val="20"/>
          <w:color w:val="auto"/>
        </w:rPr>
      </w:pPr>
    </w:p>
    <w:p>
      <w:pPr>
        <w:ind w:left="780" w:hanging="254"/>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w:t>
      </w:r>
    </w:p>
    <w:p>
      <w:pPr>
        <w:spacing w:after="0" w:line="49" w:lineRule="exact"/>
        <w:rPr>
          <w:rFonts w:ascii="Arial" w:cs="Arial" w:eastAsia="Arial" w:hAnsi="Arial"/>
          <w:sz w:val="18"/>
          <w:szCs w:val="18"/>
          <w:color w:val="auto"/>
        </w:rPr>
      </w:pPr>
    </w:p>
    <w:p>
      <w:pPr>
        <w:ind w:left="780" w:hanging="254"/>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research and development services for the EGFR Products and the Amgen Other Product, and</w:t>
      </w:r>
    </w:p>
    <w:p>
      <w:pPr>
        <w:spacing w:after="0" w:line="49" w:lineRule="exact"/>
        <w:rPr>
          <w:rFonts w:ascii="Arial" w:cs="Arial" w:eastAsia="Arial" w:hAnsi="Arial"/>
          <w:sz w:val="18"/>
          <w:szCs w:val="18"/>
          <w:color w:val="auto"/>
        </w:rPr>
      </w:pPr>
    </w:p>
    <w:p>
      <w:pPr>
        <w:ind w:left="780" w:hanging="254"/>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obligation to participate in the joint steering committee (“JSC”) and the joint research committee (“JRC”).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and, if necessary, adjusts the measure of performance and related revenue recognition.</w:t>
      </w:r>
    </w:p>
    <w:p>
      <w:pPr>
        <w:spacing w:after="0" w:line="24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as amended, the Company is obligated to make a sublicense payment to UCSB equal to 7.5% of certain upfront and milestone payments owed to or received by the Company. As of June 30, 2019 and December 31, 2018, the Company recorded a liability of $0 and $2.1 million, respectively, representing the sublicense fee payable to UCSB. See Note 7 for further details.</w:t>
      </w:r>
    </w:p>
    <w:p>
      <w:pPr>
        <w:spacing w:after="0" w:line="21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June 30, 2019.</w:t>
      </w:r>
    </w:p>
    <w:p>
      <w:pPr>
        <w:spacing w:after="0" w:line="2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total FTE hours expected to be incurred for the combined performance obligation over the research service period. In the fourth quarter of 2018, the JSC discontinued work on two molecules that did not meet required research criteria. Pre-clinical evaluation of additional molecules is ongoing as part of the candidate identification phase of the EGFR project, and as a result, there was a change in estimate of the projected costs and research service period to seven years during the fourth quarter of 2018. At the end of the second quarter of 2019, the Company determined it will undertake additional testing and assessment of the molecules being evaluated under the EFGR project. As a result, the estimated projected costs and research service period was further increased to eight years.</w:t>
      </w:r>
    </w:p>
    <w:p>
      <w:pPr>
        <w:spacing w:after="0" w:line="24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20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recognized revenue of $0.2 million and $1.6 million for the three months ended June 30, 2019 and 2018, respectively, and $1.3 million and $2.9 million for the six months ended June 30, 2019 and 2018, respectively, related to the Amgen Agreement. As of June 30, 2019 and December 31, 2018, deferred revenue related to the EGFR Products performance obligation was $39.8 million and $40.7 million, respectively. As of June 30, 2019 and December 31, 2018 deferred revenue related to the Amgen Other Products performance obligation was $3.4 million and $3.8 million, respectively. As of June 30, 2019 and December 31 2018, no amount was due from Amgen under the Amgen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May 23, 2014, the Company and Bristol-Myers Squibb Company (“BMS”)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BMS Agreement, the Company granted BMS exclusive worldwide rights to develop and commercialize Probody therapeutics for up to four oncology targets. BMS had additional rights to substitute up to two collaboration targets within three years of the effective date of the BMS Agreement. These rights expired in May 2017. Each collaboration target had a two-year research term and the two additional targets had to be nominated by BMS within five years of the effective date of the BMS Agreement. The research term for each collaboration target could be extended in one year increments up to three times.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BMS Agreement, the financial consideration from BMS was comprised of an upfront payment of $50.0 million and the Company was initially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entitled to receive contingent payments of up to an aggregate of $1,217.0 million as follows: (i) up to $25.0 million for additional targets; (ii) up to $114.0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in development milestone payments per research target program or up to $456.0 million if the maximum of four research targets are selected; (iii) 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$124.0 million in milestone payments for the first commercial sale in various territories for up to three indications per research target program or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$496.0 million if the maximum of four research targets are selected, and (iv) up to $60.0 million in sales milestones payments per research target program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$240.0 million if maximum of four research targets are selected. The Company is entitled to royalty payments in the mid-single digits to low double-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digit percentages from potential future sales. The Company also receives research and development service fees based on a prescribed FTE rate that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capped.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BMS Agreement:</w:t>
      </w:r>
    </w:p>
    <w:p>
      <w:pPr>
        <w:spacing w:after="0" w:line="225" w:lineRule="exact"/>
        <w:rPr>
          <w:sz w:val="20"/>
          <w:szCs w:val="20"/>
          <w:color w:val="auto"/>
        </w:rPr>
      </w:pPr>
    </w:p>
    <w:p>
      <w:pPr>
        <w:ind w:left="780" w:hanging="254"/>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23" w:lineRule="exact"/>
        <w:rPr>
          <w:rFonts w:ascii="Arial" w:cs="Arial" w:eastAsia="Arial" w:hAnsi="Arial"/>
          <w:sz w:val="18"/>
          <w:szCs w:val="18"/>
          <w:color w:val="auto"/>
        </w:rPr>
      </w:pPr>
    </w:p>
    <w:p>
      <w:pPr>
        <w:ind w:left="780" w:hanging="254"/>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9" w:lineRule="exact"/>
        <w:rPr>
          <w:rFonts w:ascii="Arial" w:cs="Arial" w:eastAsia="Arial" w:hAnsi="Arial"/>
          <w:sz w:val="18"/>
          <w:szCs w:val="18"/>
          <w:color w:val="auto"/>
        </w:rPr>
      </w:pPr>
    </w:p>
    <w:p>
      <w:pPr>
        <w:ind w:left="780" w:hanging="254"/>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BMS’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as separate performance obligations and concluded that all targets should be accounted for as one combined performance obligation. The Company received an upfront payment of $50.0 million from BMS in July 2014. In January and December 2016, BMS selected the third and fourth targets, respectively, and paid the Company $10.0 million and $15.0 million, respectively, pursuant to the terms of the BMS Agreement. In December 2016, BMS selected a clinical candidate pursuant to the BMS Agreement, which triggered a $2.0 million pre-clinical milestone payment to the Company. In November 2017, the Company recognized a $10.0 million milestone payment from BMS upon approval of the investigational new drug application for the CTLA-4-directed Probody therapeutic.</w:t>
      </w: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17, 2017, the Company and BMS entered into Amendment Number 1 to Extend Collaboration and License Agreement (the “Amendment”). The Amendment grants BMS exclusive worldwide rights to develop and commercialize Probody therapeutics for up to six additional oncology targets and two non-oncology targets. The effective date of the Amendment was April 25, 2017 (“Amendment Effective Date”). Under the terms of the Amendment, the Company continues to collaborate with BMS to discover and conduct preclinical development of Probody therapeutics against targets selected by BMS under the terms of the Amendment.</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Pursuant to the Amendment, the financial consideration from BMS is comprised of an upfront payment of $200.0 million and the Company is eligible to receive up to an aggregate of $3,586.0 million as follows:</w:t>
      </w:r>
    </w:p>
    <w:p>
      <w:pPr>
        <w:spacing w:after="0" w:line="170" w:lineRule="exact"/>
        <w:rPr>
          <w:sz w:val="20"/>
          <w:szCs w:val="20"/>
          <w:color w:val="auto"/>
        </w:rPr>
      </w:pPr>
    </w:p>
    <w:p>
      <w:pPr>
        <w:ind w:left="1040" w:right="1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$116.0 million in development milestone payments per target or up to $928.0 million if the maximum of eight targets are selected for the first product modality;</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$124.0 million in milestone payments for the first commercial sale in various territories for up to three indications per target program or up to $992.0 million if the maximum of eight targets are selected for the first product modality;</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$60.0 million in sales milestone payments per target or up to $480.0 million if maximum of eight targets are selected for the first product modality; and</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1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$56.3 million in development milestone payments or up to $450.0 million if the maximum of eight targets are selected for the second product modality;</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$62.0 million in milestone payments for the first commercial sale in various territories for up to three indications per target program or up to $496.0 million if the maximum of eight targets are selected for the second product modality;</w:t>
      </w:r>
    </w:p>
    <w:p>
      <w:pPr>
        <w:spacing w:after="0" w:line="62"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 to $30.0 million in sales milestone payments per target or up to $240.0 million if maximum of eight targets are selected for the second product modality.</w:t>
      </w:r>
    </w:p>
    <w:p>
      <w:pPr>
        <w:sectPr>
          <w:pgSz w:w="11900" w:h="16838" w:orient="portrait"/>
          <w:cols w:equalWidth="0" w:num="1">
            <w:col w:w="11400"/>
          </w:cols>
          <w:pgMar w:left="240" w:top="121" w:right="25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left="380" w:right="40"/>
        <w:spacing w:after="0" w:line="257" w:lineRule="auto"/>
        <w:rPr>
          <w:sz w:val="20"/>
          <w:szCs w:val="20"/>
          <w:color w:val="auto"/>
        </w:rPr>
      </w:pPr>
      <w:r>
        <w:rPr>
          <w:rFonts w:ascii="Arial" w:cs="Arial" w:eastAsia="Arial" w:hAnsi="Arial"/>
          <w:sz w:val="18"/>
          <w:szCs w:val="18"/>
          <w:color w:val="auto"/>
        </w:rPr>
        <w:t>The Company is also entitled to tiered mid-single to low double-digit percentage royalties from potential future sales. The Amendment does not change the term of the BMS’s royalty obligation under the BMS Agreement. BMS’s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transaction price is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as of June 30, 2019. The BMS Agreement represents an obligation to continuously make the Probody therapeutic technology platform available to BMS. Therefore, the initial transaction price is recognized over the estimated research service period, which ends on April 25, 2025.</w:t>
      </w:r>
    </w:p>
    <w:p>
      <w:pPr>
        <w:spacing w:after="0" w:line="1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first quarter of 2019, BMS terminated pre-clinical activities on three of the first four collaboration targets selected under the BMS Agreement. The first and second targets under the BMS Agreement were combined into a single performance obligation. The Company determined that termination of pre-clinical activities on the second target does not impact the Company’s continuing obligation to BMS for the first target, CTLA-4, as it is still being actively developed by BMS. Therefore, the Company concluded that it will continue to amortize the related deferred revenue over the original performance period. The Company has determined that upon the termination of pre-clinical activities on the third and the fourth collaboration targets selected by BMS in January and December of 2016, respectively, under the BMS Agreement, it has no further obligations and is no longer eligible to receive any further proceeds from milestones, royalties or research and development fees for such targets. As a result, the Company accelerated recognition of all of the related deferred revenue of the third and the fourth targets upon the effective date of termination and recognized $17.4 million in the first quarter of 2019.</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recognized revenue of $7.4 million and $8.2 million for the three months ended June 30, 2019 and 2018, respectively and $32.9 million and $16.4 million for the six months ended June 30, 2019 and 2018, respectively. As of June 30, 2019 and December 31, 2018, deferred revenue relating to the BMS Agreement was $172.8 million and $205.6 million, respectively. The amount due from BMS under the BMS Agreement was $4,000 and $0.1 million as of June 30, 2019 and December 31, 2018,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 In 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and continues research work on this program.</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the ImmunoGen Research Agreement, both the Company and ImmunoGen performed research activities on behalf of the other party for no monetary consideration through January 2018 and the arrangement was extended to June 2018, as discussed below. Each party is solely responsible for the development, manufacturing and commercialization of any products resulting from the exclusive development and commercialization license obtained by such party under the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consideration for the ImmunoGen 2017 License, the Company is entitled to receive up to $30.0 million in development and regulatory milestone payments, up to $50.0 million in sales milestone payments and royalties in the mid-single digit percentage on the commercial sales of any resulting product. For the CX-2009 License, the Company is obligated to pay ImmunoGen up to $60.0 million in development and regulatory milestone payments and up to $100.0 million in sales milestone payments and royalties in the mid to high single digits percentage on the commercial sales of any resulting product. In August 2017, the Company made a milestone payment of $1.0 million to ImmunoGen for the first patient dosing with CX-2009. No milestone payments have been accrued to the Company under the ImmunoGen 2017 License.</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accounted for the ImmunoGen Research Agreement based on the fair value of the assets and services exchanged. The Company identified the following performance obligations at the inception of the ImmunoGen Research Agreement:</w:t>
      </w:r>
    </w:p>
    <w:p>
      <w:pPr>
        <w:spacing w:after="0" w:line="238" w:lineRule="exact"/>
        <w:rPr>
          <w:sz w:val="20"/>
          <w:szCs w:val="20"/>
          <w:color w:val="auto"/>
        </w:rPr>
      </w:pPr>
    </w:p>
    <w:p>
      <w:pPr>
        <w:ind w:left="780" w:hanging="254"/>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research license,</w:t>
      </w:r>
    </w:p>
    <w:p>
      <w:pPr>
        <w:spacing w:after="0" w:line="49" w:lineRule="exact"/>
        <w:rPr>
          <w:rFonts w:ascii="Arial" w:cs="Arial" w:eastAsia="Arial" w:hAnsi="Arial"/>
          <w:sz w:val="18"/>
          <w:szCs w:val="18"/>
          <w:color w:val="auto"/>
        </w:rPr>
      </w:pPr>
    </w:p>
    <w:p>
      <w:pPr>
        <w:ind w:left="780" w:hanging="254"/>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research services,</w:t>
      </w:r>
    </w:p>
    <w:p>
      <w:pPr>
        <w:spacing w:after="0" w:line="49" w:lineRule="exact"/>
        <w:rPr>
          <w:rFonts w:ascii="Arial" w:cs="Arial" w:eastAsia="Arial" w:hAnsi="Arial"/>
          <w:sz w:val="18"/>
          <w:szCs w:val="18"/>
          <w:color w:val="auto"/>
        </w:rPr>
      </w:pPr>
    </w:p>
    <w:p>
      <w:pPr>
        <w:ind w:left="780" w:hanging="254"/>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36" w:lineRule="exact"/>
        <w:rPr>
          <w:rFonts w:ascii="Arial" w:cs="Arial" w:eastAsia="Arial" w:hAnsi="Arial"/>
          <w:sz w:val="18"/>
          <w:szCs w:val="18"/>
          <w:color w:val="auto"/>
        </w:rPr>
      </w:pPr>
    </w:p>
    <w:p>
      <w:pPr>
        <w:ind w:left="780" w:hanging="254"/>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 and</w:t>
      </w:r>
    </w:p>
    <w:p>
      <w:pPr>
        <w:spacing w:after="0" w:line="49" w:lineRule="exact"/>
        <w:rPr>
          <w:rFonts w:ascii="Arial" w:cs="Arial" w:eastAsia="Arial" w:hAnsi="Arial"/>
          <w:sz w:val="18"/>
          <w:szCs w:val="18"/>
          <w:color w:val="auto"/>
        </w:rPr>
      </w:pPr>
    </w:p>
    <w:p>
      <w:pPr>
        <w:ind w:left="780" w:hanging="254"/>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obligation to provide future technology improvements, when available.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determined that the research license, the research services, the participation in the joint steering committee, and the technology improvements are not distinct from the development and commercialization license and therefore those performance obligations were combined into one combined performance obligation. The Company considered factors such as the limited economic benefits to ImmunoGen if the development and commercialization license was not obtained and the lack of sublicensing rights in the research license.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estimated total fair value of the consideration of $13.2 million was recorded as deferred revenue at the inception of the ImmunoGen Research Agreement. In December 2017, the Company entered into the ImmunoGen 2017 License arrangement and extended the Company’s obligation to provide research services under the ImmunoGen Research Agreement to June 30, 2018. The fair value of the consideration for the combined performance obligation was recognized as revenue over the research period that ended on June 30, 2018. As of June 30, 2019 and December 31, 2018, neither company has further research obligations under the ImmunoGen Research Agreement.</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estimated total fair value of assets and services received was also $13.2 million, of which $12.7 million was allocated to the licenses received and was charged to research and development expense, with the remaining amount of $0.5 million allocated to the research services, joint research committee participation and technology improvements, which was expensed over the period of services provided.</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recognized revenue of $0 and $0.7 million for this target for the three months ended June 30, 2019 and 2018, respectively and $0 and $1.5 million for the six months ended June 30, 2019 and 2018, respectively. As of June 30, 2019 and December 31, 2018, there was no deferred revenue relating to the ImmunoGen Research Agreement. As of both June 30, 2019 and December 31, 2018, no amount was due from ImmunoGen under the ImmunoGen Research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Inc.</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May 2013, the Company and Pfizer Inc. (“Pfizer”) entered into a Research Collaboration, Option and License Agreement (the “Pfizer Agreement”) to collaborate on the discovery and preclinical research activities related to Probody therapeutics, and PDCs for research project targets nominated by Pfizer. Pfizer nominated two research targets in 2013 and, pursuant to the Pfizer Agreement, had the option of nominating two additional research targets. In December 2014, Pfizer selected an additional research target and paid the Company $1.5 million. The option to select a fourth target lapsed in May 2016. Pfizer discontinued the epidermal growth factor receptor (“EGFR”) program and decided to terminate the remaining two targets in February and March 2018. In March 2018, Pfizer terminated the Pfizer Agreement. As such, the Company had no further performance obligations under this agreement after the first quarter of 2018. The Company recognized revenue of $0 and $1.4 million for the six months ended June 30, 2019 and 2018, respectively related to the Pfizer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six months ended June 30, 2019:</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Balance at</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224"/>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400" w:type="dxa"/>
            <w:vAlign w:val="bottom"/>
          </w:tcPr>
          <w:p>
            <w:pPr>
              <w:spacing w:after="0"/>
              <w:rPr>
                <w:sz w:val="12"/>
                <w:szCs w:val="12"/>
                <w:color w:val="auto"/>
              </w:rPr>
            </w:pPr>
          </w:p>
        </w:tc>
        <w:tc>
          <w:tcPr>
            <w:tcW w:w="132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Additions</w:t>
            </w:r>
          </w:p>
        </w:tc>
        <w:tc>
          <w:tcPr>
            <w:tcW w:w="360" w:type="dxa"/>
            <w:vAlign w:val="bottom"/>
          </w:tcPr>
          <w:p>
            <w:pPr>
              <w:spacing w:after="0"/>
              <w:rPr>
                <w:sz w:val="12"/>
                <w:szCs w:val="12"/>
                <w:color w:val="auto"/>
              </w:rPr>
            </w:pPr>
          </w:p>
        </w:tc>
        <w:tc>
          <w:tcPr>
            <w:tcW w:w="130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Deductions</w:t>
            </w:r>
          </w:p>
        </w:tc>
        <w:tc>
          <w:tcPr>
            <w:tcW w:w="3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244"/>
              <w:spacing w:after="0"/>
              <w:rPr>
                <w:sz w:val="20"/>
                <w:szCs w:val="20"/>
                <w:color w:val="auto"/>
              </w:rPr>
            </w:pPr>
            <w:r>
              <w:rPr>
                <w:rFonts w:ascii="Arial" w:cs="Arial" w:eastAsia="Arial" w:hAnsi="Arial"/>
                <w:sz w:val="14"/>
                <w:szCs w:val="14"/>
                <w:b w:val="1"/>
                <w:bCs w:val="1"/>
                <w:color w:val="auto"/>
                <w:w w:val="91"/>
              </w:rPr>
              <w:t>Period</w:t>
            </w: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56"/>
        </w:trPr>
        <w:tc>
          <w:tcPr>
            <w:tcW w:w="46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3"/>
          </w:tcPr>
          <w:p>
            <w:pPr>
              <w:jc w:val="right"/>
              <w:ind w:right="1079"/>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FF0FC"/>
          </w:tcPr>
          <w:p>
            <w:pPr>
              <w:jc w:val="center"/>
              <w:ind w:right="3030"/>
              <w:spacing w:after="0"/>
              <w:rPr>
                <w:sz w:val="20"/>
                <w:szCs w:val="20"/>
                <w:color w:val="auto"/>
              </w:rPr>
            </w:pPr>
            <w:r>
              <w:rPr>
                <w:rFonts w:ascii="Arial" w:cs="Arial" w:eastAsia="Arial" w:hAnsi="Arial"/>
                <w:sz w:val="18"/>
                <w:szCs w:val="18"/>
                <w:b w:val="1"/>
                <w:bCs w:val="1"/>
                <w:color w:val="auto"/>
                <w:w w:val="92"/>
              </w:rPr>
              <w:t>Contract liabilities:</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jc w:val="center"/>
              <w:ind w:right="3010"/>
              <w:spacing w:after="0"/>
              <w:rPr>
                <w:sz w:val="20"/>
                <w:szCs w:val="20"/>
                <w:color w:val="auto"/>
              </w:rPr>
            </w:pPr>
            <w:r>
              <w:rPr>
                <w:rFonts w:ascii="Arial" w:cs="Arial" w:eastAsia="Arial" w:hAnsi="Arial"/>
                <w:sz w:val="18"/>
                <w:szCs w:val="18"/>
                <w:color w:val="auto"/>
                <w:w w:val="88"/>
              </w:rPr>
              <w:t>Deferred 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84"/>
              <w:spacing w:after="0"/>
              <w:rPr>
                <w:sz w:val="20"/>
                <w:szCs w:val="20"/>
                <w:color w:val="auto"/>
              </w:rPr>
            </w:pPr>
            <w:r>
              <w:rPr>
                <w:rFonts w:ascii="Arial" w:cs="Arial" w:eastAsia="Arial" w:hAnsi="Arial"/>
                <w:sz w:val="18"/>
                <w:szCs w:val="18"/>
                <w:color w:val="auto"/>
              </w:rPr>
              <w:t>277,980</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82"/>
              <w:spacing w:after="0"/>
              <w:rPr>
                <w:sz w:val="20"/>
                <w:szCs w:val="20"/>
                <w:color w:val="auto"/>
              </w:rPr>
            </w:pPr>
            <w:r>
              <w:rPr>
                <w:rFonts w:ascii="Arial" w:cs="Arial" w:eastAsia="Arial" w:hAnsi="Arial"/>
                <w:sz w:val="18"/>
                <w:szCs w:val="18"/>
                <w:color w:val="auto"/>
              </w:rPr>
              <w:t>10,000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(38,470)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249,510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was a $10.0 million addition to deferred revenue during the six months ended June 30, 2019. Deductions of $38.5 million represent revenue recognized, including the accelerated recognition of deferred revenue of $17.4 million due to termination of certain targets by BMS, in the six months ended June 30, 2019 that was included in the contract liability balance at the beginning of the period.</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estimates that the $249.5 million of deferred revenue related to the following contracts as of June 30, 2019 to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92" w:lineRule="exact"/>
        <w:rPr>
          <w:sz w:val="20"/>
          <w:szCs w:val="20"/>
          <w:color w:val="auto"/>
        </w:rPr>
      </w:pPr>
    </w:p>
    <w:p>
      <w:pPr>
        <w:ind w:left="760" w:right="100" w:hanging="374"/>
        <w:spacing w:after="0" w:line="251" w:lineRule="auto"/>
        <w:tabs>
          <w:tab w:leader="none" w:pos="760" w:val="left"/>
        </w:tabs>
        <w:numPr>
          <w:ilvl w:val="1"/>
          <w:numId w:val="19"/>
        </w:numPr>
        <w:rPr>
          <w:rFonts w:ascii="Arial" w:cs="Arial" w:eastAsia="Arial" w:hAnsi="Arial"/>
          <w:sz w:val="20"/>
          <w:szCs w:val="20"/>
          <w:color w:val="auto"/>
        </w:rPr>
      </w:pPr>
      <w:r>
        <w:rPr>
          <w:rFonts w:ascii="Arial" w:cs="Arial" w:eastAsia="Arial" w:hAnsi="Arial"/>
          <w:sz w:val="18"/>
          <w:szCs w:val="18"/>
          <w:color w:val="auto"/>
        </w:rPr>
        <w:t>The $19.8 million of deferred revenue related to the CD71 Agreement as of June 30, 2019 is expected to be recognized based on actual FTE effort and program progress until approximately August 2021.</w:t>
      </w:r>
    </w:p>
    <w:p>
      <w:pPr>
        <w:spacing w:after="0" w:line="83" w:lineRule="exact"/>
        <w:rPr>
          <w:rFonts w:ascii="Arial" w:cs="Arial" w:eastAsia="Arial" w:hAnsi="Arial"/>
          <w:sz w:val="20"/>
          <w:szCs w:val="20"/>
          <w:color w:val="auto"/>
        </w:rPr>
      </w:pPr>
    </w:p>
    <w:p>
      <w:pPr>
        <w:ind w:left="760" w:right="240" w:hanging="374"/>
        <w:spacing w:after="0" w:line="250" w:lineRule="auto"/>
        <w:tabs>
          <w:tab w:leader="none" w:pos="760" w:val="left"/>
        </w:tabs>
        <w:numPr>
          <w:ilvl w:val="1"/>
          <w:numId w:val="19"/>
        </w:numPr>
        <w:rPr>
          <w:rFonts w:ascii="Arial" w:cs="Arial" w:eastAsia="Arial" w:hAnsi="Arial"/>
          <w:sz w:val="20"/>
          <w:szCs w:val="20"/>
          <w:color w:val="auto"/>
        </w:rPr>
      </w:pPr>
      <w:r>
        <w:rPr>
          <w:rFonts w:ascii="Arial" w:cs="Arial" w:eastAsia="Arial" w:hAnsi="Arial"/>
          <w:sz w:val="18"/>
          <w:szCs w:val="18"/>
          <w:color w:val="auto"/>
        </w:rPr>
        <w:t>The $3.7 million of deferred revenue related to the first target under the Discovery Agreement as of June 30, 2019 is expected to be recognized ratably until approximately April 2021. The $10.0 million of deferred revenue related to the second target under the Discovery Agreement as of June 30, 2019 is expected to be recognized ratably until approximately June 2024.</w:t>
      </w:r>
    </w:p>
    <w:p>
      <w:pPr>
        <w:spacing w:after="0" w:line="85" w:lineRule="exact"/>
        <w:rPr>
          <w:rFonts w:ascii="Arial" w:cs="Arial" w:eastAsia="Arial" w:hAnsi="Arial"/>
          <w:sz w:val="20"/>
          <w:szCs w:val="20"/>
          <w:color w:val="auto"/>
        </w:rPr>
      </w:pPr>
    </w:p>
    <w:p>
      <w:pPr>
        <w:ind w:left="760" w:right="100" w:hanging="374"/>
        <w:spacing w:after="0" w:line="251" w:lineRule="auto"/>
        <w:tabs>
          <w:tab w:leader="none" w:pos="760" w:val="left"/>
        </w:tabs>
        <w:numPr>
          <w:ilvl w:val="1"/>
          <w:numId w:val="19"/>
        </w:numPr>
        <w:rPr>
          <w:rFonts w:ascii="Arial" w:cs="Arial" w:eastAsia="Arial" w:hAnsi="Arial"/>
          <w:sz w:val="20"/>
          <w:szCs w:val="20"/>
          <w:color w:val="auto"/>
        </w:rPr>
      </w:pPr>
      <w:r>
        <w:rPr>
          <w:rFonts w:ascii="Arial" w:cs="Arial" w:eastAsia="Arial" w:hAnsi="Arial"/>
          <w:sz w:val="18"/>
          <w:szCs w:val="18"/>
          <w:color w:val="auto"/>
        </w:rPr>
        <w:t>The $39.8 million of deferred revenue related to the Amgen EGFR Products as of June 30, 2019 is expected to be recognized based on actual FTE effort and program progress until approximately September 2025.</w:t>
      </w:r>
    </w:p>
    <w:p>
      <w:pPr>
        <w:spacing w:after="0" w:line="83" w:lineRule="exact"/>
        <w:rPr>
          <w:rFonts w:ascii="Arial" w:cs="Arial" w:eastAsia="Arial" w:hAnsi="Arial"/>
          <w:sz w:val="20"/>
          <w:szCs w:val="20"/>
          <w:color w:val="auto"/>
        </w:rPr>
      </w:pPr>
    </w:p>
    <w:p>
      <w:pPr>
        <w:ind w:left="760" w:right="840" w:hanging="374"/>
        <w:spacing w:after="0" w:line="251" w:lineRule="auto"/>
        <w:tabs>
          <w:tab w:leader="none" w:pos="760" w:val="left"/>
        </w:tabs>
        <w:numPr>
          <w:ilvl w:val="1"/>
          <w:numId w:val="19"/>
        </w:numPr>
        <w:rPr>
          <w:rFonts w:ascii="Arial" w:cs="Arial" w:eastAsia="Arial" w:hAnsi="Arial"/>
          <w:sz w:val="20"/>
          <w:szCs w:val="20"/>
          <w:color w:val="auto"/>
        </w:rPr>
      </w:pPr>
      <w:r>
        <w:rPr>
          <w:rFonts w:ascii="Arial" w:cs="Arial" w:eastAsia="Arial" w:hAnsi="Arial"/>
          <w:sz w:val="18"/>
          <w:szCs w:val="18"/>
          <w:color w:val="auto"/>
        </w:rPr>
        <w:t>The $3.4 million of deferred revenue related to the Amgen Other Products as of June 30, 2019 is expected to be recognized ratably until approximately September 2023.</w:t>
      </w:r>
    </w:p>
    <w:p>
      <w:pPr>
        <w:spacing w:after="0" w:line="83" w:lineRule="exact"/>
        <w:rPr>
          <w:rFonts w:ascii="Arial" w:cs="Arial" w:eastAsia="Arial" w:hAnsi="Arial"/>
          <w:sz w:val="20"/>
          <w:szCs w:val="20"/>
          <w:color w:val="auto"/>
        </w:rPr>
      </w:pPr>
    </w:p>
    <w:p>
      <w:pPr>
        <w:ind w:left="760" w:right="20" w:hanging="374"/>
        <w:spacing w:after="0" w:line="251" w:lineRule="auto"/>
        <w:tabs>
          <w:tab w:leader="none" w:pos="760" w:val="left"/>
        </w:tabs>
        <w:numPr>
          <w:ilvl w:val="1"/>
          <w:numId w:val="19"/>
        </w:numPr>
        <w:rPr>
          <w:rFonts w:ascii="Arial" w:cs="Arial" w:eastAsia="Arial" w:hAnsi="Arial"/>
          <w:sz w:val="20"/>
          <w:szCs w:val="20"/>
          <w:color w:val="auto"/>
        </w:rPr>
      </w:pPr>
      <w:r>
        <w:rPr>
          <w:rFonts w:ascii="Arial" w:cs="Arial" w:eastAsia="Arial" w:hAnsi="Arial"/>
          <w:sz w:val="18"/>
          <w:szCs w:val="18"/>
          <w:color w:val="auto"/>
        </w:rPr>
        <w:t>The $172.8 million of deferred revenue related to the BMS Agreement as of June 30, 2019 is expected to be recognized ratably until approximately April 2025.</w:t>
      </w:r>
    </w:p>
    <w:p>
      <w:pPr>
        <w:spacing w:after="0" w:line="295" w:lineRule="exact"/>
        <w:rPr>
          <w:rFonts w:ascii="Arial" w:cs="Arial" w:eastAsia="Arial" w:hAnsi="Arial"/>
          <w:sz w:val="20"/>
          <w:szCs w:val="20"/>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UCSB License Agreement</w:t>
      </w:r>
    </w:p>
    <w:p>
      <w:pPr>
        <w:spacing w:after="0" w:line="12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$150,000 under the terms of certain exclusive licensed patent rights. The royalty obligations are cancellable any time by giving notice to the licensor, with the termination being effective 60 days after giving notice.</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$750,000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Pursuant to Amendment No.3, the Company recorded in research and development expense a charge of $3.4 million relating to sublicense and maintenance fees representing the 150,000 shares issued with a fair value of $1.6 million, the upfront payment of $1.0 million and the additional annual maintenance fee of $0.8 million during the three and six months ended June 30, 2019.</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2019, the Company incurred an additional $0.8 million of sublicense fees related to the $10.0 million milestone payment for the second target selected by AbbVie under the Discovery Agreement. See Note 6 for further details.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incurred expenses of $4.4 million and $0.5 million for the three months ended June 30, 2019 and 2018, respectively, and $4.2 million and $0.5 million for the six months ended June 30, 2019 and 2018, respectively, under the provisions of the UCSB Agreement.</w:t>
      </w:r>
    </w:p>
    <w:p>
      <w:pPr>
        <w:spacing w:after="0" w:line="1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June 30, 2019 and December 31, 2018, the Company recorded a liability of $0.9 million and $3.2 million, respectively, representing the sublicense fee payable to UCSB.</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Activities under the Company’s stock option plans for the six months ended June 30, 2019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200" w:type="dxa"/>
            <w:vAlign w:val="bottom"/>
            <w:gridSpan w:val="6"/>
          </w:tcPr>
          <w:p>
            <w:pPr>
              <w:ind w:left="90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33"/>
        </w:trPr>
        <w:tc>
          <w:tcPr>
            <w:tcW w:w="70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7,803,773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2,423,983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(89,567)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Option forfeited/expired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(261,857)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2019</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9,876,332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June 30, 2019</w:t>
            </w: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5,401,818</w:t>
            </w:r>
          </w:p>
        </w:tc>
        <w:tc>
          <w:tcPr>
            <w:tcW w:w="2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recorded related to options granted to employees and non-employees and employee stock purchase plan was as follows: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80" w:type="dxa"/>
            <w:vAlign w:val="bottom"/>
            <w:vMerge w:val="restart"/>
          </w:tcPr>
          <w:p>
            <w:pPr>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w:t>
            </w:r>
          </w:p>
        </w:tc>
        <w:tc>
          <w:tcPr>
            <w:tcW w:w="4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w:t>
            </w:r>
          </w:p>
        </w:tc>
        <w:tc>
          <w:tcPr>
            <w:tcW w:w="5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5,293</w:t>
            </w:r>
          </w:p>
        </w:tc>
        <w:tc>
          <w:tcPr>
            <w:tcW w:w="4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10,646</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4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Arial" w:cs="Arial" w:eastAsia="Arial" w:hAnsi="Arial"/>
          <w:sz w:val="15"/>
          <w:szCs w:val="15"/>
          <w:color w:val="auto"/>
        </w:rPr>
        <w:t>th</w:t>
      </w:r>
      <w:r>
        <w:rPr>
          <w:rFonts w:ascii="Arial" w:cs="Arial" w:eastAsia="Arial" w:hAnsi="Arial"/>
          <w:sz w:val="18"/>
          <w:szCs w:val="18"/>
          <w:color w:val="auto"/>
        </w:rPr>
        <w:t xml:space="preserve"> month to approximately $5.5 million for the tenth year of the lease. The Company utilized the full amount of the one-time improvement allowance of $12.6 million, of which $2.3 million is recoverable by the landlord through an increase rent which continues through the expiration of the initial lease term.</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in restricted cash as non-current on its balance sheet at June 30, 2019 and December 31, 2018, respectively.</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Rent expense is recognized on a straight-line basis over the term of the lease and accordingly the Company records the difference between cash rent payments and the recognition of rent expense against the operating lease ROU asset. Rent expense for both the three months ended June 30, 2019 and 2018 was $1.3 million. Rent expense for both the six months ended June 30, 2019 and 2018 was $2.5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0" w:type="dxa"/>
            <w:vAlign w:val="bottom"/>
            <w:gridSpan w:val="2"/>
          </w:tcPr>
          <w:p>
            <w:pPr>
              <w:jc w:val="center"/>
              <w:ind w:right="242"/>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28"/>
        </w:trPr>
        <w:tc>
          <w:tcPr>
            <w:tcW w:w="6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442"/>
              <w:spacing w:after="0"/>
              <w:rPr>
                <w:sz w:val="20"/>
                <w:szCs w:val="20"/>
                <w:color w:val="auto"/>
              </w:rPr>
            </w:pPr>
            <w:r>
              <w:rPr>
                <w:rFonts w:ascii="Arial" w:cs="Arial" w:eastAsia="Arial" w:hAnsi="Arial"/>
                <w:sz w:val="14"/>
                <w:szCs w:val="14"/>
                <w:b w:val="1"/>
                <w:bCs w:val="1"/>
                <w:color w:val="auto"/>
                <w:w w:val="92"/>
              </w:rPr>
              <w:t>June 30, 2019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242"/>
              <w:spacing w:after="0"/>
              <w:rPr>
                <w:sz w:val="20"/>
                <w:szCs w:val="20"/>
                <w:color w:val="auto"/>
              </w:rPr>
            </w:pPr>
            <w:r>
              <w:rPr>
                <w:rFonts w:ascii="Arial" w:cs="Arial" w:eastAsia="Arial" w:hAnsi="Arial"/>
                <w:sz w:val="18"/>
                <w:szCs w:val="18"/>
                <w:color w:val="auto"/>
              </w:rPr>
              <w:t>1,205</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balance sheet information related to leases:</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26,743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Current operating lease liabilities</w:t>
            </w:r>
          </w:p>
        </w:tc>
        <w:tc>
          <w:tcPr>
            <w:tcW w:w="1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2,631</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1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1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28,952</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1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Operating lease</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discount rate</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Operating lease</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472"/>
        </w:trPr>
        <w:tc>
          <w:tcPr>
            <w:tcW w:w="6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680" w:type="dxa"/>
            <w:vAlign w:val="bottom"/>
            <w:vMerge w:val="restart"/>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668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2019</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2020</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2021</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2022</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2023 and beyond</w:t>
            </w: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260"/>
              <w:spacing w:after="0"/>
              <w:rPr>
                <w:sz w:val="20"/>
                <w:szCs w:val="20"/>
                <w:color w:val="auto"/>
              </w:rPr>
            </w:pPr>
            <w:r>
              <w:rPr>
                <w:rFonts w:ascii="Arial" w:cs="Arial" w:eastAsia="Arial" w:hAnsi="Arial"/>
                <w:sz w:val="18"/>
                <w:szCs w:val="18"/>
                <w:color w:val="auto"/>
              </w:rPr>
              <w:t>Total lease payments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imputed interest</w:t>
            </w:r>
          </w:p>
        </w:tc>
        <w:tc>
          <w:tcPr>
            <w:tcW w:w="1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260"/>
              <w:spacing w:after="0"/>
              <w:rPr>
                <w:sz w:val="20"/>
                <w:szCs w:val="20"/>
                <w:color w:val="auto"/>
              </w:rPr>
            </w:pPr>
            <w:r>
              <w:rPr>
                <w:rFonts w:ascii="Arial" w:cs="Arial" w:eastAsia="Arial" w:hAnsi="Arial"/>
                <w:sz w:val="18"/>
                <w:szCs w:val="18"/>
                <w:color w:val="auto"/>
              </w:rPr>
              <w:t>Present value of lease liabilities</w:t>
            </w: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 Expense</w:t>
      </w:r>
    </w:p>
    <w:p>
      <w:pPr>
        <w:spacing w:after="0" w:line="17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recorded income tax expense of $0 and $1.8 million during the three months ended June 30, 2019 and 2018, respectively and $6,000 income tax benefit and $2.9 million income tax expense for the six months ended June 30, 2019 and 2018, respectively. The income tax expense during the three and six months ended June 30, 2018 was generated as a result of a temporary difference in the recognition of revenue under tax and U.S. GAAP authoritative guidance, primarily due to revenue recognition for tax purposes in 2018 of the upfront payments received pursuant to the BMS Amendment entered into in March 2017. The Company’s effective tax rate was 0.0% and (15.3)% for the three months ended June 30, 2019 and 2018, respectively. The Company’s effective tax rate was 0.0% and (11.1)% for the six months ended June 30, 2019 and 2018, respectively. The Company maintains a full valuation allowance against its net deferred tax assets due to the Company’s history of losses as of June 30, 2019</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2018, included in our Annual Report on Forms 10-K as filed with the U.S. Securities and Exchange Commission (“SEC”) on February 27, 2019.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a clinical-stage, oncology-focused biopharmaceutical company with a vision of transforming lives with safer, more effective therapies. We are pioneering a novel class of investigational antibody therapeutics, based on our Probody™ technology platform, for the treatment of cancer. The Probody therapeutic approach is designed to more specifically target antibody therapeutics to the tumor microenvironment and minimize drug activity in healthy tissue and in circulation. We believe this approach has the potential to make meaningful enhancements to the combined efficacy and safety profile of antibody therapeutics, known as the “therapeutic window” and also to enable new targeted therapies. We believe that Probody therapeutics have the potential to create or widen the therapeutic window for certain antibody therapeutics, allowing for the development of new approaches to the treatment of cancer. We are utilizing our Probody Platform to develop a pipeline of potential best-in-class immunotherapies against clinically-validated targets and potential first-in-class therapeutics against novel, difficult to drug targets. Furthermore, we believe the Probody therapeutic approach has the potential to enable safer, more effective combination therapy for cancer.</w:t>
      </w:r>
    </w:p>
    <w:p>
      <w:pPr>
        <w:spacing w:after="0" w:line="8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most advanced product candidate is CX-072, a wholly owned Probody therapeutic targeting programmed cell death ligand 1 (“PD-L1”), a clinically and commercially validated immuno-oncology target. CX-072 is designed to uncouple the anti-cancer activity of PD-L1 inhibitors from the associated autoimmune toxicities by inhibiting PD-L1 in the tumor microenvironment with minimal engagement in healthy tissue. We are currently evaluating CX-072 in a Phase 1/2 study that we call PROCLAIM-CX-072. This study is designed to assess the safety, activity, and translational biology of CX-072 as a single agent and in combination with other anticancer therapies. We disclosed initial clinical proof of concept data on CX-072 at various oncology conferences in 2018 and we disclosed additional clinical safety and efficacy data on CX-072 at a Research and Development Day hosted by CytomX management in February 2019 (the “CytomX R&amp;D Day”), which data was updated in June 2019 at the Annual Meeting of the American Society of Clinical Oncology (ASCO) in Chicago, Illinois.</w:t>
      </w:r>
    </w:p>
    <w:p>
      <w:pPr>
        <w:spacing w:after="0" w:line="8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second most advanced product candidate is CX-2009, a wholly owned Probody Drug Conjugate directed against CD166, a novel drug target. Probody Drug Conjugates are unique, CytomX-designed Probody therapeutic versions of a class of drugs called Antibody Drug Conjugates (ADCs), which are antibodies that have been conjugated to a small molecule cytotoxic agent via a chemical linker. Because our Probody therapeutics are designed to minimize binding of potent anti-cancer therapy to normal tissues, we believe we can address a new class of targets with attractive molecular features that were previously unsuitable because of high expression on normal tissues. CD166 is an example of this kind of target. CD166 is highly and homogenously expressed in multiple different tumors types, which makes it an attractive target for a Probody drug conjugate therapeutic; however, the high expression of CD166 on normal tissues makes this a difficult target to drug with a traditional ADC. CX-2009 is currently in the dose escalation portion of a Phase 1/2 study. We disclosed initial clinical data on CX-2009 at the CytomX R&amp;D Day and additional data at the American Academy of Cancer Research conference in April 2019.</w:t>
      </w:r>
    </w:p>
    <w:p>
      <w:pPr>
        <w:spacing w:after="0" w:line="23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to our wholly owned programs, we have entered into several strategic collaborations with leading oncology-focused pharmaceutical companies, such as AbbVie Inc., through its subsidiary AbbVie Ireland Unlimited Company (“AbbVie”), Amgen, Inc. (“Amgen”) and Bristol-Myers Squibb Company (“BMS”). The most advanced program from our partnerships is a BMS-986249, a CTLA-4 Probody therapeutic, which BMS is currently advancing in a Phase 1/2 clinical trial. BMS is currently preparing to initiate a randomized phase 2 study. We are also treating patients in a Phase 1/2 clinical study for CX-2029, a PDC targeting the novel and highly expressed target, CD71 that we have partnered with AbbVie. We have also extended our Probody platform to the T-cell engaging bispecific modality. Our most advanced program in this modality is an Epidermal Growth Factor Receptor-CD3 (“EGFR-CD3”) T-cell bispecific, which is currently in lead optimization stage, and which we are developing in partnership with Amgen.</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currently conducting clinical trials for three product candidates derived from our Probody platform. Our partner, BMS is conducting a clinical trial for a fourth product candidate derived from our Probody platform. 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$29.0 million and $43.1 million for the three and six months ended June 30, 2019, respectively. As of June 30, 2019 and December 31, 2018, we had an accumulated deficit of $358.1 million and $315.0 million, respectively. We expect to continue to incur significant losses for the foreseeable future.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Regulatory agencies, including the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2019 and beyond.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5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2018. Other than the adoption of ASC 842, Leases, there have been no other material changes to our critical accounting policies and estimates during the three and six months ended June 30, 2019.</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33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January 1, 2019, we adopted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using the modified retrospective approach. We determine if an arrangement is or contains a lease at inception. Operating leases are recorded as operating lease right-of-use (“ROU”) assets and operating lease liabilities in our balance sheet. ROU assets represent our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We use an implicit rate when readily available, or our incremental borrowing rate based on the information available at lease commencement date in determining the present value of lease payments. The operating lease ROU assets also include any lease prepayments made and exclude lease incentives. Our lease terms may include options to extend the lease when it is reasonably certain that such option will be exercised. Lease expenses are recognized on a straight-line basis over the lease term. Our operating lease arrangement includes lease and non-lease components which are generally accounted for separately. See Note 9, Lease.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BMS and Pfizer for research and development costs incurred under our research, collaboration and license agreements with them are classified as revenue.</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BMS, ImmunoGen and any other collaboration partners, and as a result of the fluctuations in the research and development expenses we incur in the performance of assigned activities under these agreements.</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AbbVie, one of our collaboration partners, entered into a license agreement with Seattle Genetics,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9" w:name="page30"/>
    <w:bookmarkEnd w:id="29"/>
    <w:p>
      <w:pPr>
        <w:spacing w:after="0" w:line="269" w:lineRule="auto"/>
        <w:rPr>
          <w:sz w:val="20"/>
          <w:szCs w:val="20"/>
          <w:color w:val="auto"/>
        </w:rPr>
      </w:pPr>
      <w:r>
        <w:rPr>
          <w:rFonts w:ascii="Arial" w:cs="Arial" w:eastAsia="Arial" w:hAnsi="Arial"/>
          <w:sz w:val="17"/>
          <w:szCs w:val="17"/>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For example, we commenced enrollment of our Phase 1/2 clinical trial of CX-072, our candidate directed against PD-L1, for cancer and treated our first patient in January 2017, and our Phase 1/2 clinical trial of CX-2009, our PDC candidate directed against CD-166, for cancer and treated our first patient in June 2017. In June 2018, we commenced enrollment of our Phase 1/2 clinical trial for CX-2029, our CD71 Probody Drug Conjugate being developed in collaboration with AbbVie.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Securities and Exchange Commission (the “SEC”) and the Sarbanes-Oxley Act of 2002 and those of any national securities exchange on which our securities are traded, additional insurance expenses, investor relations activities and other administrative and professional services. We also expect to increase our administrative headcount to operate as a public company and as we advance our product candidates through clinical development, which will also increase our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short-term investments, and accretion of discounts or amortization of premiums on our short-term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expense consists primarily of changes to currency exchange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22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and Six Months Ended June 30, 2019 and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2"/>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2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3"/>
          </w:tcPr>
          <w:p>
            <w:pPr>
              <w:jc w:val="right"/>
              <w:ind w:right="622"/>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3"/>
          </w:tcPr>
          <w:p>
            <w:pPr>
              <w:jc w:val="right"/>
              <w:ind w:right="622"/>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(12,325)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38,498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35,522</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2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17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(9,381)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13,434</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(9,104)</w:t>
            </w: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Amgen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(1,375)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(1,595)</w:t>
            </w: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BMS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16,501</w:t>
            </w:r>
          </w:p>
        </w:tc>
        <w:tc>
          <w:tcPr>
            <w:tcW w:w="100" w:type="dxa"/>
            <w:vAlign w:val="bottom"/>
            <w:shd w:val="clear" w:color="auto" w:fill="CFF0FC"/>
          </w:tcPr>
          <w:p>
            <w:pPr>
              <w:spacing w:after="0"/>
              <w:rPr>
                <w:sz w:val="19"/>
                <w:szCs w:val="19"/>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ImmunoGen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(1,471)</w:t>
            </w: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Pfizer</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(1,355)</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 Revenue</w:t>
            </w: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21,338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38,498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revenue of $12.3 million for the three months ended June 30, 2019 compared to the corresponding period in 2018 was primarily due to the $21 million milestone payment (net of the associated sublicense fee of $4 million) earned in May 2018 under the CD71 Co-Development and Licensing Agreement with AbbVie (the “CD71 Agreement”), of which $9.9 million was recognized in the second quarter of 2018, reflecting the percentage completed-to-date of the project related to this milestone.</w:t>
      </w:r>
    </w:p>
    <w:p>
      <w:pPr>
        <w:spacing w:after="0" w:line="18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increase in revenue of $3.0 million for the six months ended June 30, 2019 compared to the corresponding period in 2018 was primarily due to the accelerated recognition of revenue of $17.4 million related to the termination of certain targets under our Collaboration and License Agreement with BMS (the “BMS Agreement”) in the first quarter of 2019, which amount was partially offset by a decrease in revenue from AbbVie related to the $21 million milestone payment (net of the associated sublicense fee of $4 million) earned in May 2018 under the CD71 Agreement with AbbVie, of which $9.9 million was recognized in the second quarter of 2018, as well as decreases in revenue from Amgen, ImmunoGen and Pfizer.</w:t>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decreases in revenue from Amgen of $1.4 million and $1.6 million for the three and six months ended June 30, 2019, respectively, compared to the corresponding periods in 2018 were due to lower percentages of completion progression in 2019 as a result of the change in estimate of the related project costs and research service period during the current periods.</w:t>
      </w:r>
    </w:p>
    <w:p>
      <w:pPr>
        <w:spacing w:after="0" w:line="22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decreases in revenue from ImmunoGen of $0.7 million and $1.5 million for the three and six months ended June 30, 2019, respectively, compared to the corresponding periods in 2018 were due to the completion of the related research term in June 2018 under our Research Collaboration Agreement with Immunogen (the “Immunogen Research Agreement”).</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decrease in revenue from Pfizer of $1.3 million for the six months ended June 30, 2019 compared to the corresponding period in 2018 was due to termination of our Research Collaboration, Option and License Agreement with Pfizer Inc. in March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502"/>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502"/>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30,835</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67,211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48,011</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19,200</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Research and development expenses increased $5.3 million during the three months ended June 30, 2019 compared to the corresponding period in 2018. The increase was attributable to an increase of $3.4 million associated with entering into the amendment to the license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ind w:right="40"/>
        <w:spacing w:after="0" w:line="291" w:lineRule="auto"/>
        <w:rPr>
          <w:sz w:val="20"/>
          <w:szCs w:val="20"/>
          <w:color w:val="auto"/>
        </w:rPr>
      </w:pPr>
      <w:r>
        <w:rPr>
          <w:rFonts w:ascii="Arial" w:cs="Arial" w:eastAsia="Arial" w:hAnsi="Arial"/>
          <w:sz w:val="16"/>
          <w:szCs w:val="16"/>
          <w:color w:val="auto"/>
        </w:rPr>
        <w:t>agreement with UCSB (the “UCSB Agreement”) in the second quarter of 2019 (“Amendment No.3”) (representing the 150,000 shares of common stock issued for $1.6 million, the upfront payment of $1.0 million and the additional annual maintenance fee of $0.8 million); an increase of $0.8 million sublicense expense pertaining to the $10.0 million milestone payment earned upon AbbVie’s selection of the second target in the second quarter of 2019 under the Amended and Restated Discovery Collaboration and License Agreement (as amended, the “Discovery Agreement”); an increase of $2.4 million in personnel-related expenses due to an increase in headcount; an increase of $0.5 million in clinical related expenses resulting from increased clinical trial activities and an increase of $0.7 million in the allocation of information technology and facilities related expenses resulting from an increase in headcount; which amounts were partially offset by a decrease of $2.3 million in laboratory contracts and services as a result of timing of manufacturing activities.</w:t>
      </w:r>
    </w:p>
    <w:p>
      <w:pPr>
        <w:spacing w:after="0" w:line="16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Research and development expenses increased $19.2 million during the six months ended June 30, 2019 compared to the corresponding period in 2018. The increase was attributable to a $5.0 million charge relating to the acquisition of technical know-how related to drug conjugate linker-toxin and CD3-based bispecific technologies during the first quarter of 2019, an increase of $5.9 million in personnel-related expenses due to an increase in headcount, an increase of $3.4 million associated with entering into Amendment No.3 to the UCSB Agreement in the second quarter of 2019; an increase of $2.4 million in clinical related expenses resulting from increased clinical trial activities; an increase of $1.5 million in the allocation of information technology and facilities related expenses resulting from an increase in headcount and an increase of $0.7 million in laboratory supplies expenses.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ectPr>
          <w:pgSz w:w="11900" w:h="16838" w:orient="portrait"/>
          <w:cols w:equalWidth="0" w:num="1">
            <w:col w:w="11420"/>
          </w:cols>
          <w:pgMar w:left="240" w:top="341" w:right="239" w:bottom="1440" w:gutter="0" w:footer="0" w:header="0"/>
        </w:sectPr>
      </w:pPr>
    </w:p>
    <w:p>
      <w:pPr>
        <w:spacing w:after="0" w:line="298"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6350</wp:posOffset>
            </wp:positionV>
            <wp:extent cx="20066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06600" cy="8890"/>
                    </a:xfrm>
                    <a:prstGeom prst="rect">
                      <a:avLst/>
                    </a:prstGeom>
                    <a:noFill/>
                  </pic:spPr>
                </pic:pic>
              </a:graphicData>
            </a:graphic>
          </wp:anchor>
        </w:drawing>
      </w:r>
    </w:p>
    <w:p>
      <w:pPr>
        <w:spacing w:after="0" w:line="5" w:lineRule="exact"/>
        <w:rPr>
          <w:sz w:val="20"/>
          <w:szCs w:val="20"/>
          <w:color w:val="auto"/>
        </w:rPr>
      </w:pPr>
    </w:p>
    <w:p>
      <w:pPr>
        <w:ind w:left="5080"/>
        <w:spacing w:after="0"/>
        <w:tabs>
          <w:tab w:leader="none" w:pos="6180" w:val="left"/>
          <w:tab w:leader="none" w:pos="72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6350</wp:posOffset>
            </wp:positionV>
            <wp:extent cx="2023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 w:lineRule="exact"/>
        <w:rPr>
          <w:sz w:val="20"/>
          <w:szCs w:val="20"/>
          <w:color w:val="auto"/>
        </w:rPr>
      </w:pPr>
    </w:p>
    <w:p>
      <w:pPr>
        <w:spacing w:after="0"/>
        <w:tabs>
          <w:tab w:leader="none" w:pos="1100" w:val="left"/>
          <w:tab w:leader="none" w:pos="21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Change</w:t>
      </w:r>
    </w:p>
    <w:p>
      <w:pPr>
        <w:spacing w:after="0" w:line="1" w:lineRule="exact"/>
        <w:rPr>
          <w:sz w:val="20"/>
          <w:szCs w:val="20"/>
          <w:color w:val="auto"/>
        </w:rPr>
      </w:pPr>
    </w:p>
    <w:p>
      <w:pPr>
        <w:sectPr>
          <w:pgSz w:w="11900" w:h="16838" w:orient="portrait"/>
          <w:cols w:equalWidth="0" w:num="2">
            <w:col w:w="7720" w:space="700"/>
            <w:col w:w="300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External costs incurred by product candidate (target):</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CX-072 (PD-L1)</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12,305</w:t>
            </w:r>
          </w:p>
        </w:tc>
        <w:tc>
          <w:tcPr>
            <w:tcW w:w="46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CX-2009 (CD166)</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(2,488)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CX-2029 (CD71)</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Other wholly owned and partnered programs</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(1,999)</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General research and development expenses</w:t>
            </w: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9,446</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42,987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Internal Costs</w:t>
            </w: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8,472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24,224</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16,711</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260"/>
              <w:spacing w:after="0"/>
              <w:rPr>
                <w:sz w:val="20"/>
                <w:szCs w:val="20"/>
                <w:color w:val="auto"/>
              </w:rPr>
            </w:pPr>
            <w:r>
              <w:rPr>
                <w:rFonts w:ascii="Arial" w:cs="Arial" w:eastAsia="Arial" w:hAnsi="Arial"/>
                <w:sz w:val="18"/>
                <w:szCs w:val="18"/>
                <w:b w:val="1"/>
                <w:bCs w:val="1"/>
                <w:color w:val="auto"/>
              </w:rPr>
              <w:t>Total research and development expenses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25,553</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19,200</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32" w:name="page33"/>
    <w:bookmarkEnd w:id="32"/>
    <w:p>
      <w:pPr>
        <w:ind w:right="80"/>
        <w:spacing w:after="0" w:line="289" w:lineRule="auto"/>
        <w:rPr>
          <w:sz w:val="20"/>
          <w:szCs w:val="20"/>
          <w:color w:val="auto"/>
        </w:rPr>
      </w:pPr>
      <w:r>
        <w:rPr>
          <w:rFonts w:ascii="Arial" w:cs="Arial" w:eastAsia="Arial" w:hAnsi="Arial"/>
          <w:sz w:val="16"/>
          <w:szCs w:val="16"/>
          <w:color w:val="auto"/>
        </w:rPr>
        <w:t>The increase in CX-072 expenses for the three months ended June 30, 2019 compared to the corresponding period of 2018 was primarily due to $1.4 million in expenses pertaining to the start-up study costs for a planned clinical trial of CX-072. The decrease in CX-2009 expenses for the three months ended June 30, 2019 compared to the corresponding period of 2018 was primarily due to more drug production runs in 2018 in preparation for significant progression of CX-2009 clinical study trial activities. The decrease in “Other wholly owned and partnered programs” for the three months ended June 30, 2019 compared to the corresponding period of 2018 was primarily due to reduced costs relating to CX-188 following our indefinite postponement of further development of such program at the end of 2018. The increase in general research and development expenses for the three months ended June 30, 2019 compared to the corresponding period of 2018 was primarily due to the $3.4 million associated with entering into Amendment No.3 to the UCSB Agreement in the second quarter of 2019. The increase in internal costs for the three months ended June 30, 2019 was primarily due to increase in personnel-related expenses and allocation of information technology and facilities-related expenses resulting from an increase in headcount.</w:t>
      </w:r>
    </w:p>
    <w:p>
      <w:pPr>
        <w:spacing w:after="0" w:line="2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increases in CX-072, CX-2009 and CX-2029 costs for the six months ended June 30, 2019 compared to the corresponding period of 2018 was due primarily to increases in laboratory contracts and services and clinical trial expenses. The decrease in “Other wholly owned and partnered programs” for the six months ended June 30, 2019 compared to the corresponding period of 2018 was primarily due to reduced costs relating to CX-188 following our indefinite postponement of further development of such program at the end of 2018. The increase in general research and development expenses for the six months ended June 30, 2019 compared to the corresponding period of 2018 was primarily due to a $5.0 million charge relating to the acquisition of technical know-how during the first quarter of 2019, and the $3.4 million associated with entering into Amendment No.3 to the UCSB Agreement in the second quarter of 2019. The increase in internal costs for the six months ended June 30, 2019 was primarily due to increase in personnel-related expenses and allocation of information technology and facilities-related expenses resulting from an increase in headcount.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502"/>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502"/>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9,411</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19,085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16,398</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 and administrative expenses increased by $0.4 million during the three months ended June 30, 2019 compared to the corresponding period in 2018. The increase was attributable to an increase of $1.0 million in personnel-related expenses due to an increase in headcount; an increase of $0.3 million for dues and subscriptions primarily related to software and other IT services and an increase of $0.2 million in legal, tax and audit activities in the three months ended June 30, 2019; which amounts were partially offset by a decrease of $0.5 million in consulting and contract services, and a decrease of $0.7 million through increased expense allocation of information technology and facilities-related expenses to research and development due to an increase in research and development headcount.</w:t>
      </w:r>
    </w:p>
    <w:p>
      <w:pPr>
        <w:spacing w:after="0" w:line="26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General and administrative expenses increased by $2.7 million during the six months ended June 30, 2019 compared to the corresponding period in 2018. The increase was attributable to an increase of $2.8 million in personnel-related expense due to an increase in headcount; an increase of $0.9 million in consulting and professional services primarily due to an increase in tax and audit activities in the first quarter of 2019 and an increase of $0.5 million in dues and subscriptions expenses; which amounts were partially offset by a decrease of $1.5 million through increased expense allocations for information technology and facilities-related expenses to research and development due to an increase in research and development headcount.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4"/>
          </w:tcPr>
          <w:p>
            <w:pPr>
              <w:jc w:val="right"/>
              <w:ind w:right="497"/>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497"/>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88"/>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and other income</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8"/>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Interest income increased $0.8 million and $1.9 million during the three and six months ended June 30, 2019, respectively, compared to the corresponding periods in 2018. The increase was primarily attributable to an increase in interest income earned on our short-term investments due to an overall increase in our cash and cash equivalents position resulting from the common stock offering completed in July 2018.</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Other expense increased $0.2 million and $0.1 million during the three and six months ended June 30, 2019, respectively, compared to the corresponding periods in 2018. The increase was primarily attributable to an increase in foreign currency losses resulting from the weakening of the U.S. dollar against the Euro and British Pound Sterling.</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40" w:type="dxa"/>
            <w:vAlign w:val="bottom"/>
            <w:gridSpan w:val="3"/>
          </w:tcPr>
          <w:p>
            <w:pPr>
              <w:jc w:val="center"/>
              <w:ind w:left="11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2"/>
              <w:spacing w:after="0" w:line="155"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502"/>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580" w:type="dxa"/>
            <w:vAlign w:val="bottom"/>
            <w:gridSpan w:val="2"/>
            <w:shd w:val="clear" w:color="auto" w:fill="CFF0FC"/>
          </w:tcPr>
          <w:p>
            <w:pPr>
              <w:jc w:val="right"/>
              <w:ind w:right="5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(1,791)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(2,895)</w:t>
            </w:r>
          </w:p>
        </w:tc>
      </w:tr>
    </w:tbl>
    <w:p>
      <w:pPr>
        <w:spacing w:after="0" w:line="200" w:lineRule="exact"/>
        <w:rPr>
          <w:sz w:val="20"/>
          <w:szCs w:val="20"/>
          <w:color w:val="auto"/>
        </w:rPr>
      </w:pPr>
    </w:p>
    <w:p>
      <w:pPr>
        <w:spacing w:after="0" w:line="21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Provision for income taxes decreased by $1.8 million during the three months ended June 30, 2019 compared to the corresponding period in 2018. There was no income tax provision for the three months ended June 30, 2019 as we were in a taxable loss position and we had minimal changes in our unrealized gain on the available for sale debt securities. The income tax expense of $1.8 million for the corresponding period in 2018 was generated as a result of a temporary difference in the recognition of revenue under tax and U.S. GAAP authoritative guidance, primarily due to revenue recognition for tax purposes in 2018 of the upfront payments received pursuant to the amendment to the BMS Agreement entered into in March 2017 (the “BMS Agreement”).</w:t>
      </w:r>
    </w:p>
    <w:p>
      <w:pPr>
        <w:spacing w:after="0" w:line="1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Provision for income taxes decreased by $2.9 million during the six months ended June 30, 2019 compared to the corresponding period in 2018. The income tax benefit of $6,000 for the six months ended June 30, 2019 resulted from an unrealized gain on the available for sale securities recorded in other comprehensive income during the six months ended June 30, 2019. The income tax expense of $2.9 million for the corresponding period in 2018 was generated as a result of a temporary difference in the recognition of revenue under tax and U.S. GAAP authoritative guidance, primarily due to revenue recognition for tax purposes in 2018 of the upfront payments received pursuant to the BMS Amendment entered into in March 2017.</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June 30, 2019, we had cash, cash equivalents and short-term investments of $349.1 million and an accumulated deficit of $358.1 million, compared to cash, cash equivalents and short-term investments of $436.1 million and an accumulated deficit of $315.0 million as of December 31, 2018. To date, we have financed our operations primarily through sales of our common stock in conjunction with the IPO and a subsequent stock offering, sales of our convertible preferred securities prior to our IPO and payments received under our collaboration agreements. In July 2018, we issued 5,867,347 shares of our common stock at a price of $24.50 per share, which included 765,306 shares issued pursuant to the underwriters’ exercise of their option to purchase additional shares of common stock, for net proceeds of $134.6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34" w:name="page35"/>
    <w:bookmarkEnd w:id="34"/>
    <w:p>
      <w:pPr>
        <w:spacing w:after="0" w:line="269" w:lineRule="auto"/>
        <w:rPr>
          <w:sz w:val="20"/>
          <w:szCs w:val="20"/>
          <w:color w:val="auto"/>
        </w:rPr>
      </w:pPr>
      <w:r>
        <w:rPr>
          <w:rFonts w:ascii="Arial" w:cs="Arial" w:eastAsia="Arial" w:hAnsi="Arial"/>
          <w:sz w:val="17"/>
          <w:szCs w:val="17"/>
          <w:color w:val="auto"/>
        </w:rPr>
        <w:t>Based upon our current operating plan, we expect our existing capital resources will be sufficient to fund operations into 2021.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CX-072, CX-2009 and CX-2029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a more promising product candidate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Six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39"/>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(87,682)</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(41,228)</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(11,666)</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(6,736)</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3,324</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(98,185)</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(44,640)</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During the six months ended June 30, 2019, cash used in operating activities was $87.7 million, which consisted of a net loss of $43.1 million, adjusted by non-cash charges of $12.2 million and a net decrease of $56.8 million relating to the change in our net operating assets and liabilities. The non-cash charges primarily consist of $10.6 million in stock-based compensation; $1.6 million of common stock issued in connection with our entry into Amendment No.3 to the UCSB Agreement and $1.3 million in depreciation and amortization expense; partially offset by $1.4 million in accretion of discounts on our short-term investments. The change in our net operating assets and liabilities was primarily due to: (a) a decrease of $28.5 million in deferred revenue resulting from the accelerated recognition of revenue of $17.4 million related to the termination of certain targets under the BMS Agreement in the first quarter of 2019 and continued recognition of other deferred revenue from existing customers, partially offset by the additional $10.0 million milestone payment due from AbbVie in June 2019, which payment was triggered by its selection of the second target under the Discovery Agreement; (b) a decrease of $20.1 million in accrued liabilities and income tax payable due to payment of $13.7 million for our 2018 estimated income tax liability, $2.9 million in sublicense fee and $3.5 million in other liabilities during the six months ended June 30, 2019; and (c) a decrease in cash flows of $9.9 million from accounts receivable primarily related to the $10.0 million milestone payment due from AbbVie upon its selection of the second target in June 2019. These decreases were partially offset by an increase of $1.7 million in cash flows resulting from the decrease in prepaid expenses and other current assets.</w:t>
      </w:r>
    </w:p>
    <w:p>
      <w:pPr>
        <w:spacing w:after="0" w:line="3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six months ended June 30, 2018, cash used in operating activities was $41.2 million, which consisted of a net loss of $28.9 million, adjusted by non-cash charges of $8.1 million and a net decrease of $20.4 million in our net operating assets. The non-cash charges primarily consisted of $7.8 million in stock-based compensation; $0.9 million in depreciation and amortization expense, partially offset by $0.6 million in accretion of discounts on our short-term investments. The change in our net operating assets and liabilities was primarily attributable to: (a) a net decrease in deferred revenue of $14.3 million resulting from the recognition of $35.3 million in upfront fees and milestone payments under ASC 606 pursuant to our collaboration agreements, offset by the $21.0 million (net of the associated sublicense fee of $4.0 million) of adjustment to deferred revenue resulting from the AbbVie CD71 milestone payment earned; (b) a net decrease in accounts receivable of $15.0 million resulting from the $25.0 million of billing to AbbVie for the CD71 milestone payment earned, offset by $10.0 million from the payment we received from BMS for the IND filing of BMS-986249; and (c) a decrease of $1.9 million in prepaid expenses and other current assets. These decreases were partially offset by an increase in accrued liabilities, income tax payable and other long-term liabilities of $11.3 million resulting primarily from an increase in income tax liability.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six months ended June 30, 2019, cash used in investing activities was $11.7 million, which consisted of $101.6 million used in the purchase of short-term investments and $2.2 million of capital expenditures used to purchase property and equipment. Such uses were partially offset by $92.1 million in proceeds received upon the maturity of marketable securities.</w:t>
      </w:r>
    </w:p>
    <w:p>
      <w:pPr>
        <w:spacing w:after="0" w:line="7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the six months ended June 30, 2018, cash used in investing activities was $6.7 million, which consisted of $99.6 million used in purchases of short-term investments and $1.6 million of capital expenditures used to purchase property and equipment. Such decrease was partially offset by $94.5 million in proceeds received upon the maturity of marketable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six months ended June 30, 2019 and 2018, cash provided by financing activities primarily consisted of proceeds from the exercise of stock options and employee stock purchases under the employee stock purchase plan.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Following our entry into Amendment No. 3 to the UCSB Agreement in April 2019, we are obligated to pay an additional annual license maintenance fee of $750,000 from April 2019 through 2031. See Part I- Item 1. Notes to Condensed Financial Statements, Note 7 for further details.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200" w:lineRule="exact"/>
        <w:rPr>
          <w:sz w:val="20"/>
          <w:szCs w:val="20"/>
          <w:color w:val="auto"/>
        </w:rPr>
      </w:pPr>
    </w:p>
    <w:p>
      <w:pPr>
        <w:spacing w:after="0" w:line="26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$349.1 million as of June 30, 2019 and cash, cash equivalents and short-term investments of $436.1 million as of December 31, 2018, which consists of bank deposits, money market funds and U.S. government bonds. Such interest-bearing instruments carry a degree of interest rate risk; however, historical fluctuations of interest income have not been significant.</w:t>
      </w:r>
    </w:p>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June 30, 2019, a hypothetical 100 basis point change in interest rates would not have material effect in the fair value of the portfolio. Any changes would only be realized if we sold the investments prior to maturity.</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spacing w:after="0" w:line="297" w:lineRule="auto"/>
        <w:rPr>
          <w:sz w:val="20"/>
          <w:szCs w:val="20"/>
          <w:color w:val="auto"/>
        </w:rPr>
      </w:pPr>
      <w:r>
        <w:rPr>
          <w:rFonts w:ascii="Arial" w:cs="Arial" w:eastAsia="Arial" w:hAnsi="Arial"/>
          <w:sz w:val="16"/>
          <w:szCs w:val="16"/>
          <w:color w:val="auto"/>
        </w:rPr>
        <w:t xml:space="preserve">Our management, with the participation of our Principal Executive Officer and Principal Financial Officer, has evaluated the effectiveness of our disclosure controls and procedures as of June 30, 2019, the end of the period covered by this Quarterly Report on Form 10-Q. Management’s assessment of internal control over financial reporting was conducted using the criteria defined in the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Based upon such evaluation, our Principal Executive Officer and Principal Financial Officer have concluded that our disclosure controls and procedures were effective at the reasonable assurance level as of such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our most recent fiscal quarter ended June 30, 2019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3"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June 30, 2019 and December 31, 2018, we had an accumulated deficit of $358.1 million and $315.0 million, respectively. Substantially all of our losses have resulted from expenses incurred in connection with our research and development programs and from general and administrative costs associated with our operations.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continue to enroll patients in our ongoing Phase 1/2 clinical trials of CX-072, our candidate directed against PD-L1, CX-2009, our PDC candidate directed against CD-166, CX-2029, and our PDC candidate directed against CD71 in collaboration with AbbVie Inc., and as we advance into later trials and new trials for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83"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8" w:name="page39"/>
    <w:bookmarkEnd w:id="38"/>
    <w:p>
      <w:pPr>
        <w:ind w:right="540"/>
        <w:spacing w:after="0" w:line="277" w:lineRule="auto"/>
        <w:rPr>
          <w:sz w:val="20"/>
          <w:szCs w:val="20"/>
          <w:color w:val="auto"/>
        </w:rPr>
      </w:pPr>
      <w:r>
        <w:rPr>
          <w:rFonts w:ascii="Arial" w:cs="Arial" w:eastAsia="Arial" w:hAnsi="Arial"/>
          <w:sz w:val="18"/>
          <w:szCs w:val="18"/>
          <w:color w:val="auto"/>
        </w:rPr>
        <w:t>candidates and to manufacture and market any products that are approved for commercial sale. In addition, we have incurred and will continue to incur additional costs associated with operating as a public company.</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June 30, 2019, we had $349.1 million in cash, cash equivalents and short-term investments. We believe that our existing capital resources will be sufficient to fund our planned operations into 2021.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continue to enroll patients in our ongoing Phase 1/2 clinical trials of CX-072, CX-2009, and CX-2029, and as we advance into later trials and new trials for other programs.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following regulatory approval and commercial launch of any product candidates.</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amount of payments we may receive or are obligated to pay under our collaboration agreements and license agreements;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Amgen in September 2017.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160"/>
        <w:spacing w:after="0" w:line="264"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is the case with all oncology drugs, our product candidates in clinical development or preclinical development have a high risk of failure. We commenced enrollment of our Phase 1/2 clinical trial of CX-072, our candidate directed against PD-L1, for cancer and treated our first patient in January 2017. We also initiated our Phase 1/2 clinical trial of CX-2009, our PDC candidate directed against CD-166, for cancer in June 2017, and initiated our Phase 1/2 clinical trial of CX-2029, our PDC candidate directed against CD71 in collaboration with AbbVie, for cancer in June 2018. In addition, Bristol-Myers Squibb Company (“BMS”) commenced enrollment of a Phase 1/2 clinical trial for BMS-986249, a Probody therapeutic directed against CTLA-4, in 2018.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and BMS-986249 is subject to finalizing the trial design and filing an IND or similar filing with the FDA or similar foreign regulatory authority.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16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be delayed for a variety of reasons, including delays related to:</w:t>
      </w:r>
    </w:p>
    <w:p>
      <w:pPr>
        <w:spacing w:after="0" w:line="50"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0" w:name="page41"/>
    <w:bookmarkEnd w:id="40"/>
    <w:p>
      <w:pPr>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very early in our development efforts, with only three product candidates, CX-072, CX-2009 and CX-2029, currently in early stage clinical development. In addition, BMS is currently evaluating BMS-986249, a CTLA-4-directed Probody therapeutic in a Phase 1/2 clinical trial that it initiated in January 2018.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9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40" w:right="100" w:hanging="519"/>
        <w:spacing w:after="0" w:line="342"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5" w:lineRule="exact"/>
        <w:rPr>
          <w:rFonts w:ascii="Arial" w:cs="Arial" w:eastAsia="Arial" w:hAnsi="Arial"/>
          <w:sz w:val="16"/>
          <w:szCs w:val="16"/>
          <w:color w:val="auto"/>
        </w:rPr>
      </w:pPr>
    </w:p>
    <w:p>
      <w:pPr>
        <w:ind w:left="1040" w:right="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clinical trials or the clinical trials of our collaborators;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right="60"/>
        <w:spacing w:after="0" w:line="254" w:lineRule="auto"/>
        <w:rPr>
          <w:sz w:val="20"/>
          <w:szCs w:val="20"/>
          <w:color w:val="auto"/>
        </w:rPr>
      </w:pPr>
      <w:r>
        <w:rPr>
          <w:rFonts w:ascii="Arial" w:cs="Arial" w:eastAsia="Arial" w:hAnsi="Arial"/>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30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and CX-2029). For example, in June 2018 we announced initial clinical data on CX-072 at the Annual Meeting of the American Society of Clinical Oncology (“ASCO”) and in February 2019 we announced updated clinical data regarding CX-072 (which data was updated in June 2019 at ASCO) and our first clinical data on CX-2009. While CX-072 has generally been well tolerated to date, there can be no guaranty that unexpected adverse events will not occur later in this trial or in other trials involving our product candidates or the product candidates of our collaborators. The data described at ASCO show that the administration of monotherapy CX-072 was generally well tolerated with the majority of treatment-related adverse events (“TRAEs”) as Grade 1/2. However, Grade 3/4 TRAEs were reported in two patients (neutropenia and thrombocytopenia in a patient with thymic cancer (3 mg/kg) and transaminase elevation in a patient with breast cancer (30 mg/kg)) but both events were successfully managed with therapeutic intervention including steroids and discontinuation of CX-072. In addition, the results showed that the administration of CX-072 in combination with ipilimumab was generally well tolerated with the majority of TRAEs as Grade 1/2. Of the 16 treated patients, five (31%) reported a Grade 3/4 TRAE, a rate similar to that reported previously for 3 mg/kg ipilimumab monotherapy. These events included: Grade 3 colitis (n=1), Grade 3 dyspnea/pneumonitis (n=1), Grade 3 headache/Grade 3 hyponatremia (n=1), and Grade 3 amylase/Grade 4 lipase (n=1). A Grade 3 TRAE in one patient was designated as non-treatment related post data cutoff. A dose limiting toxicity of Grade 3 dyspnea was reported in one patient. On October 22, 2018, we presented follow-up data at the 2018 Annual Meeting of the European Society of Medical Oncology in Munich, Germany. In this presentation, we also disclosed initial data on immune related adverse events (irAE) and infusion related reactions (IRR). Of the 46 patients treated, 3 (7%) developed Grade 3/4 irAEs and 2 (4%) developed Grade 3/4 IRRs. Of the 20 patients treated in the combination with ipilimumab, 2 (10%) developed Grade 3/4 irAEs and 0 (0%) developed Grade 3/4 IRRs.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2019, we announced updated data on the ongoing monotherapy clinical trial for CX-072 focused on our dose expansion cohort of 10</w:t>
      </w:r>
    </w:p>
    <w:p>
      <w:pPr>
        <w:spacing w:after="0" w:line="3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mg/kg. While the safety data we reported at 10 mg/kg is trending toward a similar or better profile than data presented previously, that rate may change with time as more patients are enrolled in the ongoing studies. We also reported at the 10 mg/kg dose an anti-drug antibody (“ADA”) rate of approximately 62%, The rate across all dose levels, including lower dose levels in our trial, is approximately 77% at the data cutoff. We do not believe this ADA is impacting our ability to reach targeted drug exposures. However, we cannot provide assurance that it will not later limit drug exposure or cause severe adverse events.</w:t>
      </w:r>
    </w:p>
    <w:p>
      <w:pPr>
        <w:spacing w:after="0" w:line="16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February 2019, we announced data on the ongoing clinical trial for CX-2009. While CX-2009 has been generally well tolerated to date, 23 / 76 (30.3%) patients experienced a Grade 3/4 TRAE. The most common adverse event observed was ocular toxicity, an anticipated toxicity associated with the DM4 payload. Other Grade 3/4 TRAEs included liver function test abnormalities, gastrointestinal disorders and nervous system disorders.</w:t>
      </w:r>
    </w:p>
    <w:p>
      <w:pPr>
        <w:spacing w:after="0" w:line="20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results of our future clinical trials or the clinical trials of our collaborators could reveal a high and unacceptable severity of adverse side effects and it is possible that patients enrolled in such clinical trials could respond in unexpected ways. For instance, our Phase 1/2 clinical trial of CX-072 is being conducted in patients with advanced cancers, including metastatic or locally advanced unresectable solid tumors or lymphomas, who have failed other approved therapies for their disease, and as such, it may be difficult to establish safety and efficacy in this type of patient population. In addition, certain arms of our clinical trial of CX-072 enroll patients with tumor types that are not known to be responsive to PD-L1 agents and therefore may be less likely to show effectiveness. Because certain PD-1 and PD-L1 agents are already approved for the treatment of some tumor types, we cannot test CX-072 on those tumor types and will not be able to obtain clinical information about how CX-072 acts in these tumors. Comparing safety and efficacy of CX-072 against other PD-L1 or PD-1 antibodies (either in development or in the market) may be difficult since our Phase 1/2 study is enrolling a different patient population than other studies. Furthermore, a portion of our Phase 1/2 clinical trial of CX-072 includes the administration of CX-072 in combination with Yervoy (ipilimumab) or Zelboraf (vemurafenib), which could exacerbate immune system related adverse events, cause increased toxicity or otherwise lead to unexpected adverse events. The Phase 1/2 clinical trial of BMS-986249 being conducted by BMS includes the administration of the product candidate at relatively high dosage levels, which could further exacerbate such risks. In our Phase 1/2 clinical trials of CX-2009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20"/>
        <w:spacing w:after="0" w:line="259" w:lineRule="auto"/>
        <w:rPr>
          <w:sz w:val="20"/>
          <w:szCs w:val="20"/>
          <w:color w:val="auto"/>
        </w:rPr>
      </w:pPr>
      <w:r>
        <w:rPr>
          <w:rFonts w:ascii="Arial" w:cs="Arial" w:eastAsia="Arial" w:hAnsi="Arial"/>
          <w:sz w:val="18"/>
          <w:szCs w:val="18"/>
          <w:color w:val="auto"/>
        </w:rPr>
        <w:t>CX-2029, we are targeting CD-166 and CD71, respectively, targets that are broadly expressed on normal tissue, which could create unacceptable toxicity or fail to result in anti-tumor activity. For instance, CD71, which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event that our clinical trials or the clinical trials of our collaborators reveal these or other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CX-2009, some patients have ceased treatment due to ocular toxicity. While we are using ocular toxicity prophylactic measures in our dose optimization phase,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7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addition, adverse side effects caused by any drugs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8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89"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3" w:name="page44"/>
    <w:bookmarkEnd w:id="43"/>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 of CX-072, which is directed against PD-L1, we are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can be no assurance that patients will choose to enroll in our clinical trial. In addition, any arms of our Phase 1/2 clinical trial of CX-072, CX-2009 or CX-2029 for indications with small population sizes could be particularly difficult to enroll. Furthermore, the part of our Phase 1/2 clinical trial of CX-072 in which patients are treated with the combination of CX-072 and vemurafenib can only enroll those patients who do not have access to MEK inhibitors because the emerging standard of care in jurisdictions where MEK inhibitors are available in combination with a BRAF inhibitor (such as vemurafenib), which may have an impact on enrollment in this part of the trial. Our Phase 1/2 clinical trials of CX-072, CX-2009 and CX-2029 study patients who have one of a select number of specific tumor types rather than patients suffering from any cancer, which may limit the rate of enrollment of the trial. As with the clinical trials of CX-072, our Phase 1/2 clinical trials of CX-2009 and CX-2029 are also competing with hundreds of clinical trials with alternative anti-cancer drugs in a similar class (e.g. antibody drug conjugates), and certain arms of the clinical trial may be difficult to enroll due to the emerging standard of care for such indications in certain jurisdictions, including the United States. Any clinical trials of our product candidates initiated by our collaborators, including BMS’ ongoing Phase 1/2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00" w:lineRule="exact"/>
        <w:rPr>
          <w:sz w:val="20"/>
          <w:szCs w:val="20"/>
          <w:color w:val="auto"/>
        </w:rPr>
      </w:pPr>
    </w:p>
    <w:p>
      <w:pPr>
        <w:spacing w:after="0" w:line="2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Phase 1/2 clinical trials for CX-072, CX-2009 and CX-2029.</w:t>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no direct structural evidence for how masks interact with antibodies. It may take many years before we develop a full understanding of Probody pharmacology, and we may never know precisely how they function in vivo. As with any new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ind w:right="160"/>
        <w:spacing w:after="0" w:line="290" w:lineRule="auto"/>
        <w:rPr>
          <w:sz w:val="20"/>
          <w:szCs w:val="20"/>
          <w:color w:val="auto"/>
        </w:rPr>
      </w:pPr>
      <w:r>
        <w:rPr>
          <w:rFonts w:ascii="Arial" w:cs="Arial" w:eastAsia="Arial" w:hAnsi="Arial"/>
          <w:sz w:val="16"/>
          <w:szCs w:val="16"/>
          <w:color w:val="auto"/>
        </w:rPr>
        <w:t>biologic or product developed on a novel platform, we have a limited understanding of the immunogenicity profile of Probody therapeutics. As a result, our Probody product candidates may trigger immune responses, such as ADA, that may inhibit the ability of the antibody to reach the target tissue, inhibit the ability of the antibody to bind to its target, cause adverse side effects in humans or cause hypersensitivity reactions. For example, we reported in February 2019 that in our ongoing CX-072 trial at the 10 mg/kg dose, the anti-drug antibody (“ADA”) rate was approximately 62%. Across all dose levels, including lower dose levels in our trial, the rate is approximately 77% at the data cutoff. We do not believe ADA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66"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in both healthy and diseased tissues is still developing. As a result, we cannot provide any assurance that we will be able to successfully identify and advance any product candidates to target novel, difficult to drug targets.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2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and BMS-986249) for which there are existing approved therapies, such as approved agents targeting PD-L1, PD-1, or CTLA-4. Market acceptance of our product candidates will depend on, among other factors:</w:t>
      </w:r>
    </w:p>
    <w:p>
      <w:pPr>
        <w:spacing w:after="0" w:line="71"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45" w:name="page46"/>
    <w:bookmarkEnd w:id="45"/>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2013, we have entered into collaborations with AbbVie, Amgen, BMS,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and in January 2019, BMS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1040" w:right="9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BMS, BMS-986249;</w:t>
      </w:r>
    </w:p>
    <w:p>
      <w:pPr>
        <w:spacing w:after="0" w:line="62" w:lineRule="exact"/>
        <w:rPr>
          <w:rFonts w:ascii="Arial" w:cs="Arial" w:eastAsia="Arial" w:hAnsi="Arial"/>
          <w:sz w:val="18"/>
          <w:szCs w:val="18"/>
          <w:color w:val="auto"/>
        </w:rPr>
      </w:pPr>
    </w:p>
    <w:p>
      <w:pPr>
        <w:jc w:val="both"/>
        <w:ind w:left="1040" w:right="40" w:hanging="519"/>
        <w:spacing w:after="0" w:line="286"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57" w:lineRule="exact"/>
        <w:rPr>
          <w:rFonts w:ascii="Arial" w:cs="Arial" w:eastAsia="Arial" w:hAnsi="Arial"/>
          <w:sz w:val="17"/>
          <w:szCs w:val="17"/>
          <w:color w:val="auto"/>
        </w:rPr>
      </w:pPr>
    </w:p>
    <w:p>
      <w:pPr>
        <w:ind w:left="1040" w:right="100" w:hanging="519"/>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designing any clinical trials they operate pursuant to our collaboration agreements, including BMS’ ongoing Phase 1/2 clinical trial of BMS-986249, and may release data from such clinical trials, including with respect to our Probody therapeutics, without consulting us;</w:t>
      </w:r>
    </w:p>
    <w:p>
      <w:pPr>
        <w:spacing w:after="0" w:line="73"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3" w:lineRule="exact"/>
        <w:rPr>
          <w:rFonts w:ascii="Arial" w:cs="Arial" w:eastAsia="Arial" w:hAnsi="Arial"/>
          <w:sz w:val="18"/>
          <w:szCs w:val="18"/>
          <w:color w:val="auto"/>
        </w:rPr>
      </w:pPr>
    </w:p>
    <w:p>
      <w:pPr>
        <w:ind w:left="1040" w:right="100" w:hanging="519"/>
        <w:spacing w:after="0" w:line="264"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left="1040" w:right="220" w:hanging="519"/>
        <w:spacing w:after="0" w:line="264"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40" w:right="20" w:hanging="519"/>
        <w:spacing w:after="0" w:line="34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40" w:right="11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95"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Substantially all of our revenue to date has been derived from our existing collaboration agreements, including, most recently, the Amgen Agreement that we entered into with Amgen in September 2017,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the collaboration agreement we had entered into with them in May 2013, and in January 2019, BMS terminated its programs for three targets it had selected under our agreement with them. Any of the foregoing could result in a change to our business plan and have a material adverse effect on our business, financial condition, results of operations and prospects. If a collaboration is terminated, we would not be eligible to receive the milestone, royalty or other payments that would have been payable under the collaboration agreement.</w:t>
      </w:r>
    </w:p>
    <w:p>
      <w:pPr>
        <w:spacing w:after="0" w:line="2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0"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279"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Since commencing operations, we have entered into several collaboration agreements, including the Amgen Agreement that we entered into with Amgen in September 2017.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3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Because we have no long 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example, for each of CX-072 CX-2009 and CX-2029, our manufacturing supply chain includes several contract manufacturers, and failure by any of these manufacturers could result in interruptions of our clinical studies. We do not own manufacturing facilities for producing such supplies and do not have any long 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have initiated the transfer of the drug substance manufacturing process from ImmunoGen to CMO, where we have an existing relationship and which has expertise in the manufacture of antibody drug conjugates at a clinical and commercial scale. To date, the manufacturing transfer process is still ongoing and has not yet been completed. However, there can be no assurances that we will not experience a disruption to the supply of CX-2009 in connection with such transfer or that the transfer will be successful.</w:t>
      </w:r>
    </w:p>
    <w:p>
      <w:pPr>
        <w:spacing w:after="0" w:line="16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associated with the verification of a new manufacturer could negatively affect our ability to develop product candidates in a timely manner or within budget.</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may prove more challenging than we anticipate to manufacture products that incorporate our Probody therapeutic technology. In order to conduct clinical trials of our product candidates, including our Phase 1/2 clinical trials for CX-072, CX-2009 and CX-2029, we will need to manufacture them in large quantities. To date we have been able to successfully manufacture CX-072, CX-2009 and CX-2029 for our ongoing early stage clinical trials. However, in order to conduct later stage clinical trials of our product candidates, including CX-072, CX-2009 and CX-2029,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and to increase the term of stability for CX-072 drug product for late stage clinical trials and commercialization. However, we may have to start late stage trials with our early clinical trial drug product and switch to late stage or commercial drug product mid trial. In such event, the FDA will require us to complete bridging studies to compare the earlier stage material with late stage or commercial material to assure comparability between the earlier trial material and the late stage or commercial material. Changing formulation and scale up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CX-072 or any of our other product candidates, increase the life of drug stability of CX-072 or such other product candidates, or successfully complete the FDA’s bridging requirements, we may not be able to successfully obtain FDA approval and commercialize CX-072 or such other product candidates in a timely manner or at all.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spacing w:after="0" w:line="289" w:lineRule="auto"/>
        <w:rPr>
          <w:sz w:val="20"/>
          <w:szCs w:val="20"/>
          <w:color w:val="auto"/>
        </w:rPr>
      </w:pPr>
      <w:r>
        <w:rPr>
          <w:rFonts w:ascii="Arial" w:cs="Arial" w:eastAsia="Arial" w:hAnsi="Arial"/>
          <w:sz w:val="16"/>
          <w:szCs w:val="16"/>
          <w:color w:val="auto"/>
        </w:rPr>
        <w:t>Additionally, we were dependent on ImmunoGen under our collaboration for certain steps in the manufacturing of clinical quantities of CX-2009. At the end of 2018, ImmunoGen closed their clinical manufacturing facility in Norwood, Massachusetts, which provided clinical manufacturing support for the CX-2009 program. We have initiated the transfer of the drug substance manufacturing process from ImmunoGen to a contract manufacturer, where we have an existing relationship and with expertise in the manufacture of antibody drug conjugates at a clinical and commercial scale. However, there can be no assurances that we will not experience a disruption to the supply of CX-2009 in connection with such transfer. To date, the manufacturing transfer process is still ongoing and has not yet been completed.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3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6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6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16"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Because we have limited financial and managerial resources, we focus on specific product candidates, including CX-072, CX-2009 and CX-2029.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will need to grow our organization substantially to continue development and pursue the potential commercialization of CX-072, CX-2009 and CX-2029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9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For instance,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6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CX-072, CX-2009 and CX-2029 are approved, they will compete with a range of therapeutic treatments that are either in development or currently marketed. A variety of oncology drugs and therapeutic biologics are currently on the market or in clinical development. The market for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220"/>
        <w:spacing w:after="0" w:line="286" w:lineRule="auto"/>
        <w:rPr>
          <w:sz w:val="20"/>
          <w:szCs w:val="20"/>
          <w:color w:val="auto"/>
        </w:rPr>
      </w:pPr>
      <w:r>
        <w:rPr>
          <w:rFonts w:ascii="Arial" w:cs="Arial" w:eastAsia="Arial" w:hAnsi="Arial"/>
          <w:sz w:val="17"/>
          <w:szCs w:val="17"/>
          <w:color w:val="auto"/>
        </w:rPr>
        <w:t>immunotherapies like CX-072 is, in particular, highly competitive and the field is changing quickly.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66"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We face substantial competition from pharmaceutical companies developing products in immuno-oncology, including companies, such as Amgen, AstraZeneca PLC, BMS, Celgene, GlaxoSmithKline plc, Merck &amp; Co., Inc. Novartis AG, Pfizer, Roche Holding Ltd. and Sanofi SA. Many large and mid-sized biotech companies, including BeiGene, Incyte, Nektar, and Alkermes have ongoing efforts in cancer immunotherapy. Finally, numerous small companies are also working in the space. Several companies, including Akriveia, Amgen, Amunix, BioAtla, Halozyme, Maverick Therapeutics, Pandion Therapeutics, Revitope, Roche, and Seattle Genetics are exploring antibody masking and/or conditional activation strategies, which could compete with our Probody Platform. We are also aware of several companies that are developing ADCs, such as AbbVie, Immunomedics, Pfizer, Roche Holding Ltd. And Takeda. In addition, two mid-sized companies, ImmunoGen and Seattle Genetics, Inc. are also leaders in the development of ADCs and we are aware of numerous small companies with ongoing efforts in this field.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president and chief executive officer, W. Michael Kavanaugh, M.D., our chief scientific officer and Rachel W. Humphrey, M.D., our chief medical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2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ind w:right="40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exposed to significant product liability risks inherent in the development, testing, manufacturing and marketing of therapeutic treatments, including as a result of the clinical testing of CX-072, CX-2009, CX-2029, BMS-986249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ind w:right="20"/>
        <w:spacing w:after="0" w:line="276" w:lineRule="auto"/>
        <w:rPr>
          <w:sz w:val="20"/>
          <w:szCs w:val="20"/>
          <w:color w:val="auto"/>
        </w:rPr>
      </w:pPr>
      <w:r>
        <w:rPr>
          <w:rFonts w:ascii="Arial" w:cs="Arial" w:eastAsia="Arial" w:hAnsi="Arial"/>
          <w:sz w:val="17"/>
          <w:szCs w:val="17"/>
          <w:color w:val="auto"/>
        </w:rPr>
        <w:t>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Cybersecurity breaches could expose us to liability, damage our reputation, compromise our confidential information or otherwise adversely affect our business.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sensitive company data on our computer networks, including our intellectual property and proprietary business information. We face a number of threats to our networks from unauthorized access, security breaches and other system disruptions. Despite our security measures, our infrastructure may be vulnerable to attacks by hackers or other disruptive problems. Any such security breach may compromise information stored on our networks and may result in significant data losses or theft of our intellectual property or proprietary business information. A cybersecurity breach could adversely affect our reputation and could result in other negative consequences, including disruption of our internal operations, increased cyber security protection costs, lost revenues or litigation.</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83"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5" w:name="page56"/>
    <w:bookmarkEnd w:id="55"/>
    <w:p>
      <w:pPr>
        <w:ind w:right="20"/>
        <w:spacing w:after="0" w:line="270" w:lineRule="auto"/>
        <w:rPr>
          <w:sz w:val="20"/>
          <w:szCs w:val="20"/>
          <w:color w:val="auto"/>
        </w:rPr>
      </w:pPr>
      <w:r>
        <w:rPr>
          <w:rFonts w:ascii="Arial" w:cs="Arial" w:eastAsia="Arial" w:hAnsi="Arial"/>
          <w:sz w:val="17"/>
          <w:szCs w:val="17"/>
          <w:color w:val="auto"/>
        </w:rPr>
        <w:t>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1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We have performed an IRC Section 382 analysis and determined there was an ownership change in 2017,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our company.</w:t>
      </w: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34%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3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parties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46" w:lineRule="exact"/>
        <w:rPr>
          <w:sz w:val="20"/>
          <w:szCs w:val="20"/>
          <w:color w:val="auto"/>
        </w:rPr>
      </w:pPr>
    </w:p>
    <w:p>
      <w:pPr>
        <w:ind w:left="1040" w:right="4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7" w:name="page58"/>
    <w:bookmarkEnd w:id="57"/>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17" w:lineRule="exact"/>
        <w:rPr>
          <w:rFonts w:ascii="Arial" w:cs="Arial" w:eastAsia="Arial" w:hAnsi="Arial"/>
          <w:sz w:val="18"/>
          <w:szCs w:val="18"/>
          <w:color w:val="auto"/>
        </w:rPr>
      </w:pPr>
    </w:p>
    <w:p>
      <w:pPr>
        <w:ind w:left="1040" w:right="8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40" w:right="160" w:hanging="519"/>
        <w:spacing w:after="0" w:line="308" w:lineRule="auto"/>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8" w:name="page59"/>
    <w:bookmarkEnd w:id="58"/>
    <w:p>
      <w:pPr>
        <w:ind w:right="20"/>
        <w:spacing w:after="0" w:line="290" w:lineRule="auto"/>
        <w:rPr>
          <w:sz w:val="20"/>
          <w:szCs w:val="20"/>
          <w:color w:val="auto"/>
        </w:rPr>
      </w:pPr>
      <w:r>
        <w:rPr>
          <w:rFonts w:ascii="Arial" w:cs="Arial" w:eastAsia="Arial" w:hAnsi="Arial"/>
          <w:sz w:val="16"/>
          <w:szCs w:val="16"/>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6"/>
          <w:szCs w:val="16"/>
          <w:i w:val="1"/>
          <w:iCs w:val="1"/>
          <w:color w:val="auto"/>
        </w:rPr>
        <w:t>inter alia</w:t>
      </w:r>
      <w:r>
        <w:rPr>
          <w:rFonts w:ascii="Arial" w:cs="Arial" w:eastAsia="Arial" w:hAnsi="Arial"/>
          <w:sz w:val="16"/>
          <w:szCs w:val="16"/>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9" w:name="page60"/>
    <w:bookmarkEnd w:id="59"/>
    <w:p>
      <w:pPr>
        <w:ind w:right="40"/>
        <w:spacing w:after="0" w:line="264"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7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ind w:right="32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8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8" w:lineRule="exact"/>
        <w:rPr>
          <w:sz w:val="20"/>
          <w:szCs w:val="20"/>
          <w:color w:val="auto"/>
        </w:rPr>
      </w:pPr>
    </w:p>
    <w:p>
      <w:pPr>
        <w:jc w:val="both"/>
        <w:ind w:right="20"/>
        <w:spacing w:after="0" w:line="220" w:lineRule="exact"/>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6"/>
          <w:szCs w:val="16"/>
          <w:color w:val="auto"/>
        </w:rPr>
        <w:t>‑</w:t>
      </w:r>
      <w:r>
        <w:rPr>
          <w:rFonts w:ascii="Arial" w:cs="Arial" w:eastAsia="Arial" w:hAnsi="Arial"/>
          <w:sz w:val="16"/>
          <w:szCs w:val="16"/>
          <w:color w:val="auto"/>
        </w:rPr>
        <w:t>executing or may be breached, and we may be forced to bring claims against third parties, or defend claims they may bring against us, to determine the ownership of what we regard as our intellectual property.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1" w:name="page62"/>
    <w:bookmarkEnd w:id="61"/>
    <w:p>
      <w:pPr>
        <w:ind w:right="56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unable or delayed in being able to commercialize our product candidates.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It is possible that none of the product candidates we may develop will obtain the regulatory approvals necessary for us or our existing or future collaborators to begin selling them.</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recent U.S. shutdown in late 2018 or the uncertainty of Great Britain’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8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Because the product candidates we are developing may represent a new class of therapeutic biologics, the FDA and its foreign counterparts have not yet established any definitive policies, practices or guidelines in relation to these product candidates. While we believe the product candidates that we are currently developing are regulated as therapeutic biologics that are subject to requirements for review and approval of a BLA by the FDA’s Center for Drug Evaluation and Research (“CDER”), the FDA could decide to regulate them as drugs that are subject to requirements for review and approval of an NDA by CDER or as biological products that are subject to requirements for review and approval of a BLA by the FDA’s Center for Biologics Evaluation and Research (“CBER”).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2" w:name="page63"/>
    <w:bookmarkEnd w:id="62"/>
    <w:p>
      <w:pPr>
        <w:spacing w:after="0" w:line="272"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strategies (“REMS”) plan as part of an NDA or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4" w:lineRule="exact"/>
        <w:rPr>
          <w:sz w:val="20"/>
          <w:szCs w:val="20"/>
          <w:color w:val="auto"/>
        </w:rPr>
      </w:pPr>
    </w:p>
    <w:p>
      <w:pPr>
        <w:ind w:left="1040" w:right="2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strategic partners;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biologics and to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will be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The current Presidential Administration and U.S. Congress will likely continue to seek to modify, repeal, or otherwise invalidate all, or certain provisions of, the ACA. Since taking office, President Trump has continued to support the repeal of all or portions of the ACA. On October 12, 2017, President Trump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In addition, the Tax Cuts and Jobs Act was enacted, which, among other things, removes penalties for not complying with the Affordable Care Act’s individual mandate to carry health insurance. On January 22, 2018, President Trump signed a continuing resolution on appropriations for fiscal year 2018 that delayed the implementation of certain mandated fees under the Affordable Care Act, including the so-called “Cadillac” tax on certain high cost employer-sponsored insurance plans, the annual fee imposed on certain health insurance providers based on market share, and the medical device excise tax on non-exempt medical devices. Congress may consider other legislation to repeal or replace other elements of the Affordable Care Act. It is uncertain the extent to which any such changes may impact our business or financial condition.</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and, beginning in 2018, CMS will pay for clinical laboratory services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4" w:name="page65"/>
    <w:bookmarkEnd w:id="64"/>
    <w:p>
      <w:pPr>
        <w:spacing w:after="0" w:line="269"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8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1" w:lineRule="exact"/>
        <w:rPr>
          <w:sz w:val="20"/>
          <w:szCs w:val="20"/>
          <w:color w:val="auto"/>
        </w:rPr>
      </w:pPr>
    </w:p>
    <w:p>
      <w:pPr>
        <w:ind w:left="1040" w:right="80" w:hanging="519"/>
        <w:spacing w:after="0" w:line="25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0" w:lineRule="exact"/>
        <w:rPr>
          <w:rFonts w:ascii="Arial" w:cs="Arial" w:eastAsia="Arial" w:hAnsi="Arial"/>
          <w:sz w:val="18"/>
          <w:szCs w:val="18"/>
          <w:color w:val="auto"/>
        </w:rPr>
      </w:pPr>
    </w:p>
    <w:p>
      <w:pPr>
        <w:ind w:left="1040" w:right="40" w:hanging="519"/>
        <w:spacing w:after="0" w:line="255"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5" w:lineRule="exact"/>
        <w:rPr>
          <w:rFonts w:ascii="Arial" w:cs="Arial" w:eastAsia="Arial" w:hAnsi="Arial"/>
          <w:sz w:val="18"/>
          <w:szCs w:val="18"/>
          <w:color w:val="auto"/>
        </w:rPr>
      </w:pPr>
    </w:p>
    <w:p>
      <w:pPr>
        <w:ind w:left="1040" w:right="20" w:hanging="519"/>
        <w:spacing w:after="0" w:line="276"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4" w:lineRule="exact"/>
        <w:rPr>
          <w:rFonts w:ascii="Arial" w:cs="Arial" w:eastAsia="Arial" w:hAnsi="Arial"/>
          <w:sz w:val="17"/>
          <w:szCs w:val="17"/>
          <w:color w:val="auto"/>
        </w:rPr>
      </w:pPr>
    </w:p>
    <w:p>
      <w:pPr>
        <w:ind w:left="1040" w:right="80" w:hanging="519"/>
        <w:spacing w:after="0" w:line="276"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64" w:lineRule="exact"/>
        <w:rPr>
          <w:rFonts w:ascii="Arial" w:cs="Arial" w:eastAsia="Arial" w:hAnsi="Arial"/>
          <w:sz w:val="17"/>
          <w:szCs w:val="17"/>
          <w:color w:val="auto"/>
        </w:rPr>
      </w:pPr>
    </w:p>
    <w:p>
      <w:pPr>
        <w:ind w:left="1040" w:right="60" w:hanging="519"/>
        <w:spacing w:after="0" w:line="25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new EU General Data Protection Regulation (“GDPR”) which came into effect on May 25, 2018 and imposes obligations and restrictions on how we collect and use personal data relating to individuals located in the EU (including health data), and introduces fines of up to 4% total worldwide annual turnover or up to €20 million (whichever is higher) for non-compliance with its requirements. The GDPR also provides that EU member states may make their own further laws and regulations limiting the processing of special categories of personal data such as genetic, biometric or health data;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ind w:left="1040" w:hanging="519"/>
        <w:spacing w:after="0" w:line="276"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64" w:lineRule="exact"/>
        <w:rPr>
          <w:rFonts w:ascii="Arial" w:cs="Arial" w:eastAsia="Arial" w:hAnsi="Arial"/>
          <w:sz w:val="17"/>
          <w:szCs w:val="17"/>
          <w:color w:val="auto"/>
        </w:rPr>
      </w:pPr>
    </w:p>
    <w:p>
      <w:pPr>
        <w:ind w:left="1040" w:right="120" w:hanging="519"/>
        <w:spacing w:after="0" w:line="272"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3"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spacing w:after="0" w:line="269" w:lineRule="auto"/>
        <w:rPr>
          <w:sz w:val="20"/>
          <w:szCs w:val="20"/>
          <w:color w:val="auto"/>
        </w:rPr>
      </w:pPr>
      <w:r>
        <w:rPr>
          <w:rFonts w:ascii="Arial" w:cs="Arial" w:eastAsia="Arial" w:hAnsi="Arial"/>
          <w:sz w:val="17"/>
          <w:szCs w:val="17"/>
          <w:color w:val="auto"/>
        </w:rPr>
        <w:t>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17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7" w:name="page68"/>
    <w:bookmarkEnd w:id="67"/>
    <w:p>
      <w:pPr>
        <w:ind w:right="60"/>
        <w:spacing w:after="0" w:line="257"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8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spacing w:after="0" w:line="289" w:lineRule="auto"/>
        <w:rPr>
          <w:sz w:val="20"/>
          <w:szCs w:val="20"/>
          <w:color w:val="auto"/>
        </w:rPr>
      </w:pPr>
      <w:r>
        <w:rPr>
          <w:rFonts w:ascii="Arial" w:cs="Arial" w:eastAsia="Arial" w:hAnsi="Arial"/>
          <w:sz w:val="16"/>
          <w:szCs w:val="16"/>
          <w:color w:val="auto"/>
        </w:rPr>
        <w:t>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7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can also be eligible for accelerated approval.</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and rescind the breakthrough designation.</w:t>
      </w:r>
    </w:p>
    <w:p>
      <w:pPr>
        <w:spacing w:after="0" w:line="30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for any of our product candidates may not actually lead to a faster development or regulatory review or approval process.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seek Fast Track Designation for some of our product candidates. If a product is intended for the treatment of a serious or life-threatening condition and the product demonstrates the potential to address unmet medical needs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or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spacing w:after="0" w:line="269"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40" w:right="2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stock price is volatile. Since our initial public offering (“IPO”), our stock had high and low sales prices in the range of $9.01 and $35.00 per share. The market price for our common stock may be influenced by many factors, including the other risks described in this section titled “Risk Factors” and the following:</w:t>
      </w:r>
    </w:p>
    <w:p>
      <w:pPr>
        <w:spacing w:after="0" w:line="73"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8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2019, our executive officers, directors, holders of 5% or more of our capital stock based on publicly available filings made with the SEC and their respective affiliates beneficially owned approximately 30%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40" w:right="40" w:hanging="519"/>
        <w:spacing w:after="0" w:line="25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80"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 Based on our market capitalization at June 30, 2018, we ceased to be an emerging growth company at December 31, 2018 and, accordingly, were required to deliver an opinion from our independent registered public accounting firm on the effectiveness of our internal controls over financial reporting in our 2018 Annual Report and will be required to do so for future annual reports.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However, if we are not able to comply with the requirements of Section 404 in a timely manner,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3" w:name="page74"/>
    <w:bookmarkEnd w:id="73"/>
    <w:p>
      <w:pPr>
        <w:ind w:right="260"/>
        <w:spacing w:after="0" w:line="277" w:lineRule="auto"/>
        <w:rPr>
          <w:sz w:val="20"/>
          <w:szCs w:val="20"/>
          <w:color w:val="auto"/>
        </w:rPr>
      </w:pPr>
      <w:r>
        <w:rPr>
          <w:rFonts w:ascii="Arial" w:cs="Arial" w:eastAsia="Arial" w:hAnsi="Arial"/>
          <w:sz w:val="18"/>
          <w:szCs w:val="18"/>
          <w:color w:val="auto"/>
        </w:rPr>
        <w:t>fail to meet our reporting obligations or cause investors to lose confidence in our reported financial information, which could have a negative effect on our stock price.</w:t>
      </w:r>
    </w:p>
    <w:p>
      <w:pPr>
        <w:spacing w:after="0" w:line="2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1"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26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previously disclosed in our Quarterly Report on Form 10-Q for the quarter ended March 31, 2019, filed with the Securities and Exchange Commission on May 9, 2019, on April 2, 2019, we entered into Amendment No.3 to the UCSB Agreement with UCSB to adjust and clarify certain sublicense terms (the “Amendment No.3”). In connection with the entry into Amendment No.3, we issued to UCSB 150,000 shares of CytomX common stock, pursuant to a Securities Issuance Agreement, dated April 2, 2019, by and between CytomX and UCSB. See Part I- Item 1. Notes to Condensed Financial Statements, Note</w:t>
      </w:r>
    </w:p>
    <w:p>
      <w:pPr>
        <w:spacing w:after="0" w:line="2" w:lineRule="exact"/>
        <w:rPr>
          <w:sz w:val="20"/>
          <w:szCs w:val="20"/>
          <w:color w:val="auto"/>
        </w:rPr>
      </w:pPr>
    </w:p>
    <w:p>
      <w:pPr>
        <w:ind w:right="400" w:firstLine="8"/>
        <w:spacing w:after="0" w:line="261"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shares described in the preceding sentence was deemed to be exempt from registration under Section 4(a)(2) of the Securities Act as a transaction by an issuer not involving a public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4" w:name="page75"/>
    <w:bookmarkEnd w:id="74"/>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740" w:type="dxa"/>
            <w:vAlign w:val="bottom"/>
            <w:gridSpan w:val="12"/>
          </w:tcPr>
          <w:p>
            <w:pPr>
              <w:ind w:left="40"/>
              <w:spacing w:after="0"/>
              <w:rPr>
                <w:sz w:val="20"/>
                <w:szCs w:val="20"/>
                <w:color w:val="auto"/>
              </w:rPr>
            </w:pPr>
            <w:r>
              <w:rPr>
                <w:rFonts w:ascii="Arial" w:cs="Arial" w:eastAsia="Arial" w:hAnsi="Arial"/>
                <w:sz w:val="18"/>
                <w:szCs w:val="18"/>
                <w:b w:val="1"/>
                <w:bCs w:val="1"/>
                <w:color w:val="auto"/>
              </w:rPr>
              <w:t>Exhibits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160" w:type="dxa"/>
            <w:vAlign w:val="bottom"/>
            <w:vMerge w:val="restart"/>
          </w:tcPr>
          <w:p>
            <w:pPr>
              <w:jc w:val="center"/>
              <w:ind w:left="474"/>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Incorporated by Reference</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19"/>
        </w:trPr>
        <w:tc>
          <w:tcPr>
            <w:tcW w:w="11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20" w:type="dxa"/>
            <w:vAlign w:val="bottom"/>
            <w:gridSpan w:val="8"/>
            <w:vMerge w:val="restart"/>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vMerge w:val="restart"/>
          </w:tcPr>
          <w:p>
            <w:pPr>
              <w:spacing w:after="0"/>
              <w:rPr>
                <w:sz w:val="10"/>
                <w:szCs w:val="10"/>
                <w:color w:val="auto"/>
              </w:rPr>
            </w:pPr>
          </w:p>
        </w:tc>
        <w:tc>
          <w:tcPr>
            <w:tcW w:w="8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Date</w:t>
            </w:r>
          </w:p>
        </w:tc>
        <w:tc>
          <w:tcPr>
            <w:tcW w:w="40" w:type="dxa"/>
            <w:vAlign w:val="bottom"/>
            <w:vMerge w:val="restart"/>
          </w:tcPr>
          <w:p>
            <w:pPr>
              <w:spacing w:after="0"/>
              <w:rPr>
                <w:sz w:val="10"/>
                <w:szCs w:val="10"/>
                <w:color w:val="auto"/>
              </w:rPr>
            </w:pPr>
          </w:p>
        </w:tc>
        <w:tc>
          <w:tcPr>
            <w:tcW w:w="260" w:type="dxa"/>
            <w:vAlign w:val="bottom"/>
            <w:vMerge w:val="restart"/>
          </w:tcPr>
          <w:p>
            <w:pPr>
              <w:spacing w:after="0"/>
              <w:rPr>
                <w:sz w:val="10"/>
                <w:szCs w:val="10"/>
                <w:color w:val="auto"/>
              </w:rPr>
            </w:pPr>
          </w:p>
        </w:tc>
        <w:tc>
          <w:tcPr>
            <w:tcW w:w="8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jc w:val="center"/>
              <w:ind w:left="474"/>
              <w:spacing w:after="0"/>
              <w:rPr>
                <w:sz w:val="20"/>
                <w:szCs w:val="20"/>
                <w:color w:val="auto"/>
              </w:rPr>
            </w:pPr>
            <w:r>
              <w:rPr>
                <w:rFonts w:ascii="Arial" w:cs="Arial" w:eastAsia="Arial" w:hAnsi="Arial"/>
                <w:sz w:val="14"/>
                <w:szCs w:val="14"/>
                <w:b w:val="1"/>
                <w:bCs w:val="1"/>
                <w:color w:val="auto"/>
                <w:w w:val="98"/>
              </w:rPr>
              <w:t>Number</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8"/>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91"/>
        </w:trPr>
        <w:tc>
          <w:tcPr>
            <w:tcW w:w="1160" w:type="dxa"/>
            <w:vAlign w:val="bottom"/>
          </w:tcPr>
          <w:p>
            <w:pPr>
              <w:jc w:val="center"/>
              <w:ind w:left="614"/>
              <w:spacing w:after="0"/>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40" w:type="dxa"/>
            <w:vAlign w:val="bottom"/>
            <w:gridSpan w:val="10"/>
          </w:tcPr>
          <w:p>
            <w:pPr>
              <w:spacing w:after="0"/>
              <w:rPr>
                <w:rFonts w:ascii="Arial" w:cs="Arial" w:eastAsia="Arial" w:hAnsi="Arial"/>
                <w:sz w:val="18"/>
                <w:szCs w:val="18"/>
                <w:color w:val="0000EE"/>
              </w:rPr>
            </w:pPr>
            <w:hyperlink r:id="rId96">
              <w:r>
                <w:rPr>
                  <w:rFonts w:ascii="Arial" w:cs="Arial" w:eastAsia="Arial" w:hAnsi="Arial"/>
                  <w:sz w:val="18"/>
                  <w:szCs w:val="18"/>
                  <w:color w:val="0000EE"/>
                </w:rPr>
                <w:t>Amended and Restated Certificate of Incorporation.</w:t>
              </w:r>
            </w:hyperlink>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9"/>
              </w:rPr>
              <w:t>8-K</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10/19/2015</w:t>
            </w:r>
          </w:p>
        </w:tc>
        <w:tc>
          <w:tcPr>
            <w:tcW w:w="26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614"/>
              <w:spacing w:after="0"/>
              <w:rPr>
                <w:sz w:val="20"/>
                <w:szCs w:val="20"/>
                <w:color w:val="auto"/>
              </w:rPr>
            </w:pPr>
            <w:r>
              <w:rPr>
                <w:rFonts w:ascii="Arial" w:cs="Arial" w:eastAsia="Arial" w:hAnsi="Arial"/>
                <w:sz w:val="18"/>
                <w:szCs w:val="18"/>
                <w:color w:val="auto"/>
                <w:w w:val="87"/>
              </w:rPr>
              <w:t>3.2</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40" w:type="dxa"/>
            <w:vAlign w:val="bottom"/>
            <w:tcBorders>
              <w:top w:val="single" w:sz="8" w:color="0000EE"/>
            </w:tcBorders>
            <w:gridSpan w:val="4"/>
          </w:tcPr>
          <w:p>
            <w:pPr>
              <w:spacing w:after="0"/>
              <w:rPr>
                <w:rFonts w:ascii="Arial" w:cs="Arial" w:eastAsia="Arial" w:hAnsi="Arial"/>
                <w:sz w:val="18"/>
                <w:szCs w:val="18"/>
                <w:color w:val="0000EE"/>
              </w:rPr>
            </w:pPr>
            <w:hyperlink r:id="rId97">
              <w:r>
                <w:rPr>
                  <w:rFonts w:ascii="Arial" w:cs="Arial" w:eastAsia="Arial" w:hAnsi="Arial"/>
                  <w:sz w:val="18"/>
                  <w:szCs w:val="18"/>
                  <w:color w:val="0000EE"/>
                </w:rPr>
                <w:t>Amended and Restated Bylaws.</w:t>
              </w:r>
            </w:hyperlink>
          </w:p>
        </w:tc>
        <w:tc>
          <w:tcPr>
            <w:tcW w:w="1400" w:type="dxa"/>
            <w:vAlign w:val="bottom"/>
            <w:gridSpan w:val="6"/>
          </w:tcPr>
          <w:p>
            <w:pPr>
              <w:spacing w:after="0"/>
              <w:rPr>
                <w:sz w:val="24"/>
                <w:szCs w:val="24"/>
                <w:color w:val="auto"/>
              </w:rPr>
            </w:pPr>
          </w:p>
        </w:tc>
        <w:tc>
          <w:tcPr>
            <w:tcW w:w="860" w:type="dxa"/>
            <w:vAlign w:val="bottom"/>
          </w:tcPr>
          <w:p>
            <w:pPr>
              <w:jc w:val="center"/>
              <w:ind w:left="294"/>
              <w:spacing w:after="0"/>
              <w:rPr>
                <w:sz w:val="20"/>
                <w:szCs w:val="20"/>
                <w:color w:val="auto"/>
              </w:rPr>
            </w:pPr>
            <w:r>
              <w:rPr>
                <w:rFonts w:ascii="Arial" w:cs="Arial" w:eastAsia="Arial" w:hAnsi="Arial"/>
                <w:sz w:val="18"/>
                <w:szCs w:val="18"/>
                <w:color w:val="auto"/>
                <w:w w:val="99"/>
              </w:rPr>
              <w:t>8-K</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10/19/2015</w:t>
            </w:r>
          </w:p>
        </w:tc>
        <w:tc>
          <w:tcPr>
            <w:tcW w:w="26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jc w:val="center"/>
              <w:ind w:left="614"/>
              <w:spacing w:after="0"/>
              <w:rPr>
                <w:sz w:val="20"/>
                <w:szCs w:val="20"/>
                <w:color w:val="auto"/>
              </w:rPr>
            </w:pPr>
            <w:r>
              <w:rPr>
                <w:rFonts w:ascii="Arial" w:cs="Arial" w:eastAsia="Arial" w:hAnsi="Arial"/>
                <w:sz w:val="18"/>
                <w:szCs w:val="18"/>
                <w:color w:val="auto"/>
                <w:w w:val="87"/>
              </w:rPr>
              <w:t>4.1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40" w:type="dxa"/>
            <w:vAlign w:val="bottom"/>
            <w:gridSpan w:val="10"/>
          </w:tcPr>
          <w:p>
            <w:pPr>
              <w:spacing w:after="0"/>
              <w:rPr>
                <w:sz w:val="20"/>
                <w:szCs w:val="20"/>
                <w:color w:val="auto"/>
              </w:rPr>
            </w:pPr>
            <w:r>
              <w:rPr>
                <w:rFonts w:ascii="Arial" w:cs="Arial" w:eastAsia="Arial" w:hAnsi="Arial"/>
                <w:sz w:val="18"/>
                <w:szCs w:val="18"/>
                <w:color w:val="auto"/>
              </w:rPr>
              <w:t>Reference is made to Exhibits 3.1 through 3.2.</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60" w:type="dxa"/>
            <w:vAlign w:val="bottom"/>
          </w:tcPr>
          <w:p>
            <w:pPr>
              <w:jc w:val="center"/>
              <w:ind w:left="614"/>
              <w:spacing w:after="0"/>
              <w:rPr>
                <w:sz w:val="20"/>
                <w:szCs w:val="20"/>
                <w:color w:val="auto"/>
              </w:rPr>
            </w:pPr>
            <w:r>
              <w:rPr>
                <w:rFonts w:ascii="Arial" w:cs="Arial" w:eastAsia="Arial" w:hAnsi="Arial"/>
                <w:sz w:val="18"/>
                <w:szCs w:val="18"/>
                <w:color w:val="auto"/>
                <w:w w:val="87"/>
              </w:rPr>
              <w:t>4.2</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40" w:type="dxa"/>
            <w:vAlign w:val="bottom"/>
            <w:gridSpan w:val="10"/>
          </w:tcPr>
          <w:p>
            <w:pPr>
              <w:spacing w:after="0"/>
              <w:rPr>
                <w:rFonts w:ascii="Arial" w:cs="Arial" w:eastAsia="Arial" w:hAnsi="Arial"/>
                <w:sz w:val="18"/>
                <w:szCs w:val="18"/>
                <w:color w:val="0000EE"/>
              </w:rPr>
            </w:pPr>
            <w:hyperlink r:id="rId98">
              <w:r>
                <w:rPr>
                  <w:rFonts w:ascii="Arial" w:cs="Arial" w:eastAsia="Arial" w:hAnsi="Arial"/>
                  <w:sz w:val="18"/>
                  <w:szCs w:val="18"/>
                  <w:color w:val="0000EE"/>
                </w:rPr>
                <w:t>Specimen Common Stock Certificate</w:t>
              </w:r>
            </w:hyperlink>
          </w:p>
        </w:tc>
        <w:tc>
          <w:tcPr>
            <w:tcW w:w="860" w:type="dxa"/>
            <w:vAlign w:val="bottom"/>
          </w:tcPr>
          <w:p>
            <w:pPr>
              <w:jc w:val="center"/>
              <w:ind w:left="274"/>
              <w:spacing w:after="0"/>
              <w:rPr>
                <w:sz w:val="20"/>
                <w:szCs w:val="20"/>
                <w:color w:val="auto"/>
              </w:rPr>
            </w:pPr>
            <w:r>
              <w:rPr>
                <w:rFonts w:ascii="Arial" w:cs="Arial" w:eastAsia="Arial" w:hAnsi="Arial"/>
                <w:sz w:val="18"/>
                <w:szCs w:val="18"/>
                <w:color w:val="auto"/>
                <w:w w:val="93"/>
              </w:rPr>
              <w:t>S-1/A</w:t>
            </w:r>
          </w:p>
        </w:tc>
        <w:tc>
          <w:tcPr>
            <w:tcW w:w="1440" w:type="dxa"/>
            <w:vAlign w:val="bottom"/>
            <w:gridSpan w:val="4"/>
          </w:tcPr>
          <w:p>
            <w:pPr>
              <w:jc w:val="right"/>
              <w:ind w:right="40"/>
              <w:spacing w:after="0"/>
              <w:rPr>
                <w:sz w:val="20"/>
                <w:szCs w:val="20"/>
                <w:color w:val="auto"/>
              </w:rPr>
            </w:pPr>
            <w:r>
              <w:rPr>
                <w:rFonts w:ascii="Arial" w:cs="Arial" w:eastAsia="Arial" w:hAnsi="Arial"/>
                <w:sz w:val="18"/>
                <w:szCs w:val="18"/>
                <w:color w:val="auto"/>
              </w:rPr>
              <w:t>9/28/2015</w:t>
            </w:r>
          </w:p>
        </w:tc>
        <w:tc>
          <w:tcPr>
            <w:tcW w:w="260" w:type="dxa"/>
            <w:vAlign w:val="bottom"/>
          </w:tcPr>
          <w:p>
            <w:pPr>
              <w:spacing w:after="0"/>
              <w:rPr>
                <w:sz w:val="24"/>
                <w:szCs w:val="24"/>
                <w:color w:val="auto"/>
              </w:rPr>
            </w:pPr>
          </w:p>
        </w:tc>
        <w:tc>
          <w:tcPr>
            <w:tcW w:w="820" w:type="dxa"/>
            <w:vAlign w:val="bottom"/>
          </w:tcPr>
          <w:p>
            <w:pPr>
              <w:jc w:val="right"/>
              <w:ind w:right="274"/>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left="614"/>
              <w:spacing w:after="0"/>
              <w:rPr>
                <w:sz w:val="20"/>
                <w:szCs w:val="20"/>
                <w:color w:val="auto"/>
              </w:rPr>
            </w:pPr>
            <w:r>
              <w:rPr>
                <w:rFonts w:ascii="Arial" w:cs="Arial" w:eastAsia="Arial" w:hAnsi="Arial"/>
                <w:sz w:val="18"/>
                <w:szCs w:val="18"/>
                <w:color w:val="auto"/>
                <w:w w:val="87"/>
              </w:rPr>
              <w:t>4.3</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tcBorders>
              <w:bottom w:val="single" w:sz="8" w:color="0000EE"/>
            </w:tcBorders>
            <w:gridSpan w:val="7"/>
          </w:tcPr>
          <w:p>
            <w:pPr>
              <w:spacing w:after="0"/>
              <w:rPr>
                <w:rFonts w:ascii="Arial" w:cs="Arial" w:eastAsia="Arial" w:hAnsi="Arial"/>
                <w:sz w:val="18"/>
                <w:szCs w:val="18"/>
                <w:color w:val="0000EE"/>
                <w:w w:val="89"/>
              </w:rPr>
            </w:pPr>
            <w:hyperlink r:id="rId99">
              <w:r>
                <w:rPr>
                  <w:rFonts w:ascii="Arial" w:cs="Arial" w:eastAsia="Arial" w:hAnsi="Arial"/>
                  <w:sz w:val="18"/>
                  <w:szCs w:val="18"/>
                  <w:color w:val="0000EE"/>
                  <w:w w:val="89"/>
                </w:rPr>
                <w:t>Amended and Restated Investors’ Rights Agreement dated as of June</w:t>
              </w:r>
            </w:hyperlink>
          </w:p>
        </w:tc>
        <w:tc>
          <w:tcPr>
            <w:tcW w:w="140" w:type="dxa"/>
            <w:vAlign w:val="bottom"/>
            <w:gridSpan w:val="3"/>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12, 2015, by and among CytomX Therapeutics, Inc. and the investors</w:t>
              </w:r>
            </w:hyperlink>
          </w:p>
        </w:tc>
        <w:tc>
          <w:tcPr>
            <w:tcW w:w="120" w:type="dxa"/>
            <w:vAlign w:val="bottom"/>
            <w:gridSpan w:val="2"/>
          </w:tcPr>
          <w:p>
            <w:pPr>
              <w:spacing w:after="0"/>
              <w:rPr>
                <w:sz w:val="17"/>
                <w:szCs w:val="17"/>
                <w:color w:val="auto"/>
              </w:rPr>
            </w:pPr>
          </w:p>
        </w:tc>
        <w:tc>
          <w:tcPr>
            <w:tcW w:w="860" w:type="dxa"/>
            <w:vAlign w:val="bottom"/>
          </w:tcPr>
          <w:p>
            <w:pPr>
              <w:jc w:val="center"/>
              <w:ind w:left="274"/>
              <w:spacing w:after="0" w:line="196" w:lineRule="exact"/>
              <w:rPr>
                <w:sz w:val="20"/>
                <w:szCs w:val="20"/>
                <w:color w:val="auto"/>
              </w:rPr>
            </w:pPr>
            <w:r>
              <w:rPr>
                <w:rFonts w:ascii="Arial" w:cs="Arial" w:eastAsia="Arial" w:hAnsi="Arial"/>
                <w:sz w:val="18"/>
                <w:szCs w:val="18"/>
                <w:color w:val="auto"/>
                <w:w w:val="92"/>
              </w:rPr>
              <w:t>S-1</w:t>
            </w:r>
          </w:p>
        </w:tc>
        <w:tc>
          <w:tcPr>
            <w:tcW w:w="144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8/28/2015</w:t>
            </w:r>
          </w:p>
        </w:tc>
        <w:tc>
          <w:tcPr>
            <w:tcW w:w="260" w:type="dxa"/>
            <w:vAlign w:val="bottom"/>
          </w:tcPr>
          <w:p>
            <w:pPr>
              <w:spacing w:after="0"/>
              <w:rPr>
                <w:sz w:val="17"/>
                <w:szCs w:val="17"/>
                <w:color w:val="auto"/>
              </w:rPr>
            </w:pPr>
          </w:p>
        </w:tc>
        <w:tc>
          <w:tcPr>
            <w:tcW w:w="820" w:type="dxa"/>
            <w:vAlign w:val="bottom"/>
          </w:tcPr>
          <w:p>
            <w:pPr>
              <w:jc w:val="right"/>
              <w:ind w:right="274"/>
              <w:spacing w:after="0" w:line="196"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named therein.</w:t>
              </w:r>
            </w:hyperlink>
          </w:p>
        </w:tc>
        <w:tc>
          <w:tcPr>
            <w:tcW w:w="406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left="594"/>
              <w:spacing w:after="0"/>
              <w:rPr>
                <w:sz w:val="20"/>
                <w:szCs w:val="20"/>
                <w:color w:val="auto"/>
              </w:rPr>
            </w:pPr>
            <w:r>
              <w:rPr>
                <w:rFonts w:ascii="Arial" w:cs="Arial" w:eastAsia="Arial" w:hAnsi="Arial"/>
                <w:sz w:val="18"/>
                <w:szCs w:val="18"/>
                <w:color w:val="auto"/>
                <w:w w:val="88"/>
              </w:rPr>
              <w:t>10.1†</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40" w:type="dxa"/>
            <w:vAlign w:val="bottom"/>
            <w:gridSpan w:val="1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Amended and Restated Discovery Collaboration and License</w:t>
              </w:r>
            </w:hyperlink>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140" w:type="dxa"/>
            <w:vAlign w:val="bottom"/>
            <w:gridSpan w:val="10"/>
          </w:tcPr>
          <w:p>
            <w:pPr>
              <w:spacing w:after="0" w:line="196"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Agreement, dated as of June 28, 2019, by and between CytomX</w:t>
              </w:r>
            </w:hyperlink>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Therapeutics, Inc., and AbbVie Ireland Unlimited Company.</w:t>
              </w:r>
            </w:hyperlink>
          </w:p>
        </w:tc>
        <w:tc>
          <w:tcPr>
            <w:tcW w:w="200" w:type="dxa"/>
            <w:vAlign w:val="bottom"/>
            <w:tcBorders>
              <w:top w:val="single" w:sz="8" w:color="0000EE"/>
            </w:tcBorders>
          </w:tcPr>
          <w:p>
            <w:pPr>
              <w:spacing w:after="0"/>
              <w:rPr>
                <w:sz w:val="17"/>
                <w:szCs w:val="17"/>
                <w:color w:val="auto"/>
              </w:rPr>
            </w:pPr>
          </w:p>
        </w:tc>
        <w:tc>
          <w:tcPr>
            <w:tcW w:w="54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720" w:type="dxa"/>
        <w:tblCellMar>
          <w:top w:w="0" w:type="dxa"/>
          <w:left w:w="0" w:type="dxa"/>
          <w:bottom w:w="0" w:type="dxa"/>
          <w:right w:w="0" w:type="dxa"/>
        </w:tblCellMar>
      </w:tblPr>
      <w:tr>
        <w:trPr>
          <w:trHeight w:val="207"/>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4"/>
              </w:rPr>
              <w:t>10.2†</w:t>
            </w:r>
          </w:p>
        </w:tc>
        <w:tc>
          <w:tcPr>
            <w:tcW w:w="5080" w:type="dxa"/>
            <w:vAlign w:val="bottom"/>
            <w:gridSpan w:val="9"/>
          </w:tcPr>
          <w:p>
            <w:pPr>
              <w:spacing w:after="0"/>
              <w:rPr>
                <w:rFonts w:ascii="Arial" w:cs="Arial" w:eastAsia="Arial" w:hAnsi="Arial"/>
                <w:sz w:val="18"/>
                <w:szCs w:val="18"/>
                <w:color w:val="0000EE"/>
                <w:w w:val="97"/>
              </w:rPr>
            </w:pPr>
            <w:hyperlink r:id="rId100">
              <w:r>
                <w:rPr>
                  <w:rFonts w:ascii="Arial" w:cs="Arial" w:eastAsia="Arial" w:hAnsi="Arial"/>
                  <w:sz w:val="18"/>
                  <w:szCs w:val="18"/>
                  <w:color w:val="0000EE"/>
                  <w:w w:val="97"/>
                </w:rPr>
                <w:t>Amendment No.3 to Exclusive License Agreement effective as of</w:t>
              </w:r>
            </w:hyperlink>
          </w:p>
        </w:tc>
      </w:tr>
      <w:tr>
        <w:trPr>
          <w:trHeight w:val="20"/>
        </w:trPr>
        <w:tc>
          <w:tcPr>
            <w:tcW w:w="10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80" w:type="dxa"/>
            <w:vAlign w:val="bottom"/>
            <w:gridSpan w:val="9"/>
          </w:tcPr>
          <w:p>
            <w:pPr>
              <w:spacing w:after="0" w:line="196" w:lineRule="exact"/>
              <w:rPr>
                <w:rFonts w:ascii="Arial" w:cs="Arial" w:eastAsia="Arial" w:hAnsi="Arial"/>
                <w:sz w:val="18"/>
                <w:szCs w:val="18"/>
                <w:color w:val="0000EE"/>
                <w:w w:val="96"/>
              </w:rPr>
            </w:pPr>
            <w:hyperlink r:id="rId100">
              <w:r>
                <w:rPr>
                  <w:rFonts w:ascii="Arial" w:cs="Arial" w:eastAsia="Arial" w:hAnsi="Arial"/>
                  <w:sz w:val="18"/>
                  <w:szCs w:val="18"/>
                  <w:color w:val="0000EE"/>
                  <w:w w:val="96"/>
                </w:rPr>
                <w:t>April 2, 2019, by and between CytomX Therapeutics, Inc. and The</w:t>
              </w:r>
            </w:hyperlink>
          </w:p>
        </w:tc>
      </w:tr>
      <w:tr>
        <w:trPr>
          <w:trHeight w:val="196"/>
        </w:trPr>
        <w:tc>
          <w:tcPr>
            <w:tcW w:w="1040" w:type="dxa"/>
            <w:vAlign w:val="bottom"/>
          </w:tcPr>
          <w:p>
            <w:pPr>
              <w:spacing w:after="0"/>
              <w:rPr>
                <w:sz w:val="17"/>
                <w:szCs w:val="17"/>
                <w:color w:val="auto"/>
              </w:rPr>
            </w:pPr>
          </w:p>
        </w:tc>
        <w:tc>
          <w:tcPr>
            <w:tcW w:w="48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Regents of the University of California.</w:t>
              </w:r>
            </w:hyperlink>
          </w:p>
        </w:tc>
        <w:tc>
          <w:tcPr>
            <w:tcW w:w="26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87"/>
              </w:rPr>
              <w:t>10.3</w:t>
            </w:r>
            <w:r>
              <w:rPr>
                <w:rFonts w:ascii="Arial" w:cs="Arial" w:eastAsia="Arial" w:hAnsi="Arial"/>
                <w:sz w:val="15"/>
                <w:szCs w:val="15"/>
                <w:color w:val="auto"/>
                <w:w w:val="87"/>
              </w:rPr>
              <w:t>#</w:t>
            </w:r>
          </w:p>
        </w:tc>
        <w:tc>
          <w:tcPr>
            <w:tcW w:w="5080" w:type="dxa"/>
            <w:vAlign w:val="bottom"/>
            <w:gridSpan w:val="9"/>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Consulting Agreement effective as of May 15, 2019, by and between</w:t>
              </w:r>
            </w:hyperlink>
          </w:p>
        </w:tc>
      </w:tr>
      <w:tr>
        <w:trPr>
          <w:trHeight w:val="196"/>
        </w:trPr>
        <w:tc>
          <w:tcPr>
            <w:tcW w:w="10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CytomX Therapeutics, Inc. and Debanjan Ray.</w:t>
              </w:r>
            </w:hyperlink>
          </w:p>
        </w:tc>
        <w:tc>
          <w:tcPr>
            <w:tcW w:w="158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412"/>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31.1</w:t>
            </w:r>
          </w:p>
        </w:tc>
        <w:tc>
          <w:tcPr>
            <w:tcW w:w="50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72">
              <w:r>
                <w:rPr>
                  <w:rFonts w:ascii="Arial" w:cs="Arial" w:eastAsia="Arial" w:hAnsi="Arial"/>
                  <w:sz w:val="18"/>
                  <w:szCs w:val="18"/>
                  <w:color w:val="0000EE"/>
                  <w:w w:val="92"/>
                </w:rPr>
                <w:t>Certification of Chief Executive Officer required by Rule 13a-14(a) or</w:t>
              </w:r>
            </w:hyperlink>
          </w:p>
        </w:tc>
      </w:tr>
      <w:tr>
        <w:trPr>
          <w:trHeight w:val="196"/>
        </w:trPr>
        <w:tc>
          <w:tcPr>
            <w:tcW w:w="1040" w:type="dxa"/>
            <w:vAlign w:val="bottom"/>
          </w:tcPr>
          <w:p>
            <w:pPr>
              <w:spacing w:after="0"/>
              <w:rPr>
                <w:sz w:val="17"/>
                <w:szCs w:val="17"/>
                <w:color w:val="auto"/>
              </w:rPr>
            </w:pPr>
          </w:p>
        </w:tc>
        <w:tc>
          <w:tcPr>
            <w:tcW w:w="5080" w:type="dxa"/>
            <w:vAlign w:val="bottom"/>
            <w:gridSpan w:val="9"/>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Rule 15d-14(a).</w:t>
              </w:r>
            </w:hyperlink>
          </w:p>
        </w:tc>
      </w:tr>
      <w:tr>
        <w:trPr>
          <w:trHeight w:val="20"/>
        </w:trPr>
        <w:tc>
          <w:tcPr>
            <w:tcW w:w="10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31.2</w:t>
            </w:r>
          </w:p>
        </w:tc>
        <w:tc>
          <w:tcPr>
            <w:tcW w:w="5080" w:type="dxa"/>
            <w:vAlign w:val="bottom"/>
            <w:gridSpan w:val="9"/>
          </w:tcPr>
          <w:p>
            <w:pPr>
              <w:spacing w:after="0"/>
              <w:rPr>
                <w:rFonts w:ascii="Arial" w:cs="Arial" w:eastAsia="Arial" w:hAnsi="Arial"/>
                <w:sz w:val="18"/>
                <w:szCs w:val="18"/>
                <w:color w:val="0000EE"/>
                <w:w w:val="94"/>
              </w:rPr>
            </w:pPr>
            <w:hyperlink w:anchor="page173">
              <w:r>
                <w:rPr>
                  <w:rFonts w:ascii="Arial" w:cs="Arial" w:eastAsia="Arial" w:hAnsi="Arial"/>
                  <w:sz w:val="18"/>
                  <w:szCs w:val="18"/>
                  <w:color w:val="0000EE"/>
                  <w:w w:val="94"/>
                </w:rPr>
                <w:t>Certification of Chief Financial Officer required by Rule 13a-14(a) or</w:t>
              </w:r>
            </w:hyperlink>
          </w:p>
        </w:tc>
      </w:tr>
      <w:tr>
        <w:trPr>
          <w:trHeight w:val="196"/>
        </w:trPr>
        <w:tc>
          <w:tcPr>
            <w:tcW w:w="1040" w:type="dxa"/>
            <w:vAlign w:val="bottom"/>
          </w:tcPr>
          <w:p>
            <w:pPr>
              <w:spacing w:after="0"/>
              <w:rPr>
                <w:sz w:val="17"/>
                <w:szCs w:val="17"/>
                <w:color w:val="auto"/>
              </w:rPr>
            </w:pPr>
          </w:p>
        </w:tc>
        <w:tc>
          <w:tcPr>
            <w:tcW w:w="50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Rule 15d-14(a).</w:t>
              </w:r>
            </w:hyperlink>
          </w:p>
        </w:tc>
        <w:tc>
          <w:tcPr>
            <w:tcW w:w="60" w:type="dxa"/>
            <w:vAlign w:val="bottom"/>
            <w:gridSpan w:val="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550"/>
              <w:spacing w:after="0"/>
              <w:rPr>
                <w:sz w:val="20"/>
                <w:szCs w:val="20"/>
                <w:color w:val="auto"/>
              </w:rPr>
            </w:pPr>
            <w:r>
              <w:rPr>
                <w:rFonts w:ascii="Arial" w:cs="Arial" w:eastAsia="Arial" w:hAnsi="Arial"/>
                <w:sz w:val="18"/>
                <w:szCs w:val="18"/>
                <w:color w:val="auto"/>
                <w:w w:val="90"/>
              </w:rPr>
              <w:t>32.1*</w:t>
            </w:r>
          </w:p>
        </w:tc>
        <w:tc>
          <w:tcPr>
            <w:tcW w:w="50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74">
              <w:r>
                <w:rPr>
                  <w:rFonts w:ascii="Arial" w:cs="Arial" w:eastAsia="Arial" w:hAnsi="Arial"/>
                  <w:sz w:val="18"/>
                  <w:szCs w:val="18"/>
                  <w:color w:val="0000EE"/>
                  <w:w w:val="92"/>
                </w:rPr>
                <w:t>Certification of Chief Executive Officer required by Rule 13a-14(b) or</w:t>
              </w:r>
            </w:hyperlink>
          </w:p>
        </w:tc>
      </w:tr>
      <w:tr>
        <w:trPr>
          <w:trHeight w:val="196"/>
        </w:trPr>
        <w:tc>
          <w:tcPr>
            <w:tcW w:w="1040" w:type="dxa"/>
            <w:vAlign w:val="bottom"/>
          </w:tcPr>
          <w:p>
            <w:pPr>
              <w:spacing w:after="0"/>
              <w:rPr>
                <w:sz w:val="17"/>
                <w:szCs w:val="17"/>
                <w:color w:val="auto"/>
              </w:rPr>
            </w:pPr>
          </w:p>
        </w:tc>
        <w:tc>
          <w:tcPr>
            <w:tcW w:w="47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4">
              <w:r>
                <w:rPr>
                  <w:rFonts w:ascii="Arial" w:cs="Arial" w:eastAsia="Arial" w:hAnsi="Arial"/>
                  <w:sz w:val="18"/>
                  <w:szCs w:val="18"/>
                  <w:color w:val="0000EE"/>
                  <w:w w:val="91"/>
                </w:rPr>
                <w:t>Rule 15d-14(b) and Section 1350 of Chapter 63 of Title 18 of the</w:t>
              </w:r>
            </w:hyperlink>
          </w:p>
        </w:tc>
        <w:tc>
          <w:tcPr>
            <w:tcW w:w="34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80" w:type="dxa"/>
            <w:vAlign w:val="bottom"/>
            <w:gridSpan w:val="9"/>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United States Code (18 U.S.C. §1350).</w:t>
              </w:r>
            </w:hyperlink>
          </w:p>
        </w:tc>
      </w:tr>
      <w:tr>
        <w:trPr>
          <w:trHeight w:val="20"/>
        </w:trPr>
        <w:tc>
          <w:tcPr>
            <w:tcW w:w="10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95"/>
              </w:rPr>
              <w:t>32.2*</w:t>
            </w:r>
          </w:p>
        </w:tc>
        <w:tc>
          <w:tcPr>
            <w:tcW w:w="50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75">
              <w:r>
                <w:rPr>
                  <w:rFonts w:ascii="Arial" w:cs="Arial" w:eastAsia="Arial" w:hAnsi="Arial"/>
                  <w:sz w:val="18"/>
                  <w:szCs w:val="18"/>
                  <w:color w:val="0000EE"/>
                  <w:w w:val="93"/>
                </w:rPr>
                <w:t>Certification of Chief Financial Officer required by Rule 13a-14(b) or</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47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75">
              <w:r>
                <w:rPr>
                  <w:rFonts w:ascii="Arial" w:cs="Arial" w:eastAsia="Arial" w:hAnsi="Arial"/>
                  <w:sz w:val="18"/>
                  <w:szCs w:val="18"/>
                  <w:color w:val="0000EE"/>
                  <w:w w:val="91"/>
                </w:rPr>
                <w:t>Rule 15d-14(b) and Section 1350 of Chapter 63 of Title 18 of the</w:t>
              </w:r>
            </w:hyperlink>
          </w:p>
        </w:tc>
        <w:tc>
          <w:tcPr>
            <w:tcW w:w="34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080" w:type="dxa"/>
            <w:vAlign w:val="bottom"/>
            <w:gridSpan w:val="9"/>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United States Code (18 U.S.C. §1350).</w:t>
              </w:r>
            </w:hyperlink>
          </w:p>
        </w:tc>
      </w:tr>
      <w:tr>
        <w:trPr>
          <w:trHeight w:val="20"/>
        </w:trPr>
        <w:tc>
          <w:tcPr>
            <w:tcW w:w="10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tabs>
          <w:tab w:leader="none" w:pos="840" w:val="left"/>
          <w:tab w:leader="none" w:pos="20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5/9/2019</w:t>
      </w:r>
      <w:r>
        <w:rPr>
          <w:sz w:val="20"/>
          <w:szCs w:val="20"/>
          <w:color w:val="auto"/>
        </w:rPr>
        <w:tab/>
      </w:r>
      <w:r>
        <w:rPr>
          <w:rFonts w:ascii="Arial" w:cs="Arial" w:eastAsia="Arial" w:hAnsi="Arial"/>
          <w:sz w:val="15"/>
          <w:szCs w:val="15"/>
          <w:color w:val="auto"/>
        </w:rPr>
        <w:t>10.6</w:t>
      </w:r>
    </w:p>
    <w:p>
      <w:pPr>
        <w:spacing w:after="0" w:line="200" w:lineRule="exact"/>
        <w:rPr>
          <w:sz w:val="20"/>
          <w:szCs w:val="20"/>
          <w:color w:val="auto"/>
        </w:rPr>
      </w:pPr>
    </w:p>
    <w:p>
      <w:pPr>
        <w:spacing w:after="0" w:line="255" w:lineRule="exact"/>
        <w:rPr>
          <w:sz w:val="20"/>
          <w:szCs w:val="20"/>
          <w:color w:val="auto"/>
        </w:rPr>
      </w:pPr>
    </w:p>
    <w:p>
      <w:pPr>
        <w:spacing w:after="0"/>
        <w:tabs>
          <w:tab w:leader="none" w:pos="840" w:val="left"/>
          <w:tab w:leader="none" w:pos="20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5/9/2019</w:t>
      </w:r>
      <w:r>
        <w:rPr>
          <w:sz w:val="20"/>
          <w:szCs w:val="20"/>
          <w:color w:val="auto"/>
        </w:rPr>
        <w:tab/>
      </w: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sectPr>
          <w:pgSz w:w="11900" w:h="16838" w:orient="portrait"/>
          <w:cols w:equalWidth="0" w:num="3">
            <w:col w:w="6840" w:space="480"/>
            <w:col w:w="2780" w:space="720"/>
            <w:col w:w="600"/>
          </w:cols>
          <w:pgMar w:left="240" w:top="337" w:right="239" w:bottom="1440" w:gutter="0" w:footer="0" w:header="0"/>
          <w:type w:val="continuous"/>
        </w:sectPr>
      </w:pPr>
    </w:p>
    <w:tbl>
      <w:tblPr>
        <w:tblLayout w:type="fixed"/>
        <w:tblInd w:w="580" w:type="dxa"/>
        <w:tblCellMar>
          <w:top w:w="0" w:type="dxa"/>
          <w:left w:w="0" w:type="dxa"/>
          <w:bottom w:w="0" w:type="dxa"/>
          <w:right w:w="0" w:type="dxa"/>
        </w:tblCellMar>
      </w:tblPr>
      <w:tr>
        <w:trPr>
          <w:trHeight w:val="216"/>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5"/>
              </w:rPr>
              <w:t>101.INS</w:t>
            </w:r>
          </w:p>
        </w:tc>
        <w:tc>
          <w:tcPr>
            <w:tcW w:w="7300" w:type="dxa"/>
            <w:vAlign w:val="bottom"/>
          </w:tcPr>
          <w:p>
            <w:pPr>
              <w:ind w:left="240"/>
              <w:spacing w:after="0"/>
              <w:rPr>
                <w:sz w:val="20"/>
                <w:szCs w:val="20"/>
                <w:color w:val="auto"/>
              </w:rPr>
            </w:pPr>
            <w:r>
              <w:rPr>
                <w:rFonts w:ascii="Arial" w:cs="Arial" w:eastAsia="Arial" w:hAnsi="Arial"/>
                <w:sz w:val="18"/>
                <w:szCs w:val="18"/>
                <w:color w:val="auto"/>
              </w:rPr>
              <w:t>XBRL Instance Document – the instance document does not appear in</w:t>
            </w:r>
          </w:p>
        </w:tc>
        <w:tc>
          <w:tcPr>
            <w:tcW w:w="21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7300" w:type="dxa"/>
            <w:vAlign w:val="bottom"/>
          </w:tcPr>
          <w:p>
            <w:pPr>
              <w:ind w:left="240"/>
              <w:spacing w:after="0"/>
              <w:rPr>
                <w:sz w:val="20"/>
                <w:szCs w:val="20"/>
                <w:color w:val="auto"/>
              </w:rPr>
            </w:pPr>
            <w:r>
              <w:rPr>
                <w:rFonts w:ascii="Arial" w:cs="Arial" w:eastAsia="Arial" w:hAnsi="Arial"/>
                <w:sz w:val="18"/>
                <w:szCs w:val="18"/>
                <w:color w:val="auto"/>
              </w:rPr>
              <w:t>the Interactive Data File because its XBRL tags are embedded within</w:t>
            </w:r>
          </w:p>
        </w:tc>
        <w:tc>
          <w:tcPr>
            <w:tcW w:w="2120" w:type="dxa"/>
            <w:vAlign w:val="bottom"/>
          </w:tcPr>
          <w:p>
            <w:pPr>
              <w:ind w:left="2000"/>
              <w:spacing w:after="0"/>
              <w:rPr>
                <w:sz w:val="20"/>
                <w:szCs w:val="20"/>
                <w:color w:val="auto"/>
              </w:rPr>
            </w:pPr>
            <w:r>
              <w:rPr>
                <w:rFonts w:ascii="Arial" w:cs="Arial" w:eastAsia="Arial" w:hAnsi="Arial"/>
                <w:sz w:val="18"/>
                <w:szCs w:val="18"/>
                <w:color w:val="auto"/>
                <w:w w:val="82"/>
              </w:rPr>
              <w:t>X</w:t>
            </w:r>
          </w:p>
        </w:tc>
      </w:tr>
      <w:tr>
        <w:trPr>
          <w:trHeight w:val="230"/>
        </w:trPr>
        <w:tc>
          <w:tcPr>
            <w:tcW w:w="940" w:type="dxa"/>
            <w:vAlign w:val="bottom"/>
          </w:tcPr>
          <w:p>
            <w:pPr>
              <w:spacing w:after="0"/>
              <w:rPr>
                <w:sz w:val="20"/>
                <w:szCs w:val="20"/>
                <w:color w:val="auto"/>
              </w:rPr>
            </w:pPr>
          </w:p>
        </w:tc>
        <w:tc>
          <w:tcPr>
            <w:tcW w:w="7300" w:type="dxa"/>
            <w:vAlign w:val="bottom"/>
          </w:tcPr>
          <w:p>
            <w:pPr>
              <w:ind w:left="240"/>
              <w:spacing w:after="0"/>
              <w:rPr>
                <w:sz w:val="20"/>
                <w:szCs w:val="20"/>
                <w:color w:val="auto"/>
              </w:rPr>
            </w:pPr>
            <w:r>
              <w:rPr>
                <w:rFonts w:ascii="Arial" w:cs="Arial" w:eastAsia="Arial" w:hAnsi="Arial"/>
                <w:sz w:val="18"/>
                <w:szCs w:val="18"/>
                <w:color w:val="auto"/>
              </w:rPr>
              <w:t>the Inline XBRL document</w:t>
            </w:r>
          </w:p>
        </w:tc>
        <w:tc>
          <w:tcPr>
            <w:tcW w:w="2120" w:type="dxa"/>
            <w:vAlign w:val="bottom"/>
          </w:tcPr>
          <w:p>
            <w:pPr>
              <w:spacing w:after="0"/>
              <w:rPr>
                <w:sz w:val="20"/>
                <w:szCs w:val="20"/>
                <w:color w:val="auto"/>
              </w:rPr>
            </w:pPr>
          </w:p>
        </w:tc>
      </w:tr>
      <w:tr>
        <w:trPr>
          <w:trHeight w:val="338"/>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0"/>
              </w:rPr>
              <w:t>101.SCH</w:t>
            </w:r>
          </w:p>
        </w:tc>
        <w:tc>
          <w:tcPr>
            <w:tcW w:w="73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120" w:type="dxa"/>
            <w:vAlign w:val="bottom"/>
          </w:tcPr>
          <w:p>
            <w:pPr>
              <w:ind w:left="2000"/>
              <w:spacing w:after="0"/>
              <w:rPr>
                <w:sz w:val="20"/>
                <w:szCs w:val="20"/>
                <w:color w:val="auto"/>
              </w:rPr>
            </w:pPr>
            <w:r>
              <w:rPr>
                <w:rFonts w:ascii="Arial" w:cs="Arial" w:eastAsia="Arial" w:hAnsi="Arial"/>
                <w:sz w:val="18"/>
                <w:szCs w:val="18"/>
                <w:color w:val="auto"/>
                <w:w w:val="82"/>
              </w:rPr>
              <w:t>X</w:t>
            </w:r>
          </w:p>
        </w:tc>
      </w:tr>
      <w:tr>
        <w:trPr>
          <w:trHeight w:val="338"/>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7"/>
              </w:rPr>
              <w:t>101.CAL</w:t>
            </w:r>
          </w:p>
        </w:tc>
        <w:tc>
          <w:tcPr>
            <w:tcW w:w="73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120" w:type="dxa"/>
            <w:vAlign w:val="bottom"/>
          </w:tcPr>
          <w:p>
            <w:pPr>
              <w:ind w:left="2000"/>
              <w:spacing w:after="0"/>
              <w:rPr>
                <w:sz w:val="20"/>
                <w:szCs w:val="20"/>
                <w:color w:val="auto"/>
              </w:rPr>
            </w:pPr>
            <w:r>
              <w:rPr>
                <w:rFonts w:ascii="Arial" w:cs="Arial" w:eastAsia="Arial" w:hAnsi="Arial"/>
                <w:sz w:val="18"/>
                <w:szCs w:val="18"/>
                <w:color w:val="auto"/>
                <w:w w:val="82"/>
              </w:rPr>
              <w:t>X</w:t>
            </w:r>
          </w:p>
        </w:tc>
      </w:tr>
      <w:tr>
        <w:trPr>
          <w:trHeight w:val="338"/>
        </w:trPr>
        <w:tc>
          <w:tcPr>
            <w:tcW w:w="940" w:type="dxa"/>
            <w:vAlign w:val="bottom"/>
          </w:tcPr>
          <w:p>
            <w:pPr>
              <w:jc w:val="center"/>
              <w:ind w:right="150"/>
              <w:spacing w:after="0"/>
              <w:rPr>
                <w:sz w:val="20"/>
                <w:szCs w:val="20"/>
                <w:color w:val="auto"/>
              </w:rPr>
            </w:pPr>
            <w:r>
              <w:rPr>
                <w:rFonts w:ascii="Arial" w:cs="Arial" w:eastAsia="Arial" w:hAnsi="Arial"/>
                <w:sz w:val="18"/>
                <w:szCs w:val="18"/>
                <w:color w:val="auto"/>
                <w:w w:val="92"/>
              </w:rPr>
              <w:t>101.DEF</w:t>
            </w:r>
          </w:p>
        </w:tc>
        <w:tc>
          <w:tcPr>
            <w:tcW w:w="73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120" w:type="dxa"/>
            <w:vAlign w:val="bottom"/>
          </w:tcPr>
          <w:p>
            <w:pPr>
              <w:ind w:left="2000"/>
              <w:spacing w:after="0"/>
              <w:rPr>
                <w:sz w:val="20"/>
                <w:szCs w:val="20"/>
                <w:color w:val="auto"/>
              </w:rPr>
            </w:pPr>
            <w:r>
              <w:rPr>
                <w:rFonts w:ascii="Arial" w:cs="Arial" w:eastAsia="Arial" w:hAnsi="Arial"/>
                <w:sz w:val="18"/>
                <w:szCs w:val="18"/>
                <w:color w:val="auto"/>
                <w:w w:val="82"/>
              </w:rPr>
              <w:t>X</w:t>
            </w:r>
          </w:p>
        </w:tc>
      </w:tr>
      <w:tr>
        <w:trPr>
          <w:trHeight w:val="338"/>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8"/>
              </w:rPr>
              <w:t>101.LAB</w:t>
            </w:r>
          </w:p>
        </w:tc>
        <w:tc>
          <w:tcPr>
            <w:tcW w:w="73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120" w:type="dxa"/>
            <w:vAlign w:val="bottom"/>
          </w:tcPr>
          <w:p>
            <w:pPr>
              <w:ind w:left="2000"/>
              <w:spacing w:after="0"/>
              <w:rPr>
                <w:sz w:val="20"/>
                <w:szCs w:val="20"/>
                <w:color w:val="auto"/>
              </w:rPr>
            </w:pPr>
            <w:r>
              <w:rPr>
                <w:rFonts w:ascii="Arial" w:cs="Arial" w:eastAsia="Arial" w:hAnsi="Arial"/>
                <w:sz w:val="18"/>
                <w:szCs w:val="18"/>
                <w:color w:val="auto"/>
                <w:w w:val="82"/>
              </w:rPr>
              <w:t>X</w:t>
            </w:r>
          </w:p>
        </w:tc>
      </w:tr>
      <w:tr>
        <w:trPr>
          <w:trHeight w:val="338"/>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88"/>
              </w:rPr>
              <w:t>101.PRE</w:t>
            </w:r>
          </w:p>
        </w:tc>
        <w:tc>
          <w:tcPr>
            <w:tcW w:w="73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120" w:type="dxa"/>
            <w:vAlign w:val="bottom"/>
          </w:tcPr>
          <w:p>
            <w:pPr>
              <w:ind w:left="2000"/>
              <w:spacing w:after="0"/>
              <w:rPr>
                <w:sz w:val="20"/>
                <w:szCs w:val="20"/>
                <w:color w:val="auto"/>
              </w:rPr>
            </w:pPr>
            <w:r>
              <w:rPr>
                <w:rFonts w:ascii="Arial" w:cs="Arial" w:eastAsia="Arial" w:hAnsi="Arial"/>
                <w:sz w:val="18"/>
                <w:szCs w:val="18"/>
                <w:color w:val="auto"/>
                <w:w w:val="82"/>
              </w:rPr>
              <w:t>X</w:t>
            </w:r>
          </w:p>
        </w:tc>
      </w:tr>
    </w:tbl>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8"/>
          <w:szCs w:val="18"/>
          <w:color w:val="auto"/>
        </w:rPr>
        <w:t>Indicates a management contract or compensatory plan.</w:t>
      </w:r>
    </w:p>
    <w:p>
      <w:pPr>
        <w:spacing w:after="0" w:line="23"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Certain confidential portions of this exhibit (indicated by asterisks) have been omitted from this exhibit.</w:t>
      </w:r>
    </w:p>
    <w:p>
      <w:pPr>
        <w:spacing w:after="0" w:line="13" w:lineRule="exact"/>
        <w:rPr>
          <w:sz w:val="20"/>
          <w:szCs w:val="20"/>
          <w:color w:val="auto"/>
        </w:rPr>
      </w:pPr>
    </w:p>
    <w:p>
      <w:pPr>
        <w:ind w:left="520" w:right="280" w:hanging="512"/>
        <w:spacing w:after="0" w:line="256"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20" w:type="dxa"/>
            <w:vAlign w:val="bottom"/>
            <w:gridSpan w:val="2"/>
          </w:tcPr>
          <w:p>
            <w:pPr>
              <w:ind w:left="2480"/>
              <w:spacing w:after="0"/>
              <w:rPr>
                <w:sz w:val="20"/>
                <w:szCs w:val="20"/>
                <w:color w:val="auto"/>
              </w:rPr>
            </w:pPr>
            <w:r>
              <w:rPr>
                <w:rFonts w:ascii="Arial" w:cs="Arial" w:eastAsia="Arial" w:hAnsi="Arial"/>
                <w:sz w:val="18"/>
                <w:szCs w:val="18"/>
                <w:b w:val="1"/>
                <w:bCs w:val="1"/>
                <w:color w:val="auto"/>
              </w:rPr>
              <w:t>CytomX Therapeutics, Inc.</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Date: August 7, 2019</w:t>
            </w:r>
          </w:p>
        </w:tc>
        <w:tc>
          <w:tcPr>
            <w:tcW w:w="2860" w:type="dxa"/>
            <w:vAlign w:val="bottom"/>
          </w:tcPr>
          <w:p>
            <w:pPr>
              <w:ind w:left="24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191"/>
        </w:trPr>
        <w:tc>
          <w:tcPr>
            <w:tcW w:w="40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5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Sean A. McCarthy, D. Phil.</w:t>
            </w:r>
          </w:p>
        </w:tc>
      </w:tr>
      <w:tr>
        <w:trPr>
          <w:trHeight w:val="220"/>
        </w:trPr>
        <w:tc>
          <w:tcPr>
            <w:tcW w:w="4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230"/>
        </w:trPr>
        <w:tc>
          <w:tcPr>
            <w:tcW w:w="40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Executive Officer and Principal Financial Officer)</w:t>
            </w: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Date: August 7, 2019</w:t>
            </w:r>
          </w:p>
        </w:tc>
        <w:tc>
          <w:tcPr>
            <w:tcW w:w="2860" w:type="dxa"/>
            <w:vAlign w:val="bottom"/>
          </w:tcPr>
          <w:p>
            <w:pPr>
              <w:ind w:left="24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Robin Knifsend</w:t>
            </w:r>
          </w:p>
        </w:tc>
      </w:tr>
      <w:tr>
        <w:trPr>
          <w:trHeight w:val="211"/>
        </w:trPr>
        <w:tc>
          <w:tcPr>
            <w:tcW w:w="40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Robin Knifsend</w:t>
            </w:r>
          </w:p>
        </w:tc>
      </w:tr>
    </w:tbl>
    <w:p>
      <w:pPr>
        <w:jc w:val="center"/>
        <w:ind w:left="6860"/>
        <w:spacing w:after="0"/>
        <w:rPr>
          <w:sz w:val="20"/>
          <w:szCs w:val="20"/>
          <w:color w:val="auto"/>
        </w:rPr>
      </w:pPr>
      <w:r>
        <w:rPr>
          <w:rFonts w:ascii="Arial" w:cs="Arial" w:eastAsia="Arial" w:hAnsi="Arial"/>
          <w:sz w:val="18"/>
          <w:szCs w:val="18"/>
          <w:b w:val="1"/>
          <w:bCs w:val="1"/>
          <w:color w:val="auto"/>
        </w:rPr>
        <w:t>Vice President of Finance</w:t>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b w:val="1"/>
          <w:bCs w:val="1"/>
          <w:color w:val="auto"/>
        </w:rPr>
        <w:t>Exhibit 10.1</w:t>
      </w:r>
    </w:p>
    <w:p>
      <w:pPr>
        <w:spacing w:after="0" w:line="226" w:lineRule="exact"/>
        <w:rPr>
          <w:sz w:val="20"/>
          <w:szCs w:val="20"/>
          <w:color w:val="auto"/>
        </w:rPr>
      </w:pPr>
    </w:p>
    <w:p>
      <w:pPr>
        <w:ind w:right="20" w:firstLine="8"/>
        <w:spacing w:after="0" w:line="239" w:lineRule="auto"/>
        <w:tabs>
          <w:tab w:leader="none" w:pos="563" w:val="left"/>
        </w:tabs>
        <w:numPr>
          <w:ilvl w:val="0"/>
          <w:numId w:val="48"/>
        </w:numPr>
        <w:rPr>
          <w:rFonts w:ascii="Arial" w:cs="Arial" w:eastAsia="Arial" w:hAnsi="Arial"/>
          <w:sz w:val="22"/>
          <w:szCs w:val="22"/>
          <w:color w:val="auto"/>
        </w:rPr>
      </w:pPr>
      <w:r>
        <w:rPr>
          <w:rFonts w:ascii="Arial" w:cs="Arial" w:eastAsia="Arial" w:hAnsi="Arial"/>
          <w:sz w:val="22"/>
          <w:szCs w:val="22"/>
          <w:color w:val="auto"/>
        </w:rPr>
        <w:t>Certain information in this document has been excluded pursuant to Regulation S-K, Item 601(b)(10). Such excluded information is not material and would likely cause competitive harm to the registrant if publicly disclosed.</w:t>
      </w:r>
    </w:p>
    <w:p>
      <w:pPr>
        <w:jc w:val="center"/>
        <w:spacing w:after="0"/>
        <w:rPr>
          <w:sz w:val="20"/>
          <w:szCs w:val="20"/>
          <w:color w:val="auto"/>
        </w:rPr>
      </w:pPr>
      <w:r>
        <w:rPr>
          <w:rFonts w:ascii="Arial" w:cs="Arial" w:eastAsia="Arial" w:hAnsi="Arial"/>
          <w:sz w:val="22"/>
          <w:szCs w:val="22"/>
          <w:b w:val="1"/>
          <w:bCs w:val="1"/>
          <w:color w:val="auto"/>
        </w:rPr>
        <w:t>Confidential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DISCOVERY COLLABORATION AND LICENSE AGREEMENT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CYTOMX THERAPEUTICS,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ABBVIE IRELAND UNLIMITED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June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8" w:name="page79"/>
    <w:bookmarkEnd w:id="78"/>
    <w:p>
      <w:pPr>
        <w:ind w:left="4620"/>
        <w:spacing w:after="0"/>
        <w:rPr>
          <w:sz w:val="20"/>
          <w:szCs w:val="20"/>
          <w:color w:val="auto"/>
        </w:rPr>
      </w:pPr>
      <w:r>
        <w:rPr>
          <w:rFonts w:ascii="Arial" w:cs="Arial" w:eastAsia="Arial" w:hAnsi="Arial"/>
          <w:sz w:val="22"/>
          <w:szCs w:val="22"/>
          <w:u w:val="single" w:color="auto"/>
          <w:color w:val="auto"/>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ARTICLE 1 DEFINITIONS1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ARTICLE 2 TARGET NOMINATION AND EXCHANGE 23</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Target Nomination.23</w:t>
      </w:r>
    </w:p>
    <w:p>
      <w:pPr>
        <w:ind w:left="880"/>
        <w:spacing w:after="0" w:line="238" w:lineRule="auto"/>
        <w:tabs>
          <w:tab w:leader="none" w:pos="17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color w:val="auto"/>
        </w:rPr>
        <w:t>[***]25</w:t>
      </w:r>
    </w:p>
    <w:p>
      <w:pPr>
        <w:ind w:left="880"/>
        <w:spacing w:after="0"/>
        <w:tabs>
          <w:tab w:leader="none" w:pos="17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[***]25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ARTICLE 3 COLLABORATION MANAGEMENT25</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Joint Research Committee.25</w:t>
      </w:r>
    </w:p>
    <w:p>
      <w:pPr>
        <w:ind w:left="880"/>
        <w:spacing w:after="0"/>
        <w:tabs>
          <w:tab w:leader="none" w:pos="17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General Provisions Applicable to JRC.27</w:t>
      </w:r>
    </w:p>
    <w:p>
      <w:pPr>
        <w:ind w:left="880"/>
        <w:spacing w:after="0"/>
        <w:tabs>
          <w:tab w:leader="none" w:pos="17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Discontinuation of Participation on the JRC28</w:t>
      </w:r>
    </w:p>
    <w:p>
      <w:pPr>
        <w:ind w:left="880"/>
        <w:spacing w:after="0"/>
        <w:tabs>
          <w:tab w:leader="none" w:pos="17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Interactions Between a JRC and Internal Teams28</w:t>
      </w:r>
    </w:p>
    <w:p>
      <w:pPr>
        <w:ind w:left="880"/>
        <w:spacing w:after="0"/>
        <w:tabs>
          <w:tab w:leader="none" w:pos="17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Working Groups28</w:t>
      </w:r>
    </w:p>
    <w:p>
      <w:pPr>
        <w:ind w:left="880"/>
        <w:spacing w:after="0"/>
        <w:tabs>
          <w:tab w:leader="none" w:pos="172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8"/>
          <w:szCs w:val="18"/>
          <w:color w:val="auto"/>
        </w:rPr>
        <w:t>Expenses29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ARTICLE 4 DEVELOPMENT AND REGULATORY29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ind w:left="880"/>
              <w:spacing w:after="0"/>
              <w:rPr>
                <w:sz w:val="20"/>
                <w:szCs w:val="20"/>
                <w:color w:val="auto"/>
              </w:rPr>
            </w:pPr>
            <w:r>
              <w:rPr>
                <w:rFonts w:ascii="Arial" w:cs="Arial" w:eastAsia="Arial" w:hAnsi="Arial"/>
                <w:sz w:val="22"/>
                <w:szCs w:val="22"/>
                <w:color w:val="auto"/>
              </w:rPr>
              <w:t>4.1</w:t>
            </w:r>
          </w:p>
        </w:tc>
        <w:tc>
          <w:tcPr>
            <w:tcW w:w="7560" w:type="dxa"/>
            <w:vAlign w:val="bottom"/>
          </w:tcPr>
          <w:p>
            <w:pPr>
              <w:ind w:left="240"/>
              <w:spacing w:after="0"/>
              <w:rPr>
                <w:sz w:val="20"/>
                <w:szCs w:val="20"/>
                <w:color w:val="auto"/>
              </w:rPr>
            </w:pPr>
            <w:r>
              <w:rPr>
                <w:rFonts w:ascii="Arial" w:cs="Arial" w:eastAsia="Arial" w:hAnsi="Arial"/>
                <w:sz w:val="22"/>
                <w:szCs w:val="22"/>
                <w:color w:val="auto"/>
              </w:rPr>
              <w:t>Antibody Sequence Delivery29</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4.2</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Creation of Discovery Probodies29</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4.3</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Creation of Discovery PDCs30</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4.4</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w w:val="95"/>
              </w:rPr>
              <w:t>Development of AbbVie Probodies, Discovery PDCs and Licensed Products31</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4.5</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Supply of Technology for Development Purposes31</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4.6</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Expenses32</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4.7</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Subcontracting32</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4.8</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Regulatory Matters.32</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4.9</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Compliance33</w:t>
            </w:r>
          </w:p>
        </w:tc>
      </w:tr>
      <w:tr>
        <w:trPr>
          <w:trHeight w:val="275"/>
        </w:trPr>
        <w:tc>
          <w:tcPr>
            <w:tcW w:w="1500" w:type="dxa"/>
            <w:vAlign w:val="bottom"/>
          </w:tcPr>
          <w:p>
            <w:pPr>
              <w:ind w:left="880"/>
              <w:spacing w:after="0"/>
              <w:rPr>
                <w:sz w:val="20"/>
                <w:szCs w:val="20"/>
                <w:color w:val="auto"/>
              </w:rPr>
            </w:pPr>
            <w:r>
              <w:rPr>
                <w:rFonts w:ascii="Arial" w:cs="Arial" w:eastAsia="Arial" w:hAnsi="Arial"/>
                <w:sz w:val="22"/>
                <w:szCs w:val="22"/>
                <w:color w:val="auto"/>
              </w:rPr>
              <w:t>4.10</w:t>
            </w:r>
          </w:p>
        </w:tc>
        <w:tc>
          <w:tcPr>
            <w:tcW w:w="7560" w:type="dxa"/>
            <w:vAlign w:val="bottom"/>
          </w:tcPr>
          <w:p>
            <w:pPr>
              <w:ind w:left="240"/>
              <w:spacing w:after="0"/>
              <w:rPr>
                <w:sz w:val="20"/>
                <w:szCs w:val="20"/>
                <w:color w:val="auto"/>
              </w:rPr>
            </w:pPr>
            <w:r>
              <w:rPr>
                <w:rFonts w:ascii="Arial" w:cs="Arial" w:eastAsia="Arial" w:hAnsi="Arial"/>
                <w:sz w:val="22"/>
                <w:szCs w:val="22"/>
                <w:color w:val="auto"/>
              </w:rPr>
              <w:t>Records.33</w:t>
            </w:r>
          </w:p>
        </w:tc>
      </w:tr>
      <w:tr>
        <w:trPr>
          <w:trHeight w:val="459"/>
        </w:trPr>
        <w:tc>
          <w:tcPr>
            <w:tcW w:w="9060" w:type="dxa"/>
            <w:vAlign w:val="bottom"/>
            <w:gridSpan w:val="2"/>
          </w:tcPr>
          <w:p>
            <w:pPr>
              <w:spacing w:after="0"/>
              <w:rPr>
                <w:sz w:val="20"/>
                <w:szCs w:val="20"/>
                <w:color w:val="auto"/>
              </w:rPr>
            </w:pPr>
            <w:r>
              <w:rPr>
                <w:rFonts w:ascii="Arial" w:cs="Arial" w:eastAsia="Arial" w:hAnsi="Arial"/>
                <w:sz w:val="22"/>
                <w:szCs w:val="22"/>
                <w:color w:val="auto"/>
              </w:rPr>
              <w:t>ARTICLE 5 COMMERCIALIZATION33</w:t>
            </w:r>
          </w:p>
        </w:tc>
      </w:tr>
      <w:tr>
        <w:trPr>
          <w:trHeight w:val="428"/>
        </w:trPr>
        <w:tc>
          <w:tcPr>
            <w:tcW w:w="1500" w:type="dxa"/>
            <w:vAlign w:val="bottom"/>
          </w:tcPr>
          <w:p>
            <w:pPr>
              <w:ind w:left="880"/>
              <w:spacing w:after="0"/>
              <w:rPr>
                <w:sz w:val="20"/>
                <w:szCs w:val="20"/>
                <w:color w:val="auto"/>
              </w:rPr>
            </w:pPr>
            <w:r>
              <w:rPr>
                <w:rFonts w:ascii="Arial" w:cs="Arial" w:eastAsia="Arial" w:hAnsi="Arial"/>
                <w:sz w:val="22"/>
                <w:szCs w:val="22"/>
                <w:color w:val="auto"/>
              </w:rPr>
              <w:t>5.1</w:t>
            </w:r>
          </w:p>
        </w:tc>
        <w:tc>
          <w:tcPr>
            <w:tcW w:w="7560" w:type="dxa"/>
            <w:vAlign w:val="bottom"/>
          </w:tcPr>
          <w:p>
            <w:pPr>
              <w:ind w:left="240"/>
              <w:spacing w:after="0"/>
              <w:rPr>
                <w:sz w:val="20"/>
                <w:szCs w:val="20"/>
                <w:color w:val="auto"/>
              </w:rPr>
            </w:pPr>
            <w:r>
              <w:rPr>
                <w:rFonts w:ascii="Arial" w:cs="Arial" w:eastAsia="Arial" w:hAnsi="Arial"/>
                <w:sz w:val="22"/>
                <w:szCs w:val="22"/>
                <w:color w:val="auto"/>
              </w:rPr>
              <w:t>In General33</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5.2</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Diligence34</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5.3</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Statements and Compliance with Applicable Law34</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5.4</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Booking of Sales; Distribution34</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5.5</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Product Trademarks34</w:t>
            </w:r>
          </w:p>
        </w:tc>
      </w:tr>
      <w:tr>
        <w:trPr>
          <w:trHeight w:val="243"/>
        </w:trPr>
        <w:tc>
          <w:tcPr>
            <w:tcW w:w="1500" w:type="dxa"/>
            <w:vAlign w:val="bottom"/>
          </w:tcPr>
          <w:p>
            <w:pPr>
              <w:ind w:left="880"/>
              <w:spacing w:after="0" w:line="243" w:lineRule="exact"/>
              <w:rPr>
                <w:sz w:val="20"/>
                <w:szCs w:val="20"/>
                <w:color w:val="auto"/>
              </w:rPr>
            </w:pPr>
            <w:r>
              <w:rPr>
                <w:rFonts w:ascii="Arial" w:cs="Arial" w:eastAsia="Arial" w:hAnsi="Arial"/>
                <w:sz w:val="22"/>
                <w:szCs w:val="22"/>
                <w:color w:val="auto"/>
              </w:rPr>
              <w:t>5.6</w:t>
            </w:r>
          </w:p>
        </w:tc>
        <w:tc>
          <w:tcPr>
            <w:tcW w:w="7560" w:type="dxa"/>
            <w:vAlign w:val="bottom"/>
          </w:tcPr>
          <w:p>
            <w:pPr>
              <w:ind w:left="240"/>
              <w:spacing w:after="0" w:line="243" w:lineRule="exact"/>
              <w:rPr>
                <w:sz w:val="20"/>
                <w:szCs w:val="20"/>
                <w:color w:val="auto"/>
              </w:rPr>
            </w:pPr>
            <w:r>
              <w:rPr>
                <w:rFonts w:ascii="Arial" w:cs="Arial" w:eastAsia="Arial" w:hAnsi="Arial"/>
                <w:sz w:val="22"/>
                <w:szCs w:val="22"/>
                <w:color w:val="auto"/>
              </w:rPr>
              <w:t>Markings35</w:t>
            </w:r>
          </w:p>
        </w:tc>
      </w:tr>
      <w:tr>
        <w:trPr>
          <w:trHeight w:val="275"/>
        </w:trPr>
        <w:tc>
          <w:tcPr>
            <w:tcW w:w="1500" w:type="dxa"/>
            <w:vAlign w:val="bottom"/>
          </w:tcPr>
          <w:p>
            <w:pPr>
              <w:ind w:left="880"/>
              <w:spacing w:after="0"/>
              <w:rPr>
                <w:sz w:val="20"/>
                <w:szCs w:val="20"/>
                <w:color w:val="auto"/>
              </w:rPr>
            </w:pPr>
            <w:r>
              <w:rPr>
                <w:rFonts w:ascii="Arial" w:cs="Arial" w:eastAsia="Arial" w:hAnsi="Arial"/>
                <w:sz w:val="22"/>
                <w:szCs w:val="22"/>
                <w:color w:val="auto"/>
              </w:rPr>
              <w:t>5.7</w:t>
            </w:r>
          </w:p>
        </w:tc>
        <w:tc>
          <w:tcPr>
            <w:tcW w:w="7560" w:type="dxa"/>
            <w:vAlign w:val="bottom"/>
          </w:tcPr>
          <w:p>
            <w:pPr>
              <w:ind w:left="240"/>
              <w:spacing w:after="0"/>
              <w:rPr>
                <w:sz w:val="20"/>
                <w:szCs w:val="20"/>
                <w:color w:val="auto"/>
              </w:rPr>
            </w:pPr>
            <w:r>
              <w:rPr>
                <w:rFonts w:ascii="Arial" w:cs="Arial" w:eastAsia="Arial" w:hAnsi="Arial"/>
                <w:sz w:val="22"/>
                <w:szCs w:val="22"/>
                <w:color w:val="auto"/>
                <w:w w:val="89"/>
              </w:rPr>
              <w:t>Commercial Supply of AbbVie Probodies, Discovery PDCs or Licensed Products.35</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ARTICLE 6 GRANT OF RIGHTS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77" w:right="1440" w:bottom="1440" w:gutter="0" w:footer="0" w:header="0"/>
        </w:sectPr>
      </w:pPr>
    </w:p>
    <w:bookmarkStart w:id="79" w:name="page80"/>
    <w:bookmarkEnd w:id="79"/>
    <w:p>
      <w:pPr>
        <w:ind w:left="880"/>
        <w:spacing w:after="0"/>
        <w:tabs>
          <w:tab w:leader="none" w:pos="17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Grants to AbbVie.36</w:t>
      </w:r>
    </w:p>
    <w:p>
      <w:pPr>
        <w:ind w:left="880"/>
        <w:spacing w:after="0"/>
        <w:tabs>
          <w:tab w:leader="none" w:pos="17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Grants to Licensor.37</w:t>
      </w:r>
    </w:p>
    <w:p>
      <w:pPr>
        <w:ind w:left="880"/>
        <w:spacing w:after="0"/>
        <w:tabs>
          <w:tab w:leader="none" w:pos="17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Sublicenses37</w:t>
      </w:r>
    </w:p>
    <w:p>
      <w:pPr>
        <w:ind w:left="880"/>
        <w:spacing w:after="0"/>
        <w:tabs>
          <w:tab w:leader="none" w:pos="172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color w:val="auto"/>
        </w:rPr>
        <w:t>Distributorships37</w:t>
      </w:r>
    </w:p>
    <w:p>
      <w:pPr>
        <w:ind w:left="880"/>
        <w:spacing w:after="0"/>
        <w:tabs>
          <w:tab w:leader="none" w:pos="17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Co-Promotion Rights37</w:t>
      </w:r>
    </w:p>
    <w:p>
      <w:pPr>
        <w:ind w:left="880"/>
        <w:spacing w:after="0"/>
        <w:tabs>
          <w:tab w:leader="none" w:pos="172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Retention of Rights.37</w:t>
      </w:r>
    </w:p>
    <w:p>
      <w:pPr>
        <w:ind w:left="880"/>
        <w:spacing w:after="0"/>
        <w:tabs>
          <w:tab w:leader="none" w:pos="172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Confirmatory Patent License38</w:t>
      </w:r>
    </w:p>
    <w:p>
      <w:pPr>
        <w:ind w:left="880"/>
        <w:spacing w:after="0"/>
        <w:tabs>
          <w:tab w:leader="none" w:pos="172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color w:val="auto"/>
        </w:rPr>
        <w:t>Exclusivity with Respect to the Territory.38</w:t>
      </w:r>
    </w:p>
    <w:p>
      <w:pPr>
        <w:ind w:left="880"/>
        <w:spacing w:after="0"/>
        <w:tabs>
          <w:tab w:leader="none" w:pos="172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color w:val="auto"/>
        </w:rPr>
        <w:t>In-License Agreements39</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color w:val="auto"/>
        </w:rPr>
        <w:t>Reverse Engineering40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ARTICLE 7 PAYMENTS AND RECORDS40</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Upfront Payment40</w:t>
      </w:r>
    </w:p>
    <w:p>
      <w:pPr>
        <w:ind w:left="880"/>
        <w:spacing w:after="0"/>
        <w:tabs>
          <w:tab w:leader="none" w:pos="17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8"/>
          <w:szCs w:val="18"/>
          <w:color w:val="auto"/>
        </w:rPr>
        <w:t>Second Accepted Target Fee40</w:t>
      </w:r>
    </w:p>
    <w:p>
      <w:pPr>
        <w:ind w:left="880"/>
        <w:spacing w:after="0"/>
        <w:tabs>
          <w:tab w:leader="none" w:pos="17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Development Milestones40</w:t>
      </w:r>
    </w:p>
    <w:p>
      <w:pPr>
        <w:ind w:left="880"/>
        <w:spacing w:after="0"/>
        <w:tabs>
          <w:tab w:leader="none" w:pos="17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Regulatory Milestones41</w:t>
      </w:r>
    </w:p>
    <w:p>
      <w:pPr>
        <w:ind w:left="880"/>
        <w:spacing w:after="0"/>
        <w:tabs>
          <w:tab w:leader="none" w:pos="17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Sales-Based Milestones42</w:t>
      </w:r>
    </w:p>
    <w:p>
      <w:pPr>
        <w:ind w:left="880"/>
        <w:spacing w:after="0"/>
        <w:tabs>
          <w:tab w:leader="none" w:pos="17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Royalties.43</w:t>
      </w:r>
    </w:p>
    <w:p>
      <w:pPr>
        <w:ind w:left="880"/>
        <w:spacing w:after="0"/>
        <w:tabs>
          <w:tab w:leader="none" w:pos="172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color w:val="auto"/>
        </w:rPr>
        <w:t>Royalty Payments and Reports45</w:t>
      </w:r>
    </w:p>
    <w:p>
      <w:pPr>
        <w:ind w:left="880"/>
        <w:spacing w:after="0"/>
        <w:tabs>
          <w:tab w:leader="none" w:pos="172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color w:val="auto"/>
        </w:rPr>
        <w:t>Mode of Payment; Offsets45</w:t>
      </w:r>
    </w:p>
    <w:p>
      <w:pPr>
        <w:ind w:left="880"/>
        <w:spacing w:after="0"/>
        <w:tabs>
          <w:tab w:leader="none" w:pos="17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color w:val="auto"/>
        </w:rPr>
        <w:t>Withholding Taxes45</w:t>
      </w:r>
    </w:p>
    <w:p>
      <w:pPr>
        <w:ind w:left="880"/>
        <w:spacing w:after="0"/>
        <w:tabs>
          <w:tab w:leader="none" w:pos="172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color w:val="auto"/>
        </w:rPr>
        <w:t>Indirect Taxes46</w:t>
      </w:r>
    </w:p>
    <w:p>
      <w:pPr>
        <w:ind w:left="880"/>
        <w:spacing w:after="0"/>
        <w:tabs>
          <w:tab w:leader="none" w:pos="172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color w:val="auto"/>
        </w:rPr>
        <w:t>Interest on Late Payments46</w:t>
      </w:r>
    </w:p>
    <w:p>
      <w:pPr>
        <w:ind w:left="880"/>
        <w:spacing w:after="0"/>
        <w:tabs>
          <w:tab w:leader="none" w:pos="1720" w:val="left"/>
        </w:tabs>
        <w:rPr>
          <w:sz w:val="20"/>
          <w:szCs w:val="20"/>
          <w:color w:val="auto"/>
        </w:rPr>
      </w:pPr>
      <w:r>
        <w:rPr>
          <w:rFonts w:ascii="Arial" w:cs="Arial" w:eastAsia="Arial" w:hAnsi="Arial"/>
          <w:sz w:val="22"/>
          <w:szCs w:val="22"/>
          <w:color w:val="auto"/>
        </w:rPr>
        <w:t>7.12</w:t>
      </w:r>
      <w:r>
        <w:rPr>
          <w:sz w:val="20"/>
          <w:szCs w:val="20"/>
          <w:color w:val="auto"/>
        </w:rPr>
        <w:tab/>
      </w:r>
      <w:r>
        <w:rPr>
          <w:rFonts w:ascii="Arial" w:cs="Arial" w:eastAsia="Arial" w:hAnsi="Arial"/>
          <w:sz w:val="19"/>
          <w:szCs w:val="19"/>
          <w:color w:val="auto"/>
        </w:rPr>
        <w:t>Financial Records46</w:t>
      </w:r>
    </w:p>
    <w:p>
      <w:pPr>
        <w:ind w:left="880"/>
        <w:spacing w:after="0"/>
        <w:tabs>
          <w:tab w:leader="none" w:pos="1720" w:val="left"/>
        </w:tabs>
        <w:rPr>
          <w:sz w:val="20"/>
          <w:szCs w:val="20"/>
          <w:color w:val="auto"/>
        </w:rPr>
      </w:pPr>
      <w:r>
        <w:rPr>
          <w:rFonts w:ascii="Arial" w:cs="Arial" w:eastAsia="Arial" w:hAnsi="Arial"/>
          <w:sz w:val="22"/>
          <w:szCs w:val="22"/>
          <w:color w:val="auto"/>
        </w:rPr>
        <w:t>7.13</w:t>
      </w:r>
      <w:r>
        <w:rPr>
          <w:sz w:val="20"/>
          <w:szCs w:val="20"/>
          <w:color w:val="auto"/>
        </w:rPr>
        <w:tab/>
      </w:r>
      <w:r>
        <w:rPr>
          <w:rFonts w:ascii="Arial" w:cs="Arial" w:eastAsia="Arial" w:hAnsi="Arial"/>
          <w:sz w:val="19"/>
          <w:szCs w:val="19"/>
          <w:color w:val="auto"/>
        </w:rPr>
        <w:t>Audit47</w:t>
      </w:r>
    </w:p>
    <w:p>
      <w:pPr>
        <w:ind w:left="880"/>
        <w:spacing w:after="0"/>
        <w:tabs>
          <w:tab w:leader="none" w:pos="1720" w:val="left"/>
        </w:tabs>
        <w:rPr>
          <w:sz w:val="20"/>
          <w:szCs w:val="20"/>
          <w:color w:val="auto"/>
        </w:rPr>
      </w:pPr>
      <w:r>
        <w:rPr>
          <w:rFonts w:ascii="Arial" w:cs="Arial" w:eastAsia="Arial" w:hAnsi="Arial"/>
          <w:sz w:val="22"/>
          <w:szCs w:val="22"/>
          <w:color w:val="auto"/>
        </w:rPr>
        <w:t>7.14</w:t>
      </w:r>
      <w:r>
        <w:rPr>
          <w:sz w:val="20"/>
          <w:szCs w:val="20"/>
          <w:color w:val="auto"/>
        </w:rPr>
        <w:tab/>
      </w:r>
      <w:r>
        <w:rPr>
          <w:rFonts w:ascii="Arial" w:cs="Arial" w:eastAsia="Arial" w:hAnsi="Arial"/>
          <w:sz w:val="19"/>
          <w:szCs w:val="19"/>
          <w:color w:val="auto"/>
        </w:rPr>
        <w:t>Audit Dispute47</w:t>
      </w:r>
    </w:p>
    <w:p>
      <w:pPr>
        <w:ind w:left="880"/>
        <w:spacing w:after="0"/>
        <w:tabs>
          <w:tab w:leader="none" w:pos="1720" w:val="left"/>
        </w:tabs>
        <w:rPr>
          <w:sz w:val="20"/>
          <w:szCs w:val="20"/>
          <w:color w:val="auto"/>
        </w:rPr>
      </w:pPr>
      <w:r>
        <w:rPr>
          <w:rFonts w:ascii="Arial" w:cs="Arial" w:eastAsia="Arial" w:hAnsi="Arial"/>
          <w:sz w:val="22"/>
          <w:szCs w:val="22"/>
          <w:color w:val="auto"/>
        </w:rPr>
        <w:t>7.15</w:t>
      </w:r>
      <w:r>
        <w:rPr>
          <w:sz w:val="20"/>
          <w:szCs w:val="20"/>
          <w:color w:val="auto"/>
        </w:rPr>
        <w:tab/>
      </w:r>
      <w:r>
        <w:rPr>
          <w:rFonts w:ascii="Arial" w:cs="Arial" w:eastAsia="Arial" w:hAnsi="Arial"/>
          <w:sz w:val="19"/>
          <w:szCs w:val="19"/>
          <w:color w:val="auto"/>
        </w:rPr>
        <w:t>Confidentiality47</w:t>
      </w:r>
    </w:p>
    <w:p>
      <w:pPr>
        <w:ind w:left="880"/>
        <w:spacing w:after="0"/>
        <w:tabs>
          <w:tab w:leader="none" w:pos="1720" w:val="left"/>
        </w:tabs>
        <w:rPr>
          <w:sz w:val="20"/>
          <w:szCs w:val="20"/>
          <w:color w:val="auto"/>
        </w:rPr>
      </w:pPr>
      <w:r>
        <w:rPr>
          <w:rFonts w:ascii="Arial" w:cs="Arial" w:eastAsia="Arial" w:hAnsi="Arial"/>
          <w:sz w:val="22"/>
          <w:szCs w:val="22"/>
          <w:color w:val="auto"/>
        </w:rPr>
        <w:t>7.16</w:t>
      </w:r>
      <w:r>
        <w:rPr>
          <w:sz w:val="20"/>
          <w:szCs w:val="20"/>
          <w:color w:val="auto"/>
        </w:rPr>
        <w:tab/>
      </w:r>
      <w:r>
        <w:rPr>
          <w:rFonts w:ascii="Arial" w:cs="Arial" w:eastAsia="Arial" w:hAnsi="Arial"/>
          <w:sz w:val="19"/>
          <w:szCs w:val="19"/>
          <w:color w:val="auto"/>
        </w:rPr>
        <w:t>Diagnostic or Veterinary Products47</w:t>
      </w:r>
    </w:p>
    <w:p>
      <w:pPr>
        <w:ind w:left="880"/>
        <w:spacing w:after="0"/>
        <w:tabs>
          <w:tab w:leader="none" w:pos="1720" w:val="left"/>
        </w:tabs>
        <w:rPr>
          <w:sz w:val="20"/>
          <w:szCs w:val="20"/>
          <w:color w:val="auto"/>
        </w:rPr>
      </w:pPr>
      <w:r>
        <w:rPr>
          <w:rFonts w:ascii="Arial" w:cs="Arial" w:eastAsia="Arial" w:hAnsi="Arial"/>
          <w:sz w:val="22"/>
          <w:szCs w:val="22"/>
          <w:color w:val="auto"/>
        </w:rPr>
        <w:t>7.17</w:t>
      </w:r>
      <w:r>
        <w:rPr>
          <w:sz w:val="20"/>
          <w:szCs w:val="20"/>
          <w:color w:val="auto"/>
        </w:rPr>
        <w:tab/>
      </w:r>
      <w:r>
        <w:rPr>
          <w:rFonts w:ascii="Arial" w:cs="Arial" w:eastAsia="Arial" w:hAnsi="Arial"/>
          <w:sz w:val="19"/>
          <w:szCs w:val="19"/>
          <w:color w:val="auto"/>
        </w:rPr>
        <w:t>No Other Compensation48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ARTICLE 8 INTELLECTUAL PROPERTY48</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Ownership of Intellectual Property.48</w:t>
      </w:r>
    </w:p>
    <w:p>
      <w:pPr>
        <w:ind w:left="880"/>
        <w:spacing w:after="0"/>
        <w:tabs>
          <w:tab w:leader="none" w:pos="17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Maintenance and Prosecution of Patents.49</w:t>
      </w:r>
    </w:p>
    <w:p>
      <w:pPr>
        <w:ind w:left="880"/>
        <w:spacing w:after="0"/>
        <w:tabs>
          <w:tab w:leader="none" w:pos="172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Enforcement of Patents.52</w:t>
      </w:r>
    </w:p>
    <w:p>
      <w:pPr>
        <w:ind w:left="880"/>
        <w:spacing w:after="0"/>
        <w:tabs>
          <w:tab w:leader="none" w:pos="172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Infringement Claims by Third Parties55</w:t>
      </w:r>
    </w:p>
    <w:p>
      <w:pPr>
        <w:jc w:val="right"/>
        <w:ind w:right="3819"/>
        <w:spacing w:after="0"/>
        <w:tabs>
          <w:tab w:leader="none" w:pos="464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Invalidity or Unenforceability Defenses or Actions.56</w:t>
      </w:r>
    </w:p>
    <w:p>
      <w:pPr>
        <w:ind w:left="880"/>
        <w:spacing w:after="0"/>
        <w:tabs>
          <w:tab w:leader="none" w:pos="172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color w:val="auto"/>
        </w:rPr>
        <w:t>Third Party Licenses57</w:t>
      </w:r>
    </w:p>
    <w:p>
      <w:pPr>
        <w:ind w:left="880"/>
        <w:spacing w:after="0"/>
        <w:tabs>
          <w:tab w:leader="none" w:pos="172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color w:val="auto"/>
        </w:rPr>
        <w:t>Product Trademarks.58</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color w:val="auto"/>
        </w:rPr>
        <w:t>Inventor's Remuneration59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ARTICLE 9 PHARMACOVIGILANCE AND SAFETY59</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Pharmacovigilance59</w:t>
      </w:r>
    </w:p>
    <w:p>
      <w:pPr>
        <w:spacing w:after="0" w:line="8"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Global Safety Database59</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77" w:right="1440" w:bottom="1440" w:gutter="0" w:footer="0" w:header="0"/>
        </w:sectPr>
      </w:pPr>
    </w:p>
    <w:bookmarkStart w:id="80" w:name="page81"/>
    <w:bookmarkEnd w:id="80"/>
    <w:p>
      <w:pPr>
        <w:spacing w:after="0"/>
        <w:rPr>
          <w:sz w:val="20"/>
          <w:szCs w:val="20"/>
          <w:color w:val="auto"/>
        </w:rPr>
      </w:pPr>
      <w:r>
        <w:rPr>
          <w:rFonts w:ascii="Arial" w:cs="Arial" w:eastAsia="Arial" w:hAnsi="Arial"/>
          <w:sz w:val="22"/>
          <w:szCs w:val="22"/>
          <w:color w:val="auto"/>
        </w:rPr>
        <w:t>ARTICLE 10 CONFIDENTIALITY AND NON-DISCLOSURE59</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Product Information59</w:t>
      </w:r>
    </w:p>
    <w:p>
      <w:pPr>
        <w:ind w:left="880"/>
        <w:spacing w:after="0"/>
        <w:tabs>
          <w:tab w:leader="none" w:pos="17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Confidentiality Obligations60</w:t>
      </w:r>
    </w:p>
    <w:p>
      <w:pPr>
        <w:ind w:left="880"/>
        <w:spacing w:after="0"/>
        <w:tabs>
          <w:tab w:leader="none" w:pos="17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Permitted Disclosures61</w:t>
      </w:r>
    </w:p>
    <w:p>
      <w:pPr>
        <w:ind w:left="880"/>
        <w:spacing w:after="0"/>
        <w:tabs>
          <w:tab w:leader="none" w:pos="17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Public Announcements63</w:t>
      </w:r>
    </w:p>
    <w:p>
      <w:pPr>
        <w:ind w:left="880"/>
        <w:spacing w:after="0"/>
        <w:tabs>
          <w:tab w:leader="none" w:pos="172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Publications.63</w:t>
      </w:r>
    </w:p>
    <w:p>
      <w:pPr>
        <w:ind w:left="880"/>
        <w:spacing w:after="0"/>
        <w:tabs>
          <w:tab w:leader="none" w:pos="172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color w:val="auto"/>
        </w:rPr>
        <w:t>Return of Confidential Information64</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10.7</w:t>
      </w:r>
      <w:r>
        <w:rPr>
          <w:sz w:val="20"/>
          <w:szCs w:val="20"/>
          <w:color w:val="auto"/>
        </w:rPr>
        <w:tab/>
      </w:r>
      <w:r>
        <w:rPr>
          <w:rFonts w:ascii="Arial" w:cs="Arial" w:eastAsia="Arial" w:hAnsi="Arial"/>
          <w:sz w:val="19"/>
          <w:szCs w:val="19"/>
          <w:color w:val="auto"/>
        </w:rPr>
        <w:t>Survival65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ARTICLE 11 REPRESENTATIONS AND WARRANTIES 65</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Mutual Representations and Warranties65</w:t>
      </w:r>
    </w:p>
    <w:p>
      <w:pPr>
        <w:jc w:val="right"/>
        <w:ind w:right="2499"/>
        <w:spacing w:after="0"/>
        <w:tabs>
          <w:tab w:leader="none" w:pos="596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Additional Representations, Warranties and Covenants of Licensor65</w:t>
      </w:r>
    </w:p>
    <w:p>
      <w:pPr>
        <w:ind w:left="880"/>
        <w:spacing w:after="0"/>
        <w:tabs>
          <w:tab w:leader="none" w:pos="172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Debarment68</w:t>
      </w:r>
    </w:p>
    <w:p>
      <w:pPr>
        <w:ind w:left="880"/>
        <w:spacing w:after="0"/>
        <w:tabs>
          <w:tab w:leader="none" w:pos="172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Obtainment of Rights69</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Disclaimer of Warranties69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ARTICLE 12 INDEMNITY69</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Indemnification of Licensor69</w:t>
      </w:r>
    </w:p>
    <w:p>
      <w:pPr>
        <w:ind w:left="880"/>
        <w:spacing w:after="0"/>
        <w:tabs>
          <w:tab w:leader="none" w:pos="17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Indemnification of AbbVie70</w:t>
      </w:r>
    </w:p>
    <w:p>
      <w:pPr>
        <w:ind w:left="880"/>
        <w:spacing w:after="0"/>
        <w:tabs>
          <w:tab w:leader="none" w:pos="17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Notice of Claim70</w:t>
      </w:r>
    </w:p>
    <w:p>
      <w:pPr>
        <w:ind w:left="880"/>
        <w:spacing w:after="0"/>
        <w:tabs>
          <w:tab w:leader="none" w:pos="17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Control of Defense.70</w:t>
      </w:r>
    </w:p>
    <w:p>
      <w:pPr>
        <w:ind w:left="880"/>
        <w:spacing w:after="0"/>
        <w:tabs>
          <w:tab w:leader="none" w:pos="172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Special, Indirect, and Other Losses72</w:t>
      </w:r>
    </w:p>
    <w:p>
      <w:pPr>
        <w:ind w:left="880"/>
        <w:spacing w:after="0"/>
        <w:tabs>
          <w:tab w:leader="none" w:pos="172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Insurance72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ARTICLE 13 TERM AND TERMINATION73</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13.1</w:t>
            </w:r>
          </w:p>
        </w:tc>
        <w:tc>
          <w:tcPr>
            <w:tcW w:w="4120" w:type="dxa"/>
            <w:vAlign w:val="bottom"/>
          </w:tcPr>
          <w:p>
            <w:pPr>
              <w:ind w:left="200"/>
              <w:spacing w:after="0"/>
              <w:rPr>
                <w:sz w:val="20"/>
                <w:szCs w:val="20"/>
                <w:color w:val="auto"/>
              </w:rPr>
            </w:pPr>
            <w:r>
              <w:rPr>
                <w:rFonts w:ascii="Arial" w:cs="Arial" w:eastAsia="Arial" w:hAnsi="Arial"/>
                <w:sz w:val="22"/>
                <w:szCs w:val="22"/>
                <w:color w:val="auto"/>
              </w:rPr>
              <w:t>Term.73</w:t>
            </w:r>
          </w:p>
        </w:tc>
      </w:tr>
      <w:tr>
        <w:trPr>
          <w:trHeight w:val="243"/>
        </w:trPr>
        <w:tc>
          <w:tcPr>
            <w:tcW w:w="660" w:type="dxa"/>
            <w:vAlign w:val="bottom"/>
          </w:tcPr>
          <w:p>
            <w:pPr>
              <w:spacing w:after="0" w:line="243" w:lineRule="exact"/>
              <w:rPr>
                <w:sz w:val="20"/>
                <w:szCs w:val="20"/>
                <w:color w:val="auto"/>
              </w:rPr>
            </w:pPr>
            <w:r>
              <w:rPr>
                <w:rFonts w:ascii="Arial" w:cs="Arial" w:eastAsia="Arial" w:hAnsi="Arial"/>
                <w:sz w:val="22"/>
                <w:szCs w:val="22"/>
                <w:color w:val="auto"/>
              </w:rPr>
              <w:t>13.2</w:t>
            </w:r>
          </w:p>
        </w:tc>
        <w:tc>
          <w:tcPr>
            <w:tcW w:w="4120" w:type="dxa"/>
            <w:vAlign w:val="bottom"/>
          </w:tcPr>
          <w:p>
            <w:pPr>
              <w:ind w:left="200"/>
              <w:spacing w:after="0" w:line="243" w:lineRule="exact"/>
              <w:rPr>
                <w:sz w:val="20"/>
                <w:szCs w:val="20"/>
                <w:color w:val="auto"/>
              </w:rPr>
            </w:pPr>
            <w:r>
              <w:rPr>
                <w:rFonts w:ascii="Arial" w:cs="Arial" w:eastAsia="Arial" w:hAnsi="Arial"/>
                <w:sz w:val="22"/>
                <w:szCs w:val="22"/>
                <w:color w:val="auto"/>
              </w:rPr>
              <w:t>Termination for Material Breach.73</w:t>
            </w:r>
          </w:p>
        </w:tc>
      </w:tr>
      <w:tr>
        <w:trPr>
          <w:trHeight w:val="243"/>
        </w:trPr>
        <w:tc>
          <w:tcPr>
            <w:tcW w:w="660" w:type="dxa"/>
            <w:vAlign w:val="bottom"/>
          </w:tcPr>
          <w:p>
            <w:pPr>
              <w:spacing w:after="0" w:line="243" w:lineRule="exact"/>
              <w:rPr>
                <w:sz w:val="20"/>
                <w:szCs w:val="20"/>
                <w:color w:val="auto"/>
              </w:rPr>
            </w:pPr>
            <w:r>
              <w:rPr>
                <w:rFonts w:ascii="Arial" w:cs="Arial" w:eastAsia="Arial" w:hAnsi="Arial"/>
                <w:sz w:val="22"/>
                <w:szCs w:val="22"/>
                <w:color w:val="auto"/>
              </w:rPr>
              <w:t>13.3</w:t>
            </w:r>
          </w:p>
        </w:tc>
        <w:tc>
          <w:tcPr>
            <w:tcW w:w="4120" w:type="dxa"/>
            <w:vAlign w:val="bottom"/>
          </w:tcPr>
          <w:p>
            <w:pPr>
              <w:ind w:left="200"/>
              <w:spacing w:after="0" w:line="243" w:lineRule="exact"/>
              <w:rPr>
                <w:sz w:val="20"/>
                <w:szCs w:val="20"/>
                <w:color w:val="auto"/>
              </w:rPr>
            </w:pPr>
            <w:r>
              <w:rPr>
                <w:rFonts w:ascii="Arial" w:cs="Arial" w:eastAsia="Arial" w:hAnsi="Arial"/>
                <w:sz w:val="22"/>
                <w:szCs w:val="22"/>
                <w:color w:val="auto"/>
                <w:w w:val="91"/>
              </w:rPr>
              <w:t>Additional Termination Rights by AbbVie.74</w:t>
            </w:r>
          </w:p>
        </w:tc>
      </w:tr>
      <w:tr>
        <w:trPr>
          <w:trHeight w:val="243"/>
        </w:trPr>
        <w:tc>
          <w:tcPr>
            <w:tcW w:w="660" w:type="dxa"/>
            <w:vAlign w:val="bottom"/>
          </w:tcPr>
          <w:p>
            <w:pPr>
              <w:spacing w:after="0" w:line="243" w:lineRule="exact"/>
              <w:rPr>
                <w:sz w:val="20"/>
                <w:szCs w:val="20"/>
                <w:color w:val="auto"/>
              </w:rPr>
            </w:pPr>
            <w:r>
              <w:rPr>
                <w:rFonts w:ascii="Arial" w:cs="Arial" w:eastAsia="Arial" w:hAnsi="Arial"/>
                <w:sz w:val="22"/>
                <w:szCs w:val="22"/>
                <w:color w:val="auto"/>
              </w:rPr>
              <w:t>13.4</w:t>
            </w:r>
          </w:p>
        </w:tc>
        <w:tc>
          <w:tcPr>
            <w:tcW w:w="4120" w:type="dxa"/>
            <w:vAlign w:val="bottom"/>
          </w:tcPr>
          <w:p>
            <w:pPr>
              <w:ind w:left="200"/>
              <w:spacing w:after="0" w:line="243" w:lineRule="exact"/>
              <w:rPr>
                <w:sz w:val="20"/>
                <w:szCs w:val="20"/>
                <w:color w:val="auto"/>
              </w:rPr>
            </w:pPr>
            <w:r>
              <w:rPr>
                <w:rFonts w:ascii="Arial" w:cs="Arial" w:eastAsia="Arial" w:hAnsi="Arial"/>
                <w:sz w:val="22"/>
                <w:szCs w:val="22"/>
                <w:color w:val="auto"/>
              </w:rPr>
              <w:t>Termination for Insolvency74</w:t>
            </w:r>
          </w:p>
        </w:tc>
      </w:tr>
      <w:tr>
        <w:trPr>
          <w:trHeight w:val="243"/>
        </w:trPr>
        <w:tc>
          <w:tcPr>
            <w:tcW w:w="660" w:type="dxa"/>
            <w:vAlign w:val="bottom"/>
          </w:tcPr>
          <w:p>
            <w:pPr>
              <w:spacing w:after="0" w:line="243" w:lineRule="exact"/>
              <w:rPr>
                <w:sz w:val="20"/>
                <w:szCs w:val="20"/>
                <w:color w:val="auto"/>
              </w:rPr>
            </w:pPr>
            <w:r>
              <w:rPr>
                <w:rFonts w:ascii="Arial" w:cs="Arial" w:eastAsia="Arial" w:hAnsi="Arial"/>
                <w:sz w:val="22"/>
                <w:szCs w:val="22"/>
                <w:color w:val="auto"/>
              </w:rPr>
              <w:t>13.5</w:t>
            </w:r>
          </w:p>
        </w:tc>
        <w:tc>
          <w:tcPr>
            <w:tcW w:w="4120" w:type="dxa"/>
            <w:vAlign w:val="bottom"/>
          </w:tcPr>
          <w:p>
            <w:pPr>
              <w:ind w:left="200"/>
              <w:spacing w:after="0" w:line="243" w:lineRule="exact"/>
              <w:rPr>
                <w:sz w:val="20"/>
                <w:szCs w:val="20"/>
                <w:color w:val="auto"/>
              </w:rPr>
            </w:pPr>
            <w:r>
              <w:rPr>
                <w:rFonts w:ascii="Arial" w:cs="Arial" w:eastAsia="Arial" w:hAnsi="Arial"/>
                <w:sz w:val="22"/>
                <w:szCs w:val="22"/>
                <w:color w:val="auto"/>
              </w:rPr>
              <w:t>Rights in Bankruptcy.75</w:t>
            </w:r>
          </w:p>
        </w:tc>
      </w:tr>
      <w:tr>
        <w:trPr>
          <w:trHeight w:val="243"/>
        </w:trPr>
        <w:tc>
          <w:tcPr>
            <w:tcW w:w="660" w:type="dxa"/>
            <w:vAlign w:val="bottom"/>
          </w:tcPr>
          <w:p>
            <w:pPr>
              <w:spacing w:after="0" w:line="243" w:lineRule="exact"/>
              <w:rPr>
                <w:sz w:val="20"/>
                <w:szCs w:val="20"/>
                <w:color w:val="auto"/>
              </w:rPr>
            </w:pPr>
            <w:r>
              <w:rPr>
                <w:rFonts w:ascii="Arial" w:cs="Arial" w:eastAsia="Arial" w:hAnsi="Arial"/>
                <w:sz w:val="22"/>
                <w:szCs w:val="22"/>
                <w:color w:val="auto"/>
              </w:rPr>
              <w:t>13.6</w:t>
            </w:r>
          </w:p>
        </w:tc>
        <w:tc>
          <w:tcPr>
            <w:tcW w:w="4120" w:type="dxa"/>
            <w:vAlign w:val="bottom"/>
          </w:tcPr>
          <w:p>
            <w:pPr>
              <w:ind w:left="200"/>
              <w:spacing w:after="0" w:line="243" w:lineRule="exact"/>
              <w:rPr>
                <w:sz w:val="20"/>
                <w:szCs w:val="20"/>
                <w:color w:val="auto"/>
              </w:rPr>
            </w:pPr>
            <w:r>
              <w:rPr>
                <w:rFonts w:ascii="Arial" w:cs="Arial" w:eastAsia="Arial" w:hAnsi="Arial"/>
                <w:sz w:val="22"/>
                <w:szCs w:val="22"/>
                <w:color w:val="auto"/>
              </w:rPr>
              <w:t>Termination in Entirety.75</w:t>
            </w:r>
          </w:p>
        </w:tc>
      </w:tr>
      <w:tr>
        <w:trPr>
          <w:trHeight w:val="243"/>
        </w:trPr>
        <w:tc>
          <w:tcPr>
            <w:tcW w:w="660" w:type="dxa"/>
            <w:vAlign w:val="bottom"/>
          </w:tcPr>
          <w:p>
            <w:pPr>
              <w:spacing w:after="0" w:line="243" w:lineRule="exact"/>
              <w:rPr>
                <w:sz w:val="20"/>
                <w:szCs w:val="20"/>
                <w:color w:val="auto"/>
              </w:rPr>
            </w:pPr>
            <w:r>
              <w:rPr>
                <w:rFonts w:ascii="Arial" w:cs="Arial" w:eastAsia="Arial" w:hAnsi="Arial"/>
                <w:sz w:val="22"/>
                <w:szCs w:val="22"/>
                <w:color w:val="auto"/>
              </w:rPr>
              <w:t>13.7</w:t>
            </w:r>
          </w:p>
        </w:tc>
        <w:tc>
          <w:tcPr>
            <w:tcW w:w="4120" w:type="dxa"/>
            <w:vAlign w:val="bottom"/>
          </w:tcPr>
          <w:p>
            <w:pPr>
              <w:ind w:left="200"/>
              <w:spacing w:after="0" w:line="243" w:lineRule="exact"/>
              <w:rPr>
                <w:sz w:val="20"/>
                <w:szCs w:val="20"/>
                <w:color w:val="auto"/>
              </w:rPr>
            </w:pPr>
            <w:r>
              <w:rPr>
                <w:rFonts w:ascii="Arial" w:cs="Arial" w:eastAsia="Arial" w:hAnsi="Arial"/>
                <w:sz w:val="22"/>
                <w:szCs w:val="22"/>
                <w:color w:val="auto"/>
              </w:rPr>
              <w:t>Termination of Terminated Territory76</w:t>
            </w:r>
          </w:p>
        </w:tc>
      </w:tr>
      <w:tr>
        <w:trPr>
          <w:trHeight w:val="243"/>
        </w:trPr>
        <w:tc>
          <w:tcPr>
            <w:tcW w:w="660" w:type="dxa"/>
            <w:vAlign w:val="bottom"/>
          </w:tcPr>
          <w:p>
            <w:pPr>
              <w:spacing w:after="0" w:line="243" w:lineRule="exact"/>
              <w:rPr>
                <w:sz w:val="20"/>
                <w:szCs w:val="20"/>
                <w:color w:val="auto"/>
              </w:rPr>
            </w:pPr>
            <w:r>
              <w:rPr>
                <w:rFonts w:ascii="Arial" w:cs="Arial" w:eastAsia="Arial" w:hAnsi="Arial"/>
                <w:sz w:val="22"/>
                <w:szCs w:val="22"/>
                <w:color w:val="auto"/>
              </w:rPr>
              <w:t>13.8</w:t>
            </w:r>
          </w:p>
        </w:tc>
        <w:tc>
          <w:tcPr>
            <w:tcW w:w="4120" w:type="dxa"/>
            <w:vAlign w:val="bottom"/>
          </w:tcPr>
          <w:p>
            <w:pPr>
              <w:ind w:left="200"/>
              <w:spacing w:after="0" w:line="243" w:lineRule="exact"/>
              <w:rPr>
                <w:sz w:val="20"/>
                <w:szCs w:val="20"/>
                <w:color w:val="auto"/>
              </w:rPr>
            </w:pPr>
            <w:r>
              <w:rPr>
                <w:rFonts w:ascii="Arial" w:cs="Arial" w:eastAsia="Arial" w:hAnsi="Arial"/>
                <w:sz w:val="22"/>
                <w:szCs w:val="22"/>
                <w:color w:val="auto"/>
              </w:rPr>
              <w:t>Termination of Accepted Target:76</w:t>
            </w:r>
          </w:p>
        </w:tc>
      </w:tr>
      <w:tr>
        <w:trPr>
          <w:trHeight w:val="243"/>
        </w:trPr>
        <w:tc>
          <w:tcPr>
            <w:tcW w:w="660" w:type="dxa"/>
            <w:vAlign w:val="bottom"/>
          </w:tcPr>
          <w:p>
            <w:pPr>
              <w:spacing w:after="0" w:line="243" w:lineRule="exact"/>
              <w:rPr>
                <w:sz w:val="20"/>
                <w:szCs w:val="20"/>
                <w:color w:val="auto"/>
              </w:rPr>
            </w:pPr>
            <w:r>
              <w:rPr>
                <w:rFonts w:ascii="Arial" w:cs="Arial" w:eastAsia="Arial" w:hAnsi="Arial"/>
                <w:sz w:val="22"/>
                <w:szCs w:val="22"/>
                <w:color w:val="auto"/>
              </w:rPr>
              <w:t>13.9</w:t>
            </w:r>
          </w:p>
        </w:tc>
        <w:tc>
          <w:tcPr>
            <w:tcW w:w="4120" w:type="dxa"/>
            <w:vAlign w:val="bottom"/>
          </w:tcPr>
          <w:p>
            <w:pPr>
              <w:ind w:left="200"/>
              <w:spacing w:after="0" w:line="243" w:lineRule="exact"/>
              <w:rPr>
                <w:sz w:val="20"/>
                <w:szCs w:val="20"/>
                <w:color w:val="auto"/>
              </w:rPr>
            </w:pPr>
            <w:r>
              <w:rPr>
                <w:rFonts w:ascii="Arial" w:cs="Arial" w:eastAsia="Arial" w:hAnsi="Arial"/>
                <w:sz w:val="22"/>
                <w:szCs w:val="22"/>
                <w:color w:val="auto"/>
              </w:rPr>
              <w:t>Remedies77</w:t>
            </w:r>
          </w:p>
        </w:tc>
      </w:t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13.10</w:t>
            </w:r>
          </w:p>
        </w:tc>
        <w:tc>
          <w:tcPr>
            <w:tcW w:w="4120" w:type="dxa"/>
            <w:vAlign w:val="bottom"/>
          </w:tcPr>
          <w:p>
            <w:pPr>
              <w:ind w:left="200"/>
              <w:spacing w:after="0"/>
              <w:rPr>
                <w:sz w:val="20"/>
                <w:szCs w:val="20"/>
                <w:color w:val="auto"/>
              </w:rPr>
            </w:pPr>
            <w:r>
              <w:rPr>
                <w:rFonts w:ascii="Arial" w:cs="Arial" w:eastAsia="Arial" w:hAnsi="Arial"/>
                <w:sz w:val="22"/>
                <w:szCs w:val="22"/>
                <w:color w:val="auto"/>
                <w:w w:val="97"/>
              </w:rPr>
              <w:t>Accrued Rights; Surviving Obligations.77</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ARTICLE 14 MISCELLANEOUS78</w:t>
      </w:r>
    </w:p>
    <w:p>
      <w:pPr>
        <w:spacing w:after="0" w:line="206"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Force Majeure78</w:t>
      </w:r>
    </w:p>
    <w:p>
      <w:pPr>
        <w:ind w:left="880"/>
        <w:spacing w:after="0"/>
        <w:tabs>
          <w:tab w:leader="none" w:pos="172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Change in Control of Licensor.78</w:t>
      </w:r>
    </w:p>
    <w:p>
      <w:pPr>
        <w:ind w:left="880"/>
        <w:spacing w:after="0"/>
        <w:tabs>
          <w:tab w:leader="none" w:pos="172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color w:val="auto"/>
        </w:rPr>
        <w:t>Export Control78</w:t>
      </w:r>
    </w:p>
    <w:p>
      <w:pPr>
        <w:ind w:left="880"/>
        <w:spacing w:after="0"/>
        <w:tabs>
          <w:tab w:leader="none" w:pos="172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Assignment.79</w:t>
      </w:r>
    </w:p>
    <w:p>
      <w:pPr>
        <w:spacing w:after="0" w:line="1"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Severability80</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93"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53"/>
        </w:trPr>
        <w:tc>
          <w:tcPr>
            <w:tcW w:w="1560" w:type="dxa"/>
            <w:vAlign w:val="bottom"/>
          </w:tcPr>
          <w:p>
            <w:pPr>
              <w:ind w:left="880"/>
              <w:spacing w:after="0"/>
              <w:rPr>
                <w:sz w:val="20"/>
                <w:szCs w:val="20"/>
                <w:color w:val="auto"/>
              </w:rPr>
            </w:pPr>
            <w:r>
              <w:rPr>
                <w:rFonts w:ascii="Arial" w:cs="Arial" w:eastAsia="Arial" w:hAnsi="Arial"/>
                <w:sz w:val="22"/>
                <w:szCs w:val="22"/>
                <w:color w:val="auto"/>
              </w:rPr>
              <w:t>14.6</w:t>
            </w:r>
          </w:p>
        </w:tc>
        <w:tc>
          <w:tcPr>
            <w:tcW w:w="9880" w:type="dxa"/>
            <w:vAlign w:val="bottom"/>
          </w:tcPr>
          <w:p>
            <w:pPr>
              <w:ind w:left="180"/>
              <w:spacing w:after="0"/>
              <w:rPr>
                <w:sz w:val="20"/>
                <w:szCs w:val="20"/>
                <w:color w:val="auto"/>
              </w:rPr>
            </w:pPr>
            <w:r>
              <w:rPr>
                <w:rFonts w:ascii="Arial" w:cs="Arial" w:eastAsia="Arial" w:hAnsi="Arial"/>
                <w:sz w:val="22"/>
                <w:szCs w:val="22"/>
                <w:color w:val="auto"/>
              </w:rPr>
              <w:t>Governing Law, Jurisdiction and Service.80</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14.7</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Dispute Resolution81</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14.8</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Notices.82</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14.9</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Entire Agreement; Amendments83</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14.10</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English Language84</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14.11</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Waiver and Non-Exclusion of Remedies84</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14.12</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No Benefit to Third Parties84</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14.13</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Further Assurance84</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14.14</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Relationship of the Parties84</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14.15</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Performance by Affiliates84</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14.16</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Counterparts; Facsimile Execution85</w:t>
            </w:r>
          </w:p>
        </w:tc>
      </w:tr>
      <w:tr>
        <w:trPr>
          <w:trHeight w:val="243"/>
        </w:trPr>
        <w:tc>
          <w:tcPr>
            <w:tcW w:w="1560" w:type="dxa"/>
            <w:vAlign w:val="bottom"/>
          </w:tcPr>
          <w:p>
            <w:pPr>
              <w:ind w:left="880"/>
              <w:spacing w:after="0" w:line="243" w:lineRule="exact"/>
              <w:rPr>
                <w:sz w:val="20"/>
                <w:szCs w:val="20"/>
                <w:color w:val="auto"/>
              </w:rPr>
            </w:pPr>
            <w:r>
              <w:rPr>
                <w:rFonts w:ascii="Arial" w:cs="Arial" w:eastAsia="Arial" w:hAnsi="Arial"/>
                <w:sz w:val="22"/>
                <w:szCs w:val="22"/>
                <w:color w:val="auto"/>
              </w:rPr>
              <w:t>14.17</w:t>
            </w:r>
          </w:p>
        </w:tc>
        <w:tc>
          <w:tcPr>
            <w:tcW w:w="9880" w:type="dxa"/>
            <w:vAlign w:val="bottom"/>
          </w:tcPr>
          <w:p>
            <w:pPr>
              <w:ind w:left="180"/>
              <w:spacing w:after="0" w:line="243" w:lineRule="exact"/>
              <w:rPr>
                <w:sz w:val="20"/>
                <w:szCs w:val="20"/>
                <w:color w:val="auto"/>
              </w:rPr>
            </w:pPr>
            <w:r>
              <w:rPr>
                <w:rFonts w:ascii="Arial" w:cs="Arial" w:eastAsia="Arial" w:hAnsi="Arial"/>
                <w:sz w:val="22"/>
                <w:szCs w:val="22"/>
                <w:color w:val="auto"/>
              </w:rPr>
              <w:t>References85</w:t>
            </w:r>
          </w:p>
        </w:tc>
      </w:tr>
      <w:tr>
        <w:trPr>
          <w:trHeight w:val="275"/>
        </w:trPr>
        <w:tc>
          <w:tcPr>
            <w:tcW w:w="1560" w:type="dxa"/>
            <w:vAlign w:val="bottom"/>
          </w:tcPr>
          <w:p>
            <w:pPr>
              <w:ind w:left="880"/>
              <w:spacing w:after="0"/>
              <w:rPr>
                <w:sz w:val="20"/>
                <w:szCs w:val="20"/>
                <w:color w:val="auto"/>
              </w:rPr>
            </w:pPr>
            <w:r>
              <w:rPr>
                <w:rFonts w:ascii="Arial" w:cs="Arial" w:eastAsia="Arial" w:hAnsi="Arial"/>
                <w:sz w:val="22"/>
                <w:szCs w:val="22"/>
                <w:color w:val="auto"/>
              </w:rPr>
              <w:t>14.18</w:t>
            </w:r>
          </w:p>
        </w:tc>
        <w:tc>
          <w:tcPr>
            <w:tcW w:w="9880" w:type="dxa"/>
            <w:vAlign w:val="bottom"/>
          </w:tcPr>
          <w:p>
            <w:pPr>
              <w:ind w:left="180"/>
              <w:spacing w:after="0"/>
              <w:rPr>
                <w:sz w:val="20"/>
                <w:szCs w:val="20"/>
                <w:color w:val="auto"/>
              </w:rPr>
            </w:pPr>
            <w:r>
              <w:rPr>
                <w:rFonts w:ascii="Arial" w:cs="Arial" w:eastAsia="Arial" w:hAnsi="Arial"/>
                <w:sz w:val="22"/>
                <w:szCs w:val="22"/>
                <w:color w:val="auto"/>
              </w:rPr>
              <w:t>Construction85</w:t>
            </w:r>
          </w:p>
        </w:tc>
      </w:tr>
      <w:tr>
        <w:trPr>
          <w:trHeight w:val="473"/>
        </w:trPr>
        <w:tc>
          <w:tcPr>
            <w:tcW w:w="1560" w:type="dxa"/>
            <w:vAlign w:val="bottom"/>
          </w:tcPr>
          <w:p>
            <w:pPr>
              <w:spacing w:after="0"/>
              <w:rPr>
                <w:sz w:val="20"/>
                <w:szCs w:val="20"/>
                <w:color w:val="auto"/>
              </w:rPr>
            </w:pPr>
            <w:r>
              <w:rPr>
                <w:rFonts w:ascii="Arial" w:cs="Arial" w:eastAsia="Arial" w:hAnsi="Arial"/>
                <w:sz w:val="22"/>
                <w:szCs w:val="22"/>
                <w:b w:val="1"/>
                <w:bCs w:val="1"/>
                <w:color w:val="auto"/>
              </w:rPr>
              <w:t>SCHEDULES</w:t>
            </w:r>
          </w:p>
        </w:tc>
        <w:tc>
          <w:tcPr>
            <w:tcW w:w="9880" w:type="dxa"/>
            <w:vAlign w:val="bottom"/>
          </w:tcPr>
          <w:p>
            <w:pPr>
              <w:spacing w:after="0"/>
              <w:rPr>
                <w:sz w:val="24"/>
                <w:szCs w:val="24"/>
                <w:color w:val="auto"/>
              </w:rPr>
            </w:pPr>
          </w:p>
        </w:tc>
      </w:tr>
      <w:tr>
        <w:trPr>
          <w:trHeight w:val="441"/>
        </w:trPr>
        <w:tc>
          <w:tcPr>
            <w:tcW w:w="1560" w:type="dxa"/>
            <w:vAlign w:val="bottom"/>
          </w:tcPr>
          <w:p>
            <w:pPr>
              <w:spacing w:after="0"/>
              <w:rPr>
                <w:sz w:val="20"/>
                <w:szCs w:val="20"/>
                <w:color w:val="auto"/>
              </w:rPr>
            </w:pPr>
            <w:r>
              <w:rPr>
                <w:rFonts w:ascii="Arial" w:cs="Arial" w:eastAsia="Arial" w:hAnsi="Arial"/>
                <w:sz w:val="22"/>
                <w:szCs w:val="22"/>
                <w:color w:val="auto"/>
              </w:rPr>
              <w:t>Schedule 1.19</w:t>
            </w:r>
          </w:p>
        </w:tc>
        <w:tc>
          <w:tcPr>
            <w:tcW w:w="9880" w:type="dxa"/>
            <w:vAlign w:val="bottom"/>
          </w:tcPr>
          <w:p>
            <w:pPr>
              <w:ind w:left="320"/>
              <w:spacing w:after="0"/>
              <w:rPr>
                <w:sz w:val="20"/>
                <w:szCs w:val="20"/>
                <w:color w:val="auto"/>
              </w:rPr>
            </w:pPr>
            <w:r>
              <w:rPr>
                <w:rFonts w:ascii="Arial" w:cs="Arial" w:eastAsia="Arial" w:hAnsi="Arial"/>
                <w:sz w:val="22"/>
                <w:szCs w:val="22"/>
                <w:color w:val="auto"/>
              </w:rPr>
              <w:t>Announced Reserved Programs</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Schedule 1.21</w:t>
            </w:r>
          </w:p>
        </w:tc>
        <w:tc>
          <w:tcPr>
            <w:tcW w:w="9880" w:type="dxa"/>
            <w:vAlign w:val="bottom"/>
          </w:tcPr>
          <w:p>
            <w:pPr>
              <w:ind w:left="320"/>
              <w:spacing w:after="0" w:line="243" w:lineRule="exact"/>
              <w:rPr>
                <w:sz w:val="20"/>
                <w:szCs w:val="20"/>
                <w:color w:val="auto"/>
              </w:rPr>
            </w:pPr>
            <w:r>
              <w:rPr>
                <w:rFonts w:ascii="Arial" w:cs="Arial" w:eastAsia="Arial" w:hAnsi="Arial"/>
                <w:sz w:val="22"/>
                <w:szCs w:val="22"/>
                <w:color w:val="auto"/>
              </w:rPr>
              <w:t>Antibody Criteria</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Schedule 1.52</w:t>
            </w:r>
          </w:p>
        </w:tc>
        <w:tc>
          <w:tcPr>
            <w:tcW w:w="9880" w:type="dxa"/>
            <w:vAlign w:val="bottom"/>
          </w:tcPr>
          <w:p>
            <w:pPr>
              <w:ind w:left="320"/>
              <w:spacing w:after="0" w:line="243" w:lineRule="exact"/>
              <w:rPr>
                <w:sz w:val="20"/>
                <w:szCs w:val="20"/>
                <w:color w:val="auto"/>
              </w:rPr>
            </w:pPr>
            <w:r>
              <w:rPr>
                <w:rFonts w:ascii="Arial" w:cs="Arial" w:eastAsia="Arial" w:hAnsi="Arial"/>
                <w:sz w:val="22"/>
                <w:szCs w:val="22"/>
                <w:color w:val="auto"/>
              </w:rPr>
              <w:t>Corporate Names</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Schedule 1.60</w:t>
            </w:r>
          </w:p>
        </w:tc>
        <w:tc>
          <w:tcPr>
            <w:tcW w:w="9880" w:type="dxa"/>
            <w:vAlign w:val="bottom"/>
          </w:tcPr>
          <w:p>
            <w:pPr>
              <w:ind w:left="320"/>
              <w:spacing w:after="0" w:line="243" w:lineRule="exact"/>
              <w:rPr>
                <w:sz w:val="20"/>
                <w:szCs w:val="20"/>
                <w:color w:val="auto"/>
              </w:rPr>
            </w:pPr>
            <w:r>
              <w:rPr>
                <w:rFonts w:ascii="Arial" w:cs="Arial" w:eastAsia="Arial" w:hAnsi="Arial"/>
                <w:sz w:val="22"/>
                <w:szCs w:val="22"/>
                <w:color w:val="auto"/>
              </w:rPr>
              <w:t>Discovery PDC Success Criteria</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Schedule 1.63</w:t>
            </w:r>
          </w:p>
        </w:tc>
        <w:tc>
          <w:tcPr>
            <w:tcW w:w="9880" w:type="dxa"/>
            <w:vAlign w:val="bottom"/>
          </w:tcPr>
          <w:p>
            <w:pPr>
              <w:ind w:left="320"/>
              <w:spacing w:after="0" w:line="243" w:lineRule="exact"/>
              <w:rPr>
                <w:sz w:val="20"/>
                <w:szCs w:val="20"/>
                <w:color w:val="auto"/>
              </w:rPr>
            </w:pPr>
            <w:r>
              <w:rPr>
                <w:rFonts w:ascii="Arial" w:cs="Arial" w:eastAsia="Arial" w:hAnsi="Arial"/>
                <w:sz w:val="22"/>
                <w:szCs w:val="22"/>
                <w:color w:val="auto"/>
              </w:rPr>
              <w:t>Discovery Probody Success Criteria</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Schedule 1.64</w:t>
            </w:r>
          </w:p>
        </w:tc>
        <w:tc>
          <w:tcPr>
            <w:tcW w:w="9880" w:type="dxa"/>
            <w:vAlign w:val="bottom"/>
          </w:tcPr>
          <w:p>
            <w:pPr>
              <w:ind w:left="320"/>
              <w:spacing w:after="0" w:line="243" w:lineRule="exact"/>
              <w:rPr>
                <w:sz w:val="20"/>
                <w:szCs w:val="20"/>
                <w:color w:val="auto"/>
              </w:rPr>
            </w:pPr>
            <w:r>
              <w:rPr>
                <w:rFonts w:ascii="Arial" w:cs="Arial" w:eastAsia="Arial" w:hAnsi="Arial"/>
                <w:sz w:val="22"/>
                <w:szCs w:val="22"/>
                <w:color w:val="auto"/>
              </w:rPr>
              <w:t>Discovery Research Plan</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Schedule 1.178</w:t>
            </w:r>
          </w:p>
        </w:tc>
        <w:tc>
          <w:tcPr>
            <w:tcW w:w="9880" w:type="dxa"/>
            <w:vAlign w:val="bottom"/>
          </w:tcPr>
          <w:p>
            <w:pPr>
              <w:ind w:left="420"/>
              <w:spacing w:after="0" w:line="243" w:lineRule="exact"/>
              <w:rPr>
                <w:sz w:val="20"/>
                <w:szCs w:val="20"/>
                <w:color w:val="auto"/>
              </w:rPr>
            </w:pPr>
            <w:r>
              <w:rPr>
                <w:rFonts w:ascii="Arial" w:cs="Arial" w:eastAsia="Arial" w:hAnsi="Arial"/>
                <w:sz w:val="22"/>
                <w:szCs w:val="22"/>
                <w:color w:val="auto"/>
              </w:rPr>
              <w:t>Tool Patents</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Schedule 7.4.4</w:t>
            </w:r>
          </w:p>
        </w:tc>
        <w:tc>
          <w:tcPr>
            <w:tcW w:w="9880" w:type="dxa"/>
            <w:vAlign w:val="bottom"/>
          </w:tcPr>
          <w:p>
            <w:pPr>
              <w:ind w:left="380"/>
              <w:spacing w:after="0" w:line="243" w:lineRule="exact"/>
              <w:rPr>
                <w:sz w:val="20"/>
                <w:szCs w:val="20"/>
                <w:color w:val="auto"/>
              </w:rPr>
            </w:pPr>
            <w:r>
              <w:rPr>
                <w:rFonts w:ascii="Arial" w:cs="Arial" w:eastAsia="Arial" w:hAnsi="Arial"/>
                <w:sz w:val="22"/>
                <w:szCs w:val="22"/>
                <w:color w:val="auto"/>
              </w:rPr>
              <w:t>Peer-Reviewed Publications</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rPr>
              <w:t>Schedule 10.4</w:t>
            </w:r>
          </w:p>
        </w:tc>
        <w:tc>
          <w:tcPr>
            <w:tcW w:w="9880" w:type="dxa"/>
            <w:vAlign w:val="bottom"/>
          </w:tcPr>
          <w:p>
            <w:pPr>
              <w:ind w:left="320"/>
              <w:spacing w:after="0" w:line="243" w:lineRule="exact"/>
              <w:rPr>
                <w:sz w:val="20"/>
                <w:szCs w:val="20"/>
                <w:color w:val="auto"/>
              </w:rPr>
            </w:pPr>
            <w:r>
              <w:rPr>
                <w:rFonts w:ascii="Arial" w:cs="Arial" w:eastAsia="Arial" w:hAnsi="Arial"/>
                <w:sz w:val="22"/>
                <w:szCs w:val="22"/>
                <w:color w:val="auto"/>
              </w:rPr>
              <w:t>Form of Press Release</w:t>
            </w:r>
          </w:p>
        </w:tc>
      </w:tr>
      <w:tr>
        <w:trPr>
          <w:trHeight w:val="243"/>
        </w:trPr>
        <w:tc>
          <w:tcPr>
            <w:tcW w:w="1560" w:type="dxa"/>
            <w:vAlign w:val="bottom"/>
          </w:tcPr>
          <w:p>
            <w:pPr>
              <w:spacing w:after="0" w:line="243" w:lineRule="exact"/>
              <w:rPr>
                <w:sz w:val="20"/>
                <w:szCs w:val="20"/>
                <w:color w:val="auto"/>
              </w:rPr>
            </w:pPr>
            <w:r>
              <w:rPr>
                <w:rFonts w:ascii="Arial" w:cs="Arial" w:eastAsia="Arial" w:hAnsi="Arial"/>
                <w:sz w:val="22"/>
                <w:szCs w:val="22"/>
                <w:color w:val="auto"/>
                <w:w w:val="96"/>
              </w:rPr>
              <w:t>Schedule 11.2.1</w:t>
            </w:r>
          </w:p>
        </w:tc>
        <w:tc>
          <w:tcPr>
            <w:tcW w:w="9880" w:type="dxa"/>
            <w:vAlign w:val="bottom"/>
          </w:tcPr>
          <w:p>
            <w:pPr>
              <w:ind w:left="480"/>
              <w:spacing w:after="0" w:line="243" w:lineRule="exact"/>
              <w:rPr>
                <w:sz w:val="20"/>
                <w:szCs w:val="20"/>
                <w:color w:val="auto"/>
              </w:rPr>
            </w:pPr>
            <w:r>
              <w:rPr>
                <w:rFonts w:ascii="Arial" w:cs="Arial" w:eastAsia="Arial" w:hAnsi="Arial"/>
                <w:sz w:val="22"/>
                <w:szCs w:val="22"/>
                <w:color w:val="auto"/>
              </w:rPr>
              <w:t>Existing Patents</w:t>
            </w:r>
          </w:p>
        </w:tc>
      </w:tr>
      <w:tr>
        <w:trPr>
          <w:trHeight w:val="275"/>
        </w:trPr>
        <w:tc>
          <w:tcPr>
            <w:tcW w:w="1560" w:type="dxa"/>
            <w:vAlign w:val="bottom"/>
          </w:tcPr>
          <w:p>
            <w:pPr>
              <w:spacing w:after="0"/>
              <w:rPr>
                <w:sz w:val="20"/>
                <w:szCs w:val="20"/>
                <w:color w:val="auto"/>
              </w:rPr>
            </w:pPr>
            <w:r>
              <w:rPr>
                <w:rFonts w:ascii="Arial" w:cs="Arial" w:eastAsia="Arial" w:hAnsi="Arial"/>
                <w:sz w:val="22"/>
                <w:szCs w:val="22"/>
                <w:color w:val="auto"/>
                <w:w w:val="96"/>
              </w:rPr>
              <w:t>Schedule 14.7.3</w:t>
            </w:r>
          </w:p>
        </w:tc>
        <w:tc>
          <w:tcPr>
            <w:tcW w:w="9880" w:type="dxa"/>
            <w:vAlign w:val="bottom"/>
          </w:tcPr>
          <w:p>
            <w:pPr>
              <w:ind w:left="480"/>
              <w:spacing w:after="0"/>
              <w:rPr>
                <w:sz w:val="20"/>
                <w:szCs w:val="20"/>
                <w:color w:val="auto"/>
              </w:rPr>
            </w:pPr>
            <w:r>
              <w:rPr>
                <w:rFonts w:ascii="Arial" w:cs="Arial" w:eastAsia="Arial" w:hAnsi="Arial"/>
                <w:sz w:val="22"/>
                <w:szCs w:val="22"/>
                <w:color w:val="auto"/>
              </w:rPr>
              <w:t>ADR Procedures</w:t>
            </w:r>
          </w:p>
        </w:tc>
      </w:tr>
      <w:tr>
        <w:trPr>
          <w:trHeight w:val="662"/>
        </w:trPr>
        <w:tc>
          <w:tcPr>
            <w:tcW w:w="1560" w:type="dxa"/>
            <w:vAlign w:val="bottom"/>
          </w:tcPr>
          <w:p>
            <w:pPr>
              <w:ind w:left="880"/>
              <w:spacing w:after="0"/>
              <w:rPr>
                <w:sz w:val="20"/>
                <w:szCs w:val="20"/>
                <w:color w:val="auto"/>
              </w:rPr>
            </w:pPr>
            <w:r>
              <w:rPr>
                <w:rFonts w:ascii="Arial" w:cs="Arial" w:eastAsia="Arial" w:hAnsi="Arial"/>
                <w:sz w:val="22"/>
                <w:szCs w:val="22"/>
                <w:color w:val="auto"/>
              </w:rPr>
              <w:t>- iv -</w:t>
            </w:r>
          </w:p>
        </w:tc>
        <w:tc>
          <w:tcPr>
            <w:tcW w:w="9880" w:type="dxa"/>
            <w:vAlign w:val="bottom"/>
          </w:tcPr>
          <w:p>
            <w:pPr>
              <w:spacing w:after="0"/>
              <w:rPr>
                <w:sz w:val="24"/>
                <w:szCs w:val="24"/>
                <w:color w:val="auto"/>
              </w:rPr>
            </w:pPr>
          </w:p>
        </w:tc>
      </w:tr>
      <w:tr>
        <w:trPr>
          <w:trHeight w:val="294"/>
        </w:trPr>
        <w:tc>
          <w:tcPr>
            <w:tcW w:w="156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7" w:right="219" w:bottom="1440" w:gutter="0" w:footer="0" w:header="0"/>
        </w:sectPr>
      </w:pPr>
    </w:p>
    <w:bookmarkStart w:id="82" w:name="page83"/>
    <w:bookmarkEnd w:id="82"/>
    <w:p>
      <w:pPr>
        <w:ind w:left="3020"/>
        <w:spacing w:after="0"/>
        <w:rPr>
          <w:sz w:val="20"/>
          <w:szCs w:val="20"/>
          <w:color w:val="auto"/>
        </w:rPr>
      </w:pPr>
      <w:r>
        <w:rPr>
          <w:rFonts w:ascii="Arial" w:cs="Arial" w:eastAsia="Arial" w:hAnsi="Arial"/>
          <w:sz w:val="22"/>
          <w:szCs w:val="22"/>
          <w:b w:val="1"/>
          <w:bCs w:val="1"/>
          <w:color w:val="auto"/>
        </w:rPr>
        <w:t>DISCOVERY COLLABORATION AND LICENSE AGREEMENT</w:t>
      </w:r>
    </w:p>
    <w:p>
      <w:pPr>
        <w:spacing w:after="0" w:line="206" w:lineRule="exact"/>
        <w:rPr>
          <w:sz w:val="20"/>
          <w:szCs w:val="20"/>
          <w:color w:val="auto"/>
        </w:rPr>
      </w:pPr>
    </w:p>
    <w:p>
      <w:pPr>
        <w:jc w:val="both"/>
        <w:ind w:firstLine="256"/>
        <w:spacing w:after="0" w:line="237" w:lineRule="auto"/>
        <w:rPr>
          <w:sz w:val="20"/>
          <w:szCs w:val="20"/>
          <w:color w:val="auto"/>
        </w:rPr>
      </w:pPr>
      <w:r>
        <w:rPr>
          <w:rFonts w:ascii="Arial" w:cs="Arial" w:eastAsia="Arial" w:hAnsi="Arial"/>
          <w:sz w:val="22"/>
          <w:szCs w:val="22"/>
          <w:color w:val="auto"/>
        </w:rPr>
        <w:t>This Amended and Restated Discovery Collaboration and License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June 28, 2019 with an effective date of April 21, 2016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CytomX Therapeutics, Inc., a corporation organized under the laws of Delaware (“</w:t>
      </w:r>
      <w:r>
        <w:rPr>
          <w:rFonts w:ascii="Arial" w:cs="Arial" w:eastAsia="Arial" w:hAnsi="Arial"/>
          <w:sz w:val="22"/>
          <w:szCs w:val="22"/>
          <w:b w:val="1"/>
          <w:bCs w:val="1"/>
          <w:color w:val="auto"/>
        </w:rPr>
        <w:t>Licensor</w:t>
      </w:r>
      <w:r>
        <w:rPr>
          <w:rFonts w:ascii="Arial" w:cs="Arial" w:eastAsia="Arial" w:hAnsi="Arial"/>
          <w:sz w:val="22"/>
          <w:szCs w:val="22"/>
          <w:color w:val="auto"/>
        </w:rPr>
        <w:t>”), and AbbVie Ireland Unlimited Company, an unlimited company organized under the laws of Ireland (“</w:t>
      </w:r>
      <w:r>
        <w:rPr>
          <w:rFonts w:ascii="Arial" w:cs="Arial" w:eastAsia="Arial" w:hAnsi="Arial"/>
          <w:sz w:val="22"/>
          <w:szCs w:val="22"/>
          <w:b w:val="1"/>
          <w:bCs w:val="1"/>
          <w:color w:val="auto"/>
        </w:rPr>
        <w:t>AbbVie</w:t>
      </w:r>
      <w:r>
        <w:rPr>
          <w:rFonts w:ascii="Arial" w:cs="Arial" w:eastAsia="Arial" w:hAnsi="Arial"/>
          <w:sz w:val="22"/>
          <w:szCs w:val="22"/>
          <w:color w:val="auto"/>
        </w:rPr>
        <w:t>”). Licensor and AbbVie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25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Licensor controls certain intellectual property rights with respect to Probodies (as defined herein) in the Territory</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herein);</w:t>
      </w:r>
    </w:p>
    <w:p>
      <w:pPr>
        <w:spacing w:after="0" w:line="55" w:lineRule="exact"/>
        <w:rPr>
          <w:sz w:val="20"/>
          <w:szCs w:val="20"/>
          <w:color w:val="auto"/>
        </w:rPr>
      </w:pPr>
    </w:p>
    <w:p>
      <w:pPr>
        <w:jc w:val="both"/>
        <w:ind w:firstLine="256"/>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Licensor and AbbVie desire to collaborate in the research and development of Discovery Probodies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in accordance with the terms and conditions set forth below; and</w:t>
      </w:r>
    </w:p>
    <w:p>
      <w:pPr>
        <w:spacing w:after="0" w:line="55" w:lineRule="exact"/>
        <w:rPr>
          <w:sz w:val="20"/>
          <w:szCs w:val="20"/>
          <w:color w:val="auto"/>
        </w:rPr>
      </w:pPr>
    </w:p>
    <w:p>
      <w:pPr>
        <w:jc w:val="both"/>
        <w:ind w:firstLine="256"/>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Licensor wishes to grant a license to AbbVie, and AbbVie wishes to take, a license under such intellectual</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 rights to research and develop Discovery Probodies and to research, develop and commercialize AbbVie Probodies (as defined herein), Discovery PDCs (as defined herein) and Licensed Products (as defined herein) in the Territory (as defined herein), in each case in accordance with the terms and conditions set forth below.</w:t>
      </w:r>
    </w:p>
    <w:p>
      <w:pPr>
        <w:spacing w:after="0" w:line="73" w:lineRule="exact"/>
        <w:rPr>
          <w:sz w:val="20"/>
          <w:szCs w:val="20"/>
          <w:color w:val="auto"/>
        </w:rPr>
      </w:pPr>
    </w:p>
    <w:p>
      <w:pPr>
        <w:jc w:val="both"/>
        <w:ind w:firstLine="256"/>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the mutual promises and conditions hereinafter set forth,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intending to be legally bound, do hereby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Unless otherwise specifically provided herein, the following terms shall have the following meanings:</w:t>
      </w:r>
    </w:p>
    <w:p>
      <w:pPr>
        <w:spacing w:after="0" w:line="92"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AbbVie</w:t>
      </w:r>
      <w:r>
        <w:rPr>
          <w:rFonts w:ascii="Arial" w:cs="Arial" w:eastAsia="Arial" w:hAnsi="Arial"/>
          <w:sz w:val="19"/>
          <w:szCs w:val="19"/>
          <w:color w:val="auto"/>
        </w:rPr>
        <w:t>” has the meaning set forth in the preamble hereto.</w:t>
      </w:r>
    </w:p>
    <w:p>
      <w:pPr>
        <w:spacing w:after="0" w:line="98"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AbbVie Background Know-How</w:t>
      </w:r>
      <w:r>
        <w:rPr>
          <w:rFonts w:ascii="Arial" w:cs="Arial" w:eastAsia="Arial" w:hAnsi="Arial"/>
          <w:sz w:val="19"/>
          <w:szCs w:val="19"/>
          <w:color w:val="auto"/>
        </w:rPr>
        <w:t>” means all Information that is [***].</w:t>
      </w:r>
    </w:p>
    <w:p>
      <w:pPr>
        <w:spacing w:after="0" w:line="98"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AbbVie Background Patents</w:t>
      </w:r>
      <w:r>
        <w:rPr>
          <w:rFonts w:ascii="Arial" w:cs="Arial" w:eastAsia="Arial" w:hAnsi="Arial"/>
          <w:sz w:val="19"/>
          <w:szCs w:val="19"/>
          <w:color w:val="auto"/>
        </w:rPr>
        <w:t>” means all Patents that are [***].</w:t>
      </w:r>
    </w:p>
    <w:p>
      <w:pPr>
        <w:spacing w:after="0" w:line="98"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AbbVie Indemnitees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12.2</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89" w:lineRule="auto"/>
        <w:rPr>
          <w:sz w:val="20"/>
          <w:szCs w:val="20"/>
          <w:color w:val="auto"/>
        </w:rPr>
      </w:pPr>
      <w:r>
        <w:rPr>
          <w:rFonts w:ascii="Arial" w:cs="Arial" w:eastAsia="Arial" w:hAnsi="Arial"/>
          <w:sz w:val="19"/>
          <w:szCs w:val="19"/>
          <w:b w:val="1"/>
          <w:bCs w:val="1"/>
          <w:color w:val="auto"/>
        </w:rPr>
        <w:t xml:space="preserve">1.5 </w:t>
      </w:r>
      <w:r>
        <w:rPr>
          <w:rFonts w:ascii="Arial" w:cs="Arial" w:eastAsia="Arial" w:hAnsi="Arial"/>
          <w:sz w:val="19"/>
          <w:szCs w:val="19"/>
          <w:color w:val="auto"/>
        </w:rPr>
        <w:t>“</w:t>
      </w:r>
      <w:r>
        <w:rPr>
          <w:rFonts w:ascii="Arial" w:cs="Arial" w:eastAsia="Arial" w:hAnsi="Arial"/>
          <w:sz w:val="19"/>
          <w:szCs w:val="19"/>
          <w:b w:val="1"/>
          <w:bCs w:val="1"/>
          <w:color w:val="auto"/>
        </w:rPr>
        <w:t>AbbVie In-License Agreement</w:t>
      </w:r>
      <w:r>
        <w:rPr>
          <w:rFonts w:ascii="Arial" w:cs="Arial" w:eastAsia="Arial" w:hAnsi="Arial"/>
          <w:sz w:val="19"/>
          <w:szCs w:val="19"/>
          <w:color w:val="auto"/>
        </w:rPr>
        <w:t>” means any existing agreements and any agreement entered into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during the Term between AbbVie and a Third Party under which payments by AbbVie or its Affiliates are required for intellectual property covering the Development, Manufacture, or Commercialization of any AbbVie Probody, Discovery PDC or Licensed Product, including any agreement entered into pursuant to </w:t>
      </w:r>
      <w:r>
        <w:rPr>
          <w:rFonts w:ascii="Arial" w:cs="Arial" w:eastAsia="Arial" w:hAnsi="Arial"/>
          <w:sz w:val="19"/>
          <w:szCs w:val="19"/>
          <w:u w:val="single" w:color="auto"/>
          <w:color w:val="auto"/>
        </w:rPr>
        <w:t>Section 8.6</w:t>
      </w:r>
      <w:r>
        <w:rPr>
          <w:rFonts w:ascii="Arial" w:cs="Arial" w:eastAsia="Arial" w:hAnsi="Arial"/>
          <w:sz w:val="19"/>
          <w:szCs w:val="19"/>
          <w:color w:val="auto"/>
        </w:rPr>
        <w:t>, as such agreements may be amended from time-to-time.</w:t>
      </w:r>
    </w:p>
    <w:p>
      <w:pPr>
        <w:spacing w:after="0" w:line="2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color w:val="auto"/>
        </w:rPr>
        <w:t>AbbVie Probody</w:t>
      </w:r>
      <w:r>
        <w:rPr>
          <w:rFonts w:ascii="Arial" w:cs="Arial" w:eastAsia="Arial" w:hAnsi="Arial"/>
          <w:sz w:val="22"/>
          <w:szCs w:val="22"/>
          <w:color w:val="auto"/>
        </w:rPr>
        <w:t>” means a Discovery Probody targeting the AbbVie Probody Target for which</w:t>
      </w:r>
      <w:r>
        <w:rPr>
          <w:rFonts w:ascii="Arial" w:cs="Arial" w:eastAsia="Arial" w:hAnsi="Arial"/>
          <w:sz w:val="22"/>
          <w:szCs w:val="22"/>
          <w:b w:val="1"/>
          <w:bCs w:val="1"/>
          <w:color w:val="auto"/>
        </w:rPr>
        <w:t xml:space="preserve"> </w:t>
      </w:r>
      <w:r>
        <w:rPr>
          <w:rFonts w:ascii="Arial" w:cs="Arial" w:eastAsia="Arial" w:hAnsi="Arial"/>
          <w:sz w:val="22"/>
          <w:szCs w:val="22"/>
          <w:color w:val="auto"/>
        </w:rPr>
        <w:t>AbbVie has not exercised the Option to Develop and Commercialize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83" w:name="page84"/>
    <w:bookmarkEnd w:id="83"/>
    <w:p>
      <w:pPr>
        <w:jc w:val="both"/>
        <w:spacing w:after="0"/>
        <w:rPr>
          <w:sz w:val="20"/>
          <w:szCs w:val="20"/>
          <w:color w:val="auto"/>
        </w:rPr>
      </w:pPr>
      <w:r>
        <w:rPr>
          <w:rFonts w:ascii="Arial" w:cs="Arial" w:eastAsia="Arial" w:hAnsi="Arial"/>
          <w:sz w:val="22"/>
          <w:szCs w:val="22"/>
          <w:color w:val="auto"/>
        </w:rPr>
        <w:t xml:space="preserve">Discovery PDCs pursuant to </w:t>
      </w:r>
      <w:r>
        <w:rPr>
          <w:rFonts w:ascii="Arial" w:cs="Arial" w:eastAsia="Arial" w:hAnsi="Arial"/>
          <w:sz w:val="22"/>
          <w:szCs w:val="22"/>
          <w:u w:val="single" w:color="auto"/>
          <w:color w:val="auto"/>
        </w:rPr>
        <w:t>Section 4.3.1</w:t>
      </w:r>
      <w:r>
        <w:rPr>
          <w:rFonts w:ascii="Arial" w:cs="Arial" w:eastAsia="Arial" w:hAnsi="Arial"/>
          <w:sz w:val="22"/>
          <w:szCs w:val="22"/>
          <w:color w:val="auto"/>
        </w:rPr>
        <w:t xml:space="preserve">. For the purpose of clarity, if AbbVie exercises the Option to Develop and Commercialize Discovery PDCs pursuant to </w:t>
      </w:r>
      <w:r>
        <w:rPr>
          <w:rFonts w:ascii="Arial" w:cs="Arial" w:eastAsia="Arial" w:hAnsi="Arial"/>
          <w:sz w:val="22"/>
          <w:szCs w:val="22"/>
          <w:u w:val="single" w:color="auto"/>
          <w:color w:val="auto"/>
        </w:rPr>
        <w:t>Section 4.3.1</w:t>
      </w:r>
      <w:r>
        <w:rPr>
          <w:rFonts w:ascii="Arial" w:cs="Arial" w:eastAsia="Arial" w:hAnsi="Arial"/>
          <w:sz w:val="22"/>
          <w:szCs w:val="22"/>
          <w:color w:val="auto"/>
        </w:rPr>
        <w:t>, any Discovery Probody deemed to be an AbbVie Probody prior to the date of such exercise shall no longer be deemed an AbbVie Probody from such date.</w:t>
      </w:r>
    </w:p>
    <w:p>
      <w:pPr>
        <w:spacing w:after="0" w:line="72"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 xml:space="preserve">“AbbVie Probody Target” </w:t>
      </w:r>
      <w:r>
        <w:rPr>
          <w:rFonts w:ascii="Arial" w:cs="Arial" w:eastAsia="Arial" w:hAnsi="Arial"/>
          <w:sz w:val="19"/>
          <w:szCs w:val="19"/>
          <w:color w:val="auto"/>
        </w:rPr>
        <w:t>means the [***].</w:t>
      </w:r>
    </w:p>
    <w:p>
      <w:pPr>
        <w:spacing w:after="0" w:line="98"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AbbVie Program Know-How</w:t>
      </w:r>
      <w:r>
        <w:rPr>
          <w:rFonts w:ascii="Arial" w:cs="Arial" w:eastAsia="Arial" w:hAnsi="Arial"/>
          <w:sz w:val="19"/>
          <w:szCs w:val="19"/>
          <w:color w:val="auto"/>
        </w:rPr>
        <w:t>” means all Program Know-How [***].</w:t>
      </w:r>
    </w:p>
    <w:p>
      <w:pPr>
        <w:spacing w:after="0" w:line="98"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AbbVie Program Patents</w:t>
      </w:r>
      <w:r>
        <w:rPr>
          <w:rFonts w:ascii="Arial" w:cs="Arial" w:eastAsia="Arial" w:hAnsi="Arial"/>
          <w:sz w:val="19"/>
          <w:szCs w:val="19"/>
          <w:color w:val="auto"/>
        </w:rPr>
        <w:t>” means Program Patents that are [***].</w:t>
      </w:r>
    </w:p>
    <w:p>
      <w:pPr>
        <w:spacing w:after="0" w:line="9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color w:val="auto"/>
        </w:rPr>
        <w:t>“</w:t>
      </w:r>
      <w:r>
        <w:rPr>
          <w:rFonts w:ascii="Arial" w:cs="Arial" w:eastAsia="Arial" w:hAnsi="Arial"/>
          <w:sz w:val="22"/>
          <w:szCs w:val="22"/>
          <w:b w:val="1"/>
          <w:bCs w:val="1"/>
          <w:color w:val="auto"/>
        </w:rPr>
        <w:t>Acceptance</w:t>
      </w:r>
      <w:r>
        <w:rPr>
          <w:rFonts w:ascii="Arial" w:cs="Arial" w:eastAsia="Arial" w:hAnsi="Arial"/>
          <w:sz w:val="22"/>
          <w:szCs w:val="22"/>
          <w:color w:val="auto"/>
        </w:rPr>
        <w:t>” means, with respect to a Drug Approval Application, receipt of written notice from</w:t>
      </w:r>
      <w:r>
        <w:rPr>
          <w:rFonts w:ascii="Arial" w:cs="Arial" w:eastAsia="Arial" w:hAnsi="Arial"/>
          <w:sz w:val="22"/>
          <w:szCs w:val="22"/>
          <w:b w:val="1"/>
          <w:bCs w:val="1"/>
          <w:color w:val="auto"/>
        </w:rPr>
        <w:t xml:space="preserve"> </w:t>
      </w:r>
      <w:r>
        <w:rPr>
          <w:rFonts w:ascii="Arial" w:cs="Arial" w:eastAsia="Arial" w:hAnsi="Arial"/>
          <w:sz w:val="22"/>
          <w:szCs w:val="22"/>
          <w:color w:val="auto"/>
        </w:rPr>
        <w:t>the applicable Regulatory Authority indicating that such Drug Approval Application has been accepted for filing and further review.</w:t>
      </w:r>
    </w:p>
    <w:p>
      <w:pPr>
        <w:spacing w:after="0" w:line="69"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b w:val="1"/>
          <w:bCs w:val="1"/>
          <w:color w:val="auto"/>
        </w:rPr>
        <w:t xml:space="preserve">“Accepted Target”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2.1.4</w:t>
      </w:r>
    </w:p>
    <w:p>
      <w:pPr>
        <w:spacing w:after="0" w:line="9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Accounting Standards</w:t>
      </w:r>
      <w:r>
        <w:rPr>
          <w:rFonts w:ascii="Arial" w:cs="Arial" w:eastAsia="Arial" w:hAnsi="Arial"/>
          <w:sz w:val="22"/>
          <w:szCs w:val="22"/>
          <w:color w:val="auto"/>
        </w:rPr>
        <w:t>” means, with respect to a Party, that such Party shall maintain records and</w:t>
      </w:r>
      <w:r>
        <w:rPr>
          <w:rFonts w:ascii="Arial" w:cs="Arial" w:eastAsia="Arial" w:hAnsi="Arial"/>
          <w:sz w:val="22"/>
          <w:szCs w:val="22"/>
          <w:b w:val="1"/>
          <w:bCs w:val="1"/>
          <w:color w:val="auto"/>
        </w:rPr>
        <w:t xml:space="preserve"> </w:t>
      </w:r>
      <w:r>
        <w:rPr>
          <w:rFonts w:ascii="Arial" w:cs="Arial" w:eastAsia="Arial" w:hAnsi="Arial"/>
          <w:sz w:val="22"/>
          <w:szCs w:val="22"/>
          <w:color w:val="auto"/>
        </w:rPr>
        <w:t>books of accounts in accordance with United States Generally Accepted Accounting Principles.</w:t>
      </w:r>
    </w:p>
    <w:p>
      <w:pPr>
        <w:spacing w:after="0" w:line="5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1.13 </w:t>
      </w:r>
      <w:r>
        <w:rPr>
          <w:rFonts w:ascii="Arial" w:cs="Arial" w:eastAsia="Arial" w:hAnsi="Arial"/>
          <w:sz w:val="22"/>
          <w:szCs w:val="22"/>
          <w:color w:val="auto"/>
        </w:rPr>
        <w:t>“</w:t>
      </w:r>
      <w:r>
        <w:rPr>
          <w:rFonts w:ascii="Arial" w:cs="Arial" w:eastAsia="Arial" w:hAnsi="Arial"/>
          <w:sz w:val="22"/>
          <w:szCs w:val="22"/>
          <w:b w:val="1"/>
          <w:bCs w:val="1"/>
          <w:color w:val="auto"/>
        </w:rPr>
        <w:t>Acquisition</w:t>
      </w:r>
      <w:r>
        <w:rPr>
          <w:rFonts w:ascii="Arial" w:cs="Arial" w:eastAsia="Arial" w:hAnsi="Arial"/>
          <w:sz w:val="22"/>
          <w:szCs w:val="22"/>
          <w:color w:val="auto"/>
        </w:rPr>
        <w:t>” means, with respect to a Party, a merger, acquisition (whether of all of the stock or</w:t>
      </w:r>
      <w:r>
        <w:rPr>
          <w:rFonts w:ascii="Arial" w:cs="Arial" w:eastAsia="Arial" w:hAnsi="Arial"/>
          <w:sz w:val="22"/>
          <w:szCs w:val="22"/>
          <w:b w:val="1"/>
          <w:bCs w:val="1"/>
          <w:color w:val="auto"/>
        </w:rPr>
        <w:t xml:space="preserve"> </w:t>
      </w:r>
      <w:r>
        <w:rPr>
          <w:rFonts w:ascii="Arial" w:cs="Arial" w:eastAsia="Arial" w:hAnsi="Arial"/>
          <w:sz w:val="22"/>
          <w:szCs w:val="22"/>
          <w:color w:val="auto"/>
        </w:rPr>
        <w:t>all or substantially all of the assets of a Person or any operating or business division of a Person) or similar transaction by or with the Party, other than a Change in Control of the Party.</w:t>
      </w:r>
    </w:p>
    <w:p>
      <w:pPr>
        <w:spacing w:after="0" w:line="69"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14.7.1</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Adverse Ruling</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13.2.1</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9"/>
          <w:szCs w:val="19"/>
          <w:b w:val="1"/>
          <w:bCs w:val="1"/>
          <w:color w:val="auto"/>
        </w:rPr>
        <w:t xml:space="preserve">1.16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Party, any Person that, directly or indirectly, through one (1) or</w:t>
      </w:r>
      <w:r>
        <w:rPr>
          <w:rFonts w:ascii="Arial" w:cs="Arial" w:eastAsia="Arial" w:hAnsi="Arial"/>
          <w:sz w:val="19"/>
          <w:szCs w:val="19"/>
          <w:b w:val="1"/>
          <w:bCs w:val="1"/>
          <w:color w:val="auto"/>
        </w:rPr>
        <w:t xml:space="preserve"> </w:t>
      </w:r>
      <w:r>
        <w:rPr>
          <w:rFonts w:ascii="Arial" w:cs="Arial" w:eastAsia="Arial" w:hAnsi="Arial"/>
          <w:sz w:val="19"/>
          <w:szCs w:val="19"/>
          <w:color w:val="auto"/>
        </w:rPr>
        <w:t>more intermediaries, controls, is controlled by or is under common control with such Party. For purposes of this definition, “control” and, with correlative meanings, the terms “controlled by” and “under common control with” means (a) the possession, directly or indirectly, of the power to direct the management or policies of a Person, whether through the ownership of voting securities, by contract relating to voting rights or corporate governance, or otherwise; or (b) the ownership, directly or indirectly, of more than fifty percent (50%) of the voting securities or other ownership interest of a Person (or, with respect to a limited partnership or other similar entity, its general partner or controlling entity).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or policies of such entity.</w:t>
      </w:r>
    </w:p>
    <w:p>
      <w:pPr>
        <w:spacing w:after="0" w:line="45"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has the meaning set forth in the preamble hereto.</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3.2.5</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Announced Reserved Program</w:t>
      </w:r>
      <w:r>
        <w:rPr>
          <w:rFonts w:ascii="Arial" w:cs="Arial" w:eastAsia="Arial" w:hAnsi="Arial"/>
          <w:sz w:val="22"/>
          <w:szCs w:val="22"/>
          <w:color w:val="auto"/>
        </w:rPr>
        <w:t>” means the publicly announced internal programs of Licensor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its Affiliates as of the Effective Date that are set forth on </w:t>
      </w:r>
      <w:r>
        <w:rPr>
          <w:rFonts w:ascii="Arial" w:cs="Arial" w:eastAsia="Arial" w:hAnsi="Arial"/>
          <w:sz w:val="22"/>
          <w:szCs w:val="22"/>
          <w:u w:val="single" w:color="auto"/>
          <w:color w:val="auto"/>
        </w:rPr>
        <w:t>Schedule 1.19</w:t>
      </w:r>
      <w:r>
        <w:rPr>
          <w:rFonts w:ascii="Arial" w:cs="Arial" w:eastAsia="Arial" w:hAnsi="Arial"/>
          <w:sz w:val="22"/>
          <w:szCs w:val="22"/>
          <w:color w:val="auto"/>
        </w:rPr>
        <w:t xml:space="preserve"> and involve a Probody that binds with the Target set forth on </w:t>
      </w:r>
      <w:r>
        <w:rPr>
          <w:rFonts w:ascii="Arial" w:cs="Arial" w:eastAsia="Arial" w:hAnsi="Arial"/>
          <w:sz w:val="22"/>
          <w:szCs w:val="22"/>
          <w:u w:val="single" w:color="auto"/>
          <w:color w:val="auto"/>
        </w:rPr>
        <w:t>Schedule 1.19</w:t>
      </w:r>
      <w:r>
        <w:rPr>
          <w:rFonts w:ascii="Arial" w:cs="Arial" w:eastAsia="Arial" w:hAnsi="Arial"/>
          <w:sz w:val="22"/>
          <w:szCs w:val="22"/>
          <w:color w:val="auto"/>
        </w:rPr>
        <w:t>.</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84" w:name="page85"/>
    <w:bookmarkEnd w:id="84"/>
    <w:p>
      <w:pPr>
        <w:ind w:left="1760"/>
        <w:spacing w:after="0"/>
        <w:tabs>
          <w:tab w:leader="none" w:pos="276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Antibody(ies)</w:t>
      </w:r>
      <w:r>
        <w:rPr>
          <w:rFonts w:ascii="Arial" w:cs="Arial" w:eastAsia="Arial" w:hAnsi="Arial"/>
          <w:sz w:val="19"/>
          <w:szCs w:val="19"/>
          <w:color w:val="auto"/>
        </w:rPr>
        <w:t>” means:</w:t>
      </w:r>
    </w:p>
    <w:p>
      <w:pPr>
        <w:spacing w:after="0" w:line="98"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1.20.1 </w:t>
      </w:r>
      <w:r>
        <w:rPr>
          <w:rFonts w:ascii="Arial" w:cs="Arial" w:eastAsia="Arial" w:hAnsi="Arial"/>
          <w:sz w:val="22"/>
          <w:szCs w:val="22"/>
          <w:color w:val="auto"/>
        </w:rPr>
        <w:t>an immunoglobulin (Ig) molecule, generally comprising four (4) polypeptide chains,</w:t>
      </w:r>
      <w:r>
        <w:rPr>
          <w:rFonts w:ascii="Arial" w:cs="Arial" w:eastAsia="Arial" w:hAnsi="Arial"/>
          <w:sz w:val="22"/>
          <w:szCs w:val="22"/>
          <w:b w:val="1"/>
          <w:bCs w:val="1"/>
          <w:color w:val="auto"/>
        </w:rPr>
        <w:t xml:space="preserve"> </w:t>
      </w:r>
      <w:r>
        <w:rPr>
          <w:rFonts w:ascii="Arial" w:cs="Arial" w:eastAsia="Arial" w:hAnsi="Arial"/>
          <w:sz w:val="22"/>
          <w:szCs w:val="22"/>
          <w:color w:val="auto"/>
        </w:rPr>
        <w:t>two (2) heavy (H) chains and two (2) light (L) chains, or an equivalent Ig homologue thereof (e.g., a camelid nanobody, which comprises only a heavy chain, or single domain antibodies (dAbs) which can be either heavy or light chain); including full length functional mutants, variants, or derivatives thereof (including but not limited to chimeric, veneered, humanized antibodies, fully human equivalents (e.g. created by guided selection or similar technology)), which retain the essential epitope binding features of an Ig molecule, and including dual specific, bispecific, multispecific, and dual variable domain immunoglobulins; Immunoglobulin molecules can be of any class (e.g., IgG, IgE, IgM, IgD, IgA, and IgY), or subclass (e.g., IgG1, IgG2, IgG3, IgG4, IgA1, and IgA2) and allotype; or</w:t>
      </w:r>
    </w:p>
    <w:p>
      <w:pPr>
        <w:spacing w:after="0" w:line="71" w:lineRule="exact"/>
        <w:rPr>
          <w:sz w:val="20"/>
          <w:szCs w:val="20"/>
          <w:color w:val="auto"/>
        </w:rPr>
      </w:pPr>
    </w:p>
    <w:p>
      <w:pPr>
        <w:jc w:val="both"/>
        <w:ind w:firstLine="2634"/>
        <w:spacing w:after="0" w:line="273" w:lineRule="auto"/>
        <w:rPr>
          <w:sz w:val="20"/>
          <w:szCs w:val="20"/>
          <w:color w:val="auto"/>
        </w:rPr>
      </w:pPr>
      <w:r>
        <w:rPr>
          <w:rFonts w:ascii="Arial" w:cs="Arial" w:eastAsia="Arial" w:hAnsi="Arial"/>
          <w:sz w:val="19"/>
          <w:szCs w:val="19"/>
          <w:b w:val="1"/>
          <w:bCs w:val="1"/>
          <w:color w:val="auto"/>
        </w:rPr>
        <w:t xml:space="preserve">1.20.2 </w:t>
      </w:r>
      <w:r>
        <w:rPr>
          <w:rFonts w:ascii="Arial" w:cs="Arial" w:eastAsia="Arial" w:hAnsi="Arial"/>
          <w:sz w:val="19"/>
          <w:szCs w:val="19"/>
          <w:color w:val="auto"/>
        </w:rPr>
        <w:t>a molecule comprising at least one (1) polypeptide chain that is not full length,</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 a Fab fragment, which is a monovalent fragment consisting of the variable light (VL), variable heavy (VH), constant light (CL) and constant heavy 1 (CH1) domains; (b) a F(ab')2 fragment, which is a bivalent fragment comprising two (2) Fab fragments linked by a disulfide bridge at the hinge region; (c) a heavy chain portion of an Fab (Fd) fragment, which consists of the VH and CH1 domains; (d) a variable fragment (Fv) fragment, which consists of the VL and VH domains of a single arm of an antibody, (e) a domain antibody (dAb) fragment, which comprises a single variable domain; (f) an isolated complementarity determining region (CDR); (g) a Single Chain Fv Fragment; (h) a diabody, which is a bivalent, bispecific antibody in which VH and VL domains are expressed on a single polypeptide chain, but using a linker that is too short to allow for pairing between the two (2) domains on the same chain, thereby forcing the domains to pair with the complementarity domains of another chain and creating two (2) antigen binding sites; and (i) a linear antibody, which comprises a pair of tandem Fv segments (VH-CH1-VH-CH1) which, together with complementarity light chain polypeptides, form a pair of antigen binding regions; and (j) other non-full length portions of heavy and/or light chains, or mutants, variants, or derivatives thereof, alone or in any combination.</w:t>
      </w:r>
    </w:p>
    <w:p>
      <w:pPr>
        <w:spacing w:after="0" w:line="43"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22"/>
          <w:szCs w:val="22"/>
          <w:b w:val="1"/>
          <w:bCs w:val="1"/>
          <w:color w:val="auto"/>
        </w:rPr>
        <w:t xml:space="preserve">“Antibody Criteria” </w:t>
      </w:r>
      <w:r>
        <w:rPr>
          <w:rFonts w:ascii="Arial" w:cs="Arial" w:eastAsia="Arial" w:hAnsi="Arial"/>
          <w:sz w:val="22"/>
          <w:szCs w:val="22"/>
          <w:color w:val="auto"/>
        </w:rPr>
        <w:t>means the criteria with respect to a Discovery Antibody set forth 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1.21</w:t>
      </w:r>
      <w:r>
        <w:rPr>
          <w:rFonts w:ascii="Arial" w:cs="Arial" w:eastAsia="Arial" w:hAnsi="Arial"/>
          <w:sz w:val="22"/>
          <w:szCs w:val="22"/>
          <w:color w:val="auto"/>
        </w:rPr>
        <w:t>.</w:t>
      </w:r>
    </w:p>
    <w:p>
      <w:pPr>
        <w:spacing w:after="0" w:line="74"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federal, state, local, national and supra-national laws, statutes,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including any rules, regulations, guidelines, or other requirements of the Regulatory Authorities, major national securities exchanges or major securities listing organizations, that may be in effect from time to time during the Term and applicable to a particular activity or country or other jurisdiction hereunder.</w:t>
      </w:r>
    </w:p>
    <w:p>
      <w:pPr>
        <w:spacing w:after="0" w:line="73"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 Arbitrator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7.14</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13.5.1</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color w:val="auto"/>
        </w:rPr>
        <w:t>Bayh Dole Act</w:t>
      </w:r>
      <w:r>
        <w:rPr>
          <w:rFonts w:ascii="Arial" w:cs="Arial" w:eastAsia="Arial" w:hAnsi="Arial"/>
          <w:sz w:val="22"/>
          <w:szCs w:val="22"/>
          <w:color w:val="auto"/>
        </w:rPr>
        <w:t>” means the Patent and Trademark Law Amendments Act of 1980, as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codified at 35 U.S.C. §§ 200-212, as amended, as well as any regulations promulgated pursuant thereto, including in 37 C.F.R. Part 401.</w:t>
      </w:r>
    </w:p>
    <w:p>
      <w:pPr>
        <w:spacing w:after="0" w:line="69"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Biosimilar Application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8.3.3</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Biosimilar Competition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7.6.3(a)</w:t>
      </w:r>
      <w:r>
        <w:rPr>
          <w:rFonts w:ascii="Arial" w:cs="Arial" w:eastAsia="Arial" w:hAnsi="Arial"/>
          <w:sz w:val="19"/>
          <w:szCs w:val="19"/>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85" w:name="page86"/>
    <w:bookmarkEnd w:id="85"/>
    <w:p>
      <w:pPr>
        <w:jc w:val="both"/>
        <w:ind w:firstLine="1755"/>
        <w:spacing w:after="0" w:line="278" w:lineRule="auto"/>
        <w:rPr>
          <w:sz w:val="20"/>
          <w:szCs w:val="20"/>
          <w:color w:val="auto"/>
        </w:rPr>
      </w:pPr>
      <w:r>
        <w:rPr>
          <w:rFonts w:ascii="Arial" w:cs="Arial" w:eastAsia="Arial" w:hAnsi="Arial"/>
          <w:sz w:val="19"/>
          <w:szCs w:val="19"/>
          <w:b w:val="1"/>
          <w:bCs w:val="1"/>
          <w:color w:val="auto"/>
        </w:rPr>
        <w:t xml:space="preserve">1.28 </w:t>
      </w:r>
      <w:r>
        <w:rPr>
          <w:rFonts w:ascii="Arial" w:cs="Arial" w:eastAsia="Arial" w:hAnsi="Arial"/>
          <w:sz w:val="19"/>
          <w:szCs w:val="19"/>
          <w:color w:val="auto"/>
        </w:rPr>
        <w:t>“</w:t>
      </w:r>
      <w:r>
        <w:rPr>
          <w:rFonts w:ascii="Arial" w:cs="Arial" w:eastAsia="Arial" w:hAnsi="Arial"/>
          <w:sz w:val="19"/>
          <w:szCs w:val="19"/>
          <w:b w:val="1"/>
          <w:bCs w:val="1"/>
          <w:color w:val="auto"/>
        </w:rPr>
        <w:t>Biosimilar Product</w:t>
      </w:r>
      <w:r>
        <w:rPr>
          <w:rFonts w:ascii="Arial" w:cs="Arial" w:eastAsia="Arial" w:hAnsi="Arial"/>
          <w:sz w:val="19"/>
          <w:szCs w:val="19"/>
          <w:color w:val="auto"/>
        </w:rPr>
        <w:t>” means, on a country-by-country basis, a biologic product (a) whose</w:t>
      </w:r>
      <w:r>
        <w:rPr>
          <w:rFonts w:ascii="Arial" w:cs="Arial" w:eastAsia="Arial" w:hAnsi="Arial"/>
          <w:sz w:val="19"/>
          <w:szCs w:val="19"/>
          <w:b w:val="1"/>
          <w:bCs w:val="1"/>
          <w:color w:val="auto"/>
        </w:rPr>
        <w:t xml:space="preserve"> </w:t>
      </w:r>
      <w:r>
        <w:rPr>
          <w:rFonts w:ascii="Arial" w:cs="Arial" w:eastAsia="Arial" w:hAnsi="Arial"/>
          <w:sz w:val="19"/>
          <w:szCs w:val="19"/>
          <w:color w:val="auto"/>
        </w:rPr>
        <w:t>licensing, approval, or marketing authorization relies in whole or in part on a prior approval, licensing or marketing authorization granted any Licensed Product, (b) whose licensing, approval, or marketing authorization relies in whole or in part on any data generated in support of a prior approval, licensing, or marketing authorization granted any Licensed Product; or (c) is determined by the FDA or other Regulatory Authority outside of the United States to be interchangeable with a Licensed Product, as set forth at 42 USC 262(k)(4) or other analogous Applicable Law outside of the United States. A Licensed Product licensed, marketed, sold, manufactured, or produced by AbbVie, its Affiliates or Sublicensees will not constitute a Biosimilar Product</w:t>
      </w:r>
    </w:p>
    <w:p>
      <w:pPr>
        <w:spacing w:after="0" w:line="3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BLA</w:t>
      </w:r>
      <w:r>
        <w:rPr>
          <w:rFonts w:ascii="Arial" w:cs="Arial" w:eastAsia="Arial" w:hAnsi="Arial"/>
          <w:sz w:val="19"/>
          <w:szCs w:val="19"/>
          <w:color w:val="auto"/>
        </w:rPr>
        <w:t>” has the meaning set forth in the definition of “Drug Approval Application.</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Blocking Third Party Payload IP</w:t>
      </w:r>
      <w:r>
        <w:rPr>
          <w:rFonts w:ascii="Arial" w:cs="Arial" w:eastAsia="Arial" w:hAnsi="Arial"/>
          <w:sz w:val="19"/>
          <w:szCs w:val="19"/>
          <w:color w:val="auto"/>
        </w:rPr>
        <w:t>” means [***].</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Blocking Third Party Platform IP</w:t>
      </w:r>
      <w:r>
        <w:rPr>
          <w:rFonts w:ascii="Arial" w:cs="Arial" w:eastAsia="Arial" w:hAnsi="Arial"/>
          <w:sz w:val="19"/>
          <w:szCs w:val="19"/>
          <w:color w:val="auto"/>
        </w:rPr>
        <w:t>” means [***].</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 of Directors</w:t>
      </w:r>
      <w:r>
        <w:rPr>
          <w:rFonts w:ascii="Arial" w:cs="Arial" w:eastAsia="Arial" w:hAnsi="Arial"/>
          <w:sz w:val="19"/>
          <w:szCs w:val="19"/>
          <w:color w:val="auto"/>
        </w:rPr>
        <w:t>” has the meaning set forth in the definition of “Change in Control.”</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13.2.1</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or Sunday on which banking institutions in</w:t>
      </w:r>
      <w:r>
        <w:rPr>
          <w:rFonts w:ascii="Arial" w:cs="Arial" w:eastAsia="Arial" w:hAnsi="Arial"/>
          <w:sz w:val="22"/>
          <w:szCs w:val="22"/>
          <w:b w:val="1"/>
          <w:bCs w:val="1"/>
          <w:color w:val="auto"/>
        </w:rPr>
        <w:t xml:space="preserve"> </w:t>
      </w:r>
      <w:r>
        <w:rPr>
          <w:rFonts w:ascii="Arial" w:cs="Arial" w:eastAsia="Arial" w:hAnsi="Arial"/>
          <w:sz w:val="22"/>
          <w:szCs w:val="22"/>
          <w:color w:val="auto"/>
        </w:rPr>
        <w:t>New York, New York are open for business.</w:t>
      </w:r>
    </w:p>
    <w:p>
      <w:pPr>
        <w:spacing w:after="0" w:line="55"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successive period of three (3) calendar months commencing on</w:t>
      </w:r>
      <w:r>
        <w:rPr>
          <w:rFonts w:ascii="Arial" w:cs="Arial" w:eastAsia="Arial" w:hAnsi="Arial"/>
          <w:sz w:val="22"/>
          <w:szCs w:val="22"/>
          <w:b w:val="1"/>
          <w:bCs w:val="1"/>
          <w:color w:val="auto"/>
        </w:rPr>
        <w:t xml:space="preserve"> </w:t>
      </w:r>
      <w:r>
        <w:rPr>
          <w:rFonts w:ascii="Arial" w:cs="Arial" w:eastAsia="Arial" w:hAnsi="Arial"/>
          <w:sz w:val="22"/>
          <w:szCs w:val="22"/>
          <w:color w:val="auto"/>
        </w:rPr>
        <w:t>January 1, April 1, July 1 and October 1, except that the first Calendar Quarter of the Term shall commence on the Effective Date and end on the day immediately prior to the first to occur of January 1, April 1, July 1 or October 1 after the Effective Date, and the last Calendar Quarter shall end on the last day of the Term.</w:t>
      </w:r>
    </w:p>
    <w:p>
      <w:pPr>
        <w:spacing w:after="0" w:line="73"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color w:val="auto"/>
        </w:rPr>
        <w:t>“</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calendar months commencing on</w:t>
      </w:r>
      <w:r>
        <w:rPr>
          <w:rFonts w:ascii="Arial" w:cs="Arial" w:eastAsia="Arial" w:hAnsi="Arial"/>
          <w:sz w:val="22"/>
          <w:szCs w:val="22"/>
          <w:b w:val="1"/>
          <w:bCs w:val="1"/>
          <w:color w:val="auto"/>
        </w:rPr>
        <w:t xml:space="preserve"> </w:t>
      </w:r>
      <w:r>
        <w:rPr>
          <w:rFonts w:ascii="Arial" w:cs="Arial" w:eastAsia="Arial" w:hAnsi="Arial"/>
          <w:sz w:val="22"/>
          <w:szCs w:val="22"/>
          <w:color w:val="auto"/>
        </w:rPr>
        <w:t>January 1 and ending on December 31, except that the first Calendar Year of the Term shall commence on the Effective Date and end on December 31 of the year in which the Effective Date occurs and the last Calendar Year of the Term shall commence on January 1 of the year in which the Term ends and end on the last day of the Term.</w:t>
      </w:r>
    </w:p>
    <w:p>
      <w:pPr>
        <w:spacing w:after="0" w:line="73"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22"/>
          <w:szCs w:val="22"/>
          <w:color w:val="auto"/>
        </w:rPr>
        <w:t>“[***]” means [***].</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98"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 xml:space="preserve">1.39 </w:t>
      </w:r>
      <w:r>
        <w:rPr>
          <w:rFonts w:ascii="Arial" w:cs="Arial" w:eastAsia="Arial" w:hAnsi="Arial"/>
          <w:sz w:val="22"/>
          <w:szCs w:val="22"/>
          <w:color w:val="auto"/>
        </w:rPr>
        <w:t>“</w:t>
      </w:r>
      <w:r>
        <w:rPr>
          <w:rFonts w:ascii="Arial" w:cs="Arial" w:eastAsia="Arial" w:hAnsi="Arial"/>
          <w:sz w:val="22"/>
          <w:szCs w:val="22"/>
          <w:b w:val="1"/>
          <w:bCs w:val="1"/>
          <w:color w:val="auto"/>
        </w:rPr>
        <w:t>CD71 Agreement</w:t>
      </w:r>
      <w:r>
        <w:rPr>
          <w:rFonts w:ascii="Arial" w:cs="Arial" w:eastAsia="Arial" w:hAnsi="Arial"/>
          <w:sz w:val="22"/>
          <w:szCs w:val="22"/>
          <w:color w:val="auto"/>
        </w:rPr>
        <w:t>” means the CD71 Co-Development and License Agreement dated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 by and between the Parties.</w:t>
      </w:r>
    </w:p>
    <w:p>
      <w:pPr>
        <w:spacing w:after="0" w:line="55"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Centralized Approval Procedure</w:t>
      </w:r>
      <w:r>
        <w:rPr>
          <w:rFonts w:ascii="Arial" w:cs="Arial" w:eastAsia="Arial" w:hAnsi="Arial"/>
          <w:sz w:val="22"/>
          <w:szCs w:val="22"/>
          <w:color w:val="auto"/>
        </w:rPr>
        <w:t>” means the procedure through which a MAA filed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EMA results in a single marketing authorization valid throughout the European Union.</w:t>
      </w:r>
    </w:p>
    <w:p>
      <w:pPr>
        <w:spacing w:after="0" w:line="55"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1.41 </w:t>
      </w:r>
      <w:r>
        <w:rPr>
          <w:rFonts w:ascii="Arial" w:cs="Arial" w:eastAsia="Arial" w:hAnsi="Arial"/>
          <w:sz w:val="22"/>
          <w:szCs w:val="22"/>
          <w:color w:val="auto"/>
        </w:rPr>
        <w:t>“</w:t>
      </w:r>
      <w:r>
        <w:rPr>
          <w:rFonts w:ascii="Arial" w:cs="Arial" w:eastAsia="Arial" w:hAnsi="Arial"/>
          <w:sz w:val="22"/>
          <w:szCs w:val="22"/>
          <w:b w:val="1"/>
          <w:bCs w:val="1"/>
          <w:color w:val="auto"/>
        </w:rPr>
        <w:t>Change in Control</w:t>
      </w:r>
      <w:r>
        <w:rPr>
          <w:rFonts w:ascii="Arial" w:cs="Arial" w:eastAsia="Arial" w:hAnsi="Arial"/>
          <w:sz w:val="22"/>
          <w:szCs w:val="22"/>
          <w:color w:val="auto"/>
        </w:rPr>
        <w:t>,” with respect to a Party, shall be deemed to have occurred if 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occurs after the Effective Date: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86" w:name="page87"/>
    <w:bookmarkEnd w:id="86"/>
    <w:p>
      <w:pPr>
        <w:jc w:val="both"/>
        <w:ind w:firstLine="2634"/>
        <w:spacing w:after="0" w:line="280" w:lineRule="auto"/>
        <w:rPr>
          <w:sz w:val="20"/>
          <w:szCs w:val="20"/>
          <w:color w:val="auto"/>
        </w:rPr>
      </w:pPr>
      <w:r>
        <w:rPr>
          <w:rFonts w:ascii="Arial" w:cs="Arial" w:eastAsia="Arial" w:hAnsi="Arial"/>
          <w:sz w:val="19"/>
          <w:szCs w:val="19"/>
          <w:b w:val="1"/>
          <w:bCs w:val="1"/>
          <w:color w:val="auto"/>
        </w:rPr>
        <w:t xml:space="preserve">1.41.1 </w:t>
      </w:r>
      <w:r>
        <w:rPr>
          <w:rFonts w:ascii="Arial" w:cs="Arial" w:eastAsia="Arial" w:hAnsi="Arial"/>
          <w:sz w:val="19"/>
          <w:szCs w:val="19"/>
          <w:color w:val="auto"/>
        </w:rPr>
        <w:t>any “person” or “group” (as such terms are defined below) (a) is or becomes the</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owner” (as defined below), directly or indirectly, of shares of capital stock or other interests (including partnership interests) of such Party then outstanding and normally entitled (without regard to the occurrence of any contingency) to vote in the election of the directors, managers or similar supervisory positions (“</w:t>
      </w:r>
      <w:r>
        <w:rPr>
          <w:rFonts w:ascii="Arial" w:cs="Arial" w:eastAsia="Arial" w:hAnsi="Arial"/>
          <w:sz w:val="19"/>
          <w:szCs w:val="19"/>
          <w:b w:val="1"/>
          <w:bCs w:val="1"/>
          <w:color w:val="auto"/>
        </w:rPr>
        <w:t>Voting Stock</w:t>
      </w:r>
      <w:r>
        <w:rPr>
          <w:rFonts w:ascii="Arial" w:cs="Arial" w:eastAsia="Arial" w:hAnsi="Arial"/>
          <w:sz w:val="19"/>
          <w:szCs w:val="19"/>
          <w:color w:val="auto"/>
        </w:rPr>
        <w:t xml:space="preserve"> ”) of such Party representing fifty percent (50%) or more of the total voting power of all outstanding classes of Voting Stock of such Party or (b) has the power, directly or indirectly, to elect a majority of the members of the Party’s board of directors, or similar governing body (“</w:t>
      </w:r>
      <w:r>
        <w:rPr>
          <w:rFonts w:ascii="Arial" w:cs="Arial" w:eastAsia="Arial" w:hAnsi="Arial"/>
          <w:sz w:val="19"/>
          <w:szCs w:val="19"/>
          <w:b w:val="1"/>
          <w:bCs w:val="1"/>
          <w:color w:val="auto"/>
        </w:rPr>
        <w:t>Board of Directors</w:t>
      </w:r>
      <w:r>
        <w:rPr>
          <w:rFonts w:ascii="Arial" w:cs="Arial" w:eastAsia="Arial" w:hAnsi="Arial"/>
          <w:sz w:val="19"/>
          <w:szCs w:val="19"/>
          <w:color w:val="auto"/>
        </w:rPr>
        <w:t>”); or</w:t>
      </w:r>
    </w:p>
    <w:p>
      <w:pPr>
        <w:spacing w:after="0" w:line="37" w:lineRule="exact"/>
        <w:rPr>
          <w:sz w:val="20"/>
          <w:szCs w:val="20"/>
          <w:color w:val="auto"/>
        </w:rPr>
      </w:pPr>
    </w:p>
    <w:p>
      <w:pPr>
        <w:jc w:val="both"/>
        <w:ind w:firstLine="2634"/>
        <w:spacing w:after="0" w:line="276" w:lineRule="auto"/>
        <w:rPr>
          <w:sz w:val="20"/>
          <w:szCs w:val="20"/>
          <w:color w:val="auto"/>
        </w:rPr>
      </w:pPr>
      <w:r>
        <w:rPr>
          <w:rFonts w:ascii="Arial" w:cs="Arial" w:eastAsia="Arial" w:hAnsi="Arial"/>
          <w:sz w:val="19"/>
          <w:szCs w:val="19"/>
          <w:b w:val="1"/>
          <w:bCs w:val="1"/>
          <w:color w:val="auto"/>
        </w:rPr>
        <w:t xml:space="preserve">1.41.2 </w:t>
      </w:r>
      <w:r>
        <w:rPr>
          <w:rFonts w:ascii="Arial" w:cs="Arial" w:eastAsia="Arial" w:hAnsi="Arial"/>
          <w:sz w:val="19"/>
          <w:szCs w:val="19"/>
          <w:color w:val="auto"/>
        </w:rPr>
        <w:t>such Party enters into a merger, consolidation or similar transaction with another</w:t>
      </w:r>
      <w:r>
        <w:rPr>
          <w:rFonts w:ascii="Arial" w:cs="Arial" w:eastAsia="Arial" w:hAnsi="Arial"/>
          <w:sz w:val="19"/>
          <w:szCs w:val="19"/>
          <w:b w:val="1"/>
          <w:bCs w:val="1"/>
          <w:color w:val="auto"/>
        </w:rPr>
        <w:t xml:space="preserve"> </w:t>
      </w:r>
      <w:r>
        <w:rPr>
          <w:rFonts w:ascii="Arial" w:cs="Arial" w:eastAsia="Arial" w:hAnsi="Arial"/>
          <w:sz w:val="19"/>
          <w:szCs w:val="19"/>
          <w:color w:val="auto"/>
        </w:rPr>
        <w:t>Person (whether or not such Party is the surviving entity) and as a result of such merger, consolidation or similar transaction (a) the members of the Board of Directors of such Party immediately prior to such transaction constitute less than a majority of the members of the Board of Directors of such Party or such surviving Person immediately following such transaction or (b) the Persons that beneficially owned, directly or indirectly, the shares of Voting Stock of such Party immediately prior to such transaction cease to beneficially own, directly or indirectly, shares of Voting Stock of such Party representing at least a majority of the total voting power of all outstanding classes of Voting Stock of the surviving Person in substantially the same proportions as their ownership of Voting Stock of such Party immediately prior to such transaction; or</w:t>
      </w:r>
    </w:p>
    <w:p>
      <w:pPr>
        <w:spacing w:after="0" w:line="43" w:lineRule="exact"/>
        <w:rPr>
          <w:sz w:val="20"/>
          <w:szCs w:val="20"/>
          <w:color w:val="auto"/>
        </w:rPr>
      </w:pPr>
    </w:p>
    <w:p>
      <w:pPr>
        <w:jc w:val="both"/>
        <w:ind w:right="20" w:firstLine="2634"/>
        <w:spacing w:after="0" w:line="280" w:lineRule="auto"/>
        <w:rPr>
          <w:sz w:val="20"/>
          <w:szCs w:val="20"/>
          <w:color w:val="auto"/>
        </w:rPr>
      </w:pPr>
      <w:r>
        <w:rPr>
          <w:rFonts w:ascii="Arial" w:cs="Arial" w:eastAsia="Arial" w:hAnsi="Arial"/>
          <w:sz w:val="21"/>
          <w:szCs w:val="21"/>
          <w:b w:val="1"/>
          <w:bCs w:val="1"/>
          <w:color w:val="auto"/>
        </w:rPr>
        <w:t xml:space="preserve">1.41.3 </w:t>
      </w:r>
      <w:r>
        <w:rPr>
          <w:rFonts w:ascii="Arial" w:cs="Arial" w:eastAsia="Arial" w:hAnsi="Arial"/>
          <w:sz w:val="21"/>
          <w:szCs w:val="21"/>
          <w:color w:val="auto"/>
        </w:rPr>
        <w:t>such Party sells or transfers to any Third Party, in one (1) or more related transactions,</w:t>
      </w:r>
      <w:r>
        <w:rPr>
          <w:rFonts w:ascii="Arial" w:cs="Arial" w:eastAsia="Arial" w:hAnsi="Arial"/>
          <w:sz w:val="21"/>
          <w:szCs w:val="21"/>
          <w:b w:val="1"/>
          <w:bCs w:val="1"/>
          <w:color w:val="auto"/>
        </w:rPr>
        <w:t xml:space="preserve"> </w:t>
      </w:r>
      <w:r>
        <w:rPr>
          <w:rFonts w:ascii="Arial" w:cs="Arial" w:eastAsia="Arial" w:hAnsi="Arial"/>
          <w:sz w:val="21"/>
          <w:szCs w:val="21"/>
          <w:color w:val="auto"/>
        </w:rPr>
        <w:t>properties or assets representing all or substantially all of such Party’s assets to which this Agreement relates; or</w:t>
      </w:r>
    </w:p>
    <w:p>
      <w:pPr>
        <w:spacing w:after="0" w:line="31"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1.41.4</w:t>
      </w:r>
      <w:r>
        <w:rPr>
          <w:sz w:val="20"/>
          <w:szCs w:val="20"/>
          <w:color w:val="auto"/>
        </w:rPr>
        <w:tab/>
      </w:r>
      <w:r>
        <w:rPr>
          <w:rFonts w:ascii="Arial" w:cs="Arial" w:eastAsia="Arial" w:hAnsi="Arial"/>
          <w:sz w:val="19"/>
          <w:szCs w:val="19"/>
          <w:color w:val="auto"/>
        </w:rPr>
        <w:t>the holders of capital stock of such Party approve a plan or proposal for the liquidation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or dissolution of such Party.</w:t>
      </w:r>
    </w:p>
    <w:p>
      <w:pPr>
        <w:spacing w:after="0" w:line="80"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For the purpose of this definition of Change in Control, (a) “person” and “group” have the meanings given such terms under Section 13(d) and 14(d) of the United States Securities Exchange Act of 1934 and the term “group” includes any group acting for the purpose of acquiring, holding or disposing of securities within the meaning of Rule 13d-5(b)(1) under the said Act;</w:t>
      </w:r>
    </w:p>
    <w:p>
      <w:pPr>
        <w:spacing w:after="0" w:line="2" w:lineRule="exact"/>
        <w:rPr>
          <w:sz w:val="20"/>
          <w:szCs w:val="20"/>
          <w:color w:val="auto"/>
        </w:rPr>
      </w:pPr>
    </w:p>
    <w:p>
      <w:pPr>
        <w:ind w:firstLine="8"/>
        <w:spacing w:after="0" w:line="237" w:lineRule="auto"/>
        <w:tabs>
          <w:tab w:leader="none" w:pos="308"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“beneficial owner” shall be determined in accordance with Rule 13d-3 under the aforesaid Act; and (c) the terms “beneficially owned” and “beneficially own” shall have meanings correlative to that of “beneficial owner.”</w:t>
      </w:r>
    </w:p>
    <w:p>
      <w:pPr>
        <w:spacing w:after="0" w:line="179"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b w:val="1"/>
          <w:bCs w:val="1"/>
          <w:color w:val="auto"/>
        </w:rPr>
        <w:t>Clinical Data</w:t>
      </w:r>
      <w:r>
        <w:rPr>
          <w:rFonts w:ascii="Arial" w:cs="Arial" w:eastAsia="Arial" w:hAnsi="Arial"/>
          <w:sz w:val="22"/>
          <w:szCs w:val="22"/>
          <w:color w:val="auto"/>
        </w:rPr>
        <w:t>” means all Information with respect to any AbbVie Probody, Discovery PDC or</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and made, collected, or otherwise generated under or in connection with Clinical Studies or Phase IV Studies, including any data (including raw data), reports, and results with respect thereto.</w:t>
      </w:r>
    </w:p>
    <w:p>
      <w:pPr>
        <w:spacing w:after="0" w:line="69"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1"/>
          <w:szCs w:val="21"/>
          <w:b w:val="1"/>
          <w:bCs w:val="1"/>
          <w:color w:val="auto"/>
        </w:rPr>
        <w:t xml:space="preserve">1.43 </w:t>
      </w:r>
      <w:r>
        <w:rPr>
          <w:rFonts w:ascii="Arial" w:cs="Arial" w:eastAsia="Arial" w:hAnsi="Arial"/>
          <w:sz w:val="21"/>
          <w:szCs w:val="21"/>
          <w:color w:val="auto"/>
        </w:rPr>
        <w:t>“</w:t>
      </w:r>
      <w:r>
        <w:rPr>
          <w:rFonts w:ascii="Arial" w:cs="Arial" w:eastAsia="Arial" w:hAnsi="Arial"/>
          <w:sz w:val="21"/>
          <w:szCs w:val="21"/>
          <w:b w:val="1"/>
          <w:bCs w:val="1"/>
          <w:color w:val="auto"/>
        </w:rPr>
        <w:t>Clinical Studies</w:t>
      </w:r>
      <w:r>
        <w:rPr>
          <w:rFonts w:ascii="Arial" w:cs="Arial" w:eastAsia="Arial" w:hAnsi="Arial"/>
          <w:sz w:val="21"/>
          <w:szCs w:val="21"/>
          <w:color w:val="auto"/>
        </w:rPr>
        <w:t>” means Phase 0, Phase I, Phase II, Phase III, and such other tests and studies in</w:t>
      </w:r>
      <w:r>
        <w:rPr>
          <w:rFonts w:ascii="Arial" w:cs="Arial" w:eastAsia="Arial" w:hAnsi="Arial"/>
          <w:sz w:val="21"/>
          <w:szCs w:val="21"/>
          <w:b w:val="1"/>
          <w:bCs w:val="1"/>
          <w:color w:val="auto"/>
        </w:rPr>
        <w:t xml:space="preserve"> </w:t>
      </w:r>
      <w:r>
        <w:rPr>
          <w:rFonts w:ascii="Arial" w:cs="Arial" w:eastAsia="Arial" w:hAnsi="Arial"/>
          <w:sz w:val="21"/>
          <w:szCs w:val="21"/>
          <w:color w:val="auto"/>
        </w:rPr>
        <w:t>human subjects that are required by Applicable Law, or otherwise recommended by the Regulatory Authorities, to obtain or maintain Regulatory Approvals for a Licensed Product for one (1) or more Indications, including tests or studies that are intended to expand the Product Labeling for such Licensed Product with respect to such Indication.</w:t>
      </w:r>
    </w:p>
    <w:p>
      <w:pPr>
        <w:spacing w:after="0" w:line="5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Licensed Product containing [***]. By way of example, and not</w:t>
      </w:r>
      <w:r>
        <w:rPr>
          <w:rFonts w:ascii="Arial" w:cs="Arial" w:eastAsia="Arial" w:hAnsi="Arial"/>
          <w:sz w:val="22"/>
          <w:szCs w:val="22"/>
          <w:b w:val="1"/>
          <w:bCs w:val="1"/>
          <w:color w:val="auto"/>
        </w:rPr>
        <w:t xml:space="preserve"> </w:t>
      </w:r>
      <w:r>
        <w:rPr>
          <w:rFonts w:ascii="Arial" w:cs="Arial" w:eastAsia="Arial" w:hAnsi="Arial"/>
          <w:sz w:val="22"/>
          <w:szCs w:val="22"/>
          <w:color w:val="auto"/>
        </w:rPr>
        <w:t>meant to limit the foregoing definition, a Combination Product includes: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87" w:name="page88"/>
    <w:bookmarkEnd w:id="87"/>
    <w:p>
      <w:pPr>
        <w:ind w:left="2640"/>
        <w:spacing w:after="0"/>
        <w:tabs>
          <w:tab w:leader="none" w:pos="3860" w:val="left"/>
        </w:tabs>
        <w:rPr>
          <w:sz w:val="20"/>
          <w:szCs w:val="20"/>
          <w:color w:val="auto"/>
        </w:rPr>
      </w:pPr>
      <w:r>
        <w:rPr>
          <w:rFonts w:ascii="Arial" w:cs="Arial" w:eastAsia="Arial" w:hAnsi="Arial"/>
          <w:sz w:val="22"/>
          <w:szCs w:val="22"/>
          <w:b w:val="1"/>
          <w:bCs w:val="1"/>
          <w:color w:val="auto"/>
        </w:rPr>
        <w:t>1.44.1</w:t>
      </w:r>
      <w:r>
        <w:rPr>
          <w:sz w:val="20"/>
          <w:szCs w:val="20"/>
          <w:color w:val="auto"/>
        </w:rPr>
        <w:tab/>
      </w:r>
      <w:r>
        <w:rPr>
          <w:rFonts w:ascii="Arial" w:cs="Arial" w:eastAsia="Arial" w:hAnsi="Arial"/>
          <w:sz w:val="19"/>
          <w:szCs w:val="19"/>
          <w:color w:val="auto"/>
        </w:rPr>
        <w:t>a Licensed Product that contains [***]; and</w:t>
      </w:r>
    </w:p>
    <w:p>
      <w:pPr>
        <w:spacing w:after="0" w:line="98"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1.44.2</w:t>
      </w:r>
      <w:r>
        <w:rPr>
          <w:sz w:val="20"/>
          <w:szCs w:val="20"/>
          <w:color w:val="auto"/>
        </w:rPr>
        <w:tab/>
      </w:r>
      <w:r>
        <w:rPr>
          <w:rFonts w:ascii="Arial" w:cs="Arial" w:eastAsia="Arial" w:hAnsi="Arial"/>
          <w:sz w:val="19"/>
          <w:szCs w:val="19"/>
          <w:color w:val="auto"/>
        </w:rPr>
        <w:t>a Licensed Product that is [***].</w:t>
      </w:r>
    </w:p>
    <w:p>
      <w:pPr>
        <w:spacing w:after="0" w:line="9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color w:val="auto"/>
        </w:rPr>
        <w:t>Commercialization</w:t>
      </w:r>
      <w:r>
        <w:rPr>
          <w:rFonts w:ascii="Arial" w:cs="Arial" w:eastAsia="Arial" w:hAnsi="Arial"/>
          <w:sz w:val="22"/>
          <w:szCs w:val="22"/>
          <w:color w:val="auto"/>
        </w:rPr>
        <w:t>” means any and all activities directed to the preparation for sale of, offering</w:t>
      </w:r>
      <w:r>
        <w:rPr>
          <w:rFonts w:ascii="Arial" w:cs="Arial" w:eastAsia="Arial" w:hAnsi="Arial"/>
          <w:sz w:val="22"/>
          <w:szCs w:val="22"/>
          <w:b w:val="1"/>
          <w:bCs w:val="1"/>
          <w:color w:val="auto"/>
        </w:rPr>
        <w:t xml:space="preserve"> </w:t>
      </w:r>
      <w:r>
        <w:rPr>
          <w:rFonts w:ascii="Arial" w:cs="Arial" w:eastAsia="Arial" w:hAnsi="Arial"/>
          <w:sz w:val="22"/>
          <w:szCs w:val="22"/>
          <w:color w:val="auto"/>
        </w:rPr>
        <w:t>for sale of, or sale of an AbbVie Probody, Discovery PDC or Licensed Product, including activities related to marketing, promoting, distributing, importing and exporting such AbbVie Probody, Discovery PDC or Licensed Product, and, for purposes of setting forth the rights and obligations of the Parties under this Agreement, shall be deemed to include conducting Medical Affairs Activities and conducting Phase IV Studies, and interacting with Regulatory Authorities regarding any of the foregoing. When used as a verb, “</w:t>
      </w:r>
      <w:r>
        <w:rPr>
          <w:rFonts w:ascii="Arial" w:cs="Arial" w:eastAsia="Arial" w:hAnsi="Arial"/>
          <w:sz w:val="22"/>
          <w:szCs w:val="22"/>
          <w:b w:val="1"/>
          <w:bCs w:val="1"/>
          <w:color w:val="auto"/>
        </w:rPr>
        <w:t>to Commercialize</w:t>
      </w:r>
      <w:r>
        <w:rPr>
          <w:rFonts w:ascii="Arial" w:cs="Arial" w:eastAsia="Arial" w:hAnsi="Arial"/>
          <w:sz w:val="22"/>
          <w:szCs w:val="22"/>
          <w:color w:val="auto"/>
        </w:rPr>
        <w:t>” and “</w:t>
      </w:r>
      <w:r>
        <w:rPr>
          <w:rFonts w:ascii="Arial" w:cs="Arial" w:eastAsia="Arial" w:hAnsi="Arial"/>
          <w:sz w:val="22"/>
          <w:szCs w:val="22"/>
          <w:b w:val="1"/>
          <w:bCs w:val="1"/>
          <w:color w:val="auto"/>
        </w:rPr>
        <w:t>Commercializing</w:t>
      </w:r>
      <w:r>
        <w:rPr>
          <w:rFonts w:ascii="Arial" w:cs="Arial" w:eastAsia="Arial" w:hAnsi="Arial"/>
          <w:sz w:val="22"/>
          <w:szCs w:val="22"/>
          <w:color w:val="auto"/>
        </w:rPr>
        <w:t>” means to engage in Commercialization, and “</w:t>
      </w:r>
      <w:r>
        <w:rPr>
          <w:rFonts w:ascii="Arial" w:cs="Arial" w:eastAsia="Arial" w:hAnsi="Arial"/>
          <w:sz w:val="22"/>
          <w:szCs w:val="22"/>
          <w:b w:val="1"/>
          <w:bCs w:val="1"/>
          <w:color w:val="auto"/>
        </w:rPr>
        <w:t>Commercialized</w:t>
      </w:r>
      <w:r>
        <w:rPr>
          <w:rFonts w:ascii="Arial" w:cs="Arial" w:eastAsia="Arial" w:hAnsi="Arial"/>
          <w:sz w:val="22"/>
          <w:szCs w:val="22"/>
          <w:color w:val="auto"/>
        </w:rPr>
        <w:t>” has a corresponding meaning.</w:t>
      </w:r>
    </w:p>
    <w:p>
      <w:pPr>
        <w:spacing w:after="0" w:line="76"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t>
      </w:r>
    </w:p>
    <w:p>
      <w:pPr>
        <w:spacing w:after="0" w:line="98" w:lineRule="exact"/>
        <w:rPr>
          <w:sz w:val="20"/>
          <w:szCs w:val="20"/>
          <w:color w:val="auto"/>
        </w:rPr>
      </w:pPr>
    </w:p>
    <w:p>
      <w:pPr>
        <w:ind w:right="420" w:firstLine="1755"/>
        <w:spacing w:after="0" w:line="256" w:lineRule="auto"/>
        <w:rPr>
          <w:sz w:val="20"/>
          <w:szCs w:val="20"/>
          <w:color w:val="auto"/>
        </w:rPr>
      </w:pPr>
      <w:r>
        <w:rPr>
          <w:rFonts w:ascii="Arial" w:cs="Arial" w:eastAsia="Arial" w:hAnsi="Arial"/>
          <w:sz w:val="22"/>
          <w:szCs w:val="22"/>
          <w:b w:val="1"/>
          <w:bCs w:val="1"/>
          <w:color w:val="auto"/>
        </w:rPr>
        <w:t xml:space="preserve">1.47 </w:t>
      </w:r>
      <w:r>
        <w:rPr>
          <w:rFonts w:ascii="Arial" w:cs="Arial" w:eastAsia="Arial" w:hAnsi="Arial"/>
          <w:sz w:val="22"/>
          <w:szCs w:val="22"/>
          <w:color w:val="auto"/>
        </w:rPr>
        <w:t>“</w:t>
      </w:r>
      <w:r>
        <w:rPr>
          <w:rFonts w:ascii="Arial" w:cs="Arial" w:eastAsia="Arial" w:hAnsi="Arial"/>
          <w:sz w:val="22"/>
          <w:szCs w:val="22"/>
          <w:b w:val="1"/>
          <w:bCs w:val="1"/>
          <w:color w:val="auto"/>
        </w:rPr>
        <w:t>Competing Product</w:t>
      </w:r>
      <w:r>
        <w:rPr>
          <w:rFonts w:ascii="Arial" w:cs="Arial" w:eastAsia="Arial" w:hAnsi="Arial"/>
          <w:sz w:val="22"/>
          <w:szCs w:val="22"/>
          <w:color w:val="auto"/>
        </w:rPr>
        <w:t>” means any product that is or contains a Restricted Discovery Antibody,</w:t>
      </w:r>
      <w:r>
        <w:rPr>
          <w:rFonts w:ascii="Arial" w:cs="Arial" w:eastAsia="Arial" w:hAnsi="Arial"/>
          <w:sz w:val="22"/>
          <w:szCs w:val="22"/>
          <w:b w:val="1"/>
          <w:bCs w:val="1"/>
          <w:color w:val="auto"/>
        </w:rPr>
        <w:t xml:space="preserve"> </w:t>
      </w:r>
      <w:r>
        <w:rPr>
          <w:rFonts w:ascii="Arial" w:cs="Arial" w:eastAsia="Arial" w:hAnsi="Arial"/>
          <w:sz w:val="22"/>
          <w:szCs w:val="22"/>
          <w:color w:val="auto"/>
        </w:rPr>
        <w:t>Probody or PDC that binds to an Accepted Target.</w:t>
      </w:r>
    </w:p>
    <w:p>
      <w:pPr>
        <w:spacing w:after="0" w:line="55"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Competitor</w:t>
      </w:r>
      <w:r>
        <w:rPr>
          <w:rFonts w:ascii="Arial" w:cs="Arial" w:eastAsia="Arial" w:hAnsi="Arial"/>
          <w:sz w:val="19"/>
          <w:szCs w:val="19"/>
          <w:color w:val="auto"/>
        </w:rPr>
        <w:t>” means any Person that, [***].</w:t>
      </w:r>
    </w:p>
    <w:p>
      <w:pPr>
        <w:spacing w:after="0" w:line="9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Conduct</w:t>
      </w:r>
      <w:r>
        <w:rPr>
          <w:rFonts w:ascii="Arial" w:cs="Arial" w:eastAsia="Arial" w:hAnsi="Arial"/>
          <w:sz w:val="22"/>
          <w:szCs w:val="22"/>
          <w:color w:val="auto"/>
        </w:rPr>
        <w:t>” means, with respect to any Clinical Study, to (a) sponsor, support or perform, 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or indirectly through a Third Party, such Clinical Study; or (b) provide to a Third Party funding for, or clinical supplies (including placebos) for use in, such Clinical Study.</w:t>
      </w:r>
    </w:p>
    <w:p>
      <w:pPr>
        <w:spacing w:after="0" w:line="69"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b w:val="1"/>
          <w:bCs w:val="1"/>
          <w:color w:val="auto"/>
        </w:rPr>
        <w:t xml:space="preserve">1.50 </w:t>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Information or data provided orally, visually, in writing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form by or on behalf of one (1) Party (or an Affiliate or representative of such Party) to the other Party (or to an Affiliate or representative of such Party) in connection with this Agreement, whether prior to (including under the Prior CDA), on, or after the Effective Date, including Information relating to the terms of this Agreement, any Discovery Probody, Discovery PDC or any Licensed Product (including the Regulatory Documentation), any Exploitation of any Discovery Probody, Discovery PDC or any Licensed Product, any know-how with respect thereto developed by or on behalf of the disclosing Party or its Affiliates (including AbbVie Background Know-How, AbbVie Program Know-How, Licensor Background Know-How and Licensor Program Know-How, as applicable), or the scientific, regulatory or business affairs or other activities of either Party. Notwithstanding the foregoing, (a) Joint Program Know-How shall be deemed to be the Confidential Information of both Parties, and both Parties shall be deemed to be the receiving Party and the disclosing Party with respect thereto, (b) all Regulatory Documentation owned by AbbVie pursuant to </w:t>
      </w:r>
      <w:r>
        <w:rPr>
          <w:rFonts w:ascii="Arial" w:cs="Arial" w:eastAsia="Arial" w:hAnsi="Arial"/>
          <w:sz w:val="19"/>
          <w:szCs w:val="19"/>
          <w:u w:val="single" w:color="auto"/>
          <w:color w:val="auto"/>
        </w:rPr>
        <w:t>Section 4.8.1</w:t>
      </w:r>
      <w:r>
        <w:rPr>
          <w:rFonts w:ascii="Arial" w:cs="Arial" w:eastAsia="Arial" w:hAnsi="Arial"/>
          <w:sz w:val="19"/>
          <w:szCs w:val="19"/>
          <w:color w:val="auto"/>
        </w:rPr>
        <w:t xml:space="preserve"> and all Confidential Information related to AbbVie Program Know-How shall be deemed to be the Confidential Information of AbbVie, and AbbVie shall be deemed to be the disclosing Party and Licensor shall be deemed to be the receiving Party with respect thereto, and (c) all Confidential Information related to Licensor Program Know-How shall be deemed to be the Confidential Information of Licensor, and Licensor shall be deemed to be the disclosing Party and AbbVie shall be deemed to be the receiving Party with respect thereto.</w:t>
      </w:r>
    </w:p>
    <w:p>
      <w:pPr>
        <w:spacing w:after="0" w:line="28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with respect to any item of Information, Regulatory Documentation,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Patent, or other property right, the possession of the right, whether directly or indirectly, and whether by ownership, license, covenant not to sue or otherwise (other</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88" w:name="page89"/>
    <w:bookmarkEnd w:id="88"/>
    <w:p>
      <w:pPr>
        <w:ind w:firstLine="1755"/>
        <w:spacing w:after="0" w:line="239" w:lineRule="auto"/>
        <w:framePr w:w="2220" w:h="436" w:wrap="auto" w:vAnchor="page" w:hAnchor="page" w:x="200" w:y="5079"/>
        <w:rPr>
          <w:rFonts w:ascii="Arial" w:cs="Arial" w:eastAsia="Arial" w:hAnsi="Arial"/>
          <w:sz w:val="19"/>
          <w:szCs w:val="19"/>
          <w:color w:val="auto"/>
        </w:rPr>
      </w:pPr>
      <w:r>
        <w:rPr>
          <w:rFonts w:ascii="Arial" w:cs="Arial" w:eastAsia="Arial" w:hAnsi="Arial"/>
          <w:sz w:val="19"/>
          <w:szCs w:val="19"/>
          <w:b w:val="1"/>
          <w:bCs w:val="1"/>
          <w:color w:val="auto"/>
        </w:rPr>
        <w:t xml:space="preserve">1.60 </w:t>
      </w:r>
      <w:r>
        <w:rPr>
          <w:rFonts w:ascii="Arial" w:cs="Arial" w:eastAsia="Arial" w:hAnsi="Arial"/>
          <w:sz w:val="19"/>
          <w:szCs w:val="19"/>
          <w:color w:val="auto"/>
        </w:rPr>
        <w:t xml:space="preserve">forth on </w:t>
      </w:r>
      <w:r>
        <w:rPr>
          <w:rFonts w:ascii="Arial" w:cs="Arial" w:eastAsia="Arial" w:hAnsi="Arial"/>
          <w:sz w:val="19"/>
          <w:szCs w:val="19"/>
          <w:u w:val="single" w:color="auto"/>
          <w:color w:val="auto"/>
        </w:rPr>
        <w:t>Schedule 1.60</w:t>
      </w:r>
      <w:r>
        <w:rPr>
          <w:rFonts w:ascii="Arial" w:cs="Arial" w:eastAsia="Arial" w:hAnsi="Arial"/>
          <w:sz w:val="19"/>
          <w:szCs w:val="19"/>
          <w:color w:val="auto"/>
        </w:rPr>
        <w:t>.</w:t>
      </w:r>
    </w:p>
    <w:p>
      <w:pPr>
        <w:jc w:val="both"/>
        <w:spacing w:after="0" w:line="297" w:lineRule="auto"/>
        <w:rPr>
          <w:sz w:val="20"/>
          <w:szCs w:val="20"/>
          <w:color w:val="auto"/>
        </w:rPr>
      </w:pPr>
      <w:r>
        <w:rPr>
          <w:rFonts w:ascii="Arial" w:cs="Arial" w:eastAsia="Arial" w:hAnsi="Arial"/>
          <w:sz w:val="19"/>
          <w:szCs w:val="19"/>
          <w:color w:val="auto"/>
        </w:rPr>
        <w:t xml:space="preserve">than by operation of the license and other grants in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6.2</w:t>
      </w:r>
      <w:r>
        <w:rPr>
          <w:rFonts w:ascii="Arial" w:cs="Arial" w:eastAsia="Arial" w:hAnsi="Arial"/>
          <w:sz w:val="19"/>
          <w:szCs w:val="19"/>
          <w:color w:val="auto"/>
        </w:rPr>
        <w:t>), to grant a license, sublicense or other right (including the right to reference Regulatory Documentation) to or under such Information, Regulatory Documentation, material, Patent, or other property right as provided for herein without violating the terms of any agreement or other arrangement with any Third Party.</w:t>
      </w:r>
    </w:p>
    <w:p>
      <w:pPr>
        <w:spacing w:after="0" w:line="20" w:lineRule="exact"/>
        <w:rPr>
          <w:rFonts w:ascii="Arial" w:cs="Arial" w:eastAsia="Arial" w:hAnsi="Arial"/>
          <w:sz w:val="19"/>
          <w:szCs w:val="19"/>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Corporate Names</w:t>
      </w:r>
      <w:r>
        <w:rPr>
          <w:rFonts w:ascii="Arial" w:cs="Arial" w:eastAsia="Arial" w:hAnsi="Arial"/>
          <w:sz w:val="22"/>
          <w:szCs w:val="22"/>
          <w:color w:val="auto"/>
        </w:rPr>
        <w:t>” means the Trademarks and logos identified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1.52</w:t>
      </w:r>
      <w:r>
        <w:rPr>
          <w:rFonts w:ascii="Arial" w:cs="Arial" w:eastAsia="Arial" w:hAnsi="Arial"/>
          <w:sz w:val="22"/>
          <w:szCs w:val="22"/>
          <w:b w:val="1"/>
          <w:bCs w:val="1"/>
          <w:color w:val="auto"/>
        </w:rPr>
        <w:t xml:space="preserve"> </w:t>
      </w:r>
      <w:r>
        <w:rPr>
          <w:rFonts w:ascii="Arial" w:cs="Arial" w:eastAsia="Arial" w:hAnsi="Arial"/>
          <w:sz w:val="22"/>
          <w:szCs w:val="22"/>
          <w:color w:val="auto"/>
        </w:rPr>
        <w:t>and such other</w:t>
      </w:r>
      <w:r>
        <w:rPr>
          <w:rFonts w:ascii="Arial" w:cs="Arial" w:eastAsia="Arial" w:hAnsi="Arial"/>
          <w:sz w:val="22"/>
          <w:szCs w:val="22"/>
          <w:b w:val="1"/>
          <w:bCs w:val="1"/>
          <w:color w:val="auto"/>
        </w:rPr>
        <w:t xml:space="preserve"> </w:t>
      </w:r>
      <w:r>
        <w:rPr>
          <w:rFonts w:ascii="Arial" w:cs="Arial" w:eastAsia="Arial" w:hAnsi="Arial"/>
          <w:sz w:val="22"/>
          <w:szCs w:val="22"/>
          <w:color w:val="auto"/>
        </w:rPr>
        <w:t>names and logos as Licensor may designate in writing from time to time.</w:t>
      </w:r>
    </w:p>
    <w:p>
      <w:pPr>
        <w:spacing w:after="0" w:line="55" w:lineRule="exact"/>
        <w:rPr>
          <w:rFonts w:ascii="Arial" w:cs="Arial" w:eastAsia="Arial" w:hAnsi="Arial"/>
          <w:sz w:val="19"/>
          <w:szCs w:val="19"/>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Default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13.2.1</w:t>
      </w:r>
      <w:r>
        <w:rPr>
          <w:rFonts w:ascii="Arial" w:cs="Arial" w:eastAsia="Arial" w:hAnsi="Arial"/>
          <w:sz w:val="19"/>
          <w:szCs w:val="19"/>
          <w:color w:val="auto"/>
        </w:rPr>
        <w:t>.</w:t>
      </w:r>
    </w:p>
    <w:p>
      <w:pPr>
        <w:spacing w:after="0" w:line="98" w:lineRule="exact"/>
        <w:rPr>
          <w:rFonts w:ascii="Arial" w:cs="Arial" w:eastAsia="Arial" w:hAnsi="Arial"/>
          <w:sz w:val="19"/>
          <w:szCs w:val="19"/>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Delivery System</w:t>
      </w:r>
      <w:r>
        <w:rPr>
          <w:rFonts w:ascii="Arial" w:cs="Arial" w:eastAsia="Arial" w:hAnsi="Arial"/>
          <w:sz w:val="19"/>
          <w:szCs w:val="19"/>
          <w:color w:val="auto"/>
        </w:rPr>
        <w:t>” has the meaning set forth in the definition of “Net Sales.”</w:t>
      </w:r>
    </w:p>
    <w:p>
      <w:pPr>
        <w:spacing w:after="0" w:line="98" w:lineRule="exact"/>
        <w:rPr>
          <w:rFonts w:ascii="Arial" w:cs="Arial" w:eastAsia="Arial" w:hAnsi="Arial"/>
          <w:sz w:val="19"/>
          <w:szCs w:val="19"/>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color w:val="auto"/>
        </w:rPr>
        <w:t>Derived</w:t>
      </w:r>
      <w:r>
        <w:rPr>
          <w:rFonts w:ascii="Arial" w:cs="Arial" w:eastAsia="Arial" w:hAnsi="Arial"/>
          <w:sz w:val="22"/>
          <w:szCs w:val="22"/>
          <w:color w:val="auto"/>
        </w:rPr>
        <w:t>” means in whole or in part obtained, developed, created, designed, derived or resulting</w:t>
      </w:r>
      <w:r>
        <w:rPr>
          <w:rFonts w:ascii="Arial" w:cs="Arial" w:eastAsia="Arial" w:hAnsi="Arial"/>
          <w:sz w:val="22"/>
          <w:szCs w:val="22"/>
          <w:b w:val="1"/>
          <w:bCs w:val="1"/>
          <w:color w:val="auto"/>
        </w:rPr>
        <w:t xml:space="preserve"> </w:t>
      </w:r>
      <w:r>
        <w:rPr>
          <w:rFonts w:ascii="Arial" w:cs="Arial" w:eastAsia="Arial" w:hAnsi="Arial"/>
          <w:sz w:val="22"/>
          <w:szCs w:val="22"/>
          <w:color w:val="auto"/>
        </w:rPr>
        <w:t>from, based upon, containing, incorporating or otherwise generated from.</w:t>
      </w:r>
    </w:p>
    <w:p>
      <w:pPr>
        <w:spacing w:after="0" w:line="55" w:lineRule="exact"/>
        <w:rPr>
          <w:rFonts w:ascii="Arial" w:cs="Arial" w:eastAsia="Arial" w:hAnsi="Arial"/>
          <w:sz w:val="19"/>
          <w:szCs w:val="19"/>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Development</w:t>
      </w:r>
      <w:r>
        <w:rPr>
          <w:rFonts w:ascii="Arial" w:cs="Arial" w:eastAsia="Arial" w:hAnsi="Arial"/>
          <w:sz w:val="22"/>
          <w:szCs w:val="22"/>
          <w:color w:val="auto"/>
        </w:rPr>
        <w:t>” means all activities related to [***]. When used as a verb, “</w:t>
      </w:r>
      <w:r>
        <w:rPr>
          <w:rFonts w:ascii="Arial" w:cs="Arial" w:eastAsia="Arial" w:hAnsi="Arial"/>
          <w:sz w:val="22"/>
          <w:szCs w:val="22"/>
          <w:b w:val="1"/>
          <w:bCs w:val="1"/>
          <w:color w:val="auto"/>
        </w:rPr>
        <w:t>Develop</w:t>
      </w:r>
      <w:r>
        <w:rPr>
          <w:rFonts w:ascii="Arial" w:cs="Arial" w:eastAsia="Arial" w:hAnsi="Arial"/>
          <w:sz w:val="22"/>
          <w:szCs w:val="22"/>
          <w:color w:val="auto"/>
        </w:rPr>
        <w:t>” means to</w:t>
      </w:r>
      <w:r>
        <w:rPr>
          <w:rFonts w:ascii="Arial" w:cs="Arial" w:eastAsia="Arial" w:hAnsi="Arial"/>
          <w:sz w:val="22"/>
          <w:szCs w:val="22"/>
          <w:b w:val="1"/>
          <w:bCs w:val="1"/>
          <w:color w:val="auto"/>
        </w:rPr>
        <w:t xml:space="preserve"> </w:t>
      </w:r>
      <w:r>
        <w:rPr>
          <w:rFonts w:ascii="Arial" w:cs="Arial" w:eastAsia="Arial" w:hAnsi="Arial"/>
          <w:sz w:val="22"/>
          <w:szCs w:val="22"/>
          <w:color w:val="auto"/>
        </w:rPr>
        <w:t>engage in Development. Development shall exclude [***]. For purposes of clarity, Development shall include [***].</w:t>
      </w:r>
    </w:p>
    <w:p>
      <w:pPr>
        <w:spacing w:after="0" w:line="55" w:lineRule="exact"/>
        <w:rPr>
          <w:rFonts w:ascii="Arial" w:cs="Arial" w:eastAsia="Arial" w:hAnsi="Arial"/>
          <w:sz w:val="19"/>
          <w:szCs w:val="19"/>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Discovery Antibody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98" w:lineRule="exact"/>
        <w:rPr>
          <w:rFonts w:ascii="Arial" w:cs="Arial" w:eastAsia="Arial" w:hAnsi="Arial"/>
          <w:sz w:val="19"/>
          <w:szCs w:val="19"/>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Discovery PDC</w:t>
      </w:r>
      <w:r>
        <w:rPr>
          <w:rFonts w:ascii="Arial" w:cs="Arial" w:eastAsia="Arial" w:hAnsi="Arial"/>
          <w:sz w:val="19"/>
          <w:szCs w:val="19"/>
          <w:color w:val="auto"/>
        </w:rPr>
        <w:t>” means a PDC that, when activated, specifically binds to an Accepted Target.</w:t>
      </w:r>
    </w:p>
    <w:p>
      <w:pPr>
        <w:spacing w:after="0" w:line="98" w:lineRule="exact"/>
        <w:rPr>
          <w:rFonts w:ascii="Arial" w:cs="Arial" w:eastAsia="Arial" w:hAnsi="Arial"/>
          <w:sz w:val="19"/>
          <w:szCs w:val="19"/>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Discovery PDC or AbbVie Probody Failure</w:t>
      </w:r>
      <w:r>
        <w:rPr>
          <w:rFonts w:ascii="Arial" w:cs="Arial" w:eastAsia="Arial" w:hAnsi="Arial"/>
          <w:sz w:val="19"/>
          <w:szCs w:val="19"/>
          <w:color w:val="auto"/>
        </w:rPr>
        <w:t>” means, [***].</w:t>
      </w:r>
    </w:p>
    <w:p>
      <w:pPr>
        <w:spacing w:after="0" w:line="98" w:lineRule="exact"/>
        <w:rPr>
          <w:rFonts w:ascii="Arial" w:cs="Arial" w:eastAsia="Arial" w:hAnsi="Arial"/>
          <w:sz w:val="19"/>
          <w:szCs w:val="19"/>
          <w:color w:val="auto"/>
        </w:rPr>
      </w:pPr>
    </w:p>
    <w:p>
      <w:pPr>
        <w:ind w:left="27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Discovery PDC Success Criteria</w:t>
      </w:r>
      <w:r>
        <w:rPr>
          <w:rFonts w:ascii="Arial" w:cs="Arial" w:eastAsia="Arial" w:hAnsi="Arial"/>
          <w:sz w:val="19"/>
          <w:szCs w:val="19"/>
          <w:color w:val="auto"/>
        </w:rPr>
        <w:t>” means the success criteria with respect to a Discovery PDC set</w:t>
      </w:r>
    </w:p>
    <w:p>
      <w:pPr>
        <w:spacing w:after="0" w:line="376" w:lineRule="exact"/>
        <w:rPr>
          <w:rFonts w:ascii="Arial" w:cs="Arial" w:eastAsia="Arial" w:hAnsi="Arial"/>
          <w:sz w:val="19"/>
          <w:szCs w:val="19"/>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b w:val="1"/>
          <w:bCs w:val="1"/>
          <w:color w:val="auto"/>
        </w:rPr>
        <w:t>“Discovery Probody</w:t>
      </w:r>
      <w:r>
        <w:rPr>
          <w:rFonts w:ascii="Arial" w:cs="Arial" w:eastAsia="Arial" w:hAnsi="Arial"/>
          <w:sz w:val="19"/>
          <w:szCs w:val="19"/>
          <w:color w:val="auto"/>
        </w:rPr>
        <w:t>” means a Probody that, when activated, specifically binds to an Accepted</w:t>
      </w:r>
    </w:p>
    <w:p>
      <w:pPr>
        <w:spacing w:after="0" w:line="14"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Target.</w:t>
      </w:r>
    </w:p>
    <w:p>
      <w:pPr>
        <w:spacing w:after="0" w:line="74" w:lineRule="exact"/>
        <w:rPr>
          <w:rFonts w:ascii="Arial" w:cs="Arial" w:eastAsia="Arial" w:hAnsi="Arial"/>
          <w:sz w:val="19"/>
          <w:szCs w:val="19"/>
          <w:color w:val="auto"/>
        </w:rPr>
      </w:pPr>
    </w:p>
    <w:p>
      <w:pPr>
        <w:jc w:val="both"/>
        <w:ind w:firstLine="1755"/>
        <w:spacing w:after="0" w:line="234" w:lineRule="auto"/>
        <w:rPr>
          <w:sz w:val="20"/>
          <w:szCs w:val="20"/>
          <w:color w:val="auto"/>
        </w:rPr>
      </w:pPr>
      <w:r>
        <w:rPr>
          <w:rFonts w:ascii="Arial" w:cs="Arial" w:eastAsia="Arial" w:hAnsi="Arial"/>
          <w:sz w:val="22"/>
          <w:szCs w:val="22"/>
          <w:b w:val="1"/>
          <w:bCs w:val="1"/>
          <w:color w:val="auto"/>
        </w:rPr>
        <w:t>1.62 “Discovery Probody Delivery Deadline</w:t>
      </w:r>
      <w:r>
        <w:rPr>
          <w:rFonts w:ascii="Arial" w:cs="Arial" w:eastAsia="Arial" w:hAnsi="Arial"/>
          <w:sz w:val="22"/>
          <w:szCs w:val="22"/>
          <w:color w:val="auto"/>
        </w:rPr>
        <w:t>” means, on an Accepted Target-by-Accepted Target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basis, (a) the date that is [***] after the date on which AbbVie delivers the Discovery Antibody sequence and other materials and data meeting the Antibody Criteria pursuant to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(whether for the initial Discovery Antibody or a replacement provided pursuant to </w:t>
      </w:r>
      <w:r>
        <w:rPr>
          <w:rFonts w:ascii="Arial" w:cs="Arial" w:eastAsia="Arial" w:hAnsi="Arial"/>
          <w:sz w:val="22"/>
          <w:szCs w:val="22"/>
          <w:u w:val="single" w:color="auto"/>
          <w:color w:val="auto"/>
        </w:rPr>
        <w:t>Section 4.2(b)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4.3.2</w:t>
      </w:r>
      <w:r>
        <w:rPr>
          <w:rFonts w:ascii="Arial" w:cs="Arial" w:eastAsia="Arial" w:hAnsi="Arial"/>
          <w:sz w:val="22"/>
          <w:szCs w:val="22"/>
          <w:color w:val="auto"/>
        </w:rPr>
        <w:t xml:space="preserve">(b)), (b) the date that is [***] after the JRC’s determination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that a Discovery Probody does not meet the Discovery Probody Success Criteria and AbbVie’s selection, pursuant to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to have Licensor create a Discovery Probody based on the same Discovery Antibody, or (c) the date that is [***] after the JRC’s determination pursuant to </w:t>
      </w:r>
      <w:r>
        <w:rPr>
          <w:rFonts w:ascii="Arial" w:cs="Arial" w:eastAsia="Arial" w:hAnsi="Arial"/>
          <w:sz w:val="22"/>
          <w:szCs w:val="22"/>
          <w:u w:val="single" w:color="auto"/>
          <w:color w:val="auto"/>
        </w:rPr>
        <w:t>Section 4.3.2</w:t>
      </w:r>
      <w:r>
        <w:rPr>
          <w:rFonts w:ascii="Arial" w:cs="Arial" w:eastAsia="Arial" w:hAnsi="Arial"/>
          <w:sz w:val="22"/>
          <w:szCs w:val="22"/>
          <w:color w:val="auto"/>
        </w:rPr>
        <w:t xml:space="preserve"> that a Discovery PDC does not meet the Discovery PDC Success Criteria and AbbVie’s selection, pursuant to </w:t>
      </w:r>
      <w:r>
        <w:rPr>
          <w:rFonts w:ascii="Arial" w:cs="Arial" w:eastAsia="Arial" w:hAnsi="Arial"/>
          <w:sz w:val="22"/>
          <w:szCs w:val="22"/>
          <w:u w:val="single" w:color="auto"/>
          <w:color w:val="auto"/>
        </w:rPr>
        <w:t>Section 4.3.2(a)</w:t>
      </w:r>
      <w:r>
        <w:rPr>
          <w:rFonts w:ascii="Arial" w:cs="Arial" w:eastAsia="Arial" w:hAnsi="Arial"/>
          <w:sz w:val="22"/>
          <w:szCs w:val="22"/>
          <w:color w:val="auto"/>
        </w:rPr>
        <w:t>, to have Licensor create a Discovery Probody based on the same Discovery Antibody, as applicable.</w:t>
      </w:r>
    </w:p>
    <w:p>
      <w:pPr>
        <w:spacing w:after="0" w:line="76" w:lineRule="exact"/>
        <w:rPr>
          <w:rFonts w:ascii="Arial" w:cs="Arial" w:eastAsia="Arial" w:hAnsi="Arial"/>
          <w:sz w:val="19"/>
          <w:szCs w:val="19"/>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1.63 “Discovery Probody Success Criteria</w:t>
      </w:r>
      <w:r>
        <w:rPr>
          <w:rFonts w:ascii="Arial" w:cs="Arial" w:eastAsia="Arial" w:hAnsi="Arial"/>
          <w:sz w:val="22"/>
          <w:szCs w:val="22"/>
          <w:color w:val="auto"/>
        </w:rPr>
        <w:t>” means the criteria with respect to a Discovery Probody set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forth on </w:t>
      </w:r>
      <w:r>
        <w:rPr>
          <w:rFonts w:ascii="Arial" w:cs="Arial" w:eastAsia="Arial" w:hAnsi="Arial"/>
          <w:sz w:val="22"/>
          <w:szCs w:val="22"/>
          <w:u w:val="single" w:color="auto"/>
          <w:color w:val="auto"/>
        </w:rPr>
        <w:t>Schedule 1.63</w:t>
      </w:r>
      <w:r>
        <w:rPr>
          <w:rFonts w:ascii="Arial" w:cs="Arial" w:eastAsia="Arial" w:hAnsi="Arial"/>
          <w:sz w:val="22"/>
          <w:szCs w:val="22"/>
          <w:color w:val="auto"/>
        </w:rPr>
        <w:t>.</w:t>
      </w:r>
    </w:p>
    <w:p>
      <w:pPr>
        <w:spacing w:after="0" w:line="55" w:lineRule="exact"/>
        <w:rPr>
          <w:rFonts w:ascii="Arial" w:cs="Arial" w:eastAsia="Arial" w:hAnsi="Arial"/>
          <w:sz w:val="19"/>
          <w:szCs w:val="19"/>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color w:val="auto"/>
        </w:rPr>
        <w:t>“</w:t>
      </w:r>
      <w:r>
        <w:rPr>
          <w:rFonts w:ascii="Arial" w:cs="Arial" w:eastAsia="Arial" w:hAnsi="Arial"/>
          <w:sz w:val="22"/>
          <w:szCs w:val="22"/>
          <w:b w:val="1"/>
          <w:bCs w:val="1"/>
          <w:color w:val="auto"/>
        </w:rPr>
        <w:t>Discovery Research Plan</w:t>
      </w:r>
      <w:r>
        <w:rPr>
          <w:rFonts w:ascii="Arial" w:cs="Arial" w:eastAsia="Arial" w:hAnsi="Arial"/>
          <w:sz w:val="22"/>
          <w:szCs w:val="22"/>
          <w:color w:val="auto"/>
        </w:rPr>
        <w:t>” means the research plan setting forth the activities (and timelines)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conversion of Discovery Antibodies into Discovery Probodies</w:t>
      </w:r>
    </w:p>
    <w:p>
      <w:pPr>
        <w:spacing w:after="0" w:line="142" w:lineRule="exact"/>
        <w:rPr>
          <w:rFonts w:ascii="Arial" w:cs="Arial" w:eastAsia="Arial" w:hAnsi="Arial"/>
          <w:sz w:val="19"/>
          <w:szCs w:val="19"/>
          <w:color w:val="auto"/>
        </w:rPr>
      </w:pPr>
    </w:p>
    <w:p>
      <w:pPr>
        <w:ind w:left="880"/>
        <w:spacing w:after="0"/>
        <w:rPr>
          <w:sz w:val="20"/>
          <w:szCs w:val="20"/>
          <w:color w:val="auto"/>
        </w:rPr>
      </w:pPr>
      <w:r>
        <w:rPr>
          <w:rFonts w:ascii="Arial" w:cs="Arial" w:eastAsia="Arial" w:hAnsi="Arial"/>
          <w:sz w:val="22"/>
          <w:szCs w:val="22"/>
          <w:color w:val="auto"/>
        </w:rPr>
        <w:t>- 7 -</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89" w:name="page90"/>
    <w:bookmarkEnd w:id="89"/>
    <w:p>
      <w:pPr>
        <w:spacing w:after="0" w:line="211" w:lineRule="auto"/>
        <w:framePr w:w="460" w:h="193" w:wrap="auto" w:vAnchor="page" w:hAnchor="page" w:x="1960" w:y="4377"/>
        <w:rPr>
          <w:rFonts w:ascii="Arial" w:cs="Arial" w:eastAsia="Arial" w:hAnsi="Arial"/>
          <w:sz w:val="19"/>
          <w:szCs w:val="19"/>
          <w:b w:val="1"/>
          <w:bCs w:val="1"/>
          <w:color w:val="auto"/>
        </w:rPr>
      </w:pPr>
      <w:r>
        <w:rPr>
          <w:rFonts w:ascii="Arial" w:cs="Arial" w:eastAsia="Arial" w:hAnsi="Arial"/>
          <w:sz w:val="19"/>
          <w:szCs w:val="19"/>
          <w:b w:val="1"/>
          <w:bCs w:val="1"/>
          <w:color w:val="auto"/>
        </w:rPr>
        <w:t>1.71</w:t>
      </w:r>
    </w:p>
    <w:p>
      <w:pPr>
        <w:spacing w:after="0" w:line="211" w:lineRule="auto"/>
        <w:framePr w:w="2820" w:h="193" w:wrap="auto" w:vAnchor="page" w:hAnchor="page" w:x="200" w:y="4620"/>
        <w:rPr>
          <w:rFonts w:ascii="Arial" w:cs="Arial" w:eastAsia="Arial" w:hAnsi="Arial"/>
          <w:sz w:val="19"/>
          <w:szCs w:val="19"/>
          <w:b w:val="1"/>
          <w:bCs w:val="1"/>
          <w:color w:val="auto"/>
        </w:rPr>
      </w:pPr>
      <w:r>
        <w:rPr>
          <w:rFonts w:ascii="Arial" w:cs="Arial" w:eastAsia="Arial" w:hAnsi="Arial"/>
          <w:sz w:val="19"/>
          <w:szCs w:val="19"/>
          <w:b w:val="1"/>
          <w:bCs w:val="1"/>
          <w:color w:val="auto"/>
        </w:rPr>
        <w:t>substantially the same function.</w:t>
      </w:r>
    </w:p>
    <w:p>
      <w:pPr>
        <w:jc w:val="both"/>
        <w:spacing w:after="0" w:line="251" w:lineRule="auto"/>
        <w:rPr>
          <w:sz w:val="20"/>
          <w:szCs w:val="20"/>
          <w:color w:val="auto"/>
        </w:rPr>
      </w:pPr>
      <w:r>
        <w:rPr>
          <w:rFonts w:ascii="Arial" w:cs="Arial" w:eastAsia="Arial" w:hAnsi="Arial"/>
          <w:sz w:val="22"/>
          <w:szCs w:val="22"/>
          <w:color w:val="auto"/>
        </w:rPr>
        <w:t xml:space="preserve">and the conversion of Discovery Probodies into Discovery PDCs for each Accepted Target attached as </w:t>
      </w:r>
      <w:r>
        <w:rPr>
          <w:rFonts w:ascii="Arial" w:cs="Arial" w:eastAsia="Arial" w:hAnsi="Arial"/>
          <w:sz w:val="22"/>
          <w:szCs w:val="22"/>
          <w:u w:val="single" w:color="auto"/>
          <w:color w:val="auto"/>
        </w:rPr>
        <w:t>Schedule 1.64</w:t>
      </w:r>
      <w:r>
        <w:rPr>
          <w:rFonts w:ascii="Arial" w:cs="Arial" w:eastAsia="Arial" w:hAnsi="Arial"/>
          <w:sz w:val="22"/>
          <w:szCs w:val="22"/>
          <w:color w:val="auto"/>
        </w:rPr>
        <w:t>, as the same may be amended from time to time in accordance with the terms hereof.</w:t>
      </w:r>
    </w:p>
    <w:p>
      <w:pPr>
        <w:spacing w:after="0" w:line="59" w:lineRule="exact"/>
        <w:rPr>
          <w:rFonts w:ascii="Arial" w:cs="Arial" w:eastAsia="Arial" w:hAnsi="Arial"/>
          <w:sz w:val="19"/>
          <w:szCs w:val="19"/>
          <w:b w:val="1"/>
          <w:bCs w:val="1"/>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14.7</w:t>
      </w:r>
      <w:r>
        <w:rPr>
          <w:rFonts w:ascii="Arial" w:cs="Arial" w:eastAsia="Arial" w:hAnsi="Arial"/>
          <w:sz w:val="19"/>
          <w:szCs w:val="19"/>
          <w:color w:val="auto"/>
        </w:rPr>
        <w:t>.</w:t>
      </w:r>
    </w:p>
    <w:p>
      <w:pPr>
        <w:spacing w:after="0" w:line="98" w:lineRule="exact"/>
        <w:rPr>
          <w:rFonts w:ascii="Arial" w:cs="Arial" w:eastAsia="Arial" w:hAnsi="Arial"/>
          <w:sz w:val="19"/>
          <w:szCs w:val="19"/>
          <w:b w:val="1"/>
          <w:bCs w:val="1"/>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98" w:lineRule="exact"/>
        <w:rPr>
          <w:rFonts w:ascii="Arial" w:cs="Arial" w:eastAsia="Arial" w:hAnsi="Arial"/>
          <w:sz w:val="19"/>
          <w:szCs w:val="19"/>
          <w:b w:val="1"/>
          <w:bCs w:val="1"/>
          <w:color w:val="auto"/>
        </w:rPr>
      </w:pPr>
    </w:p>
    <w:p>
      <w:pPr>
        <w:ind w:left="1760"/>
        <w:spacing w:after="0"/>
        <w:tabs>
          <w:tab w:leader="none" w:pos="2760" w:val="left"/>
          <w:tab w:leader="none" w:pos="5440" w:val="left"/>
        </w:tabs>
        <w:rPr>
          <w:sz w:val="20"/>
          <w:szCs w:val="20"/>
          <w:color w:val="auto"/>
        </w:rPr>
      </w:pPr>
      <w:r>
        <w:rPr>
          <w:rFonts w:ascii="Arial" w:cs="Arial" w:eastAsia="Arial" w:hAnsi="Arial"/>
          <w:sz w:val="22"/>
          <w:szCs w:val="22"/>
          <w:b w:val="1"/>
          <w:bCs w:val="1"/>
          <w:color w:val="auto"/>
        </w:rPr>
        <w:t>1.67</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color w:val="auto"/>
        </w:rPr>
        <w:t>Divestiture</w:t>
      </w:r>
      <w:r>
        <w:rPr>
          <w:rFonts w:ascii="Arial" w:cs="Arial" w:eastAsia="Arial" w:hAnsi="Arial"/>
          <w:sz w:val="22"/>
          <w:szCs w:val="22"/>
          <w:color w:val="auto"/>
        </w:rPr>
        <w:t>” means, [***].</w:t>
      </w:r>
      <w:r>
        <w:rPr>
          <w:sz w:val="20"/>
          <w:szCs w:val="20"/>
          <w:color w:val="auto"/>
        </w:rPr>
        <w:tab/>
      </w:r>
      <w:r>
        <w:rPr>
          <w:rFonts w:ascii="Arial" w:cs="Arial" w:eastAsia="Arial" w:hAnsi="Arial"/>
          <w:sz w:val="19"/>
          <w:szCs w:val="19"/>
          <w:color w:val="auto"/>
        </w:rPr>
        <w:t>When used as a verb, “</w:t>
      </w:r>
      <w:r>
        <w:rPr>
          <w:rFonts w:ascii="Arial" w:cs="Arial" w:eastAsia="Arial" w:hAnsi="Arial"/>
          <w:sz w:val="19"/>
          <w:szCs w:val="19"/>
          <w:b w:val="1"/>
          <w:bCs w:val="1"/>
          <w:color w:val="auto"/>
        </w:rPr>
        <w:t>Divest</w:t>
      </w:r>
      <w:r>
        <w:rPr>
          <w:rFonts w:ascii="Arial" w:cs="Arial" w:eastAsia="Arial" w:hAnsi="Arial"/>
          <w:sz w:val="19"/>
          <w:szCs w:val="19"/>
          <w:color w:val="auto"/>
        </w:rPr>
        <w:t>” and “</w:t>
      </w:r>
      <w:r>
        <w:rPr>
          <w:rFonts w:ascii="Arial" w:cs="Arial" w:eastAsia="Arial" w:hAnsi="Arial"/>
          <w:sz w:val="19"/>
          <w:szCs w:val="19"/>
          <w:b w:val="1"/>
          <w:bCs w:val="1"/>
          <w:color w:val="auto"/>
        </w:rPr>
        <w:t>Divested</w:t>
      </w:r>
      <w:r>
        <w:rPr>
          <w:rFonts w:ascii="Arial" w:cs="Arial" w:eastAsia="Arial" w:hAnsi="Arial"/>
          <w:sz w:val="19"/>
          <w:szCs w:val="19"/>
          <w:color w:val="auto"/>
        </w:rPr>
        <w:t>” means to cause a</w:t>
      </w:r>
    </w:p>
    <w:p>
      <w:pPr>
        <w:spacing w:after="0" w:line="14" w:lineRule="exact"/>
        <w:rPr>
          <w:rFonts w:ascii="Arial" w:cs="Arial" w:eastAsia="Arial" w:hAnsi="Arial"/>
          <w:sz w:val="19"/>
          <w:szCs w:val="19"/>
          <w:b w:val="1"/>
          <w:bCs w:val="1"/>
          <w:color w:val="auto"/>
        </w:rPr>
      </w:pPr>
    </w:p>
    <w:p>
      <w:pPr>
        <w:spacing w:after="0"/>
        <w:rPr>
          <w:sz w:val="20"/>
          <w:szCs w:val="20"/>
          <w:color w:val="auto"/>
        </w:rPr>
      </w:pPr>
      <w:r>
        <w:rPr>
          <w:rFonts w:ascii="Arial" w:cs="Arial" w:eastAsia="Arial" w:hAnsi="Arial"/>
          <w:sz w:val="22"/>
          <w:szCs w:val="22"/>
          <w:color w:val="auto"/>
        </w:rPr>
        <w:t>Divestiture.</w:t>
      </w:r>
    </w:p>
    <w:p>
      <w:pPr>
        <w:spacing w:after="0" w:line="74" w:lineRule="exact"/>
        <w:rPr>
          <w:rFonts w:ascii="Arial" w:cs="Arial" w:eastAsia="Arial" w:hAnsi="Arial"/>
          <w:sz w:val="19"/>
          <w:szCs w:val="19"/>
          <w:b w:val="1"/>
          <w:bCs w:val="1"/>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Dollars</w:t>
      </w:r>
      <w:r>
        <w:rPr>
          <w:rFonts w:ascii="Arial" w:cs="Arial" w:eastAsia="Arial" w:hAnsi="Arial"/>
          <w:sz w:val="19"/>
          <w:szCs w:val="19"/>
          <w:color w:val="auto"/>
        </w:rPr>
        <w:t>” or “</w:t>
      </w:r>
      <w:r>
        <w:rPr>
          <w:rFonts w:ascii="Arial" w:cs="Arial" w:eastAsia="Arial" w:hAnsi="Arial"/>
          <w:sz w:val="19"/>
          <w:szCs w:val="19"/>
          <w:b w:val="1"/>
          <w:bCs w:val="1"/>
          <w:color w:val="auto"/>
        </w:rPr>
        <w:t>$</w:t>
      </w:r>
      <w:r>
        <w:rPr>
          <w:rFonts w:ascii="Arial" w:cs="Arial" w:eastAsia="Arial" w:hAnsi="Arial"/>
          <w:sz w:val="19"/>
          <w:szCs w:val="19"/>
          <w:color w:val="auto"/>
        </w:rPr>
        <w:t>” means United States Dollars.</w:t>
      </w:r>
    </w:p>
    <w:p>
      <w:pPr>
        <w:spacing w:after="0" w:line="98" w:lineRule="exact"/>
        <w:rPr>
          <w:rFonts w:ascii="Arial" w:cs="Arial" w:eastAsia="Arial" w:hAnsi="Arial"/>
          <w:sz w:val="19"/>
          <w:szCs w:val="19"/>
          <w:b w:val="1"/>
          <w:bCs w:val="1"/>
          <w:color w:val="auto"/>
        </w:rPr>
      </w:pPr>
    </w:p>
    <w:p>
      <w:pPr>
        <w:jc w:val="both"/>
        <w:ind w:firstLine="1755"/>
        <w:spacing w:after="0" w:line="289" w:lineRule="auto"/>
        <w:rPr>
          <w:sz w:val="20"/>
          <w:szCs w:val="20"/>
          <w:color w:val="auto"/>
        </w:rPr>
      </w:pPr>
      <w:r>
        <w:rPr>
          <w:rFonts w:ascii="Arial" w:cs="Arial" w:eastAsia="Arial" w:hAnsi="Arial"/>
          <w:sz w:val="19"/>
          <w:szCs w:val="19"/>
          <w:b w:val="1"/>
          <w:bCs w:val="1"/>
          <w:color w:val="auto"/>
        </w:rPr>
        <w:t xml:space="preserve">1.69 </w:t>
      </w:r>
      <w:r>
        <w:rPr>
          <w:rFonts w:ascii="Arial" w:cs="Arial" w:eastAsia="Arial" w:hAnsi="Arial"/>
          <w:sz w:val="19"/>
          <w:szCs w:val="19"/>
          <w:color w:val="auto"/>
        </w:rPr>
        <w:t>“</w:t>
      </w:r>
      <w:r>
        <w:rPr>
          <w:rFonts w:ascii="Arial" w:cs="Arial" w:eastAsia="Arial" w:hAnsi="Arial"/>
          <w:sz w:val="19"/>
          <w:szCs w:val="19"/>
          <w:b w:val="1"/>
          <w:bCs w:val="1"/>
          <w:color w:val="auto"/>
        </w:rPr>
        <w:t>Drug Approval Application</w:t>
      </w:r>
      <w:r>
        <w:rPr>
          <w:rFonts w:ascii="Arial" w:cs="Arial" w:eastAsia="Arial" w:hAnsi="Arial"/>
          <w:sz w:val="19"/>
          <w:szCs w:val="19"/>
          <w:color w:val="auto"/>
        </w:rPr>
        <w:t>” means a Biologics License Application (a “</w:t>
      </w:r>
      <w:r>
        <w:rPr>
          <w:rFonts w:ascii="Arial" w:cs="Arial" w:eastAsia="Arial" w:hAnsi="Arial"/>
          <w:sz w:val="19"/>
          <w:szCs w:val="19"/>
          <w:b w:val="1"/>
          <w:bCs w:val="1"/>
          <w:color w:val="auto"/>
        </w:rPr>
        <w:t>BLA</w:t>
      </w:r>
      <w:r>
        <w:rPr>
          <w:rFonts w:ascii="Arial" w:cs="Arial" w:eastAsia="Arial" w:hAnsi="Arial"/>
          <w:sz w:val="19"/>
          <w:szCs w:val="19"/>
          <w:color w:val="auto"/>
        </w:rPr>
        <w:t>”) as defined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FFDCA, or any corresponding foreign application in the Territory, including, with respect to the European Union, a Marketing Authorization Application (a “</w:t>
      </w:r>
      <w:r>
        <w:rPr>
          <w:rFonts w:ascii="Arial" w:cs="Arial" w:eastAsia="Arial" w:hAnsi="Arial"/>
          <w:sz w:val="19"/>
          <w:szCs w:val="19"/>
          <w:b w:val="1"/>
          <w:bCs w:val="1"/>
          <w:color w:val="auto"/>
        </w:rPr>
        <w:t>MAA</w:t>
      </w:r>
      <w:r>
        <w:rPr>
          <w:rFonts w:ascii="Arial" w:cs="Arial" w:eastAsia="Arial" w:hAnsi="Arial"/>
          <w:sz w:val="19"/>
          <w:szCs w:val="19"/>
          <w:color w:val="auto"/>
        </w:rPr>
        <w:t>”) filed with the EMA pursuant to the Centralized Approval Procedure or with the applicable Regulatory Authority of a country in Europe with respect to the mutual recognition or any other national approval procedure.</w:t>
      </w:r>
    </w:p>
    <w:p>
      <w:pPr>
        <w:spacing w:after="0" w:line="28" w:lineRule="exact"/>
        <w:rPr>
          <w:rFonts w:ascii="Arial" w:cs="Arial" w:eastAsia="Arial" w:hAnsi="Arial"/>
          <w:sz w:val="19"/>
          <w:szCs w:val="19"/>
          <w:b w:val="1"/>
          <w:bCs w:val="1"/>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means the effective date of this Agreement as set forth in the preamble hereto.</w:t>
      </w:r>
    </w:p>
    <w:p>
      <w:pPr>
        <w:spacing w:after="0" w:line="98" w:lineRule="exact"/>
        <w:rPr>
          <w:rFonts w:ascii="Arial" w:cs="Arial" w:eastAsia="Arial" w:hAnsi="Arial"/>
          <w:sz w:val="19"/>
          <w:szCs w:val="19"/>
          <w:b w:val="1"/>
          <w:bCs w:val="1"/>
          <w:color w:val="auto"/>
        </w:rPr>
      </w:pPr>
    </w:p>
    <w:p>
      <w:pPr>
        <w:ind w:left="27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and any successor agency(ies) or authority having</w:t>
      </w:r>
    </w:p>
    <w:p>
      <w:pPr>
        <w:spacing w:after="0" w:line="376" w:lineRule="exact"/>
        <w:rPr>
          <w:rFonts w:ascii="Arial" w:cs="Arial" w:eastAsia="Arial" w:hAnsi="Arial"/>
          <w:sz w:val="19"/>
          <w:szCs w:val="19"/>
          <w:b w:val="1"/>
          <w:bCs w:val="1"/>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E.U. Major Market Country</w:t>
      </w:r>
      <w:r>
        <w:rPr>
          <w:rFonts w:ascii="Arial" w:cs="Arial" w:eastAsia="Arial" w:hAnsi="Arial"/>
          <w:sz w:val="21"/>
          <w:szCs w:val="21"/>
          <w:color w:val="auto"/>
        </w:rPr>
        <w:t>” means each of the following: [***].</w:t>
      </w:r>
    </w:p>
    <w:p>
      <w:pPr>
        <w:spacing w:after="0" w:line="98" w:lineRule="exact"/>
        <w:rPr>
          <w:rFonts w:ascii="Arial" w:cs="Arial" w:eastAsia="Arial" w:hAnsi="Arial"/>
          <w:sz w:val="19"/>
          <w:szCs w:val="19"/>
          <w:b w:val="1"/>
          <w:bCs w:val="1"/>
          <w:color w:val="auto"/>
        </w:rPr>
      </w:pPr>
    </w:p>
    <w:p>
      <w:pPr>
        <w:jc w:val="both"/>
        <w:ind w:firstLine="1755"/>
        <w:spacing w:after="0" w:line="280" w:lineRule="auto"/>
        <w:rPr>
          <w:sz w:val="20"/>
          <w:szCs w:val="20"/>
          <w:color w:val="auto"/>
        </w:rPr>
      </w:pPr>
      <w:r>
        <w:rPr>
          <w:rFonts w:ascii="Arial" w:cs="Arial" w:eastAsia="Arial" w:hAnsi="Arial"/>
          <w:sz w:val="21"/>
          <w:szCs w:val="21"/>
          <w:b w:val="1"/>
          <w:bCs w:val="1"/>
          <w:color w:val="auto"/>
        </w:rPr>
        <w:t xml:space="preserve">1.73 </w:t>
      </w:r>
      <w:r>
        <w:rPr>
          <w:rFonts w:ascii="Arial" w:cs="Arial" w:eastAsia="Arial" w:hAnsi="Arial"/>
          <w:sz w:val="21"/>
          <w:szCs w:val="21"/>
          <w:color w:val="auto"/>
        </w:rPr>
        <w:t>“</w:t>
      </w:r>
      <w:r>
        <w:rPr>
          <w:rFonts w:ascii="Arial" w:cs="Arial" w:eastAsia="Arial" w:hAnsi="Arial"/>
          <w:sz w:val="21"/>
          <w:szCs w:val="21"/>
          <w:b w:val="1"/>
          <w:bCs w:val="1"/>
          <w:color w:val="auto"/>
        </w:rPr>
        <w:t xml:space="preserve">European Union </w:t>
      </w:r>
      <w:r>
        <w:rPr>
          <w:rFonts w:ascii="Arial" w:cs="Arial" w:eastAsia="Arial" w:hAnsi="Arial"/>
          <w:sz w:val="21"/>
          <w:szCs w:val="21"/>
          <w:color w:val="auto"/>
        </w:rPr>
        <w:t>” or “</w:t>
      </w:r>
      <w:r>
        <w:rPr>
          <w:rFonts w:ascii="Arial" w:cs="Arial" w:eastAsia="Arial" w:hAnsi="Arial"/>
          <w:sz w:val="21"/>
          <w:szCs w:val="21"/>
          <w:b w:val="1"/>
          <w:bCs w:val="1"/>
          <w:color w:val="auto"/>
        </w:rPr>
        <w:t>E.U.</w:t>
      </w:r>
      <w:r>
        <w:rPr>
          <w:rFonts w:ascii="Arial" w:cs="Arial" w:eastAsia="Arial" w:hAnsi="Arial"/>
          <w:sz w:val="21"/>
          <w:szCs w:val="21"/>
          <w:color w:val="auto"/>
        </w:rPr>
        <w:t>” means the economic, scientific, and political organization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member states known as the European Union, as its membership may be altered from time to time, and any successor thereto.</w:t>
      </w:r>
    </w:p>
    <w:p>
      <w:pPr>
        <w:spacing w:after="0" w:line="31" w:lineRule="exact"/>
        <w:rPr>
          <w:rFonts w:ascii="Arial" w:cs="Arial" w:eastAsia="Arial" w:hAnsi="Arial"/>
          <w:sz w:val="19"/>
          <w:szCs w:val="19"/>
          <w:b w:val="1"/>
          <w:bCs w:val="1"/>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Existing Patents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11.2.1</w:t>
      </w:r>
      <w:r>
        <w:rPr>
          <w:rFonts w:ascii="Arial" w:cs="Arial" w:eastAsia="Arial" w:hAnsi="Arial"/>
          <w:sz w:val="19"/>
          <w:szCs w:val="19"/>
          <w:color w:val="auto"/>
        </w:rPr>
        <w:t>.</w:t>
      </w:r>
    </w:p>
    <w:p>
      <w:pPr>
        <w:spacing w:after="0" w:line="98" w:lineRule="exact"/>
        <w:rPr>
          <w:rFonts w:ascii="Arial" w:cs="Arial" w:eastAsia="Arial" w:hAnsi="Arial"/>
          <w:sz w:val="19"/>
          <w:szCs w:val="19"/>
          <w:b w:val="1"/>
          <w:bCs w:val="1"/>
          <w:color w:val="auto"/>
        </w:rPr>
      </w:pPr>
    </w:p>
    <w:p>
      <w:pPr>
        <w:jc w:val="both"/>
        <w:ind w:firstLine="1755"/>
        <w:spacing w:after="0" w:line="254" w:lineRule="auto"/>
        <w:rPr>
          <w:sz w:val="20"/>
          <w:szCs w:val="20"/>
          <w:color w:val="auto"/>
        </w:rPr>
      </w:pPr>
      <w:r>
        <w:rPr>
          <w:rFonts w:ascii="Arial" w:cs="Arial" w:eastAsia="Arial" w:hAnsi="Arial"/>
          <w:sz w:val="21"/>
          <w:szCs w:val="21"/>
          <w:b w:val="1"/>
          <w:bCs w:val="1"/>
          <w:color w:val="auto"/>
        </w:rPr>
        <w:t xml:space="preserve">1.75 </w:t>
      </w:r>
      <w:r>
        <w:rPr>
          <w:rFonts w:ascii="Arial" w:cs="Arial" w:eastAsia="Arial" w:hAnsi="Arial"/>
          <w:sz w:val="21"/>
          <w:szCs w:val="21"/>
          <w:color w:val="auto"/>
        </w:rPr>
        <w:t>“</w:t>
      </w:r>
      <w:r>
        <w:rPr>
          <w:rFonts w:ascii="Arial" w:cs="Arial" w:eastAsia="Arial" w:hAnsi="Arial"/>
          <w:sz w:val="21"/>
          <w:szCs w:val="21"/>
          <w:b w:val="1"/>
          <w:bCs w:val="1"/>
          <w:color w:val="auto"/>
        </w:rPr>
        <w:t>Exploit</w:t>
      </w:r>
      <w:r>
        <w:rPr>
          <w:rFonts w:ascii="Arial" w:cs="Arial" w:eastAsia="Arial" w:hAnsi="Arial"/>
          <w:sz w:val="21"/>
          <w:szCs w:val="21"/>
          <w:color w:val="auto"/>
        </w:rPr>
        <w:t>” or “</w:t>
      </w:r>
      <w:r>
        <w:rPr>
          <w:rFonts w:ascii="Arial" w:cs="Arial" w:eastAsia="Arial" w:hAnsi="Arial"/>
          <w:sz w:val="21"/>
          <w:szCs w:val="21"/>
          <w:b w:val="1"/>
          <w:bCs w:val="1"/>
          <w:color w:val="auto"/>
        </w:rPr>
        <w:t>Exploitation</w:t>
      </w:r>
      <w:r>
        <w:rPr>
          <w:rFonts w:ascii="Arial" w:cs="Arial" w:eastAsia="Arial" w:hAnsi="Arial"/>
          <w:sz w:val="21"/>
          <w:szCs w:val="21"/>
          <w:color w:val="auto"/>
        </w:rPr>
        <w:t>” means to make, have made, import, export, use, have used, sell, have</w:t>
      </w:r>
      <w:r>
        <w:rPr>
          <w:rFonts w:ascii="Arial" w:cs="Arial" w:eastAsia="Arial" w:hAnsi="Arial"/>
          <w:sz w:val="21"/>
          <w:szCs w:val="21"/>
          <w:b w:val="1"/>
          <w:bCs w:val="1"/>
          <w:color w:val="auto"/>
        </w:rPr>
        <w:t xml:space="preserve"> </w:t>
      </w:r>
      <w:r>
        <w:rPr>
          <w:rFonts w:ascii="Arial" w:cs="Arial" w:eastAsia="Arial" w:hAnsi="Arial"/>
          <w:sz w:val="21"/>
          <w:szCs w:val="21"/>
          <w:color w:val="auto"/>
        </w:rPr>
        <w:t>sold, or offer for sale, including to Develop, Commercialize, register, modify, enhance, improve, Manufacture, have Manufactured, hold, or keep (whether for disposal or otherwise), or otherwise dispose of. Notwithstanding the foregoing, “Exploit” or “Exploitation” with respect to an AbbVie Probody, Discovery PDC or Licensed Product does not include [***].</w:t>
      </w:r>
    </w:p>
    <w:p>
      <w:pPr>
        <w:spacing w:after="0" w:line="58" w:lineRule="exact"/>
        <w:rPr>
          <w:rFonts w:ascii="Arial" w:cs="Arial" w:eastAsia="Arial" w:hAnsi="Arial"/>
          <w:sz w:val="19"/>
          <w:szCs w:val="19"/>
          <w:b w:val="1"/>
          <w:bCs w:val="1"/>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United States Food and Drug Administration and any successor agency(ies) or</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having substantially the same function.</w:t>
      </w:r>
    </w:p>
    <w:p>
      <w:pPr>
        <w:spacing w:after="0" w:line="55" w:lineRule="exact"/>
        <w:rPr>
          <w:rFonts w:ascii="Arial" w:cs="Arial" w:eastAsia="Arial" w:hAnsi="Arial"/>
          <w:sz w:val="19"/>
          <w:szCs w:val="19"/>
          <w:b w:val="1"/>
          <w:bCs w:val="1"/>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1.77 </w:t>
      </w:r>
      <w:r>
        <w:rPr>
          <w:rFonts w:ascii="Arial" w:cs="Arial" w:eastAsia="Arial" w:hAnsi="Arial"/>
          <w:sz w:val="22"/>
          <w:szCs w:val="22"/>
          <w:color w:val="auto"/>
        </w:rPr>
        <w:t>“</w:t>
      </w:r>
      <w:r>
        <w:rPr>
          <w:rFonts w:ascii="Arial" w:cs="Arial" w:eastAsia="Arial" w:hAnsi="Arial"/>
          <w:sz w:val="22"/>
          <w:szCs w:val="22"/>
          <w:b w:val="1"/>
          <w:bCs w:val="1"/>
          <w:color w:val="auto"/>
        </w:rPr>
        <w:t>FFDCA</w:t>
      </w:r>
      <w:r>
        <w:rPr>
          <w:rFonts w:ascii="Arial" w:cs="Arial" w:eastAsia="Arial" w:hAnsi="Arial"/>
          <w:sz w:val="22"/>
          <w:szCs w:val="22"/>
          <w:color w:val="auto"/>
        </w:rPr>
        <w:t>” means the United States Federal Food, Drug, and Cosmetic Act, 21 U.S.C. § 301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et seq.</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amended from time to time, together with any rules, regulations and requirements promulgated thereunder (including all additions, supplements, extensions, and modifications thereto).</w:t>
      </w:r>
    </w:p>
    <w:p>
      <w:pPr>
        <w:spacing w:after="0" w:line="69" w:lineRule="exact"/>
        <w:rPr>
          <w:rFonts w:ascii="Arial" w:cs="Arial" w:eastAsia="Arial" w:hAnsi="Arial"/>
          <w:sz w:val="19"/>
          <w:szCs w:val="19"/>
          <w:b w:val="1"/>
          <w:bCs w:val="1"/>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Field</w:t>
      </w:r>
      <w:r>
        <w:rPr>
          <w:rFonts w:ascii="Arial" w:cs="Arial" w:eastAsia="Arial" w:hAnsi="Arial"/>
          <w:sz w:val="21"/>
          <w:szCs w:val="21"/>
          <w:color w:val="auto"/>
        </w:rPr>
        <w:t>” means [***].</w:t>
      </w:r>
    </w:p>
    <w:p>
      <w:pPr>
        <w:spacing w:after="0" w:line="98" w:lineRule="exact"/>
        <w:rPr>
          <w:rFonts w:ascii="Arial" w:cs="Arial" w:eastAsia="Arial" w:hAnsi="Arial"/>
          <w:sz w:val="19"/>
          <w:szCs w:val="19"/>
          <w:b w:val="1"/>
          <w:bCs w:val="1"/>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1.79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Licensed Product and a country, the first sale</w:t>
      </w:r>
      <w:r>
        <w:rPr>
          <w:rFonts w:ascii="Arial" w:cs="Arial" w:eastAsia="Arial" w:hAnsi="Arial"/>
          <w:sz w:val="22"/>
          <w:szCs w:val="22"/>
          <w:b w:val="1"/>
          <w:bCs w:val="1"/>
          <w:color w:val="auto"/>
        </w:rPr>
        <w:t xml:space="preserve"> </w:t>
      </w:r>
      <w:r>
        <w:rPr>
          <w:rFonts w:ascii="Arial" w:cs="Arial" w:eastAsia="Arial" w:hAnsi="Arial"/>
          <w:sz w:val="22"/>
          <w:szCs w:val="22"/>
          <w:color w:val="auto"/>
        </w:rPr>
        <w:t>for monetary value for use or consumption by the end user of such Licensed Product in such country after Regulatory Approval for such Licensed Product has been obtained in such country. [***]</w:t>
      </w:r>
    </w:p>
    <w:p>
      <w:pPr>
        <w:spacing w:after="0" w:line="156" w:lineRule="exact"/>
        <w:rPr>
          <w:rFonts w:ascii="Arial" w:cs="Arial" w:eastAsia="Arial" w:hAnsi="Arial"/>
          <w:sz w:val="19"/>
          <w:szCs w:val="19"/>
          <w:b w:val="1"/>
          <w:bCs w:val="1"/>
          <w:color w:val="auto"/>
        </w:rPr>
      </w:pPr>
    </w:p>
    <w:p>
      <w:pPr>
        <w:ind w:left="880"/>
        <w:spacing w:after="0"/>
        <w:rPr>
          <w:sz w:val="20"/>
          <w:szCs w:val="20"/>
          <w:color w:val="auto"/>
        </w:rPr>
      </w:pPr>
      <w:r>
        <w:rPr>
          <w:rFonts w:ascii="Arial" w:cs="Arial" w:eastAsia="Arial" w:hAnsi="Arial"/>
          <w:sz w:val="22"/>
          <w:szCs w:val="22"/>
          <w:color w:val="auto"/>
        </w:rPr>
        <w:t>- 8 -</w:t>
      </w:r>
    </w:p>
    <w:p>
      <w:pPr>
        <w:spacing w:after="0" w:line="20" w:lineRule="exact"/>
        <w:rPr>
          <w:rFonts w:ascii="Arial" w:cs="Arial" w:eastAsia="Arial" w:hAnsi="Arial"/>
          <w:sz w:val="19"/>
          <w:szCs w:val="19"/>
          <w:b w:val="1"/>
          <w:bCs w:val="1"/>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90" w:name="page91"/>
    <w:bookmarkEnd w:id="90"/>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1.80 </w:t>
      </w:r>
      <w:r>
        <w:rPr>
          <w:rFonts w:ascii="Arial" w:cs="Arial" w:eastAsia="Arial" w:hAnsi="Arial"/>
          <w:sz w:val="22"/>
          <w:szCs w:val="22"/>
          <w:color w:val="auto"/>
        </w:rPr>
        <w:t>“</w:t>
      </w:r>
      <w:r>
        <w:rPr>
          <w:rFonts w:ascii="Arial" w:cs="Arial" w:eastAsia="Arial" w:hAnsi="Arial"/>
          <w:sz w:val="22"/>
          <w:szCs w:val="22"/>
          <w:b w:val="1"/>
          <w:bCs w:val="1"/>
          <w:color w:val="auto"/>
        </w:rPr>
        <w:t>Gatekeeper</w:t>
      </w:r>
      <w:r>
        <w:rPr>
          <w:rFonts w:ascii="Arial" w:cs="Arial" w:eastAsia="Arial" w:hAnsi="Arial"/>
          <w:sz w:val="22"/>
          <w:szCs w:val="22"/>
          <w:color w:val="auto"/>
        </w:rPr>
        <w:t>” means an independent Third Party mutually agreeable to the Parties to be engaged</w:t>
      </w:r>
      <w:r>
        <w:rPr>
          <w:rFonts w:ascii="Arial" w:cs="Arial" w:eastAsia="Arial" w:hAnsi="Arial"/>
          <w:sz w:val="22"/>
          <w:szCs w:val="22"/>
          <w:b w:val="1"/>
          <w:bCs w:val="1"/>
          <w:color w:val="auto"/>
        </w:rPr>
        <w:t xml:space="preserve"> </w:t>
      </w:r>
      <w:r>
        <w:rPr>
          <w:rFonts w:ascii="Arial" w:cs="Arial" w:eastAsia="Arial" w:hAnsi="Arial"/>
          <w:sz w:val="22"/>
          <w:szCs w:val="22"/>
          <w:color w:val="auto"/>
        </w:rPr>
        <w:t>by Licensor promptly, but in no case later than [***], following the Effective Date for the purpose of confirming whether Nominated Targets are on the list of Unavailable Targets, on mutually agreeable terms, including provisions relating to confidentiality.</w:t>
      </w:r>
    </w:p>
    <w:p>
      <w:pPr>
        <w:spacing w:after="0" w:line="73"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Gatekeeper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98" w:lineRule="exact"/>
        <w:rPr>
          <w:sz w:val="20"/>
          <w:szCs w:val="20"/>
          <w:color w:val="auto"/>
        </w:rPr>
      </w:pPr>
    </w:p>
    <w:p>
      <w:pPr>
        <w:jc w:val="both"/>
        <w:ind w:right="20" w:firstLine="1755"/>
        <w:spacing w:after="0" w:line="261" w:lineRule="auto"/>
        <w:rPr>
          <w:sz w:val="20"/>
          <w:szCs w:val="20"/>
          <w:color w:val="auto"/>
        </w:rPr>
      </w:pPr>
      <w:r>
        <w:rPr>
          <w:rFonts w:ascii="Arial" w:cs="Arial" w:eastAsia="Arial" w:hAnsi="Arial"/>
          <w:sz w:val="21"/>
          <w:szCs w:val="21"/>
          <w:b w:val="1"/>
          <w:bCs w:val="1"/>
          <w:color w:val="auto"/>
        </w:rPr>
        <w:t xml:space="preserve">1.82 </w:t>
      </w:r>
      <w:r>
        <w:rPr>
          <w:rFonts w:ascii="Arial" w:cs="Arial" w:eastAsia="Arial" w:hAnsi="Arial"/>
          <w:sz w:val="21"/>
          <w:szCs w:val="21"/>
          <w:color w:val="auto"/>
        </w:rPr>
        <w:t>“</w:t>
      </w:r>
      <w:r>
        <w:rPr>
          <w:rFonts w:ascii="Arial" w:cs="Arial" w:eastAsia="Arial" w:hAnsi="Arial"/>
          <w:sz w:val="21"/>
          <w:szCs w:val="21"/>
          <w:b w:val="1"/>
          <w:bCs w:val="1"/>
          <w:color w:val="auto"/>
        </w:rPr>
        <w:t>GLP Tox Study</w:t>
      </w:r>
      <w:r>
        <w:rPr>
          <w:rFonts w:ascii="Arial" w:cs="Arial" w:eastAsia="Arial" w:hAnsi="Arial"/>
          <w:sz w:val="21"/>
          <w:szCs w:val="21"/>
          <w:color w:val="auto"/>
        </w:rPr>
        <w:t>” means a toxicology study that is conducted in compliance with the then-current</w:t>
      </w:r>
      <w:r>
        <w:rPr>
          <w:rFonts w:ascii="Arial" w:cs="Arial" w:eastAsia="Arial" w:hAnsi="Arial"/>
          <w:sz w:val="21"/>
          <w:szCs w:val="21"/>
          <w:b w:val="1"/>
          <w:bCs w:val="1"/>
          <w:color w:val="auto"/>
        </w:rPr>
        <w:t xml:space="preserve"> </w:t>
      </w:r>
      <w:r>
        <w:rPr>
          <w:rFonts w:ascii="Arial" w:cs="Arial" w:eastAsia="Arial" w:hAnsi="Arial"/>
          <w:sz w:val="21"/>
          <w:szCs w:val="21"/>
          <w:color w:val="auto"/>
        </w:rPr>
        <w:t>good laboratory practice standards promulgated or endorsed by the FDA, as defined in U.S. 21 C.F.R. Part 58 (as they may be updated from time to time) and is required to meet the requirements for filing an IND in the United States.</w:t>
      </w:r>
    </w:p>
    <w:p>
      <w:pPr>
        <w:spacing w:after="0" w:line="49"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IMS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7.6.3(a)</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1.84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an application filed with a Regulatory Authority for authorization to commence</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Studies, including (a) an Investigational New Drug Application as defined in the FFDCA or any successor application or procedure filed with the FDA, (b) any equivalent of a United States IND in other countries or regulatory jurisdictions, (i.e., Clinical Trial Application (CTA)) and (c) all supplements, amendments, variations, extensions and renewals thereof that may be filed with respect to the foregoing.</w:t>
      </w:r>
    </w:p>
    <w:p>
      <w:pPr>
        <w:spacing w:after="0" w:line="74"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Indemnification Claim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12.3</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12.3</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326" w:lineRule="auto"/>
        <w:rPr>
          <w:sz w:val="20"/>
          <w:szCs w:val="20"/>
          <w:color w:val="auto"/>
        </w:rPr>
      </w:pPr>
      <w:r>
        <w:rPr>
          <w:rFonts w:ascii="Arial" w:cs="Arial" w:eastAsia="Arial" w:hAnsi="Arial"/>
          <w:sz w:val="19"/>
          <w:szCs w:val="19"/>
          <w:b w:val="1"/>
          <w:bCs w:val="1"/>
          <w:color w:val="auto"/>
        </w:rPr>
        <w:t xml:space="preserve">1.87 </w:t>
      </w:r>
      <w:r>
        <w:rPr>
          <w:rFonts w:ascii="Arial" w:cs="Arial" w:eastAsia="Arial" w:hAnsi="Arial"/>
          <w:sz w:val="19"/>
          <w:szCs w:val="19"/>
          <w:color w:val="auto"/>
        </w:rPr>
        <w:t>“</w:t>
      </w:r>
      <w:r>
        <w:rPr>
          <w:rFonts w:ascii="Arial" w:cs="Arial" w:eastAsia="Arial" w:hAnsi="Arial"/>
          <w:sz w:val="19"/>
          <w:szCs w:val="19"/>
          <w:b w:val="1"/>
          <w:bCs w:val="1"/>
          <w:color w:val="auto"/>
        </w:rPr>
        <w:t>Indication</w:t>
      </w:r>
      <w:r>
        <w:rPr>
          <w:rFonts w:ascii="Arial" w:cs="Arial" w:eastAsia="Arial" w:hAnsi="Arial"/>
          <w:sz w:val="19"/>
          <w:szCs w:val="19"/>
          <w:color w:val="auto"/>
        </w:rPr>
        <w:t>” means each separate and distinct disease, disorder, illness, health condition, or</w:t>
      </w:r>
      <w:r>
        <w:rPr>
          <w:rFonts w:ascii="Arial" w:cs="Arial" w:eastAsia="Arial" w:hAnsi="Arial"/>
          <w:sz w:val="19"/>
          <w:szCs w:val="19"/>
          <w:b w:val="1"/>
          <w:bCs w:val="1"/>
          <w:color w:val="auto"/>
        </w:rPr>
        <w:t xml:space="preserve"> </w:t>
      </w:r>
      <w:r>
        <w:rPr>
          <w:rFonts w:ascii="Arial" w:cs="Arial" w:eastAsia="Arial" w:hAnsi="Arial"/>
          <w:sz w:val="19"/>
          <w:szCs w:val="19"/>
          <w:color w:val="auto"/>
        </w:rPr>
        <w:t>interruption, cessation or disruption of a bodily function, system, tissue type or organ, for which Regulatory Approval is required.</w:t>
      </w:r>
    </w:p>
    <w:p>
      <w:pPr>
        <w:spacing w:after="0" w:line="1"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Indirect Taxes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7.10</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b w:val="1"/>
          <w:bCs w:val="1"/>
          <w:color w:val="auto"/>
        </w:rPr>
        <w:t xml:space="preserve">1.89 </w:t>
      </w: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means all knowledge of a technical, scientific, business and other nature,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know-how, technology, means, methods, processes, practices, formulae, instructions, skills, techniques, procedures, experiences, ideas, technical assistance, designs, drawings, assembly procedures, computer programs, apparatuses, specifications, data, results and other material, and other biological, chemical, pharmacological, toxicological, pharmaceutical, physical and analytical, pre-clinical, clinical, safety, manufacturing and quality control data and information, including study designs and protocols, reagents (e.g., plasmids, proteins, cell lines, assays and compounds) and biological methodology; in each case (whether or not confidential, proprietary, patented or patentable, of commercial advantage or not) in written, electronic or any other form now known or hereafter developed.</w:t>
      </w:r>
    </w:p>
    <w:p>
      <w:pPr>
        <w:spacing w:after="0" w:line="65"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1.90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or “</w:t>
      </w:r>
      <w:r>
        <w:rPr>
          <w:rFonts w:ascii="Arial" w:cs="Arial" w:eastAsia="Arial" w:hAnsi="Arial"/>
          <w:sz w:val="22"/>
          <w:szCs w:val="22"/>
          <w:b w:val="1"/>
          <w:bCs w:val="1"/>
          <w:color w:val="auto"/>
        </w:rPr>
        <w:t>Initiate</w:t>
      </w:r>
      <w:r>
        <w:rPr>
          <w:rFonts w:ascii="Arial" w:cs="Arial" w:eastAsia="Arial" w:hAnsi="Arial"/>
          <w:sz w:val="22"/>
          <w:szCs w:val="22"/>
          <w:color w:val="auto"/>
        </w:rPr>
        <w:t>” means, with respect to a Clinical Study, the first dosing of the first human</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in such Clinical Study.</w:t>
      </w:r>
    </w:p>
    <w:p>
      <w:pPr>
        <w:spacing w:after="0" w:line="55"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In-Licensed Patents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11.2.3</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13.5.1</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b w:val="1"/>
          <w:bCs w:val="1"/>
          <w:color w:val="auto"/>
        </w:rPr>
        <w:t>“Internal Reserved Program</w:t>
      </w:r>
      <w:r>
        <w:rPr>
          <w:rFonts w:ascii="Arial" w:cs="Arial" w:eastAsia="Arial" w:hAnsi="Arial"/>
          <w:sz w:val="19"/>
          <w:szCs w:val="19"/>
          <w:color w:val="auto"/>
        </w:rPr>
        <w:t>” means [***].</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Intellectual Property Rights</w:t>
      </w:r>
      <w:r>
        <w:rPr>
          <w:rFonts w:ascii="Arial" w:cs="Arial" w:eastAsia="Arial" w:hAnsi="Arial"/>
          <w:sz w:val="19"/>
          <w:szCs w:val="19"/>
          <w:color w:val="auto"/>
        </w:rPr>
        <w:t>” means the Joint Program Know-How and Joint Program</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Patents.</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1" w:name="page92"/>
    <w:bookmarkEnd w:id="91"/>
    <w:p>
      <w:pPr>
        <w:jc w:val="both"/>
        <w:ind w:right="20" w:firstLine="1755"/>
        <w:spacing w:after="0" w:line="236" w:lineRule="auto"/>
        <w:rPr>
          <w:sz w:val="20"/>
          <w:szCs w:val="20"/>
          <w:color w:val="auto"/>
        </w:rPr>
      </w:pPr>
      <w:r>
        <w:rPr>
          <w:rFonts w:ascii="Arial" w:cs="Arial" w:eastAsia="Arial" w:hAnsi="Arial"/>
          <w:sz w:val="22"/>
          <w:szCs w:val="22"/>
          <w:b w:val="1"/>
          <w:bCs w:val="1"/>
          <w:color w:val="auto"/>
        </w:rPr>
        <w:t>1.95 “Joint Program Know-How</w:t>
      </w:r>
      <w:r>
        <w:rPr>
          <w:rFonts w:ascii="Arial" w:cs="Arial" w:eastAsia="Arial" w:hAnsi="Arial"/>
          <w:sz w:val="22"/>
          <w:szCs w:val="22"/>
          <w:color w:val="auto"/>
        </w:rPr>
        <w:t>” means all Program Know-How that is: (a) related to a Discovery</w:t>
      </w:r>
      <w:r>
        <w:rPr>
          <w:rFonts w:ascii="Arial" w:cs="Arial" w:eastAsia="Arial" w:hAnsi="Arial"/>
          <w:sz w:val="22"/>
          <w:szCs w:val="22"/>
          <w:b w:val="1"/>
          <w:bCs w:val="1"/>
          <w:color w:val="auto"/>
        </w:rPr>
        <w:t xml:space="preserve"> </w:t>
      </w:r>
      <w:r>
        <w:rPr>
          <w:rFonts w:ascii="Arial" w:cs="Arial" w:eastAsia="Arial" w:hAnsi="Arial"/>
          <w:sz w:val="22"/>
          <w:szCs w:val="22"/>
          <w:color w:val="auto"/>
        </w:rPr>
        <w:t>Probody and not related exclusively to an AbbVie Probody, except to the extent exclusively related to the Licensor Platform or except to the extent exclusively related to the Discovery Antibody, or (b) is conceived, discovered, developed, or otherwise made jointly by or on behalf of AbbVie, or its Affiliates or sublicensees, on the one hand, and Licensor, or its Affiliates or sublicensees, on the other hand, but, in each case of clause (a) and (b), expressly excluding any AbbVie Program Know-How, Licensor Program Know-How, and Tools.</w:t>
      </w:r>
    </w:p>
    <w:p>
      <w:pPr>
        <w:spacing w:after="0" w:line="74" w:lineRule="exact"/>
        <w:rPr>
          <w:sz w:val="20"/>
          <w:szCs w:val="20"/>
          <w:color w:val="auto"/>
        </w:rPr>
      </w:pPr>
    </w:p>
    <w:p>
      <w:pPr>
        <w:jc w:val="both"/>
        <w:ind w:firstLine="1755"/>
        <w:spacing w:after="0" w:line="284" w:lineRule="auto"/>
        <w:rPr>
          <w:sz w:val="20"/>
          <w:szCs w:val="20"/>
          <w:color w:val="auto"/>
        </w:rPr>
      </w:pPr>
      <w:r>
        <w:rPr>
          <w:rFonts w:ascii="Arial" w:cs="Arial" w:eastAsia="Arial" w:hAnsi="Arial"/>
          <w:sz w:val="19"/>
          <w:szCs w:val="19"/>
          <w:b w:val="1"/>
          <w:bCs w:val="1"/>
          <w:color w:val="auto"/>
        </w:rPr>
        <w:t xml:space="preserve">1.96 </w:t>
      </w:r>
      <w:r>
        <w:rPr>
          <w:rFonts w:ascii="Arial" w:cs="Arial" w:eastAsia="Arial" w:hAnsi="Arial"/>
          <w:sz w:val="19"/>
          <w:szCs w:val="19"/>
          <w:color w:val="auto"/>
        </w:rPr>
        <w:t>“</w:t>
      </w:r>
      <w:r>
        <w:rPr>
          <w:rFonts w:ascii="Arial" w:cs="Arial" w:eastAsia="Arial" w:hAnsi="Arial"/>
          <w:sz w:val="19"/>
          <w:szCs w:val="19"/>
          <w:b w:val="1"/>
          <w:bCs w:val="1"/>
          <w:color w:val="auto"/>
        </w:rPr>
        <w:t>Joint Program Patents</w:t>
      </w:r>
      <w:r>
        <w:rPr>
          <w:rFonts w:ascii="Arial" w:cs="Arial" w:eastAsia="Arial" w:hAnsi="Arial"/>
          <w:sz w:val="19"/>
          <w:szCs w:val="19"/>
          <w:color w:val="auto"/>
        </w:rPr>
        <w:t>” means Program Patents (a) related to a Discovery Probody and not</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exclusively to an AbbVie Probody, except to the extent exclusively related to the Licensor Platform, or except to the extent exclusively related to the Discovery Antibody, or (b) conceived, discovered, developed, or otherwise made jointly by or on behalf of AbbVie, or its Affiliates or sublicensees, on the one hand, and Licensor, or its Affiliates or sublicensees, on the other hand, but, in each case of clause (a) and (b), expressly excluding any AbbVie Program Patents, Licensor Program Patents, and Tools.</w:t>
      </w:r>
    </w:p>
    <w:p>
      <w:pPr>
        <w:spacing w:after="0" w:line="31"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Research Committee</w:t>
      </w:r>
      <w:r>
        <w:rPr>
          <w:rFonts w:ascii="Arial" w:cs="Arial" w:eastAsia="Arial" w:hAnsi="Arial"/>
          <w:sz w:val="19"/>
          <w:szCs w:val="19"/>
          <w:color w:val="auto"/>
        </w:rPr>
        <w:t>” or “</w:t>
      </w:r>
      <w:r>
        <w:rPr>
          <w:rFonts w:ascii="Arial" w:cs="Arial" w:eastAsia="Arial" w:hAnsi="Arial"/>
          <w:sz w:val="19"/>
          <w:szCs w:val="19"/>
          <w:b w:val="1"/>
          <w:bCs w:val="1"/>
          <w:color w:val="auto"/>
        </w:rPr>
        <w:t>JRC</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3.1.1</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means [***].</w:t>
      </w:r>
    </w:p>
    <w:p>
      <w:pPr>
        <w:spacing w:after="0" w:line="9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1.99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product comprising or containing an AbbVie Probody or</w:t>
      </w:r>
      <w:r>
        <w:rPr>
          <w:rFonts w:ascii="Arial" w:cs="Arial" w:eastAsia="Arial" w:hAnsi="Arial"/>
          <w:sz w:val="22"/>
          <w:szCs w:val="22"/>
          <w:b w:val="1"/>
          <w:bCs w:val="1"/>
          <w:color w:val="auto"/>
        </w:rPr>
        <w:t xml:space="preserve"> </w:t>
      </w:r>
      <w:r>
        <w:rPr>
          <w:rFonts w:ascii="Arial" w:cs="Arial" w:eastAsia="Arial" w:hAnsi="Arial"/>
          <w:sz w:val="22"/>
          <w:szCs w:val="22"/>
          <w:color w:val="auto"/>
        </w:rPr>
        <w:t>Discovery PDC, [***], in any and all forms, presentations, delivery systems, dosages, strengths, and formulations.</w:t>
      </w:r>
    </w:p>
    <w:p>
      <w:pPr>
        <w:spacing w:after="0" w:line="55"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w:t>
      </w:r>
      <w:r>
        <w:rPr>
          <w:rFonts w:ascii="Arial" w:cs="Arial" w:eastAsia="Arial" w:hAnsi="Arial"/>
          <w:sz w:val="19"/>
          <w:szCs w:val="19"/>
          <w:color w:val="auto"/>
        </w:rPr>
        <w:t>” has the meaning set forth in the preamble hereto.</w:t>
      </w:r>
    </w:p>
    <w:p>
      <w:pPr>
        <w:spacing w:after="0" w:line="9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1.101 </w:t>
      </w:r>
      <w:r>
        <w:rPr>
          <w:rFonts w:ascii="Arial" w:cs="Arial" w:eastAsia="Arial" w:hAnsi="Arial"/>
          <w:sz w:val="22"/>
          <w:szCs w:val="22"/>
          <w:color w:val="auto"/>
        </w:rPr>
        <w:t>“</w:t>
      </w:r>
      <w:r>
        <w:rPr>
          <w:rFonts w:ascii="Arial" w:cs="Arial" w:eastAsia="Arial" w:hAnsi="Arial"/>
          <w:sz w:val="22"/>
          <w:szCs w:val="22"/>
          <w:b w:val="1"/>
          <w:bCs w:val="1"/>
          <w:color w:val="auto"/>
        </w:rPr>
        <w:t>Licensor Background Know-How</w:t>
      </w:r>
      <w:r>
        <w:rPr>
          <w:rFonts w:ascii="Arial" w:cs="Arial" w:eastAsia="Arial" w:hAnsi="Arial"/>
          <w:sz w:val="22"/>
          <w:szCs w:val="22"/>
          <w:color w:val="auto"/>
        </w:rPr>
        <w:t>” means all Information that is Controlled by Licensor or any</w:t>
      </w:r>
      <w:r>
        <w:rPr>
          <w:rFonts w:ascii="Arial" w:cs="Arial" w:eastAsia="Arial" w:hAnsi="Arial"/>
          <w:sz w:val="22"/>
          <w:szCs w:val="22"/>
          <w:b w:val="1"/>
          <w:bCs w:val="1"/>
          <w:color w:val="auto"/>
        </w:rPr>
        <w:t xml:space="preserve"> </w:t>
      </w:r>
      <w:r>
        <w:rPr>
          <w:rFonts w:ascii="Arial" w:cs="Arial" w:eastAsia="Arial" w:hAnsi="Arial"/>
          <w:sz w:val="22"/>
          <w:szCs w:val="22"/>
          <w:color w:val="auto"/>
        </w:rPr>
        <w:t>of its Affiliates on the Effective Date or during the Term, that is: [***].</w:t>
      </w:r>
    </w:p>
    <w:p>
      <w:pPr>
        <w:spacing w:after="0" w:line="55"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1.102 </w:t>
      </w:r>
      <w:r>
        <w:rPr>
          <w:rFonts w:ascii="Arial" w:cs="Arial" w:eastAsia="Arial" w:hAnsi="Arial"/>
          <w:sz w:val="22"/>
          <w:szCs w:val="22"/>
          <w:color w:val="auto"/>
        </w:rPr>
        <w:t>“</w:t>
      </w:r>
      <w:r>
        <w:rPr>
          <w:rFonts w:ascii="Arial" w:cs="Arial" w:eastAsia="Arial" w:hAnsi="Arial"/>
          <w:sz w:val="22"/>
          <w:szCs w:val="22"/>
          <w:b w:val="1"/>
          <w:bCs w:val="1"/>
          <w:color w:val="auto"/>
        </w:rPr>
        <w:t>Licensor Background Patents</w:t>
      </w:r>
      <w:r>
        <w:rPr>
          <w:rFonts w:ascii="Arial" w:cs="Arial" w:eastAsia="Arial" w:hAnsi="Arial"/>
          <w:sz w:val="22"/>
          <w:szCs w:val="22"/>
          <w:color w:val="auto"/>
        </w:rPr>
        <w:t>” means all Patents, including those Patents identified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11.2.1</w:t>
      </w:r>
      <w:r>
        <w:rPr>
          <w:rFonts w:ascii="Arial" w:cs="Arial" w:eastAsia="Arial" w:hAnsi="Arial"/>
          <w:sz w:val="22"/>
          <w:szCs w:val="22"/>
          <w:color w:val="auto"/>
        </w:rPr>
        <w:t xml:space="preserve"> that are: [***].</w:t>
      </w:r>
    </w:p>
    <w:p>
      <w:pPr>
        <w:spacing w:after="0" w:line="55"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Indemnitees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1"/>
          <w:szCs w:val="21"/>
          <w:b w:val="1"/>
          <w:bCs w:val="1"/>
          <w:color w:val="auto"/>
        </w:rPr>
        <w:t xml:space="preserve">1.104 </w:t>
      </w:r>
      <w:r>
        <w:rPr>
          <w:rFonts w:ascii="Arial" w:cs="Arial" w:eastAsia="Arial" w:hAnsi="Arial"/>
          <w:sz w:val="21"/>
          <w:szCs w:val="21"/>
          <w:color w:val="auto"/>
        </w:rPr>
        <w:t>“</w:t>
      </w:r>
      <w:r>
        <w:rPr>
          <w:rFonts w:ascii="Arial" w:cs="Arial" w:eastAsia="Arial" w:hAnsi="Arial"/>
          <w:sz w:val="21"/>
          <w:szCs w:val="21"/>
          <w:b w:val="1"/>
          <w:bCs w:val="1"/>
          <w:color w:val="auto"/>
        </w:rPr>
        <w:t>Licensor In-License Agreement</w:t>
      </w:r>
      <w:r>
        <w:rPr>
          <w:rFonts w:ascii="Arial" w:cs="Arial" w:eastAsia="Arial" w:hAnsi="Arial"/>
          <w:sz w:val="21"/>
          <w:szCs w:val="21"/>
          <w:color w:val="auto"/>
        </w:rPr>
        <w:t>” means the Exclusive License Agreement by and between the</w:t>
      </w:r>
      <w:r>
        <w:rPr>
          <w:rFonts w:ascii="Arial" w:cs="Arial" w:eastAsia="Arial" w:hAnsi="Arial"/>
          <w:sz w:val="21"/>
          <w:szCs w:val="21"/>
          <w:b w:val="1"/>
          <w:bCs w:val="1"/>
          <w:color w:val="auto"/>
        </w:rPr>
        <w:t xml:space="preserve"> </w:t>
      </w:r>
      <w:r>
        <w:rPr>
          <w:rFonts w:ascii="Arial" w:cs="Arial" w:eastAsia="Arial" w:hAnsi="Arial"/>
          <w:sz w:val="21"/>
          <w:szCs w:val="21"/>
          <w:color w:val="auto"/>
        </w:rPr>
        <w:t>Regents of the University of California (acting through its Santa Barbara campus) the (“</w:t>
      </w:r>
      <w:r>
        <w:rPr>
          <w:rFonts w:ascii="Arial" w:cs="Arial" w:eastAsia="Arial" w:hAnsi="Arial"/>
          <w:sz w:val="21"/>
          <w:szCs w:val="21"/>
          <w:b w:val="1"/>
          <w:bCs w:val="1"/>
          <w:color w:val="auto"/>
        </w:rPr>
        <w:t>UCSB Agreement</w:t>
      </w:r>
      <w:r>
        <w:rPr>
          <w:rFonts w:ascii="Arial" w:cs="Arial" w:eastAsia="Arial" w:hAnsi="Arial"/>
          <w:sz w:val="21"/>
          <w:szCs w:val="21"/>
          <w:color w:val="auto"/>
        </w:rPr>
        <w:t xml:space="preserve">”) and Licensor, effective August 19, 2010, as amended, and any other agreement between Licensor and a Third Party under which AbbVie is granted a sublicense or other right under this Agreement as provided in </w:t>
      </w:r>
      <w:r>
        <w:rPr>
          <w:rFonts w:ascii="Arial" w:cs="Arial" w:eastAsia="Arial" w:hAnsi="Arial"/>
          <w:sz w:val="21"/>
          <w:szCs w:val="21"/>
          <w:u w:val="single" w:color="auto"/>
          <w:color w:val="auto"/>
        </w:rPr>
        <w:t>Section 6.9</w:t>
      </w:r>
      <w:r>
        <w:rPr>
          <w:rFonts w:ascii="Arial" w:cs="Arial" w:eastAsia="Arial" w:hAnsi="Arial"/>
          <w:sz w:val="21"/>
          <w:szCs w:val="21"/>
          <w:color w:val="auto"/>
        </w:rPr>
        <w:t>.</w:t>
      </w:r>
    </w:p>
    <w:p>
      <w:pPr>
        <w:spacing w:after="0" w:line="5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1.105</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Licensor Platform</w:t>
      </w:r>
      <w:r>
        <w:rPr>
          <w:rFonts w:ascii="Arial" w:cs="Arial" w:eastAsia="Arial" w:hAnsi="Arial"/>
          <w:sz w:val="21"/>
          <w:szCs w:val="21"/>
          <w:color w:val="auto"/>
        </w:rPr>
        <w:t>” means Licensor’s proprietary Probody technology platform, including</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74"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Program Know-How</w:t>
      </w:r>
      <w:r>
        <w:rPr>
          <w:rFonts w:ascii="Arial" w:cs="Arial" w:eastAsia="Arial" w:hAnsi="Arial"/>
          <w:sz w:val="19"/>
          <w:szCs w:val="19"/>
          <w:color w:val="auto"/>
        </w:rPr>
        <w:t>” means all Program Know-How that is [***].</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Program Patents</w:t>
      </w:r>
      <w:r>
        <w:rPr>
          <w:rFonts w:ascii="Arial" w:cs="Arial" w:eastAsia="Arial" w:hAnsi="Arial"/>
          <w:sz w:val="19"/>
          <w:szCs w:val="19"/>
          <w:color w:val="auto"/>
        </w:rPr>
        <w:t>” means all Program Patents that are [***].</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Licensor Prosecuted Infringement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8.3.1(b)</w:t>
      </w:r>
      <w:r>
        <w:rPr>
          <w:rFonts w:ascii="Arial" w:cs="Arial" w:eastAsia="Arial" w:hAnsi="Arial"/>
          <w:sz w:val="19"/>
          <w:szCs w:val="19"/>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2" w:name="page93"/>
    <w:bookmarkEnd w:id="92"/>
    <w:p>
      <w:pPr>
        <w:ind w:left="1760"/>
        <w:spacing w:after="0"/>
        <w:tabs>
          <w:tab w:leader="none" w:pos="2880" w:val="left"/>
        </w:tabs>
        <w:rPr>
          <w:sz w:val="20"/>
          <w:szCs w:val="20"/>
          <w:color w:val="auto"/>
        </w:rPr>
      </w:pPr>
      <w:r>
        <w:rPr>
          <w:rFonts w:ascii="Arial" w:cs="Arial" w:eastAsia="Arial" w:hAnsi="Arial"/>
          <w:sz w:val="22"/>
          <w:szCs w:val="22"/>
          <w:b w:val="1"/>
          <w:bCs w:val="1"/>
          <w:color w:val="auto"/>
        </w:rPr>
        <w:t>1.109</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Linker</w:t>
      </w:r>
      <w:r>
        <w:rPr>
          <w:rFonts w:ascii="Arial" w:cs="Arial" w:eastAsia="Arial" w:hAnsi="Arial"/>
          <w:sz w:val="21"/>
          <w:szCs w:val="21"/>
          <w:color w:val="auto"/>
        </w:rPr>
        <w:t>” means a compound or other substance used to link a Payload to an Antibody or</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Probody.</w:t>
      </w:r>
    </w:p>
    <w:p>
      <w:pPr>
        <w:spacing w:after="0" w:line="74" w:lineRule="exact"/>
        <w:rPr>
          <w:sz w:val="20"/>
          <w:szCs w:val="20"/>
          <w:color w:val="auto"/>
        </w:rPr>
      </w:pPr>
    </w:p>
    <w:p>
      <w:pPr>
        <w:ind w:left="1760"/>
        <w:spacing w:after="0"/>
        <w:tabs>
          <w:tab w:leader="none" w:pos="2860" w:val="left"/>
        </w:tabs>
        <w:rPr>
          <w:sz w:val="20"/>
          <w:szCs w:val="20"/>
          <w:color w:val="auto"/>
        </w:rPr>
      </w:pPr>
      <w:r>
        <w:rPr>
          <w:rFonts w:ascii="Arial" w:cs="Arial" w:eastAsia="Arial" w:hAnsi="Arial"/>
          <w:sz w:val="22"/>
          <w:szCs w:val="22"/>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60" w:val="left"/>
        </w:tabs>
        <w:rPr>
          <w:sz w:val="20"/>
          <w:szCs w:val="20"/>
          <w:color w:val="auto"/>
        </w:rPr>
      </w:pPr>
      <w:r>
        <w:rPr>
          <w:rFonts w:ascii="Arial" w:cs="Arial" w:eastAsia="Arial" w:hAnsi="Arial"/>
          <w:sz w:val="22"/>
          <w:szCs w:val="22"/>
          <w:b w:val="1"/>
          <w:bCs w:val="1"/>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MAA</w:t>
      </w:r>
      <w:r>
        <w:rPr>
          <w:rFonts w:ascii="Arial" w:cs="Arial" w:eastAsia="Arial" w:hAnsi="Arial"/>
          <w:sz w:val="19"/>
          <w:szCs w:val="19"/>
          <w:color w:val="auto"/>
        </w:rPr>
        <w:t>” has the meaning set forth in the definition of Drug Approval Application.</w:t>
      </w:r>
    </w:p>
    <w:p>
      <w:pPr>
        <w:spacing w:after="0" w:line="98" w:lineRule="exact"/>
        <w:rPr>
          <w:sz w:val="20"/>
          <w:szCs w:val="20"/>
          <w:color w:val="auto"/>
        </w:rPr>
      </w:pPr>
    </w:p>
    <w:p>
      <w:pPr>
        <w:ind w:left="1760"/>
        <w:spacing w:after="0"/>
        <w:tabs>
          <w:tab w:leader="none" w:pos="2860" w:val="left"/>
        </w:tabs>
        <w:rPr>
          <w:sz w:val="20"/>
          <w:szCs w:val="20"/>
          <w:color w:val="auto"/>
        </w:rPr>
      </w:pPr>
      <w:r>
        <w:rPr>
          <w:rFonts w:ascii="Arial" w:cs="Arial" w:eastAsia="Arial" w:hAnsi="Arial"/>
          <w:sz w:val="22"/>
          <w:szCs w:val="22"/>
          <w:b w:val="1"/>
          <w:bCs w:val="1"/>
          <w:color w:val="auto"/>
        </w:rPr>
        <w:t>1.112</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Major Market</w:t>
      </w:r>
      <w:r>
        <w:rPr>
          <w:rFonts w:ascii="Arial" w:cs="Arial" w:eastAsia="Arial" w:hAnsi="Arial"/>
          <w:sz w:val="21"/>
          <w:szCs w:val="21"/>
          <w:color w:val="auto"/>
        </w:rPr>
        <w:t>” means each of the [***].</w:t>
      </w:r>
    </w:p>
    <w:p>
      <w:pPr>
        <w:spacing w:after="0" w:line="98"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1.113 </w:t>
      </w:r>
      <w:r>
        <w:rPr>
          <w:rFonts w:ascii="Arial" w:cs="Arial" w:eastAsia="Arial" w:hAnsi="Arial"/>
          <w:sz w:val="22"/>
          <w:szCs w:val="22"/>
          <w:color w:val="auto"/>
        </w:rPr>
        <w:t>“</w:t>
      </w:r>
      <w:r>
        <w:rPr>
          <w:rFonts w:ascii="Arial" w:cs="Arial" w:eastAsia="Arial" w:hAnsi="Arial"/>
          <w:sz w:val="22"/>
          <w:szCs w:val="22"/>
          <w:b w:val="1"/>
          <w:bCs w:val="1"/>
          <w:color w:val="auto"/>
        </w:rPr>
        <w:t>Manufacture</w:t>
      </w:r>
      <w:r>
        <w:rPr>
          <w:rFonts w:ascii="Arial" w:cs="Arial" w:eastAsia="Arial" w:hAnsi="Arial"/>
          <w:sz w:val="22"/>
          <w:szCs w:val="22"/>
          <w:color w:val="auto"/>
        </w:rPr>
        <w:t>” and “</w:t>
      </w:r>
      <w:r>
        <w:rPr>
          <w:rFonts w:ascii="Arial" w:cs="Arial" w:eastAsia="Arial" w:hAnsi="Arial"/>
          <w:sz w:val="22"/>
          <w:szCs w:val="22"/>
          <w:b w:val="1"/>
          <w:bCs w:val="1"/>
          <w:color w:val="auto"/>
        </w:rPr>
        <w:t>Manufacturing</w:t>
      </w:r>
      <w:r>
        <w:rPr>
          <w:rFonts w:ascii="Arial" w:cs="Arial" w:eastAsia="Arial" w:hAnsi="Arial"/>
          <w:sz w:val="22"/>
          <w:szCs w:val="22"/>
          <w:color w:val="auto"/>
        </w:rPr>
        <w:t>” means all activities related to the synthesis, making,</w:t>
      </w:r>
      <w:r>
        <w:rPr>
          <w:rFonts w:ascii="Arial" w:cs="Arial" w:eastAsia="Arial" w:hAnsi="Arial"/>
          <w:sz w:val="22"/>
          <w:szCs w:val="22"/>
          <w:b w:val="1"/>
          <w:bCs w:val="1"/>
          <w:color w:val="auto"/>
        </w:rPr>
        <w:t xml:space="preserve"> </w:t>
      </w:r>
      <w:r>
        <w:rPr>
          <w:rFonts w:ascii="Arial" w:cs="Arial" w:eastAsia="Arial" w:hAnsi="Arial"/>
          <w:sz w:val="22"/>
          <w:szCs w:val="22"/>
          <w:color w:val="auto"/>
        </w:rPr>
        <w:t>production, processing, purifying, formulating, filling, finishing, packaging, labeling, shipping, and holding of the AbbVie Probody, Discovery PDC, any Licensed Product, or any intermediate thereof, including process development, process qualification and validation, scale-up, pre-clinical, clinical and commercial production and analytic development, product characterization, stability testing, quality assurance, and quality control.</w:t>
      </w:r>
    </w:p>
    <w:p>
      <w:pPr>
        <w:spacing w:after="0" w:line="74" w:lineRule="exact"/>
        <w:rPr>
          <w:sz w:val="20"/>
          <w:szCs w:val="20"/>
          <w:color w:val="auto"/>
        </w:rPr>
      </w:pPr>
    </w:p>
    <w:p>
      <w:pPr>
        <w:ind w:left="1760"/>
        <w:spacing w:after="0"/>
        <w:tabs>
          <w:tab w:leader="none" w:pos="2860" w:val="left"/>
        </w:tabs>
        <w:rPr>
          <w:sz w:val="20"/>
          <w:szCs w:val="20"/>
          <w:color w:val="auto"/>
        </w:rPr>
      </w:pPr>
      <w:r>
        <w:rPr>
          <w:rFonts w:ascii="Arial" w:cs="Arial" w:eastAsia="Arial" w:hAnsi="Arial"/>
          <w:sz w:val="22"/>
          <w:szCs w:val="22"/>
          <w:b w:val="1"/>
          <w:bCs w:val="1"/>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Process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5.7.2</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60" w:val="left"/>
        </w:tabs>
        <w:rPr>
          <w:sz w:val="20"/>
          <w:szCs w:val="20"/>
          <w:color w:val="auto"/>
        </w:rPr>
      </w:pPr>
      <w:r>
        <w:rPr>
          <w:rFonts w:ascii="Arial" w:cs="Arial" w:eastAsia="Arial" w:hAnsi="Arial"/>
          <w:sz w:val="22"/>
          <w:szCs w:val="22"/>
          <w:b w:val="1"/>
          <w:bCs w:val="1"/>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5.7.2</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60" w:val="left"/>
        </w:tabs>
        <w:rPr>
          <w:sz w:val="20"/>
          <w:szCs w:val="20"/>
          <w:color w:val="auto"/>
        </w:rPr>
      </w:pPr>
      <w:r>
        <w:rPr>
          <w:rFonts w:ascii="Arial" w:cs="Arial" w:eastAsia="Arial" w:hAnsi="Arial"/>
          <w:sz w:val="22"/>
          <w:szCs w:val="22"/>
          <w:b w:val="1"/>
          <w:bCs w:val="1"/>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Markings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5.6</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60" w:val="left"/>
        </w:tabs>
        <w:rPr>
          <w:sz w:val="20"/>
          <w:szCs w:val="20"/>
          <w:color w:val="auto"/>
        </w:rPr>
      </w:pPr>
      <w:r>
        <w:rPr>
          <w:rFonts w:ascii="Arial" w:cs="Arial" w:eastAsia="Arial" w:hAnsi="Arial"/>
          <w:sz w:val="22"/>
          <w:szCs w:val="22"/>
          <w:b w:val="1"/>
          <w:bCs w:val="1"/>
          <w:color w:val="auto"/>
        </w:rPr>
        <w:t>1.117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Mask</w:t>
      </w:r>
      <w:r>
        <w:rPr>
          <w:rFonts w:ascii="Arial" w:cs="Arial" w:eastAsia="Arial" w:hAnsi="Arial"/>
          <w:sz w:val="21"/>
          <w:szCs w:val="21"/>
          <w:color w:val="auto"/>
        </w:rPr>
        <w:t>” means a [***].</w:t>
      </w:r>
    </w:p>
    <w:p>
      <w:pPr>
        <w:spacing w:after="0" w:line="98"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1.118 </w:t>
      </w:r>
      <w:r>
        <w:rPr>
          <w:rFonts w:ascii="Arial" w:cs="Arial" w:eastAsia="Arial" w:hAnsi="Arial"/>
          <w:sz w:val="22"/>
          <w:szCs w:val="22"/>
          <w:color w:val="auto"/>
        </w:rPr>
        <w:t>“</w:t>
      </w:r>
      <w:r>
        <w:rPr>
          <w:rFonts w:ascii="Arial" w:cs="Arial" w:eastAsia="Arial" w:hAnsi="Arial"/>
          <w:sz w:val="22"/>
          <w:szCs w:val="22"/>
          <w:b w:val="1"/>
          <w:bCs w:val="1"/>
          <w:color w:val="auto"/>
        </w:rPr>
        <w:t>Medical Affairs Activities</w:t>
      </w:r>
      <w:r>
        <w:rPr>
          <w:rFonts w:ascii="Arial" w:cs="Arial" w:eastAsia="Arial" w:hAnsi="Arial"/>
          <w:sz w:val="22"/>
          <w:szCs w:val="22"/>
          <w:color w:val="auto"/>
        </w:rPr>
        <w:t>” means, with respect to any country or other jurisdiction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Territory, the coordination of medical information requests and field based medical scientific liaisons with respect to AbbVie Probodies, Discovery PDCs or Licensed Products, including activities of medical scientific liaisons and the provision of medical information services with respect to an AbbVie Probody, Discovery PDC or Licensed Product.</w:t>
      </w:r>
    </w:p>
    <w:p>
      <w:pPr>
        <w:spacing w:after="0" w:line="73" w:lineRule="exact"/>
        <w:rPr>
          <w:sz w:val="20"/>
          <w:szCs w:val="20"/>
          <w:color w:val="auto"/>
        </w:rPr>
      </w:pPr>
    </w:p>
    <w:p>
      <w:pPr>
        <w:ind w:left="1760"/>
        <w:spacing w:after="0"/>
        <w:tabs>
          <w:tab w:leader="none" w:pos="2860" w:val="left"/>
        </w:tabs>
        <w:rPr>
          <w:sz w:val="20"/>
          <w:szCs w:val="20"/>
          <w:color w:val="auto"/>
        </w:rPr>
      </w:pPr>
      <w:r>
        <w:rPr>
          <w:rFonts w:ascii="Arial" w:cs="Arial" w:eastAsia="Arial" w:hAnsi="Arial"/>
          <w:sz w:val="22"/>
          <w:szCs w:val="22"/>
          <w:b w:val="1"/>
          <w:bCs w:val="1"/>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Mono Product</w:t>
      </w:r>
      <w:r>
        <w:rPr>
          <w:rFonts w:ascii="Arial" w:cs="Arial" w:eastAsia="Arial" w:hAnsi="Arial"/>
          <w:sz w:val="19"/>
          <w:szCs w:val="19"/>
          <w:color w:val="auto"/>
        </w:rPr>
        <w:t>” has the meaning set forth in the definition of “Net Sales.”</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with respect to a Licensed Product for any period, [***]:</w:t>
      </w:r>
    </w:p>
    <w:p>
      <w:pPr>
        <w:spacing w:after="0" w:line="104" w:lineRule="exact"/>
        <w:rPr>
          <w:sz w:val="20"/>
          <w:szCs w:val="20"/>
          <w:color w:val="auto"/>
        </w:rPr>
      </w:pPr>
    </w:p>
    <w:p>
      <w:pPr>
        <w:ind w:left="4400" w:hanging="881"/>
        <w:spacing w:after="0"/>
        <w:tabs>
          <w:tab w:leader="none" w:pos="44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420" w:hanging="901"/>
        <w:spacing w:after="0"/>
        <w:tabs>
          <w:tab w:leader="none" w:pos="4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400" w:hanging="881"/>
        <w:spacing w:after="0"/>
        <w:tabs>
          <w:tab w:leader="none" w:pos="44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420" w:hanging="901"/>
        <w:spacing w:after="0"/>
        <w:tabs>
          <w:tab w:leader="none" w:pos="4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400" w:hanging="881"/>
        <w:spacing w:after="0"/>
        <w:tabs>
          <w:tab w:leader="none" w:pos="44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380" w:hanging="861"/>
        <w:spacing w:after="0"/>
        <w:tabs>
          <w:tab w:leader="none" w:pos="43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420" w:hanging="901"/>
        <w:spacing w:after="0"/>
        <w:tabs>
          <w:tab w:leader="none" w:pos="4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420" w:hanging="901"/>
        <w:spacing w:after="0"/>
        <w:tabs>
          <w:tab w:leader="none" w:pos="4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380" w:hanging="861"/>
        <w:spacing w:after="0"/>
        <w:tabs>
          <w:tab w:leader="none" w:pos="43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 and</w:t>
      </w:r>
    </w:p>
    <w:p>
      <w:pPr>
        <w:spacing w:after="0" w:line="98" w:lineRule="exact"/>
        <w:rPr>
          <w:rFonts w:ascii="Arial" w:cs="Arial" w:eastAsia="Arial" w:hAnsi="Arial"/>
          <w:sz w:val="22"/>
          <w:szCs w:val="22"/>
          <w:color w:val="auto"/>
        </w:rPr>
      </w:pPr>
    </w:p>
    <w:p>
      <w:pPr>
        <w:ind w:left="4380" w:hanging="861"/>
        <w:spacing w:after="0"/>
        <w:tabs>
          <w:tab w:leader="none" w:pos="43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3" w:name="page94"/>
    <w:bookmarkEnd w:id="93"/>
    <w:tbl>
      <w:tblPr>
        <w:tblLayout w:type="fixed"/>
        <w:tblInd w:w="1760" w:type="dxa"/>
        <w:tblCellMar>
          <w:top w:w="0" w:type="dxa"/>
          <w:left w:w="0" w:type="dxa"/>
          <w:bottom w:w="0" w:type="dxa"/>
          <w:right w:w="0" w:type="dxa"/>
        </w:tblCellMar>
      </w:tblPr>
      <w:tr>
        <w:trPr>
          <w:trHeight w:val="281"/>
        </w:trPr>
        <w:tc>
          <w:tcPr>
            <w:tcW w:w="820" w:type="dxa"/>
            <w:vAlign w:val="bottom"/>
          </w:tcPr>
          <w:p>
            <w:pPr>
              <w:jc w:val="right"/>
              <w:ind w:right="232"/>
              <w:spacing w:after="0"/>
              <w:rPr>
                <w:sz w:val="20"/>
                <w:szCs w:val="20"/>
                <w:color w:val="auto"/>
              </w:rPr>
            </w:pPr>
            <w:r>
              <w:rPr>
                <w:rFonts w:ascii="Arial" w:cs="Arial" w:eastAsia="Arial" w:hAnsi="Arial"/>
                <w:sz w:val="22"/>
                <w:szCs w:val="22"/>
                <w:b w:val="1"/>
                <w:bCs w:val="1"/>
                <w:color w:val="auto"/>
                <w:w w:val="83"/>
              </w:rPr>
              <w:t>1.121</w:t>
            </w:r>
          </w:p>
        </w:tc>
        <w:tc>
          <w:tcPr>
            <w:tcW w:w="1560" w:type="dxa"/>
            <w:vAlign w:val="bottom"/>
          </w:tcPr>
          <w:p>
            <w:pPr>
              <w:ind w:left="320"/>
              <w:spacing w:after="0"/>
              <w:rPr>
                <w:sz w:val="20"/>
                <w:szCs w:val="20"/>
                <w:color w:val="auto"/>
              </w:rPr>
            </w:pPr>
            <w:r>
              <w:rPr>
                <w:rFonts w:ascii="Arial" w:cs="Arial" w:eastAsia="Arial" w:hAnsi="Arial"/>
                <w:sz w:val="22"/>
                <w:szCs w:val="22"/>
                <w:color w:val="auto"/>
              </w:rPr>
              <w:t>[***]</w:t>
            </w:r>
          </w:p>
        </w:tc>
        <w:tc>
          <w:tcPr>
            <w:tcW w:w="880" w:type="dxa"/>
            <w:vAlign w:val="bottom"/>
          </w:tcPr>
          <w:p>
            <w:pPr>
              <w:spacing w:after="0"/>
              <w:rPr>
                <w:sz w:val="24"/>
                <w:szCs w:val="24"/>
                <w:color w:val="auto"/>
              </w:rPr>
            </w:pPr>
          </w:p>
        </w:tc>
      </w:tr>
      <w:tr>
        <w:trPr>
          <w:trHeight w:val="351"/>
        </w:trPr>
        <w:tc>
          <w:tcPr>
            <w:tcW w:w="820" w:type="dxa"/>
            <w:vAlign w:val="bottom"/>
          </w:tcPr>
          <w:p>
            <w:pPr>
              <w:spacing w:after="0"/>
              <w:rPr>
                <w:sz w:val="24"/>
                <w:szCs w:val="24"/>
                <w:color w:val="auto"/>
              </w:rPr>
            </w:pPr>
          </w:p>
        </w:tc>
        <w:tc>
          <w:tcPr>
            <w:tcW w:w="1560" w:type="dxa"/>
            <w:vAlign w:val="bottom"/>
          </w:tcPr>
          <w:p>
            <w:pPr>
              <w:ind w:left="940"/>
              <w:spacing w:after="0"/>
              <w:rPr>
                <w:sz w:val="20"/>
                <w:szCs w:val="20"/>
                <w:color w:val="auto"/>
              </w:rPr>
            </w:pPr>
            <w:r>
              <w:rPr>
                <w:rFonts w:ascii="Arial" w:cs="Arial" w:eastAsia="Arial" w:hAnsi="Arial"/>
                <w:sz w:val="22"/>
                <w:szCs w:val="22"/>
                <w:color w:val="auto"/>
              </w:rPr>
              <w:t>(i)</w:t>
            </w:r>
          </w:p>
        </w:tc>
        <w:tc>
          <w:tcPr>
            <w:tcW w:w="8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51"/>
        </w:trPr>
        <w:tc>
          <w:tcPr>
            <w:tcW w:w="820" w:type="dxa"/>
            <w:vAlign w:val="bottom"/>
          </w:tcPr>
          <w:p>
            <w:pPr>
              <w:spacing w:after="0"/>
              <w:rPr>
                <w:sz w:val="24"/>
                <w:szCs w:val="24"/>
                <w:color w:val="auto"/>
              </w:rPr>
            </w:pPr>
          </w:p>
        </w:tc>
        <w:tc>
          <w:tcPr>
            <w:tcW w:w="1560" w:type="dxa"/>
            <w:vAlign w:val="bottom"/>
          </w:tcPr>
          <w:p>
            <w:pPr>
              <w:ind w:left="940"/>
              <w:spacing w:after="0"/>
              <w:rPr>
                <w:sz w:val="20"/>
                <w:szCs w:val="20"/>
                <w:color w:val="auto"/>
              </w:rPr>
            </w:pPr>
            <w:r>
              <w:rPr>
                <w:rFonts w:ascii="Arial" w:cs="Arial" w:eastAsia="Arial" w:hAnsi="Arial"/>
                <w:sz w:val="22"/>
                <w:szCs w:val="22"/>
                <w:color w:val="auto"/>
              </w:rPr>
              <w:t>(ii)</w:t>
            </w:r>
          </w:p>
        </w:tc>
        <w:tc>
          <w:tcPr>
            <w:tcW w:w="8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51"/>
        </w:trPr>
        <w:tc>
          <w:tcPr>
            <w:tcW w:w="820" w:type="dxa"/>
            <w:vAlign w:val="bottom"/>
          </w:tcPr>
          <w:p>
            <w:pPr>
              <w:spacing w:after="0"/>
              <w:rPr>
                <w:sz w:val="24"/>
                <w:szCs w:val="24"/>
                <w:color w:val="auto"/>
              </w:rPr>
            </w:pPr>
          </w:p>
        </w:tc>
        <w:tc>
          <w:tcPr>
            <w:tcW w:w="1560" w:type="dxa"/>
            <w:vAlign w:val="bottom"/>
          </w:tcPr>
          <w:p>
            <w:pPr>
              <w:ind w:left="940"/>
              <w:spacing w:after="0"/>
              <w:rPr>
                <w:sz w:val="20"/>
                <w:szCs w:val="20"/>
                <w:color w:val="auto"/>
              </w:rPr>
            </w:pPr>
            <w:r>
              <w:rPr>
                <w:rFonts w:ascii="Arial" w:cs="Arial" w:eastAsia="Arial" w:hAnsi="Arial"/>
                <w:sz w:val="22"/>
                <w:szCs w:val="22"/>
                <w:color w:val="auto"/>
              </w:rPr>
              <w:t>(iii)</w:t>
            </w:r>
          </w:p>
        </w:tc>
        <w:tc>
          <w:tcPr>
            <w:tcW w:w="8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351"/>
        </w:trPr>
        <w:tc>
          <w:tcPr>
            <w:tcW w:w="820" w:type="dxa"/>
            <w:vAlign w:val="bottom"/>
          </w:tcPr>
          <w:p>
            <w:pPr>
              <w:spacing w:after="0"/>
              <w:rPr>
                <w:sz w:val="24"/>
                <w:szCs w:val="24"/>
                <w:color w:val="auto"/>
              </w:rPr>
            </w:pPr>
          </w:p>
        </w:tc>
        <w:tc>
          <w:tcPr>
            <w:tcW w:w="1560" w:type="dxa"/>
            <w:vAlign w:val="bottom"/>
          </w:tcPr>
          <w:p>
            <w:pPr>
              <w:ind w:left="940"/>
              <w:spacing w:after="0"/>
              <w:rPr>
                <w:sz w:val="20"/>
                <w:szCs w:val="20"/>
                <w:color w:val="auto"/>
              </w:rPr>
            </w:pPr>
            <w:r>
              <w:rPr>
                <w:rFonts w:ascii="Arial" w:cs="Arial" w:eastAsia="Arial" w:hAnsi="Arial"/>
                <w:sz w:val="22"/>
                <w:szCs w:val="22"/>
                <w:color w:val="auto"/>
              </w:rPr>
              <w:t>(iv)</w:t>
            </w:r>
          </w:p>
        </w:tc>
        <w:tc>
          <w:tcPr>
            <w:tcW w:w="88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48" w:lineRule="exact"/>
        <w:rPr>
          <w:sz w:val="20"/>
          <w:szCs w:val="20"/>
          <w:color w:val="auto"/>
        </w:rPr>
      </w:pPr>
    </w:p>
    <w:tbl>
      <w:tblPr>
        <w:tblLayout w:type="fixed"/>
        <w:tblInd w:w="1760" w:type="dxa"/>
        <w:tblCellMar>
          <w:top w:w="0" w:type="dxa"/>
          <w:left w:w="0" w:type="dxa"/>
          <w:bottom w:w="0" w:type="dxa"/>
          <w:right w:w="0" w:type="dxa"/>
        </w:tblCellMar>
      </w:tblPr>
      <w:tr>
        <w:trPr>
          <w:trHeight w:val="253"/>
        </w:trPr>
        <w:tc>
          <w:tcPr>
            <w:tcW w:w="820" w:type="dxa"/>
            <w:vAlign w:val="bottom"/>
          </w:tcPr>
          <w:p>
            <w:pPr>
              <w:jc w:val="right"/>
              <w:ind w:right="232"/>
              <w:spacing w:after="0"/>
              <w:rPr>
                <w:sz w:val="20"/>
                <w:szCs w:val="20"/>
                <w:color w:val="auto"/>
              </w:rPr>
            </w:pPr>
            <w:r>
              <w:rPr>
                <w:rFonts w:ascii="Arial" w:cs="Arial" w:eastAsia="Arial" w:hAnsi="Arial"/>
                <w:sz w:val="22"/>
                <w:szCs w:val="22"/>
                <w:b w:val="1"/>
                <w:bCs w:val="1"/>
                <w:color w:val="auto"/>
                <w:w w:val="83"/>
              </w:rPr>
              <w:t>1.122</w:t>
            </w:r>
          </w:p>
        </w:tc>
        <w:tc>
          <w:tcPr>
            <w:tcW w:w="6280" w:type="dxa"/>
            <w:vAlign w:val="bottom"/>
            <w:gridSpan w:val="11"/>
          </w:tcPr>
          <w:p>
            <w:pPr>
              <w:ind w:left="3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Neutral</w:t>
            </w:r>
            <w:r>
              <w:rPr>
                <w:rFonts w:ascii="Arial" w:cs="Arial" w:eastAsia="Arial" w:hAnsi="Arial"/>
                <w:sz w:val="22"/>
                <w:szCs w:val="22"/>
                <w:color w:val="auto"/>
              </w:rPr>
              <w:t>” has the meaning set forth in Schedule 14.7.3.</w:t>
            </w:r>
          </w:p>
        </w:tc>
      </w:tr>
      <w:tr>
        <w:trPr>
          <w:trHeight w:val="20"/>
        </w:trPr>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820" w:type="dxa"/>
            <w:vAlign w:val="bottom"/>
          </w:tcPr>
          <w:p>
            <w:pPr>
              <w:jc w:val="right"/>
              <w:ind w:right="232"/>
              <w:spacing w:after="0"/>
              <w:rPr>
                <w:sz w:val="20"/>
                <w:szCs w:val="20"/>
                <w:color w:val="auto"/>
              </w:rPr>
            </w:pPr>
            <w:r>
              <w:rPr>
                <w:rFonts w:ascii="Arial" w:cs="Arial" w:eastAsia="Arial" w:hAnsi="Arial"/>
                <w:sz w:val="22"/>
                <w:szCs w:val="22"/>
                <w:b w:val="1"/>
                <w:bCs w:val="1"/>
                <w:color w:val="auto"/>
                <w:w w:val="83"/>
              </w:rPr>
              <w:t>1.123</w:t>
            </w:r>
          </w:p>
        </w:tc>
        <w:tc>
          <w:tcPr>
            <w:tcW w:w="6280" w:type="dxa"/>
            <w:vAlign w:val="bottom"/>
            <w:gridSpan w:val="11"/>
          </w:tcPr>
          <w:p>
            <w:pPr>
              <w:ind w:lef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Target</w:t>
            </w:r>
            <w:r>
              <w:rPr>
                <w:rFonts w:ascii="Arial" w:cs="Arial" w:eastAsia="Arial" w:hAnsi="Arial"/>
                <w:sz w:val="22"/>
                <w:szCs w:val="22"/>
                <w:color w:val="auto"/>
              </w:rPr>
              <w:t>” has the meaning set forth in Section 2.3.1.</w:t>
            </w:r>
          </w:p>
        </w:tc>
      </w:tr>
      <w:tr>
        <w:trPr>
          <w:trHeight w:val="20"/>
        </w:trPr>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820" w:type="dxa"/>
            <w:vAlign w:val="bottom"/>
          </w:tcPr>
          <w:p>
            <w:pPr>
              <w:jc w:val="right"/>
              <w:ind w:right="232"/>
              <w:spacing w:after="0"/>
              <w:rPr>
                <w:sz w:val="20"/>
                <w:szCs w:val="20"/>
                <w:color w:val="auto"/>
              </w:rPr>
            </w:pPr>
            <w:r>
              <w:rPr>
                <w:rFonts w:ascii="Arial" w:cs="Arial" w:eastAsia="Arial" w:hAnsi="Arial"/>
                <w:sz w:val="22"/>
                <w:szCs w:val="22"/>
                <w:b w:val="1"/>
                <w:bCs w:val="1"/>
                <w:color w:val="auto"/>
                <w:w w:val="83"/>
              </w:rPr>
              <w:t>1.124</w:t>
            </w:r>
          </w:p>
        </w:tc>
        <w:tc>
          <w:tcPr>
            <w:tcW w:w="6280" w:type="dxa"/>
            <w:vAlign w:val="bottom"/>
            <w:gridSpan w:val="11"/>
          </w:tcPr>
          <w:p>
            <w:pPr>
              <w:ind w:left="320"/>
              <w:spacing w:after="0"/>
              <w:rPr>
                <w:sz w:val="20"/>
                <w:szCs w:val="20"/>
                <w:color w:val="auto"/>
              </w:rPr>
            </w:pPr>
            <w:r>
              <w:rPr>
                <w:rFonts w:ascii="Arial" w:cs="Arial" w:eastAsia="Arial" w:hAnsi="Arial"/>
                <w:sz w:val="22"/>
                <w:szCs w:val="22"/>
                <w:color w:val="auto"/>
                <w:w w:val="95"/>
              </w:rPr>
              <w:t>“</w:t>
            </w:r>
            <w:r>
              <w:rPr>
                <w:rFonts w:ascii="Arial" w:cs="Arial" w:eastAsia="Arial" w:hAnsi="Arial"/>
                <w:sz w:val="22"/>
                <w:szCs w:val="22"/>
                <w:b w:val="1"/>
                <w:bCs w:val="1"/>
                <w:color w:val="auto"/>
                <w:w w:val="95"/>
              </w:rPr>
              <w:t>Nominated Target</w:t>
            </w:r>
            <w:r>
              <w:rPr>
                <w:rFonts w:ascii="Arial" w:cs="Arial" w:eastAsia="Arial" w:hAnsi="Arial"/>
                <w:sz w:val="22"/>
                <w:szCs w:val="22"/>
                <w:color w:val="auto"/>
                <w:w w:val="95"/>
              </w:rPr>
              <w:t>” has the meaning set forth in Section 2.1.4.</w:t>
            </w:r>
          </w:p>
        </w:tc>
      </w:tr>
      <w:tr>
        <w:trPr>
          <w:trHeight w:val="20"/>
        </w:trPr>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820" w:type="dxa"/>
            <w:vAlign w:val="bottom"/>
          </w:tcPr>
          <w:p>
            <w:pPr>
              <w:jc w:val="right"/>
              <w:ind w:right="232"/>
              <w:spacing w:after="0"/>
              <w:rPr>
                <w:sz w:val="20"/>
                <w:szCs w:val="20"/>
                <w:color w:val="auto"/>
              </w:rPr>
            </w:pPr>
            <w:r>
              <w:rPr>
                <w:rFonts w:ascii="Arial" w:cs="Arial" w:eastAsia="Arial" w:hAnsi="Arial"/>
                <w:sz w:val="22"/>
                <w:szCs w:val="22"/>
                <w:b w:val="1"/>
                <w:bCs w:val="1"/>
                <w:color w:val="auto"/>
                <w:w w:val="83"/>
              </w:rPr>
              <w:t>1.125</w:t>
            </w:r>
          </w:p>
        </w:tc>
        <w:tc>
          <w:tcPr>
            <w:tcW w:w="6280" w:type="dxa"/>
            <w:vAlign w:val="bottom"/>
            <w:gridSpan w:val="11"/>
          </w:tcPr>
          <w:p>
            <w:pPr>
              <w:ind w:left="320"/>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auto"/>
                <w:w w:val="89"/>
              </w:rPr>
              <w:t>Non-Breaching Party</w:t>
            </w:r>
            <w:r>
              <w:rPr>
                <w:rFonts w:ascii="Arial" w:cs="Arial" w:eastAsia="Arial" w:hAnsi="Arial"/>
                <w:sz w:val="22"/>
                <w:szCs w:val="22"/>
                <w:color w:val="auto"/>
                <w:w w:val="89"/>
              </w:rPr>
              <w:t>” has the meaning set forth in Section 13.2.1.</w:t>
            </w:r>
          </w:p>
        </w:tc>
      </w:tr>
      <w:tr>
        <w:trPr>
          <w:trHeight w:val="331"/>
        </w:trPr>
        <w:tc>
          <w:tcPr>
            <w:tcW w:w="820" w:type="dxa"/>
            <w:vAlign w:val="bottom"/>
          </w:tcPr>
          <w:p>
            <w:pPr>
              <w:jc w:val="right"/>
              <w:ind w:right="232"/>
              <w:spacing w:after="0"/>
              <w:rPr>
                <w:sz w:val="20"/>
                <w:szCs w:val="20"/>
                <w:color w:val="auto"/>
              </w:rPr>
            </w:pPr>
            <w:r>
              <w:rPr>
                <w:rFonts w:ascii="Arial" w:cs="Arial" w:eastAsia="Arial" w:hAnsi="Arial"/>
                <w:sz w:val="22"/>
                <w:szCs w:val="22"/>
                <w:b w:val="1"/>
                <w:bCs w:val="1"/>
                <w:color w:val="auto"/>
                <w:w w:val="83"/>
              </w:rPr>
              <w:t>1.126</w:t>
            </w:r>
          </w:p>
        </w:tc>
        <w:tc>
          <w:tcPr>
            <w:tcW w:w="4980" w:type="dxa"/>
            <w:vAlign w:val="bottom"/>
            <w:gridSpan w:val="6"/>
          </w:tcPr>
          <w:p>
            <w:pPr>
              <w:ind w:left="320"/>
              <w:spacing w:after="0"/>
              <w:rPr>
                <w:sz w:val="20"/>
                <w:szCs w:val="20"/>
                <w:color w:val="auto"/>
              </w:rPr>
            </w:pPr>
            <w:r>
              <w:rPr>
                <w:rFonts w:ascii="Arial" w:cs="Arial" w:eastAsia="Arial" w:hAnsi="Arial"/>
                <w:sz w:val="22"/>
                <w:szCs w:val="22"/>
                <w:color w:val="auto"/>
                <w:w w:val="92"/>
              </w:rPr>
              <w:t>“</w:t>
            </w:r>
            <w:r>
              <w:rPr>
                <w:rFonts w:ascii="Arial" w:cs="Arial" w:eastAsia="Arial" w:hAnsi="Arial"/>
                <w:sz w:val="22"/>
                <w:szCs w:val="22"/>
                <w:b w:val="1"/>
                <w:bCs w:val="1"/>
                <w:color w:val="auto"/>
                <w:w w:val="92"/>
              </w:rPr>
              <w:t>Option</w:t>
            </w:r>
            <w:r>
              <w:rPr>
                <w:rFonts w:ascii="Arial" w:cs="Arial" w:eastAsia="Arial" w:hAnsi="Arial"/>
                <w:sz w:val="22"/>
                <w:szCs w:val="22"/>
                <w:color w:val="auto"/>
                <w:w w:val="92"/>
              </w:rPr>
              <w:t>” has the meaning set forth in Section 4.3.1.</w:t>
            </w:r>
          </w:p>
        </w:tc>
        <w:tc>
          <w:tcPr>
            <w:tcW w:w="1240" w:type="dxa"/>
            <w:vAlign w:val="bottom"/>
            <w:tcBorders>
              <w:top w:val="single" w:sz="8" w:color="auto"/>
            </w:tcBorders>
            <w:gridSpan w:val="4"/>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1.127 </w:t>
      </w:r>
      <w:r>
        <w:rPr>
          <w:rFonts w:ascii="Arial" w:cs="Arial" w:eastAsia="Arial" w:hAnsi="Arial"/>
          <w:sz w:val="22"/>
          <w:szCs w:val="22"/>
          <w:color w:val="auto"/>
        </w:rPr>
        <w:t>“</w:t>
      </w:r>
      <w:r>
        <w:rPr>
          <w:rFonts w:ascii="Arial" w:cs="Arial" w:eastAsia="Arial" w:hAnsi="Arial"/>
          <w:sz w:val="22"/>
          <w:szCs w:val="22"/>
          <w:b w:val="1"/>
          <w:bCs w:val="1"/>
          <w:color w:val="auto"/>
        </w:rPr>
        <w:t>Other Active Ingredient</w:t>
      </w:r>
      <w:r>
        <w:rPr>
          <w:rFonts w:ascii="Arial" w:cs="Arial" w:eastAsia="Arial" w:hAnsi="Arial"/>
          <w:sz w:val="22"/>
          <w:szCs w:val="22"/>
          <w:color w:val="auto"/>
        </w:rPr>
        <w:t>” means any component that provides pharmacological activity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direct therapeutic effect in the Field or that therapeutically affects the structure or any function of the body whereby such component: [***].</w:t>
      </w:r>
    </w:p>
    <w:p>
      <w:pPr>
        <w:spacing w:after="0" w:line="69"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Owned Patents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11.2.3</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has the meaning set forth in the preamble hereto.</w:t>
      </w:r>
    </w:p>
    <w:p>
      <w:pPr>
        <w:spacing w:after="0" w:line="9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1.130 </w:t>
      </w:r>
      <w:r>
        <w:rPr>
          <w:rFonts w:ascii="Arial" w:cs="Arial" w:eastAsia="Arial" w:hAnsi="Arial"/>
          <w:sz w:val="22"/>
          <w:szCs w:val="22"/>
          <w:color w:val="auto"/>
        </w:rPr>
        <w:t>“</w:t>
      </w:r>
      <w:r>
        <w:rPr>
          <w:rFonts w:ascii="Arial" w:cs="Arial" w:eastAsia="Arial" w:hAnsi="Arial"/>
          <w:sz w:val="22"/>
          <w:szCs w:val="22"/>
          <w:b w:val="1"/>
          <w:bCs w:val="1"/>
          <w:color w:val="auto"/>
        </w:rPr>
        <w:t>Party Development Activities</w:t>
      </w:r>
      <w:r>
        <w:rPr>
          <w:rFonts w:ascii="Arial" w:cs="Arial" w:eastAsia="Arial" w:hAnsi="Arial"/>
          <w:sz w:val="22"/>
          <w:szCs w:val="22"/>
          <w:color w:val="auto"/>
        </w:rPr>
        <w:t>” means Development activities conducted in support of obtaining</w:t>
      </w:r>
      <w:r>
        <w:rPr>
          <w:rFonts w:ascii="Arial" w:cs="Arial" w:eastAsia="Arial" w:hAnsi="Arial"/>
          <w:sz w:val="22"/>
          <w:szCs w:val="22"/>
          <w:b w:val="1"/>
          <w:bCs w:val="1"/>
          <w:color w:val="auto"/>
        </w:rPr>
        <w:t xml:space="preserve"> </w:t>
      </w:r>
      <w:r>
        <w:rPr>
          <w:rFonts w:ascii="Arial" w:cs="Arial" w:eastAsia="Arial" w:hAnsi="Arial"/>
          <w:sz w:val="22"/>
          <w:szCs w:val="22"/>
          <w:color w:val="auto"/>
        </w:rPr>
        <w:t>or maintaining Regulatory Approval of a Licensed Product in a country or other jurisdiction in the Territory pursuant to the Discovery Research Plan</w:t>
      </w:r>
      <w:r>
        <w:rPr>
          <w:rFonts w:ascii="Arial" w:cs="Arial" w:eastAsia="Arial" w:hAnsi="Arial"/>
          <w:sz w:val="22"/>
          <w:szCs w:val="22"/>
          <w:b w:val="1"/>
          <w:bCs w:val="1"/>
          <w:color w:val="auto"/>
        </w:rPr>
        <w:t>.</w:t>
      </w:r>
    </w:p>
    <w:p>
      <w:pPr>
        <w:spacing w:after="0" w:line="69" w:lineRule="exact"/>
        <w:rPr>
          <w:sz w:val="20"/>
          <w:szCs w:val="20"/>
          <w:color w:val="auto"/>
        </w:rPr>
      </w:pPr>
    </w:p>
    <w:p>
      <w:pPr>
        <w:jc w:val="both"/>
        <w:ind w:firstLine="1755"/>
        <w:spacing w:after="0" w:line="278" w:lineRule="auto"/>
        <w:rPr>
          <w:sz w:val="20"/>
          <w:szCs w:val="20"/>
          <w:color w:val="auto"/>
        </w:rPr>
      </w:pPr>
      <w:r>
        <w:rPr>
          <w:rFonts w:ascii="Arial" w:cs="Arial" w:eastAsia="Arial" w:hAnsi="Arial"/>
          <w:sz w:val="19"/>
          <w:szCs w:val="19"/>
          <w:b w:val="1"/>
          <w:bCs w:val="1"/>
          <w:color w:val="auto"/>
        </w:rPr>
        <w:t xml:space="preserve">1.131 </w:t>
      </w:r>
      <w:r>
        <w:rPr>
          <w:rFonts w:ascii="Arial" w:cs="Arial" w:eastAsia="Arial" w:hAnsi="Arial"/>
          <w:sz w:val="19"/>
          <w:szCs w:val="19"/>
          <w:color w:val="auto"/>
        </w:rPr>
        <w:t>“</w:t>
      </w:r>
      <w:r>
        <w:rPr>
          <w:rFonts w:ascii="Arial" w:cs="Arial" w:eastAsia="Arial" w:hAnsi="Arial"/>
          <w:sz w:val="19"/>
          <w:szCs w:val="19"/>
          <w:b w:val="1"/>
          <w:bCs w:val="1"/>
          <w:color w:val="auto"/>
        </w:rPr>
        <w:t>Patents</w:t>
      </w:r>
      <w:r>
        <w:rPr>
          <w:rFonts w:ascii="Arial" w:cs="Arial" w:eastAsia="Arial" w:hAnsi="Arial"/>
          <w:sz w:val="19"/>
          <w:szCs w:val="19"/>
          <w:color w:val="auto"/>
        </w:rPr>
        <w:t>” means (a) all national, regional and international patents and patent applications,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continued prosecution applications, (c) any and all patents that have issued or in the future issue from the foregoing patent applications ((a) and (b)), and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w:t>
      </w:r>
    </w:p>
    <w:p>
      <w:pPr>
        <w:spacing w:after="0" w:line="38"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 xml:space="preserve">1.132 </w:t>
      </w:r>
      <w:r>
        <w:rPr>
          <w:rFonts w:ascii="Arial" w:cs="Arial" w:eastAsia="Arial" w:hAnsi="Arial"/>
          <w:sz w:val="22"/>
          <w:szCs w:val="22"/>
          <w:color w:val="auto"/>
        </w:rPr>
        <w:t>“</w:t>
      </w:r>
      <w:r>
        <w:rPr>
          <w:rFonts w:ascii="Arial" w:cs="Arial" w:eastAsia="Arial" w:hAnsi="Arial"/>
          <w:sz w:val="22"/>
          <w:szCs w:val="22"/>
          <w:b w:val="1"/>
          <w:bCs w:val="1"/>
          <w:color w:val="auto"/>
        </w:rPr>
        <w:t>Payload</w:t>
      </w:r>
      <w:r>
        <w:rPr>
          <w:rFonts w:ascii="Arial" w:cs="Arial" w:eastAsia="Arial" w:hAnsi="Arial"/>
          <w:sz w:val="22"/>
          <w:szCs w:val="22"/>
          <w:color w:val="auto"/>
        </w:rPr>
        <w:t>” means (a) [***] compound, including [***] or (b) a compound that alone, or in</w:t>
      </w:r>
      <w:r>
        <w:rPr>
          <w:rFonts w:ascii="Arial" w:cs="Arial" w:eastAsia="Arial" w:hAnsi="Arial"/>
          <w:sz w:val="22"/>
          <w:szCs w:val="22"/>
          <w:b w:val="1"/>
          <w:bCs w:val="1"/>
          <w:color w:val="auto"/>
        </w:rPr>
        <w:t xml:space="preserve"> </w:t>
      </w:r>
      <w:r>
        <w:rPr>
          <w:rFonts w:ascii="Arial" w:cs="Arial" w:eastAsia="Arial" w:hAnsi="Arial"/>
          <w:sz w:val="22"/>
          <w:szCs w:val="22"/>
          <w:color w:val="auto"/>
        </w:rPr>
        <w:t>combination with other compounds, has [***].</w:t>
      </w:r>
    </w:p>
    <w:p>
      <w:pPr>
        <w:spacing w:after="0" w:line="55"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PDC</w:t>
      </w:r>
      <w:r>
        <w:rPr>
          <w:rFonts w:ascii="Arial" w:cs="Arial" w:eastAsia="Arial" w:hAnsi="Arial"/>
          <w:sz w:val="19"/>
          <w:szCs w:val="19"/>
          <w:color w:val="auto"/>
        </w:rPr>
        <w:t>” or “</w:t>
      </w:r>
      <w:r>
        <w:rPr>
          <w:rFonts w:ascii="Arial" w:cs="Arial" w:eastAsia="Arial" w:hAnsi="Arial"/>
          <w:sz w:val="19"/>
          <w:szCs w:val="19"/>
          <w:b w:val="1"/>
          <w:bCs w:val="1"/>
          <w:color w:val="auto"/>
        </w:rPr>
        <w:t>Probody Drug Conjugate</w:t>
      </w:r>
      <w:r>
        <w:rPr>
          <w:rFonts w:ascii="Arial" w:cs="Arial" w:eastAsia="Arial" w:hAnsi="Arial"/>
          <w:sz w:val="19"/>
          <w:szCs w:val="19"/>
          <w:color w:val="auto"/>
        </w:rPr>
        <w:t>” means a Probody conjugated to a Payload using a Linker.</w:t>
      </w:r>
    </w:p>
    <w:p>
      <w:pPr>
        <w:spacing w:after="0" w:line="98"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1.134 </w:t>
      </w: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sole proprietorship, partnership, limited partnership,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4" w:name="page95"/>
    <w:bookmarkEnd w:id="94"/>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1.135 </w:t>
      </w:r>
      <w:r>
        <w:rPr>
          <w:rFonts w:ascii="Arial" w:cs="Arial" w:eastAsia="Arial" w:hAnsi="Arial"/>
          <w:sz w:val="22"/>
          <w:szCs w:val="22"/>
          <w:color w:val="auto"/>
        </w:rPr>
        <w:t>“</w:t>
      </w:r>
      <w:r>
        <w:rPr>
          <w:rFonts w:ascii="Arial" w:cs="Arial" w:eastAsia="Arial" w:hAnsi="Arial"/>
          <w:sz w:val="22"/>
          <w:szCs w:val="22"/>
          <w:b w:val="1"/>
          <w:bCs w:val="1"/>
          <w:color w:val="auto"/>
        </w:rPr>
        <w:t>Phase 0</w:t>
      </w:r>
      <w:r>
        <w:rPr>
          <w:rFonts w:ascii="Arial" w:cs="Arial" w:eastAsia="Arial" w:hAnsi="Arial"/>
          <w:sz w:val="22"/>
          <w:szCs w:val="22"/>
          <w:color w:val="auto"/>
        </w:rPr>
        <w:t>” means an exploratory, first-in-human trial conducted in accordance with the FDA</w:t>
      </w:r>
      <w:r>
        <w:rPr>
          <w:rFonts w:ascii="Arial" w:cs="Arial" w:eastAsia="Arial" w:hAnsi="Arial"/>
          <w:sz w:val="22"/>
          <w:szCs w:val="22"/>
          <w:b w:val="1"/>
          <w:bCs w:val="1"/>
          <w:color w:val="auto"/>
        </w:rPr>
        <w:t xml:space="preserve"> </w:t>
      </w:r>
      <w:r>
        <w:rPr>
          <w:rFonts w:ascii="Arial" w:cs="Arial" w:eastAsia="Arial" w:hAnsi="Arial"/>
          <w:sz w:val="22"/>
          <w:szCs w:val="22"/>
          <w:color w:val="auto"/>
        </w:rPr>
        <w:t>2006 Guidance on Exploratory Investigational New Drug Studies (or the equivalent in any country or other jurisdiction outside of the United States) and designed to expedite the development of therapeutic or imaging agents by establishing very early on whether the agent behaves in human subjects as was anticipated from pre-clinical studies.</w:t>
      </w:r>
    </w:p>
    <w:p>
      <w:pPr>
        <w:spacing w:after="0" w:line="73"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1.136 </w:t>
      </w:r>
      <w:r>
        <w:rPr>
          <w:rFonts w:ascii="Arial" w:cs="Arial" w:eastAsia="Arial" w:hAnsi="Arial"/>
          <w:sz w:val="22"/>
          <w:szCs w:val="22"/>
          <w:color w:val="auto"/>
        </w:rPr>
        <w:t>“</w:t>
      </w:r>
      <w:r>
        <w:rPr>
          <w:rFonts w:ascii="Arial" w:cs="Arial" w:eastAsia="Arial" w:hAnsi="Arial"/>
          <w:sz w:val="22"/>
          <w:szCs w:val="22"/>
          <w:b w:val="1"/>
          <w:bCs w:val="1"/>
          <w:color w:val="auto"/>
        </w:rPr>
        <w:t>Phase I</w:t>
      </w:r>
      <w:r>
        <w:rPr>
          <w:rFonts w:ascii="Arial" w:cs="Arial" w:eastAsia="Arial" w:hAnsi="Arial"/>
          <w:sz w:val="22"/>
          <w:szCs w:val="22"/>
          <w:color w:val="auto"/>
        </w:rPr>
        <w:t>” means a human clinical trial of an AbbVie Probody, Discovery PDC or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the principal purpose of which is a preliminary determination of safety, tolerability, pharmacological activity or pharmacokinetics in healthy individuals or patients, and which may include expansion to estimate activity in a specific patient cohort, or similar clinical study prescribed by the Regulatory Authorities, including the trials referred to in 21 C.F.R. §312.21(a), as amended.</w:t>
      </w:r>
    </w:p>
    <w:p>
      <w:pPr>
        <w:spacing w:after="0" w:line="74" w:lineRule="exact"/>
        <w:rPr>
          <w:sz w:val="20"/>
          <w:szCs w:val="20"/>
          <w:color w:val="auto"/>
        </w:rPr>
      </w:pPr>
    </w:p>
    <w:p>
      <w:pPr>
        <w:jc w:val="both"/>
        <w:ind w:firstLine="1755"/>
        <w:spacing w:after="0" w:line="278" w:lineRule="auto"/>
        <w:rPr>
          <w:sz w:val="20"/>
          <w:szCs w:val="20"/>
          <w:color w:val="auto"/>
        </w:rPr>
      </w:pPr>
      <w:r>
        <w:rPr>
          <w:rFonts w:ascii="Arial" w:cs="Arial" w:eastAsia="Arial" w:hAnsi="Arial"/>
          <w:sz w:val="19"/>
          <w:szCs w:val="19"/>
          <w:b w:val="1"/>
          <w:bCs w:val="1"/>
          <w:color w:val="auto"/>
        </w:rPr>
        <w:t xml:space="preserve">1.137 </w:t>
      </w:r>
      <w:r>
        <w:rPr>
          <w:rFonts w:ascii="Arial" w:cs="Arial" w:eastAsia="Arial" w:hAnsi="Arial"/>
          <w:sz w:val="19"/>
          <w:szCs w:val="19"/>
          <w:color w:val="auto"/>
        </w:rPr>
        <w:t>“</w:t>
      </w:r>
      <w:r>
        <w:rPr>
          <w:rFonts w:ascii="Arial" w:cs="Arial" w:eastAsia="Arial" w:hAnsi="Arial"/>
          <w:sz w:val="19"/>
          <w:szCs w:val="19"/>
          <w:b w:val="1"/>
          <w:bCs w:val="1"/>
          <w:color w:val="auto"/>
        </w:rPr>
        <w:t>Phase II</w:t>
      </w:r>
      <w:r>
        <w:rPr>
          <w:rFonts w:ascii="Arial" w:cs="Arial" w:eastAsia="Arial" w:hAnsi="Arial"/>
          <w:sz w:val="19"/>
          <w:szCs w:val="19"/>
          <w:color w:val="auto"/>
        </w:rPr>
        <w:t>” means a human clinical trial of a Licensed Product conducted in any country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(whether a standalone trial or a stage of a “Phase 1/2” clinical trial described in the protocol as the “Phase 2 portion”, or a stage of a “Phase 2/3” clinical trial described in the protocol as the “Phase 2 portion”) the principal purpose of which is (a) to evaluate the clinical efficacy, safety, pharmacodynamics or biological activity of such Product in the target patient population as its primary endpoint, or (b) determine anti-cancer activity in the applicable tumor type as its primary endpoint (as described in the protocol), in each case of clause (a) or (b), and is prospectively designed to generate sufficient data that may permit commencement of Phase III, or (c) that would otherwise satisfy the requirements of 21 C.F.R. § 312.21(b), or its foreign equivalent.</w:t>
      </w:r>
    </w:p>
    <w:p>
      <w:pPr>
        <w:spacing w:after="0" w:line="38"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b w:val="1"/>
          <w:bCs w:val="1"/>
          <w:color w:val="auto"/>
        </w:rPr>
        <w:t xml:space="preserve">1.138 </w:t>
      </w:r>
      <w:r>
        <w:rPr>
          <w:rFonts w:ascii="Arial" w:cs="Arial" w:eastAsia="Arial" w:hAnsi="Arial"/>
          <w:sz w:val="21"/>
          <w:szCs w:val="21"/>
          <w:color w:val="auto"/>
        </w:rPr>
        <w:t>“</w:t>
      </w:r>
      <w:r>
        <w:rPr>
          <w:rFonts w:ascii="Arial" w:cs="Arial" w:eastAsia="Arial" w:hAnsi="Arial"/>
          <w:sz w:val="21"/>
          <w:szCs w:val="21"/>
          <w:b w:val="1"/>
          <w:bCs w:val="1"/>
          <w:color w:val="auto"/>
        </w:rPr>
        <w:t>Phase III</w:t>
      </w:r>
      <w:r>
        <w:rPr>
          <w:rFonts w:ascii="Arial" w:cs="Arial" w:eastAsia="Arial" w:hAnsi="Arial"/>
          <w:sz w:val="21"/>
          <w:szCs w:val="21"/>
          <w:color w:val="auto"/>
        </w:rPr>
        <w:t>” means a human clinical trial of a Licensed Product conducted in any country in the</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 (whether a standalone trial or a stage of a “Phase 2/3” clinical trial described in the protocol as the “Phase 3 portion”): (a) with a defined dose or a set of defined doses of such Licensed Product designed to establish statistically significant efficacy and safety of such Licensed Product for the purpose of enabling the preparation and submission of a BLA to the competent Regulatory Authorities in a country of the Territory, or (b) where the results of such clinical trial are intended (if successful) to be used to establish both safety and efficacy of such Licensed Product in patients which are the subject of such trial and serve as the basis for initial or supplemental Regulatory Approval of such Licensed Product, or (c) that would otherwise satisfy requirements of 21 CFR 312.21(c), or its foreign equivalent.</w:t>
      </w:r>
    </w:p>
    <w:p>
      <w:pPr>
        <w:spacing w:after="0" w:line="6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1.139 </w:t>
      </w:r>
      <w:r>
        <w:rPr>
          <w:rFonts w:ascii="Arial" w:cs="Arial" w:eastAsia="Arial" w:hAnsi="Arial"/>
          <w:sz w:val="22"/>
          <w:szCs w:val="22"/>
          <w:color w:val="auto"/>
        </w:rPr>
        <w:t>“</w:t>
      </w:r>
      <w:r>
        <w:rPr>
          <w:rFonts w:ascii="Arial" w:cs="Arial" w:eastAsia="Arial" w:hAnsi="Arial"/>
          <w:sz w:val="22"/>
          <w:szCs w:val="22"/>
          <w:b w:val="1"/>
          <w:bCs w:val="1"/>
          <w:color w:val="auto"/>
        </w:rPr>
        <w:t>Phase IV Study</w:t>
      </w:r>
      <w:r>
        <w:rPr>
          <w:rFonts w:ascii="Arial" w:cs="Arial" w:eastAsia="Arial" w:hAnsi="Arial"/>
          <w:sz w:val="22"/>
          <w:szCs w:val="22"/>
          <w:color w:val="auto"/>
        </w:rPr>
        <w:t>” means a post-marketing human clinical study: (a) for a Licensed Product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any Indication as to which Regulatory Approval has been received or that is the subject of an investigator-initiated study program.</w:t>
      </w:r>
    </w:p>
    <w:p>
      <w:pPr>
        <w:spacing w:after="0" w:line="69"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PHSA</w:t>
      </w:r>
      <w:r>
        <w:rPr>
          <w:rFonts w:ascii="Arial" w:cs="Arial" w:eastAsia="Arial" w:hAnsi="Arial"/>
          <w:sz w:val="19"/>
          <w:szCs w:val="19"/>
          <w:color w:val="auto"/>
        </w:rPr>
        <w:t>” means the United States Public Health Service Act, as amended from time to time.</w:t>
      </w:r>
    </w:p>
    <w:p>
      <w:pPr>
        <w:spacing w:after="0" w:line="9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1.141 </w:t>
      </w:r>
      <w:r>
        <w:rPr>
          <w:rFonts w:ascii="Arial" w:cs="Arial" w:eastAsia="Arial" w:hAnsi="Arial"/>
          <w:sz w:val="22"/>
          <w:szCs w:val="22"/>
          <w:color w:val="auto"/>
        </w:rPr>
        <w:t>“</w:t>
      </w:r>
      <w:r>
        <w:rPr>
          <w:rFonts w:ascii="Arial" w:cs="Arial" w:eastAsia="Arial" w:hAnsi="Arial"/>
          <w:sz w:val="22"/>
          <w:szCs w:val="22"/>
          <w:b w:val="1"/>
          <w:bCs w:val="1"/>
          <w:color w:val="auto"/>
        </w:rPr>
        <w:t>PMDA</w:t>
      </w:r>
      <w:r>
        <w:rPr>
          <w:rFonts w:ascii="Arial" w:cs="Arial" w:eastAsia="Arial" w:hAnsi="Arial"/>
          <w:sz w:val="22"/>
          <w:szCs w:val="22"/>
          <w:color w:val="auto"/>
        </w:rPr>
        <w:t>” means Japan’s Pharmaceuticals and Medical Devices Agency and any successor</w:t>
      </w:r>
      <w:r>
        <w:rPr>
          <w:rFonts w:ascii="Arial" w:cs="Arial" w:eastAsia="Arial" w:hAnsi="Arial"/>
          <w:sz w:val="22"/>
          <w:szCs w:val="22"/>
          <w:b w:val="1"/>
          <w:bCs w:val="1"/>
          <w:color w:val="auto"/>
        </w:rPr>
        <w:t xml:space="preserve"> </w:t>
      </w:r>
      <w:r>
        <w:rPr>
          <w:rFonts w:ascii="Arial" w:cs="Arial" w:eastAsia="Arial" w:hAnsi="Arial"/>
          <w:sz w:val="22"/>
          <w:szCs w:val="22"/>
          <w:color w:val="auto"/>
        </w:rPr>
        <w:t>agency(ies) or authority having substantially the same function.</w:t>
      </w:r>
    </w:p>
    <w:p>
      <w:pPr>
        <w:spacing w:after="0" w:line="55"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Prior CDA</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14.9.</w:t>
      </w:r>
    </w:p>
    <w:p>
      <w:pPr>
        <w:spacing w:after="0" w:line="9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1.143 </w:t>
      </w:r>
      <w:r>
        <w:rPr>
          <w:rFonts w:ascii="Arial" w:cs="Arial" w:eastAsia="Arial" w:hAnsi="Arial"/>
          <w:sz w:val="22"/>
          <w:szCs w:val="22"/>
          <w:color w:val="auto"/>
        </w:rPr>
        <w:t>“</w:t>
      </w:r>
      <w:r>
        <w:rPr>
          <w:rFonts w:ascii="Arial" w:cs="Arial" w:eastAsia="Arial" w:hAnsi="Arial"/>
          <w:sz w:val="22"/>
          <w:szCs w:val="22"/>
          <w:b w:val="1"/>
          <w:bCs w:val="1"/>
          <w:color w:val="auto"/>
        </w:rPr>
        <w:t>Probody</w:t>
      </w:r>
      <w:r>
        <w:rPr>
          <w:rFonts w:ascii="Arial" w:cs="Arial" w:eastAsia="Arial" w:hAnsi="Arial"/>
          <w:sz w:val="22"/>
          <w:szCs w:val="22"/>
          <w:color w:val="auto"/>
        </w:rPr>
        <w:t>” means an Antibody that is linked to a Substrate and a Mask that is claimed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Licensor Background Patents or the Program Patents or derives from, uses or is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5" w:name="page96"/>
    <w:bookmarkEnd w:id="95"/>
    <w:p>
      <w:pPr>
        <w:jc w:val="both"/>
        <w:spacing w:after="0" w:line="251" w:lineRule="auto"/>
        <w:rPr>
          <w:sz w:val="20"/>
          <w:szCs w:val="20"/>
          <w:color w:val="auto"/>
        </w:rPr>
      </w:pPr>
      <w:r>
        <w:rPr>
          <w:rFonts w:ascii="Arial" w:cs="Arial" w:eastAsia="Arial" w:hAnsi="Arial"/>
          <w:sz w:val="22"/>
          <w:szCs w:val="22"/>
          <w:color w:val="auto"/>
        </w:rPr>
        <w:t>made using the Licensor Background Know-How or Program Know-How; where such Antibody is not conjugated to a Payload using a Linker.</w:t>
      </w:r>
    </w:p>
    <w:p>
      <w:pPr>
        <w:spacing w:after="0" w:line="59" w:lineRule="exact"/>
        <w:rPr>
          <w:sz w:val="20"/>
          <w:szCs w:val="20"/>
          <w:color w:val="auto"/>
        </w:rPr>
      </w:pPr>
    </w:p>
    <w:p>
      <w:pPr>
        <w:ind w:left="1760"/>
        <w:spacing w:after="0"/>
        <w:tabs>
          <w:tab w:leader="none" w:pos="2940" w:val="left"/>
        </w:tabs>
        <w:rPr>
          <w:sz w:val="20"/>
          <w:szCs w:val="20"/>
          <w:color w:val="auto"/>
        </w:rPr>
      </w:pPr>
      <w:r>
        <w:rPr>
          <w:rFonts w:ascii="Arial" w:cs="Arial" w:eastAsia="Arial" w:hAnsi="Arial"/>
          <w:sz w:val="22"/>
          <w:szCs w:val="22"/>
          <w:b w:val="1"/>
          <w:bCs w:val="1"/>
          <w:color w:val="auto"/>
        </w:rPr>
        <w:t>1.144</w:t>
      </w:r>
      <w:r>
        <w:rPr>
          <w:sz w:val="20"/>
          <w:szCs w:val="20"/>
          <w:color w:val="auto"/>
        </w:rPr>
        <w:tab/>
      </w:r>
      <w:r>
        <w:rPr>
          <w:rFonts w:ascii="Arial" w:cs="Arial" w:eastAsia="Arial" w:hAnsi="Arial"/>
          <w:sz w:val="19"/>
          <w:szCs w:val="19"/>
          <w:b w:val="1"/>
          <w:bCs w:val="1"/>
          <w:color w:val="auto"/>
        </w:rPr>
        <w:t>Product Information</w:t>
      </w:r>
      <w:r>
        <w:rPr>
          <w:rFonts w:ascii="Arial" w:cs="Arial" w:eastAsia="Arial" w:hAnsi="Arial"/>
          <w:sz w:val="19"/>
          <w:szCs w:val="19"/>
          <w:color w:val="auto"/>
        </w:rPr>
        <w:t>” has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Infringement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8.3.1</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53" w:lineRule="exact"/>
        <w:rPr>
          <w:sz w:val="20"/>
          <w:szCs w:val="20"/>
          <w:color w:val="auto"/>
        </w:rPr>
      </w:pPr>
      <w:r>
        <w:rPr>
          <w:rFonts w:ascii="Arial" w:cs="Arial" w:eastAsia="Arial" w:hAnsi="Arial"/>
          <w:sz w:val="19"/>
          <w:szCs w:val="19"/>
          <w:b w:val="1"/>
          <w:bCs w:val="1"/>
          <w:color w:val="auto"/>
        </w:rPr>
        <w:t xml:space="preserve">1.146 </w:t>
      </w:r>
      <w:r>
        <w:rPr>
          <w:rFonts w:ascii="Arial" w:cs="Arial" w:eastAsia="Arial" w:hAnsi="Arial"/>
          <w:sz w:val="19"/>
          <w:szCs w:val="19"/>
          <w:color w:val="auto"/>
        </w:rPr>
        <w:t>“</w:t>
      </w:r>
      <w:r>
        <w:rPr>
          <w:rFonts w:ascii="Arial" w:cs="Arial" w:eastAsia="Arial" w:hAnsi="Arial"/>
          <w:sz w:val="19"/>
          <w:szCs w:val="19"/>
          <w:b w:val="1"/>
          <w:bCs w:val="1"/>
          <w:color w:val="auto"/>
        </w:rPr>
        <w:t>Product Labeling</w:t>
      </w:r>
      <w:r>
        <w:rPr>
          <w:rFonts w:ascii="Arial" w:cs="Arial" w:eastAsia="Arial" w:hAnsi="Arial"/>
          <w:sz w:val="19"/>
          <w:szCs w:val="19"/>
          <w:color w:val="auto"/>
        </w:rPr>
        <w:t>” means, with respect to a Licensed Product in a country or other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in the Territory, (a) the Regulatory Authority</w:t>
      </w:r>
      <w:r>
        <w:rPr>
          <w:rFonts w:ascii="MS PGothic" w:cs="MS PGothic" w:eastAsia="MS PGothic" w:hAnsi="MS PGothic"/>
          <w:sz w:val="19"/>
          <w:szCs w:val="19"/>
          <w:color w:val="auto"/>
        </w:rPr>
        <w:t>‑</w:t>
      </w:r>
      <w:r>
        <w:rPr>
          <w:rFonts w:ascii="Arial" w:cs="Arial" w:eastAsia="Arial" w:hAnsi="Arial"/>
          <w:sz w:val="19"/>
          <w:szCs w:val="19"/>
          <w:color w:val="auto"/>
        </w:rPr>
        <w:t>approved full prescribing information for such Licensed Product for such country or other jurisdiction, including any required patient information, and (b) all labels and other written, printed, or graphic matter upon a container, wrapper, or any package insert utilized with or for such Licensed Product in such country or other jurisdiction.</w:t>
      </w:r>
    </w:p>
    <w:p>
      <w:pPr>
        <w:spacing w:after="0" w:line="72"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1.147 </w:t>
      </w:r>
      <w:r>
        <w:rPr>
          <w:rFonts w:ascii="Arial" w:cs="Arial" w:eastAsia="Arial" w:hAnsi="Arial"/>
          <w:sz w:val="22"/>
          <w:szCs w:val="22"/>
          <w:color w:val="auto"/>
        </w:rPr>
        <w:t>“</w:t>
      </w:r>
      <w:r>
        <w:rPr>
          <w:rFonts w:ascii="Arial" w:cs="Arial" w:eastAsia="Arial" w:hAnsi="Arial"/>
          <w:sz w:val="22"/>
          <w:szCs w:val="22"/>
          <w:b w:val="1"/>
          <w:bCs w:val="1"/>
          <w:color w:val="auto"/>
        </w:rPr>
        <w:t>Product Trademarks</w:t>
      </w:r>
      <w:r>
        <w:rPr>
          <w:rFonts w:ascii="Arial" w:cs="Arial" w:eastAsia="Arial" w:hAnsi="Arial"/>
          <w:sz w:val="22"/>
          <w:szCs w:val="22"/>
          <w:color w:val="auto"/>
        </w:rPr>
        <w:t>” means the Trademark(s) to be used by AbbVie or its Affiliates or its or</w:t>
      </w:r>
      <w:r>
        <w:rPr>
          <w:rFonts w:ascii="Arial" w:cs="Arial" w:eastAsia="Arial" w:hAnsi="Arial"/>
          <w:sz w:val="22"/>
          <w:szCs w:val="22"/>
          <w:b w:val="1"/>
          <w:bCs w:val="1"/>
          <w:color w:val="auto"/>
        </w:rPr>
        <w:t xml:space="preserve"> </w:t>
      </w:r>
      <w:r>
        <w:rPr>
          <w:rFonts w:ascii="Arial" w:cs="Arial" w:eastAsia="Arial" w:hAnsi="Arial"/>
          <w:sz w:val="22"/>
          <w:szCs w:val="22"/>
          <w:color w:val="auto"/>
        </w:rPr>
        <w:t>their respective Sublicensees for the Development or Commercialization of Licensed Products in the Territory and any registrations thereof or any pending applications relating thereto in the Territory (excluding, in any event, any trademarks, service marks, names or logos that include any corporate name or logo of the Parties or their Affiliates).</w:t>
      </w:r>
    </w:p>
    <w:p>
      <w:pPr>
        <w:spacing w:after="0" w:line="73"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1.148 </w:t>
      </w:r>
      <w:r>
        <w:rPr>
          <w:rFonts w:ascii="Arial" w:cs="Arial" w:eastAsia="Arial" w:hAnsi="Arial"/>
          <w:sz w:val="22"/>
          <w:szCs w:val="22"/>
          <w:color w:val="auto"/>
        </w:rPr>
        <w:t>“</w:t>
      </w:r>
      <w:r>
        <w:rPr>
          <w:rFonts w:ascii="Arial" w:cs="Arial" w:eastAsia="Arial" w:hAnsi="Arial"/>
          <w:sz w:val="22"/>
          <w:szCs w:val="22"/>
          <w:b w:val="1"/>
          <w:bCs w:val="1"/>
          <w:color w:val="auto"/>
        </w:rPr>
        <w:t>Program Know-How</w:t>
      </w:r>
      <w:r>
        <w:rPr>
          <w:rFonts w:ascii="Arial" w:cs="Arial" w:eastAsia="Arial" w:hAnsi="Arial"/>
          <w:sz w:val="22"/>
          <w:szCs w:val="22"/>
          <w:color w:val="auto"/>
        </w:rPr>
        <w:t>” means all Information and inventions that are conceived, discovered,</w:t>
      </w:r>
      <w:r>
        <w:rPr>
          <w:rFonts w:ascii="Arial" w:cs="Arial" w:eastAsia="Arial" w:hAnsi="Arial"/>
          <w:sz w:val="22"/>
          <w:szCs w:val="22"/>
          <w:b w:val="1"/>
          <w:bCs w:val="1"/>
          <w:color w:val="auto"/>
        </w:rPr>
        <w:t xml:space="preserve"> </w:t>
      </w:r>
      <w:r>
        <w:rPr>
          <w:rFonts w:ascii="Arial" w:cs="Arial" w:eastAsia="Arial" w:hAnsi="Arial"/>
          <w:sz w:val="22"/>
          <w:szCs w:val="22"/>
          <w:color w:val="auto"/>
        </w:rPr>
        <w:t>developed, or otherwise made by or on behalf of either Party or its Affiliates or sublicensees in connection with the work conducted under or in connection with this Agreement.</w:t>
      </w:r>
    </w:p>
    <w:p>
      <w:pPr>
        <w:spacing w:after="0" w:line="69"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1.149 </w:t>
      </w:r>
      <w:r>
        <w:rPr>
          <w:rFonts w:ascii="Arial" w:cs="Arial" w:eastAsia="Arial" w:hAnsi="Arial"/>
          <w:sz w:val="22"/>
          <w:szCs w:val="22"/>
          <w:color w:val="auto"/>
        </w:rPr>
        <w:t>“</w:t>
      </w:r>
      <w:r>
        <w:rPr>
          <w:rFonts w:ascii="Arial" w:cs="Arial" w:eastAsia="Arial" w:hAnsi="Arial"/>
          <w:sz w:val="22"/>
          <w:szCs w:val="22"/>
          <w:b w:val="1"/>
          <w:bCs w:val="1"/>
          <w:color w:val="auto"/>
        </w:rPr>
        <w:t>Program Patents</w:t>
      </w:r>
      <w:r>
        <w:rPr>
          <w:rFonts w:ascii="Arial" w:cs="Arial" w:eastAsia="Arial" w:hAnsi="Arial"/>
          <w:sz w:val="22"/>
          <w:szCs w:val="22"/>
          <w:color w:val="auto"/>
        </w:rPr>
        <w:t>” mean all Patents that are conceived, discovered, developed,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made by or on behalf of either Party or its Affiliates or sublicensees in connection with the work conducted under or in connection with this Agreement.</w:t>
      </w:r>
    </w:p>
    <w:p>
      <w:pPr>
        <w:spacing w:after="0" w:line="69"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1.150</w:t>
      </w:r>
      <w:r>
        <w:rPr>
          <w:sz w:val="20"/>
          <w:szCs w:val="20"/>
          <w:color w:val="auto"/>
        </w:rPr>
        <w:tab/>
      </w:r>
      <w:r>
        <w:rPr>
          <w:rFonts w:ascii="Arial" w:cs="Arial" w:eastAsia="Arial" w:hAnsi="Arial"/>
          <w:sz w:val="19"/>
          <w:szCs w:val="19"/>
          <w:b w:val="1"/>
          <w:bCs w:val="1"/>
          <w:color w:val="auto"/>
        </w:rPr>
        <w:t xml:space="preserve">“Proposed Future In-Licensed Rights”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6.9</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Proposed Target Information</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2.1.3</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Publication Policies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10.5</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1.153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with respect to a country or other jurisdiction in the Territory,</w:t>
      </w:r>
      <w:r>
        <w:rPr>
          <w:rFonts w:ascii="Arial" w:cs="Arial" w:eastAsia="Arial" w:hAnsi="Arial"/>
          <w:sz w:val="22"/>
          <w:szCs w:val="22"/>
          <w:b w:val="1"/>
          <w:bCs w:val="1"/>
          <w:color w:val="auto"/>
        </w:rPr>
        <w:t xml:space="preserve"> </w:t>
      </w:r>
      <w:r>
        <w:rPr>
          <w:rFonts w:ascii="Arial" w:cs="Arial" w:eastAsia="Arial" w:hAnsi="Arial"/>
          <w:sz w:val="22"/>
          <w:szCs w:val="22"/>
          <w:color w:val="auto"/>
        </w:rPr>
        <w:t>any and all approvals (including Drug Approval Applications), licenses, registrations, or authorizations of any Regulatory Authority necessary to Commercialize an AbbVie Probody, Discovery PDC or Licensed Product in such country or other jurisdiction, including, where applicable, (a) pricing or reimbursement approval in such country or other jurisdiction, (b) pre- and post-approval marketing authorizations (including any prerequisite Manufacturing approval or authorization related thereto), and (c) approval of Product Labeling.</w:t>
      </w:r>
    </w:p>
    <w:p>
      <w:pPr>
        <w:spacing w:after="0" w:line="74"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1"/>
          <w:szCs w:val="21"/>
          <w:b w:val="1"/>
          <w:bCs w:val="1"/>
          <w:color w:val="auto"/>
        </w:rPr>
        <w:t xml:space="preserve">1.154 </w:t>
      </w:r>
      <w:r>
        <w:rPr>
          <w:rFonts w:ascii="Arial" w:cs="Arial" w:eastAsia="Arial" w:hAnsi="Arial"/>
          <w:sz w:val="21"/>
          <w:szCs w:val="21"/>
          <w:color w:val="auto"/>
        </w:rPr>
        <w:t>“</w:t>
      </w:r>
      <w:r>
        <w:rPr>
          <w:rFonts w:ascii="Arial" w:cs="Arial" w:eastAsia="Arial" w:hAnsi="Arial"/>
          <w:sz w:val="21"/>
          <w:szCs w:val="21"/>
          <w:b w:val="1"/>
          <w:bCs w:val="1"/>
          <w:color w:val="auto"/>
        </w:rPr>
        <w:t>Regulatory Authority</w:t>
      </w:r>
      <w:r>
        <w:rPr>
          <w:rFonts w:ascii="Arial" w:cs="Arial" w:eastAsia="Arial" w:hAnsi="Arial"/>
          <w:sz w:val="21"/>
          <w:szCs w:val="21"/>
          <w:color w:val="auto"/>
        </w:rPr>
        <w:t>” means any applicable supra-national, federal, national, regional, state,</w:t>
      </w:r>
      <w:r>
        <w:rPr>
          <w:rFonts w:ascii="Arial" w:cs="Arial" w:eastAsia="Arial" w:hAnsi="Arial"/>
          <w:sz w:val="21"/>
          <w:szCs w:val="21"/>
          <w:b w:val="1"/>
          <w:bCs w:val="1"/>
          <w:color w:val="auto"/>
        </w:rPr>
        <w:t xml:space="preserve"> </w:t>
      </w:r>
      <w:r>
        <w:rPr>
          <w:rFonts w:ascii="Arial" w:cs="Arial" w:eastAsia="Arial" w:hAnsi="Arial"/>
          <w:sz w:val="21"/>
          <w:szCs w:val="21"/>
          <w:color w:val="auto"/>
        </w:rPr>
        <w:t>provincial, or local governmental or regulatory authority, agency, department, bureau, commission, council, or other entities (e.g., the FDA, EMA and PMDA) regulating or otherwise exercising authority with respect to activities contemplated in this Agreement, including the Exploitation of the AbbVie Probody, Discovery PDC or Licensed Products in the Territory.</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96" w:name="page97"/>
    <w:bookmarkEnd w:id="96"/>
    <w:p>
      <w:pPr>
        <w:jc w:val="both"/>
        <w:ind w:firstLine="1755"/>
        <w:spacing w:after="0" w:line="235" w:lineRule="auto"/>
        <w:rPr>
          <w:sz w:val="20"/>
          <w:szCs w:val="20"/>
          <w:color w:val="auto"/>
        </w:rPr>
      </w:pPr>
      <w:r>
        <w:rPr>
          <w:rFonts w:ascii="Arial" w:cs="Arial" w:eastAsia="Arial" w:hAnsi="Arial"/>
          <w:sz w:val="22"/>
          <w:szCs w:val="22"/>
          <w:b w:val="1"/>
          <w:bCs w:val="1"/>
          <w:color w:val="auto"/>
        </w:rPr>
        <w:t xml:space="preserve">1.155 </w:t>
      </w:r>
      <w:r>
        <w:rPr>
          <w:rFonts w:ascii="Arial" w:cs="Arial" w:eastAsia="Arial" w:hAnsi="Arial"/>
          <w:sz w:val="22"/>
          <w:szCs w:val="22"/>
          <w:color w:val="auto"/>
        </w:rPr>
        <w:t>“</w:t>
      </w:r>
      <w:r>
        <w:rPr>
          <w:rFonts w:ascii="Arial" w:cs="Arial" w:eastAsia="Arial" w:hAnsi="Arial"/>
          <w:sz w:val="22"/>
          <w:szCs w:val="22"/>
          <w:b w:val="1"/>
          <w:bCs w:val="1"/>
          <w:color w:val="auto"/>
        </w:rPr>
        <w:t>Regulatory Documentation</w:t>
      </w:r>
      <w:r>
        <w:rPr>
          <w:rFonts w:ascii="Arial" w:cs="Arial" w:eastAsia="Arial" w:hAnsi="Arial"/>
          <w:sz w:val="22"/>
          <w:szCs w:val="22"/>
          <w:color w:val="auto"/>
        </w:rPr>
        <w:t>” means all (a) applications (including all INDs and Drug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Applications), registrations, licenses, authorizations, and approvals (including Regulatory Approvals), (b) correspondence and reports submitted to or received from Regulatory Authorities (including minutes and official contact reports relating to any communications with any Regulatory Authority) and all supporting documents with respect thereto, including all regulatory drug lists, advertising and promotion documents, adverse event files, and complaint files, and (c) Clinical Data and data contained or relied upon in any of the foregoing, in each case ((a),(b) and (c)) relating to an AbbVie Probody, Discovery PDC or Licensed Product.</w:t>
      </w:r>
    </w:p>
    <w:p>
      <w:pPr>
        <w:spacing w:after="0" w:line="76"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1"/>
          <w:szCs w:val="21"/>
          <w:b w:val="1"/>
          <w:bCs w:val="1"/>
          <w:color w:val="auto"/>
        </w:rPr>
        <w:t xml:space="preserve">1.156 </w:t>
      </w:r>
      <w:r>
        <w:rPr>
          <w:rFonts w:ascii="Arial" w:cs="Arial" w:eastAsia="Arial" w:hAnsi="Arial"/>
          <w:sz w:val="21"/>
          <w:szCs w:val="21"/>
          <w:color w:val="auto"/>
        </w:rPr>
        <w:t>“</w:t>
      </w:r>
      <w:r>
        <w:rPr>
          <w:rFonts w:ascii="Arial" w:cs="Arial" w:eastAsia="Arial" w:hAnsi="Arial"/>
          <w:sz w:val="21"/>
          <w:szCs w:val="21"/>
          <w:b w:val="1"/>
          <w:bCs w:val="1"/>
          <w:color w:val="auto"/>
        </w:rPr>
        <w:t>Regulatory Exclusivity</w:t>
      </w:r>
      <w:r>
        <w:rPr>
          <w:rFonts w:ascii="Arial" w:cs="Arial" w:eastAsia="Arial" w:hAnsi="Arial"/>
          <w:sz w:val="21"/>
          <w:szCs w:val="21"/>
          <w:color w:val="auto"/>
        </w:rPr>
        <w:t>” means, with respect to any country or other jurisdiction in the</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 an additional market protection, other than Patent protection, granted by a Regulatory Authority in such country or other jurisdiction which confers an exclusive Commercialization period during which AbbVie or its Affiliates or Sublicensees have an exclusive right to market and sell an AbbVie Probody, Discovery PDC or Licensed Product in such country or other jurisdiction through a regulatory exclusivity right (e.g., new chemical entity exclusivity, new use or Indication exclusivity, new formulation exclusivity, orphan drug exclusivity, pediatric exclusivity, or any applicable data exclusivity).</w:t>
      </w:r>
    </w:p>
    <w:p>
      <w:pPr>
        <w:spacing w:after="0" w:line="63"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Replaced Target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2.3.1</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Restricted Discovery Antibody</w:t>
      </w:r>
      <w:r>
        <w:rPr>
          <w:rFonts w:ascii="Arial" w:cs="Arial" w:eastAsia="Arial" w:hAnsi="Arial"/>
          <w:sz w:val="19"/>
          <w:szCs w:val="19"/>
          <w:color w:val="auto"/>
        </w:rPr>
        <w:t>” means [***].</w:t>
      </w:r>
    </w:p>
    <w:p>
      <w:pPr>
        <w:spacing w:after="0" w:line="98"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b w:val="1"/>
          <w:bCs w:val="1"/>
          <w:color w:val="auto"/>
        </w:rPr>
        <w:t xml:space="preserve">1.159 </w:t>
      </w:r>
      <w:r>
        <w:rPr>
          <w:rFonts w:ascii="Arial" w:cs="Arial" w:eastAsia="Arial" w:hAnsi="Arial"/>
          <w:sz w:val="22"/>
          <w:szCs w:val="22"/>
          <w:color w:val="auto"/>
        </w:rPr>
        <w:t>“</w:t>
      </w:r>
      <w:r>
        <w:rPr>
          <w:rFonts w:ascii="Arial" w:cs="Arial" w:eastAsia="Arial" w:hAnsi="Arial"/>
          <w:sz w:val="22"/>
          <w:szCs w:val="22"/>
          <w:b w:val="1"/>
          <w:bCs w:val="1"/>
          <w:color w:val="auto"/>
        </w:rPr>
        <w:t>Royalty Term</w:t>
      </w:r>
      <w:r>
        <w:rPr>
          <w:rFonts w:ascii="Arial" w:cs="Arial" w:eastAsia="Arial" w:hAnsi="Arial"/>
          <w:sz w:val="22"/>
          <w:szCs w:val="22"/>
          <w:color w:val="auto"/>
        </w:rPr>
        <w:t>” means, with respect to each Licensed Product and each country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in the Territory, the period beginning on the date of the First Commercial Sale of such Licensed Product in such country or other jurisdiction, and ending on the later to occur of (a) the expiration, invalidation or abandonment date of the last: (i) Licensor Background Patent, (ii) Licensor Program Patent, or (iii) AbbVie Program Patent that claims the molecular structure of a Discovery PDC or AbbVie Probody; any of which (i), (ii), or (iii) includes a Valid Claim that covers the manufacture, use or sale of such Licensed Product in such country or other jurisdiction, (b) the expiration of Regulatory Exclusivity in such country or other jurisdiction for such Licensed Product or (c) the tenth (10th) anniversary of the First Commercial Sale of such Licensed Product in such country or other jurisdiction.</w:t>
      </w:r>
    </w:p>
    <w:p>
      <w:pPr>
        <w:spacing w:after="0" w:line="71"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Second Accepted Target Fee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7.2</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Segregate</w:t>
      </w:r>
      <w:r>
        <w:rPr>
          <w:rFonts w:ascii="Arial" w:cs="Arial" w:eastAsia="Arial" w:hAnsi="Arial"/>
          <w:sz w:val="19"/>
          <w:szCs w:val="19"/>
          <w:color w:val="auto"/>
        </w:rPr>
        <w:t>” means, [***].</w:t>
      </w:r>
    </w:p>
    <w:p>
      <w:pPr>
        <w:spacing w:after="0" w:line="98" w:lineRule="exact"/>
        <w:rPr>
          <w:sz w:val="20"/>
          <w:szCs w:val="20"/>
          <w:color w:val="auto"/>
        </w:rPr>
      </w:pPr>
    </w:p>
    <w:p>
      <w:pPr>
        <w:jc w:val="both"/>
        <w:ind w:firstLine="1755"/>
        <w:spacing w:after="0" w:line="301" w:lineRule="auto"/>
        <w:rPr>
          <w:sz w:val="20"/>
          <w:szCs w:val="20"/>
          <w:color w:val="auto"/>
        </w:rPr>
      </w:pPr>
      <w:r>
        <w:rPr>
          <w:rFonts w:ascii="Arial" w:cs="Arial" w:eastAsia="Arial" w:hAnsi="Arial"/>
          <w:sz w:val="19"/>
          <w:szCs w:val="19"/>
          <w:b w:val="1"/>
          <w:bCs w:val="1"/>
          <w:color w:val="auto"/>
        </w:rPr>
        <w:t xml:space="preserve">1.162 </w:t>
      </w:r>
      <w:r>
        <w:rPr>
          <w:rFonts w:ascii="Arial" w:cs="Arial" w:eastAsia="Arial" w:hAnsi="Arial"/>
          <w:sz w:val="19"/>
          <w:szCs w:val="19"/>
          <w:color w:val="auto"/>
        </w:rPr>
        <w:t>“</w:t>
      </w:r>
      <w:r>
        <w:rPr>
          <w:rFonts w:ascii="Arial" w:cs="Arial" w:eastAsia="Arial" w:hAnsi="Arial"/>
          <w:sz w:val="19"/>
          <w:szCs w:val="19"/>
          <w:b w:val="1"/>
          <w:bCs w:val="1"/>
          <w:color w:val="auto"/>
        </w:rPr>
        <w:t>Senior Officer</w:t>
      </w:r>
      <w:r>
        <w:rPr>
          <w:rFonts w:ascii="Arial" w:cs="Arial" w:eastAsia="Arial" w:hAnsi="Arial"/>
          <w:sz w:val="19"/>
          <w:szCs w:val="19"/>
          <w:color w:val="auto"/>
        </w:rPr>
        <w:t>” means, with respect to Licensor, its President and Chief Executive Officer or</w:t>
      </w:r>
      <w:r>
        <w:rPr>
          <w:rFonts w:ascii="Arial" w:cs="Arial" w:eastAsia="Arial" w:hAnsi="Arial"/>
          <w:sz w:val="19"/>
          <w:szCs w:val="19"/>
          <w:b w:val="1"/>
          <w:bCs w:val="1"/>
          <w:color w:val="auto"/>
        </w:rPr>
        <w:t xml:space="preserve"> </w:t>
      </w:r>
      <w:r>
        <w:rPr>
          <w:rFonts w:ascii="Arial" w:cs="Arial" w:eastAsia="Arial" w:hAnsi="Arial"/>
          <w:sz w:val="19"/>
          <w:szCs w:val="19"/>
          <w:color w:val="auto"/>
        </w:rPr>
        <w:t>his/her designee, and with respect to AbbVie, (a) for Development and Manufacturing, its Chief Scientific Officer or his/her designee and (b) for Commercialization matters, its Executive Vice President – Commercial Operations or his/her designee.</w:t>
      </w:r>
    </w:p>
    <w:p>
      <w:pPr>
        <w:spacing w:after="0" w:line="15"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1.163 </w:t>
      </w:r>
      <w:r>
        <w:rPr>
          <w:rFonts w:ascii="Arial" w:cs="Arial" w:eastAsia="Arial" w:hAnsi="Arial"/>
          <w:sz w:val="22"/>
          <w:szCs w:val="22"/>
          <w:color w:val="auto"/>
        </w:rPr>
        <w:t>“</w:t>
      </w:r>
      <w:r>
        <w:rPr>
          <w:rFonts w:ascii="Arial" w:cs="Arial" w:eastAsia="Arial" w:hAnsi="Arial"/>
          <w:sz w:val="22"/>
          <w:szCs w:val="22"/>
          <w:b w:val="1"/>
          <w:bCs w:val="1"/>
          <w:color w:val="auto"/>
        </w:rPr>
        <w:t>Sublicensee</w:t>
      </w:r>
      <w:r>
        <w:rPr>
          <w:rFonts w:ascii="Arial" w:cs="Arial" w:eastAsia="Arial" w:hAnsi="Arial"/>
          <w:sz w:val="22"/>
          <w:szCs w:val="22"/>
          <w:color w:val="auto"/>
        </w:rPr>
        <w:t>” means a Third Party, other than a Distributor, that has been granted by AbbVie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right to sell, market, distribute and/or promote a Licensed Product under the grants in </w:t>
      </w:r>
      <w:r>
        <w:rPr>
          <w:rFonts w:ascii="Arial" w:cs="Arial" w:eastAsia="Arial" w:hAnsi="Arial"/>
          <w:sz w:val="22"/>
          <w:szCs w:val="22"/>
          <w:u w:val="single" w:color="auto"/>
          <w:color w:val="auto"/>
        </w:rPr>
        <w:t>Section 6.1</w:t>
      </w:r>
      <w:r>
        <w:rPr>
          <w:rFonts w:ascii="Arial" w:cs="Arial" w:eastAsia="Arial" w:hAnsi="Arial"/>
          <w:sz w:val="22"/>
          <w:szCs w:val="22"/>
          <w:color w:val="auto"/>
        </w:rPr>
        <w:t>; and “</w:t>
      </w:r>
      <w:r>
        <w:rPr>
          <w:rFonts w:ascii="Arial" w:cs="Arial" w:eastAsia="Arial" w:hAnsi="Arial"/>
          <w:sz w:val="22"/>
          <w:szCs w:val="22"/>
          <w:u w:val="single" w:color="auto"/>
          <w:color w:val="auto"/>
        </w:rPr>
        <w:t>Sublicense</w:t>
      </w:r>
      <w:r>
        <w:rPr>
          <w:rFonts w:ascii="Arial" w:cs="Arial" w:eastAsia="Arial" w:hAnsi="Arial"/>
          <w:sz w:val="22"/>
          <w:szCs w:val="22"/>
          <w:color w:val="auto"/>
        </w:rPr>
        <w:t>” shall mean an agreement or arrangement granting such rights. As used in this Agreement, “</w:t>
      </w:r>
      <w:r>
        <w:rPr>
          <w:rFonts w:ascii="Arial" w:cs="Arial" w:eastAsia="Arial" w:hAnsi="Arial"/>
          <w:sz w:val="22"/>
          <w:szCs w:val="22"/>
          <w:u w:val="single" w:color="auto"/>
          <w:color w:val="auto"/>
        </w:rPr>
        <w:t>Sublicensee</w:t>
      </w:r>
      <w:r>
        <w:rPr>
          <w:rFonts w:ascii="Arial" w:cs="Arial" w:eastAsia="Arial" w:hAnsi="Arial"/>
          <w:sz w:val="22"/>
          <w:szCs w:val="22"/>
          <w:color w:val="auto"/>
        </w:rPr>
        <w:t>” shall not include a wholesaler or reseller of the Product who does not market or promote the Product.</w:t>
      </w:r>
    </w:p>
    <w:p>
      <w:pPr>
        <w:spacing w:after="0" w:line="73"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1.164</w:t>
      </w:r>
      <w:r>
        <w:rPr>
          <w:sz w:val="20"/>
          <w:szCs w:val="20"/>
          <w:color w:val="auto"/>
        </w:rPr>
        <w:tab/>
      </w:r>
      <w:r>
        <w:rPr>
          <w:rFonts w:ascii="Arial" w:cs="Arial" w:eastAsia="Arial" w:hAnsi="Arial"/>
          <w:sz w:val="19"/>
          <w:szCs w:val="19"/>
          <w:b w:val="1"/>
          <w:bCs w:val="1"/>
          <w:color w:val="auto"/>
        </w:rPr>
        <w:t xml:space="preserve">“Substitute Target” </w:t>
      </w:r>
      <w:r>
        <w:rPr>
          <w:rFonts w:ascii="Arial" w:cs="Arial" w:eastAsia="Arial" w:hAnsi="Arial"/>
          <w:sz w:val="19"/>
          <w:szCs w:val="19"/>
          <w:color w:val="auto"/>
        </w:rPr>
        <w:t>has the meaning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7" w:name="page98"/>
    <w:bookmarkEnd w:id="97"/>
    <w:p>
      <w:pPr>
        <w:ind w:left="1760"/>
        <w:spacing w:after="0"/>
        <w:tabs>
          <w:tab w:leader="none" w:pos="2880" w:val="left"/>
        </w:tabs>
        <w:rPr>
          <w:sz w:val="20"/>
          <w:szCs w:val="20"/>
          <w:color w:val="auto"/>
        </w:rPr>
      </w:pPr>
      <w:r>
        <w:rPr>
          <w:rFonts w:ascii="Arial" w:cs="Arial" w:eastAsia="Arial" w:hAnsi="Arial"/>
          <w:sz w:val="22"/>
          <w:szCs w:val="22"/>
          <w:b w:val="1"/>
          <w:bCs w:val="1"/>
          <w:color w:val="auto"/>
        </w:rPr>
        <w:t>1.165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Substrate</w:t>
      </w:r>
      <w:r>
        <w:rPr>
          <w:rFonts w:ascii="Arial" w:cs="Arial" w:eastAsia="Arial" w:hAnsi="Arial"/>
          <w:sz w:val="19"/>
          <w:szCs w:val="19"/>
          <w:color w:val="auto"/>
        </w:rPr>
        <w:t>” means [***].</w:t>
      </w:r>
    </w:p>
    <w:p>
      <w:pPr>
        <w:spacing w:after="0" w:line="9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1.166 </w:t>
      </w:r>
      <w:r>
        <w:rPr>
          <w:rFonts w:ascii="Arial" w:cs="Arial" w:eastAsia="Arial" w:hAnsi="Arial"/>
          <w:sz w:val="22"/>
          <w:szCs w:val="22"/>
          <w:color w:val="auto"/>
        </w:rPr>
        <w:t>“</w:t>
      </w:r>
      <w:r>
        <w:rPr>
          <w:rFonts w:ascii="Arial" w:cs="Arial" w:eastAsia="Arial" w:hAnsi="Arial"/>
          <w:sz w:val="22"/>
          <w:szCs w:val="22"/>
          <w:b w:val="1"/>
          <w:bCs w:val="1"/>
          <w:color w:val="auto"/>
        </w:rPr>
        <w:t>Target</w:t>
      </w:r>
      <w:r>
        <w:rPr>
          <w:rFonts w:ascii="Arial" w:cs="Arial" w:eastAsia="Arial" w:hAnsi="Arial"/>
          <w:sz w:val="22"/>
          <w:szCs w:val="22"/>
          <w:color w:val="auto"/>
        </w:rPr>
        <w:t>” means (a) a specific biological molecule that is identified by a GenBank accession</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or similar information, or by its amino acid or nucleic acid sequence, (b) any naturally occurring mutant or allelic variant of a molecule disclosed in clause (a), including transcriptional and posttranscriptional isoforms (e.g., alternative splice variants), and post-translational modification variants (e.g., protein processing, maturation and glycosylation variants); and (c) truncated forms (including fragments thereof); in each case which have a biological function substantially identical to that of any biological molecules disclosed in clause (a).</w:t>
      </w:r>
    </w:p>
    <w:p>
      <w:pPr>
        <w:spacing w:after="0" w:line="74"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 Acceptance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 Exchange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Target Notice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1.170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13.1.1</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Terminated Target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13.8</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1.172 </w:t>
      </w:r>
      <w:r>
        <w:rPr>
          <w:rFonts w:ascii="Arial" w:cs="Arial" w:eastAsia="Arial" w:hAnsi="Arial"/>
          <w:sz w:val="22"/>
          <w:szCs w:val="22"/>
          <w:color w:val="auto"/>
        </w:rPr>
        <w:t>“</w:t>
      </w:r>
      <w:r>
        <w:rPr>
          <w:rFonts w:ascii="Arial" w:cs="Arial" w:eastAsia="Arial" w:hAnsi="Arial"/>
          <w:sz w:val="22"/>
          <w:szCs w:val="22"/>
          <w:b w:val="1"/>
          <w:bCs w:val="1"/>
          <w:color w:val="auto"/>
        </w:rPr>
        <w:t>Terminated Territory</w:t>
      </w:r>
      <w:r>
        <w:rPr>
          <w:rFonts w:ascii="Arial" w:cs="Arial" w:eastAsia="Arial" w:hAnsi="Arial"/>
          <w:sz w:val="22"/>
          <w:szCs w:val="22"/>
          <w:color w:val="auto"/>
        </w:rPr>
        <w:t>” means each Major Market with respect to which this Agreement 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terminated by Licensor pursuant to </w:t>
      </w:r>
      <w:r>
        <w:rPr>
          <w:rFonts w:ascii="Arial" w:cs="Arial" w:eastAsia="Arial" w:hAnsi="Arial"/>
          <w:sz w:val="22"/>
          <w:szCs w:val="22"/>
          <w:u w:val="single" w:color="auto"/>
          <w:color w:val="auto"/>
        </w:rPr>
        <w:t>Section 13.2.2</w:t>
      </w:r>
      <w:r>
        <w:rPr>
          <w:rFonts w:ascii="Arial" w:cs="Arial" w:eastAsia="Arial" w:hAnsi="Arial"/>
          <w:sz w:val="22"/>
          <w:szCs w:val="22"/>
          <w:color w:val="auto"/>
        </w:rPr>
        <w:t xml:space="preserve">, each country with respect to which this Agreement is terminated by AbbVie pursuant to </w:t>
      </w:r>
      <w:r>
        <w:rPr>
          <w:rFonts w:ascii="Arial" w:cs="Arial" w:eastAsia="Arial" w:hAnsi="Arial"/>
          <w:sz w:val="22"/>
          <w:szCs w:val="22"/>
          <w:u w:val="single" w:color="auto"/>
          <w:color w:val="auto"/>
        </w:rPr>
        <w:t>Section 13.3.2</w:t>
      </w:r>
      <w:r>
        <w:rPr>
          <w:rFonts w:ascii="Arial" w:cs="Arial" w:eastAsia="Arial" w:hAnsi="Arial"/>
          <w:sz w:val="22"/>
          <w:szCs w:val="22"/>
          <w:color w:val="auto"/>
        </w:rPr>
        <w:t>, or, if this Agreement is terminated in its entirety, the entire Territory.</w:t>
      </w:r>
    </w:p>
    <w:p>
      <w:pPr>
        <w:spacing w:after="0" w:line="69"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entire world.</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Licensor, AbbVie and their respective Affiliates.</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Claims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Manufacturers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5.7.2</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Provider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4.7</w:t>
      </w:r>
      <w:r>
        <w:rPr>
          <w:rFonts w:ascii="Arial" w:cs="Arial" w:eastAsia="Arial" w:hAnsi="Arial"/>
          <w:sz w:val="19"/>
          <w:szCs w:val="19"/>
          <w:color w:val="auto"/>
        </w:rPr>
        <w:t>.</w:t>
      </w:r>
    </w:p>
    <w:p>
      <w:pPr>
        <w:spacing w:after="0" w:line="98" w:lineRule="exact"/>
        <w:rPr>
          <w:sz w:val="20"/>
          <w:szCs w:val="20"/>
          <w:color w:val="auto"/>
        </w:rPr>
      </w:pPr>
    </w:p>
    <w:p>
      <w:pPr>
        <w:jc w:val="both"/>
        <w:ind w:firstLine="1755"/>
        <w:spacing w:after="0" w:line="254" w:lineRule="auto"/>
        <w:rPr>
          <w:sz w:val="20"/>
          <w:szCs w:val="20"/>
          <w:color w:val="auto"/>
        </w:rPr>
      </w:pPr>
      <w:r>
        <w:rPr>
          <w:rFonts w:ascii="Arial" w:cs="Arial" w:eastAsia="Arial" w:hAnsi="Arial"/>
          <w:sz w:val="21"/>
          <w:szCs w:val="21"/>
          <w:b w:val="1"/>
          <w:bCs w:val="1"/>
          <w:color w:val="auto"/>
        </w:rPr>
        <w:t xml:space="preserve">1.178 </w:t>
      </w:r>
      <w:r>
        <w:rPr>
          <w:rFonts w:ascii="Arial" w:cs="Arial" w:eastAsia="Arial" w:hAnsi="Arial"/>
          <w:sz w:val="21"/>
          <w:szCs w:val="21"/>
          <w:color w:val="auto"/>
        </w:rPr>
        <w:t>“</w:t>
      </w:r>
      <w:r>
        <w:rPr>
          <w:rFonts w:ascii="Arial" w:cs="Arial" w:eastAsia="Arial" w:hAnsi="Arial"/>
          <w:sz w:val="21"/>
          <w:szCs w:val="21"/>
          <w:b w:val="1"/>
          <w:bCs w:val="1"/>
          <w:color w:val="auto"/>
        </w:rPr>
        <w:t>Tools</w:t>
      </w:r>
      <w:r>
        <w:rPr>
          <w:rFonts w:ascii="Arial" w:cs="Arial" w:eastAsia="Arial" w:hAnsi="Arial"/>
          <w:sz w:val="21"/>
          <w:szCs w:val="21"/>
          <w:color w:val="auto"/>
        </w:rPr>
        <w:t>” means any Patents, Program Know-How, Program Patents, or Information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intellectual property right covering methods, processes, materials and tools to the extent generally applicable to the discovery of Masks or Substrates, or assays of the activity relating to such discovery, including the cleavage of Substrates, thereof. As of the Effective Date, the Patents among the Tools consist of the Patents listed in </w:t>
      </w:r>
      <w:r>
        <w:rPr>
          <w:rFonts w:ascii="Arial" w:cs="Arial" w:eastAsia="Arial" w:hAnsi="Arial"/>
          <w:sz w:val="21"/>
          <w:szCs w:val="21"/>
          <w:u w:val="single" w:color="auto"/>
          <w:color w:val="auto"/>
        </w:rPr>
        <w:t>Schedule 1.178</w:t>
      </w:r>
      <w:r>
        <w:rPr>
          <w:rFonts w:ascii="Arial" w:cs="Arial" w:eastAsia="Arial" w:hAnsi="Arial"/>
          <w:sz w:val="21"/>
          <w:szCs w:val="21"/>
          <w:color w:val="auto"/>
        </w:rPr>
        <w:t>.</w:t>
      </w:r>
    </w:p>
    <w:p>
      <w:pPr>
        <w:spacing w:after="0" w:line="58"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1.179 </w:t>
      </w: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word, name, symbol, color, designation or device or any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that functions as a source identifier, including any trademark, trade dress, brand mark, service mark, trade name, brand name, logo, business symbol or domain names, whether or not registered.</w:t>
      </w:r>
    </w:p>
    <w:p>
      <w:pPr>
        <w:spacing w:after="0" w:line="69"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Unavailable Target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2.1.2</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1.181</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 xml:space="preserve">1.182 </w:t>
      </w:r>
      <w:r>
        <w:rPr>
          <w:rFonts w:ascii="Arial" w:cs="Arial" w:eastAsia="Arial" w:hAnsi="Arial"/>
          <w:sz w:val="22"/>
          <w:szCs w:val="22"/>
          <w:color w:val="auto"/>
        </w:rPr>
        <w:t>“</w:t>
      </w:r>
      <w:r>
        <w:rPr>
          <w:rFonts w:ascii="Arial" w:cs="Arial" w:eastAsia="Arial" w:hAnsi="Arial"/>
          <w:sz w:val="22"/>
          <w:szCs w:val="22"/>
          <w:b w:val="1"/>
          <w:bCs w:val="1"/>
          <w:color w:val="auto"/>
        </w:rPr>
        <w:t>United States</w:t>
      </w:r>
      <w:r>
        <w:rPr>
          <w:rFonts w:ascii="Arial" w:cs="Arial" w:eastAsia="Arial" w:hAnsi="Arial"/>
          <w:sz w:val="22"/>
          <w:szCs w:val="22"/>
          <w:color w:val="auto"/>
        </w:rPr>
        <w:t>” or “</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 and its territories and possessions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District of Columbia and Puerto Rico).</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8" w:name="page99"/>
    <w:bookmarkEnd w:id="98"/>
    <w:p>
      <w:pPr>
        <w:jc w:val="both"/>
        <w:ind w:firstLine="1755"/>
        <w:spacing w:after="0" w:line="251" w:lineRule="auto"/>
        <w:rPr>
          <w:sz w:val="20"/>
          <w:szCs w:val="20"/>
          <w:color w:val="auto"/>
        </w:rPr>
      </w:pPr>
      <w:r>
        <w:rPr>
          <w:rFonts w:ascii="Arial" w:cs="Arial" w:eastAsia="Arial" w:hAnsi="Arial"/>
          <w:sz w:val="21"/>
          <w:szCs w:val="21"/>
          <w:b w:val="1"/>
          <w:bCs w:val="1"/>
          <w:color w:val="auto"/>
        </w:rPr>
        <w:t xml:space="preserve">1.183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claim of any issued and unexpired Patent whose validity, enforceability,</w:t>
      </w:r>
      <w:r>
        <w:rPr>
          <w:rFonts w:ascii="Arial" w:cs="Arial" w:eastAsia="Arial" w:hAnsi="Arial"/>
          <w:sz w:val="21"/>
          <w:szCs w:val="21"/>
          <w:b w:val="1"/>
          <w:bCs w:val="1"/>
          <w:color w:val="auto"/>
        </w:rPr>
        <w:t xml:space="preserve"> </w:t>
      </w:r>
      <w:r>
        <w:rPr>
          <w:rFonts w:ascii="Arial" w:cs="Arial" w:eastAsia="Arial" w:hAnsi="Arial"/>
          <w:sz w:val="21"/>
          <w:szCs w:val="21"/>
          <w:color w:val="auto"/>
        </w:rPr>
        <w:t>or patentability has not been affected by any of the following: (a) irretrievable lapse, abandonment, revocation, dedication to the public, or disclaimer; or (b)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w:t>
      </w:r>
    </w:p>
    <w:p>
      <w:pPr>
        <w:spacing w:after="0" w:line="61"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Voting Stock</w:t>
      </w:r>
      <w:r>
        <w:rPr>
          <w:rFonts w:ascii="Arial" w:cs="Arial" w:eastAsia="Arial" w:hAnsi="Arial"/>
          <w:sz w:val="19"/>
          <w:szCs w:val="19"/>
          <w:color w:val="auto"/>
        </w:rPr>
        <w:t>” has the meaning set forth in the definition of “Change in Control.”</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Withholding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7.9</w:t>
      </w:r>
      <w:r>
        <w:rPr>
          <w:rFonts w:ascii="Arial" w:cs="Arial" w:eastAsia="Arial" w:hAnsi="Arial"/>
          <w:sz w:val="19"/>
          <w:szCs w:val="19"/>
          <w:color w:val="auto"/>
        </w:rPr>
        <w:t>.</w:t>
      </w:r>
    </w:p>
    <w:p>
      <w:pPr>
        <w:spacing w:after="0" w:line="9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Working Group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3.5</w:t>
      </w:r>
      <w:r>
        <w:rPr>
          <w:rFonts w:ascii="Arial" w:cs="Arial" w:eastAsia="Arial" w:hAnsi="Arial"/>
          <w:sz w:val="19"/>
          <w:szCs w:val="19"/>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TARGET NOMINATION AND EXCHANGE</w:t>
      </w:r>
    </w:p>
    <w:p>
      <w:pPr>
        <w:spacing w:after="0" w:line="182"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Target Nomination.</w:t>
      </w:r>
    </w:p>
    <w:p>
      <w:pPr>
        <w:spacing w:after="0" w:line="98"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color w:val="auto"/>
        </w:rPr>
        <w:t>Subject to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2</w:t>
      </w:r>
      <w:r>
        <w:rPr>
          <w:rFonts w:ascii="Arial" w:cs="Arial" w:eastAsia="Arial" w:hAnsi="Arial"/>
          <w:sz w:val="22"/>
          <w:szCs w:val="22"/>
          <w:color w:val="auto"/>
        </w:rPr>
        <w:t>, AbbVie has the right to select a total of up to two (2)</w:t>
      </w:r>
      <w:r>
        <w:rPr>
          <w:rFonts w:ascii="Arial" w:cs="Arial" w:eastAsia="Arial" w:hAnsi="Arial"/>
          <w:sz w:val="22"/>
          <w:szCs w:val="22"/>
          <w:b w:val="1"/>
          <w:bCs w:val="1"/>
          <w:color w:val="auto"/>
        </w:rPr>
        <w:t xml:space="preserve"> </w:t>
      </w:r>
      <w:r>
        <w:rPr>
          <w:rFonts w:ascii="Arial" w:cs="Arial" w:eastAsia="Arial" w:hAnsi="Arial"/>
          <w:sz w:val="22"/>
          <w:szCs w:val="22"/>
          <w:color w:val="auto"/>
        </w:rPr>
        <w:t>Targets as Accepted Targets under this Agreement for purposes of Development and Commercialization of AbbVie Probodies, Discovery PDCs and Licensed Products. The first such Target must be initially nominated by AbbVie no later than the [***] anniversary of the Effective Date and the second such Target must initially be nominated by AbbVie no later than [***] following the Effective Date.</w:t>
      </w:r>
    </w:p>
    <w:p>
      <w:pPr>
        <w:spacing w:after="0" w:line="74" w:lineRule="exact"/>
        <w:rPr>
          <w:sz w:val="20"/>
          <w:szCs w:val="20"/>
          <w:color w:val="auto"/>
        </w:rPr>
      </w:pPr>
    </w:p>
    <w:p>
      <w:pPr>
        <w:jc w:val="both"/>
        <w:ind w:firstLine="2634"/>
        <w:spacing w:after="0" w:line="236" w:lineRule="auto"/>
        <w:rPr>
          <w:sz w:val="20"/>
          <w:szCs w:val="20"/>
          <w:color w:val="auto"/>
        </w:rPr>
      </w:pPr>
      <w:r>
        <w:rPr>
          <w:rFonts w:ascii="Arial" w:cs="Arial" w:eastAsia="Arial" w:hAnsi="Arial"/>
          <w:sz w:val="22"/>
          <w:szCs w:val="22"/>
          <w:b w:val="1"/>
          <w:bCs w:val="1"/>
          <w:color w:val="auto"/>
        </w:rPr>
        <w:t xml:space="preserve">2.1.2 </w:t>
      </w:r>
      <w:r>
        <w:rPr>
          <w:rFonts w:ascii="Arial" w:cs="Arial" w:eastAsia="Arial" w:hAnsi="Arial"/>
          <w:sz w:val="22"/>
          <w:szCs w:val="22"/>
          <w:color w:val="auto"/>
        </w:rPr>
        <w:t>Licensor and the Gatekeeper shall maintain an up-to-date list of unavailable Targets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Unavailable Targets</w:t>
      </w:r>
      <w:r>
        <w:rPr>
          <w:rFonts w:ascii="Arial" w:cs="Arial" w:eastAsia="Arial" w:hAnsi="Arial"/>
          <w:sz w:val="22"/>
          <w:szCs w:val="22"/>
          <w:color w:val="auto"/>
        </w:rPr>
        <w:t xml:space="preserve">”) until the commencement of a GLP Tox Study of an AbbVie Probody or Discovery PDC for the last existing Accepted Target. The list of Unavailable Targets shall be limited to [***]. Licensor shall notify the Gatekeeper promptly, but in no event later than [***], if any Targets that were unavailable pursuant to </w:t>
      </w:r>
      <w:r>
        <w:rPr>
          <w:rFonts w:ascii="Arial" w:cs="Arial" w:eastAsia="Arial" w:hAnsi="Arial"/>
          <w:sz w:val="22"/>
          <w:szCs w:val="22"/>
          <w:u w:val="single" w:color="auto"/>
          <w:color w:val="auto"/>
        </w:rPr>
        <w:t>subclauses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become available for any reason, including [***]. Upon receipt of such notification, the Gatekeeper shall remove such Targets from the Unavailable Targets list.</w:t>
      </w:r>
    </w:p>
    <w:p>
      <w:pPr>
        <w:spacing w:after="0" w:line="74" w:lineRule="exact"/>
        <w:rPr>
          <w:sz w:val="20"/>
          <w:szCs w:val="20"/>
          <w:color w:val="auto"/>
        </w:rPr>
      </w:pPr>
    </w:p>
    <w:p>
      <w:pPr>
        <w:jc w:val="both"/>
        <w:ind w:firstLine="2634"/>
        <w:spacing w:after="0" w:line="273" w:lineRule="auto"/>
        <w:rPr>
          <w:sz w:val="20"/>
          <w:szCs w:val="20"/>
          <w:color w:val="auto"/>
        </w:rPr>
      </w:pPr>
      <w:r>
        <w:rPr>
          <w:rFonts w:ascii="Arial" w:cs="Arial" w:eastAsia="Arial" w:hAnsi="Arial"/>
          <w:sz w:val="19"/>
          <w:szCs w:val="19"/>
          <w:b w:val="1"/>
          <w:bCs w:val="1"/>
          <w:color w:val="auto"/>
        </w:rPr>
        <w:t xml:space="preserve">2.1.3 </w:t>
      </w:r>
      <w:r>
        <w:rPr>
          <w:rFonts w:ascii="Arial" w:cs="Arial" w:eastAsia="Arial" w:hAnsi="Arial"/>
          <w:sz w:val="19"/>
          <w:szCs w:val="19"/>
          <w:color w:val="auto"/>
        </w:rPr>
        <w:t>At AbbVie’s discretion, for no more than [***] Targets per Calendar Year,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nomination of a Target (whether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2.3</w:t>
      </w:r>
      <w:r>
        <w:rPr>
          <w:rFonts w:ascii="Arial" w:cs="Arial" w:eastAsia="Arial" w:hAnsi="Arial"/>
          <w:sz w:val="19"/>
          <w:szCs w:val="19"/>
          <w:color w:val="auto"/>
        </w:rPr>
        <w:t>), AbbVie may disclose such Target to Licensor’s Alliance Manager and request in writing that Licensor’s Alliance Manager provide in writing existing Information that is Controlled by Licensor or its Affiliates, and not subject to any obligations of confidentiality to any Third Party to the extent such Information relates to the expression of the Target on tumor compared to normal cells, expression of the Target on various tumors, and internalization propensity of Target (the “</w:t>
      </w:r>
      <w:r>
        <w:rPr>
          <w:rFonts w:ascii="Arial" w:cs="Arial" w:eastAsia="Arial" w:hAnsi="Arial"/>
          <w:sz w:val="19"/>
          <w:szCs w:val="19"/>
          <w:b w:val="1"/>
          <w:bCs w:val="1"/>
          <w:color w:val="auto"/>
        </w:rPr>
        <w:t>Proposed Target Information</w:t>
      </w:r>
      <w:r>
        <w:rPr>
          <w:rFonts w:ascii="Arial" w:cs="Arial" w:eastAsia="Arial" w:hAnsi="Arial"/>
          <w:sz w:val="19"/>
          <w:szCs w:val="19"/>
          <w:color w:val="auto"/>
        </w:rPr>
        <w:t>”). If AbbVie makes such a request, and provided that such Target is not on the list of Unavailable Targets, Licensor shall promptly make such Proposed Target Information available to AbbVie’s Alliance Manager. Upon AbbVie’s request, Licensor shall also consider in good faith providing additional existing Information that is Controlled by Licensor or its Affiliates to the extent such Information is related to the proposed Target and would be useful to AbbVie in its evaluation of whether to nominate such Target. Upon written request from AbbVie, Licensor shall make Licensor’s Alliance Manager (or his/her designee) available to discuss such Proposed Target</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99" w:name="page100"/>
    <w:bookmarkEnd w:id="99"/>
    <w:p>
      <w:pPr>
        <w:jc w:val="both"/>
        <w:spacing w:after="0" w:line="275" w:lineRule="auto"/>
        <w:rPr>
          <w:sz w:val="20"/>
          <w:szCs w:val="20"/>
          <w:color w:val="auto"/>
        </w:rPr>
      </w:pPr>
      <w:r>
        <w:rPr>
          <w:rFonts w:ascii="Arial" w:cs="Arial" w:eastAsia="Arial" w:hAnsi="Arial"/>
          <w:sz w:val="19"/>
          <w:szCs w:val="19"/>
          <w:color w:val="auto"/>
        </w:rPr>
        <w:t xml:space="preserve">Information. Unless and until such Target becomes an Accepted Target pursuant to this Agreement, any Proposed Target Information will be Confidential Information of Licensor; provided that in the event such Target becomes an Accepted Target pursuant to this Agreement, then such Proposed Target Information for such Accepted Target shall be used in accordance with the terms and conditions of this Agreement, including the confidentiality obligations set forth in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In the event that AbbVie requests such Proposed Target Information pursuant to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AbbVie shall have no obligation to nominate the Target as an Accepted Target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Notwithstanding anything herein to the contrary, in no way shall AbbVie’s request for Proposed Target Information be deemed to be a nomination or reservation of the Target as an Accepted Target until such Target is formally nominated in accordance with the terms and conditions set forth in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44" w:lineRule="exact"/>
        <w:rPr>
          <w:sz w:val="20"/>
          <w:szCs w:val="20"/>
          <w:color w:val="auto"/>
        </w:rPr>
      </w:pPr>
    </w:p>
    <w:p>
      <w:pPr>
        <w:jc w:val="both"/>
        <w:ind w:firstLine="2634"/>
        <w:spacing w:after="0" w:line="269" w:lineRule="auto"/>
        <w:rPr>
          <w:sz w:val="20"/>
          <w:szCs w:val="20"/>
          <w:color w:val="auto"/>
        </w:rPr>
      </w:pPr>
      <w:r>
        <w:rPr>
          <w:rFonts w:ascii="Arial" w:cs="Arial" w:eastAsia="Arial" w:hAnsi="Arial"/>
          <w:sz w:val="19"/>
          <w:szCs w:val="19"/>
          <w:b w:val="1"/>
          <w:bCs w:val="1"/>
          <w:color w:val="auto"/>
        </w:rPr>
        <w:t xml:space="preserve">2.1.4 </w:t>
      </w:r>
      <w:r>
        <w:rPr>
          <w:rFonts w:ascii="Arial" w:cs="Arial" w:eastAsia="Arial" w:hAnsi="Arial"/>
          <w:sz w:val="19"/>
          <w:szCs w:val="19"/>
          <w:color w:val="auto"/>
        </w:rPr>
        <w:t>To nominate a Target, AbbVie shall provide the Gatekeeper with a confidential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description of each Target (the “</w:t>
      </w:r>
      <w:r>
        <w:rPr>
          <w:rFonts w:ascii="Arial" w:cs="Arial" w:eastAsia="Arial" w:hAnsi="Arial"/>
          <w:sz w:val="19"/>
          <w:szCs w:val="19"/>
          <w:b w:val="1"/>
          <w:bCs w:val="1"/>
          <w:color w:val="auto"/>
        </w:rPr>
        <w:t>Nominated Target</w:t>
      </w:r>
      <w:r>
        <w:rPr>
          <w:rFonts w:ascii="Arial" w:cs="Arial" w:eastAsia="Arial" w:hAnsi="Arial"/>
          <w:sz w:val="19"/>
          <w:szCs w:val="19"/>
          <w:color w:val="auto"/>
        </w:rPr>
        <w:t>”) proposed for selection as an Accepted Target, including, to the extent available, the NCBI Entrez Gene Symbol and NCBI RefSeq accession number (Gene ID) for such Target (the “</w:t>
      </w:r>
      <w:r>
        <w:rPr>
          <w:rFonts w:ascii="Arial" w:cs="Arial" w:eastAsia="Arial" w:hAnsi="Arial"/>
          <w:sz w:val="19"/>
          <w:szCs w:val="19"/>
          <w:b w:val="1"/>
          <w:bCs w:val="1"/>
          <w:color w:val="auto"/>
        </w:rPr>
        <w:t>Target</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Within [***] following the Gatekeeper’s receipt of the Target Notice with respect to a Nominated Target, the Gatekeeper</w:t>
      </w:r>
      <w:r>
        <w:rPr>
          <w:rFonts w:ascii="Arial" w:cs="Arial" w:eastAsia="Arial" w:hAnsi="Arial"/>
          <w:sz w:val="19"/>
          <w:szCs w:val="19"/>
          <w:b w:val="1"/>
          <w:bCs w:val="1"/>
          <w:color w:val="auto"/>
        </w:rPr>
        <w:t xml:space="preserve"> </w:t>
      </w:r>
      <w:r>
        <w:rPr>
          <w:rFonts w:ascii="Arial" w:cs="Arial" w:eastAsia="Arial" w:hAnsi="Arial"/>
          <w:sz w:val="19"/>
          <w:szCs w:val="19"/>
          <w:color w:val="auto"/>
        </w:rPr>
        <w:t>shall verify whether such Nominated Target is on the list of Unavailable Targets and notify AbbVie in writing (“</w:t>
      </w:r>
      <w:r>
        <w:rPr>
          <w:rFonts w:ascii="Arial" w:cs="Arial" w:eastAsia="Arial" w:hAnsi="Arial"/>
          <w:sz w:val="19"/>
          <w:szCs w:val="19"/>
          <w:b w:val="1"/>
          <w:bCs w:val="1"/>
          <w:color w:val="auto"/>
        </w:rPr>
        <w:t>Gatekeeper</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whether such proposed Target is or is not on the Unavailable Target list. If the Gatekeeper Notice indicates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Nominated Target is not on the Unavailable Target list, the Nominated Target shall automatically be accepted as a Target (“</w:t>
      </w:r>
      <w:r>
        <w:rPr>
          <w:rFonts w:ascii="Arial" w:cs="Arial" w:eastAsia="Arial" w:hAnsi="Arial"/>
          <w:sz w:val="19"/>
          <w:szCs w:val="19"/>
          <w:b w:val="1"/>
          <w:bCs w:val="1"/>
          <w:color w:val="auto"/>
        </w:rPr>
        <w:t>Accepted Target</w:t>
      </w:r>
      <w:r>
        <w:rPr>
          <w:rFonts w:ascii="Arial" w:cs="Arial" w:eastAsia="Arial" w:hAnsi="Arial"/>
          <w:sz w:val="19"/>
          <w:szCs w:val="19"/>
          <w:color w:val="auto"/>
        </w:rPr>
        <w:t>”) on the date of AbbVie’s receipt of such notice (the “</w:t>
      </w:r>
      <w:r>
        <w:rPr>
          <w:rFonts w:ascii="Arial" w:cs="Arial" w:eastAsia="Arial" w:hAnsi="Arial"/>
          <w:sz w:val="19"/>
          <w:szCs w:val="19"/>
          <w:b w:val="1"/>
          <w:bCs w:val="1"/>
          <w:color w:val="auto"/>
        </w:rPr>
        <w:t>Target Acceptance Date</w:t>
      </w:r>
      <w:r>
        <w:rPr>
          <w:rFonts w:ascii="Arial" w:cs="Arial" w:eastAsia="Arial" w:hAnsi="Arial"/>
          <w:sz w:val="19"/>
          <w:szCs w:val="19"/>
          <w:color w:val="auto"/>
        </w:rPr>
        <w:t xml:space="preserve">”), and the Parties will have all rights and obligations hereunder in connection with such Accepted Target (including exclusivity in accordance with </w:t>
      </w:r>
      <w:r>
        <w:rPr>
          <w:rFonts w:ascii="Arial" w:cs="Arial" w:eastAsia="Arial" w:hAnsi="Arial"/>
          <w:sz w:val="19"/>
          <w:szCs w:val="19"/>
          <w:u w:val="single" w:color="auto"/>
          <w:color w:val="auto"/>
        </w:rPr>
        <w:t>Section 6.8</w:t>
      </w:r>
      <w:r>
        <w:rPr>
          <w:rFonts w:ascii="Arial" w:cs="Arial" w:eastAsia="Arial" w:hAnsi="Arial"/>
          <w:sz w:val="19"/>
          <w:szCs w:val="19"/>
          <w:color w:val="auto"/>
        </w:rPr>
        <w:t>) as of the Target Acceptance Date. If the Gatekeeper Notice indicates that the Nominated Target is on the Unavailable Target list, then</w:t>
      </w:r>
    </w:p>
    <w:p>
      <w:pPr>
        <w:spacing w:after="0" w:line="6" w:lineRule="exact"/>
        <w:rPr>
          <w:sz w:val="20"/>
          <w:szCs w:val="20"/>
          <w:color w:val="auto"/>
        </w:rPr>
      </w:pPr>
    </w:p>
    <w:p>
      <w:pPr>
        <w:jc w:val="both"/>
        <w:ind w:firstLine="8"/>
        <w:spacing w:after="0" w:line="243" w:lineRule="auto"/>
        <w:tabs>
          <w:tab w:leader="none" w:pos="318"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if such Nominated Target is subsequently removed from the list of Unavailable Targets and at that time two Targets are not Accepted Targets, the Gatekeeper shall provide written notice to AbbVie within [***] of such Nominated Target’s removal therefrom and (b) AbbVie shall have the right to nominate an alternative Nominated Target (or the same Nominated Target, if it becomes available) in accordance with this </w:t>
      </w:r>
      <w:r>
        <w:rPr>
          <w:rFonts w:ascii="Arial" w:cs="Arial" w:eastAsia="Arial" w:hAnsi="Arial"/>
          <w:sz w:val="21"/>
          <w:szCs w:val="21"/>
          <w:u w:val="single" w:color="auto"/>
          <w:color w:val="auto"/>
        </w:rPr>
        <w:t>Section 2.1.4</w:t>
      </w:r>
      <w:r>
        <w:rPr>
          <w:rFonts w:ascii="Arial" w:cs="Arial" w:eastAsia="Arial" w:hAnsi="Arial"/>
          <w:sz w:val="21"/>
          <w:szCs w:val="21"/>
          <w:color w:val="auto"/>
        </w:rPr>
        <w:t xml:space="preserve"> on or prior to the later of (i) the deadline set forth in </w:t>
      </w:r>
      <w:r>
        <w:rPr>
          <w:rFonts w:ascii="Arial" w:cs="Arial" w:eastAsia="Arial" w:hAnsi="Arial"/>
          <w:sz w:val="21"/>
          <w:szCs w:val="21"/>
          <w:u w:val="single" w:color="auto"/>
          <w:color w:val="auto"/>
        </w:rPr>
        <w:t>Section 2.1.1</w:t>
      </w:r>
      <w:r>
        <w:rPr>
          <w:rFonts w:ascii="Arial" w:cs="Arial" w:eastAsia="Arial" w:hAnsi="Arial"/>
          <w:sz w:val="21"/>
          <w:szCs w:val="21"/>
          <w:color w:val="auto"/>
        </w:rPr>
        <w:t xml:space="preserve"> or (ii) the date that is [***] after AbbVie’s receipt of such Gatekeeper Notice notwithstanding the deadline set forth in </w:t>
      </w:r>
      <w:r>
        <w:rPr>
          <w:rFonts w:ascii="Arial" w:cs="Arial" w:eastAsia="Arial" w:hAnsi="Arial"/>
          <w:sz w:val="21"/>
          <w:szCs w:val="21"/>
          <w:u w:val="single" w:color="auto"/>
          <w:color w:val="auto"/>
        </w:rPr>
        <w:t>Section 2.1.1</w:t>
      </w:r>
      <w:r>
        <w:rPr>
          <w:rFonts w:ascii="Arial" w:cs="Arial" w:eastAsia="Arial" w:hAnsi="Arial"/>
          <w:sz w:val="21"/>
          <w:szCs w:val="21"/>
          <w:color w:val="auto"/>
        </w:rPr>
        <w:t>. In the event that one or more Third Parties has requested the same Unavailable Target and such Target is subsequently removed from the list of Unavailable Targets, the Gatekeeper will use reasonable best efforts to send notice to AbbVie and any such Third Party(ies) at the same time. In all cases, Licensor acknowledges and agrees that if AbbVie is the first Person to submit a Target Notice for a Target, AbbVie will be granted rights to such Target.</w:t>
      </w:r>
    </w:p>
    <w:p>
      <w:pPr>
        <w:spacing w:after="0" w:line="71"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Sections 2.1.3 and 2.1.4</w:t>
      </w:r>
      <w:r>
        <w:rPr>
          <w:rFonts w:ascii="Arial" w:cs="Arial" w:eastAsia="Arial" w:hAnsi="Arial"/>
          <w:sz w:val="19"/>
          <w:szCs w:val="19"/>
          <w:color w:val="auto"/>
        </w:rPr>
        <w:t xml:space="preserve"> to the contrary, AbbVie hereby nominates</w:t>
      </w:r>
    </w:p>
    <w:p>
      <w:pPr>
        <w:spacing w:after="0" w:line="14"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as the second Target, [***]. The Target Acceptance Date for [***] shall be deemed to be June 28, 2019, upon which date</w:t>
      </w:r>
    </w:p>
    <w:p>
      <w:pPr>
        <w:spacing w:after="0" w:line="24" w:lineRule="exact"/>
        <w:rPr>
          <w:rFonts w:ascii="Arial" w:cs="Arial" w:eastAsia="Arial" w:hAnsi="Arial"/>
          <w:sz w:val="19"/>
          <w:szCs w:val="19"/>
          <w:color w:val="auto"/>
        </w:rPr>
      </w:pPr>
    </w:p>
    <w:p>
      <w:pPr>
        <w:jc w:val="both"/>
        <w:ind w:firstLine="8"/>
        <w:spacing w:after="0" w:line="234" w:lineRule="auto"/>
        <w:tabs>
          <w:tab w:leader="none" w:pos="548"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shall automatically be accepted as an Accepted Target. For the purpose of clarity, the Target nomination and acceptance exception hereunder is only applicable to [***] and, for all other Targets, [***], the requirements of </w:t>
      </w:r>
      <w:r>
        <w:rPr>
          <w:rFonts w:ascii="Arial" w:cs="Arial" w:eastAsia="Arial" w:hAnsi="Arial"/>
          <w:sz w:val="22"/>
          <w:szCs w:val="22"/>
          <w:u w:val="single" w:color="auto"/>
          <w:color w:val="auto"/>
        </w:rPr>
        <w:t>Sections 2.1.3 or 2.1.4</w:t>
      </w:r>
      <w:r>
        <w:rPr>
          <w:rFonts w:ascii="Arial" w:cs="Arial" w:eastAsia="Arial" w:hAnsi="Arial"/>
          <w:sz w:val="22"/>
          <w:szCs w:val="22"/>
          <w:color w:val="auto"/>
        </w:rPr>
        <w:t xml:space="preserve"> shall apply as applicable.</w:t>
      </w:r>
    </w:p>
    <w:p>
      <w:pPr>
        <w:spacing w:after="0" w:line="73"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22"/>
          <w:szCs w:val="22"/>
          <w:b w:val="1"/>
          <w:bCs w:val="1"/>
          <w:color w:val="auto"/>
        </w:rPr>
        <w: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0" w:name="page101"/>
    <w:bookmarkEnd w:id="100"/>
    <w:p>
      <w:pPr>
        <w:ind w:left="1760"/>
        <w:spacing w:after="0"/>
        <w:tabs>
          <w:tab w:leader="none" w:pos="266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2"/>
          <w:szCs w:val="22"/>
          <w:b w:val="1"/>
          <w:bCs w:val="1"/>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2.3.1</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2.3.2</w:t>
      </w:r>
      <w:r>
        <w:rPr>
          <w:sz w:val="20"/>
          <w:szCs w:val="20"/>
          <w:color w:val="auto"/>
        </w:rPr>
        <w:tab/>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MANAGEMENT</w:t>
      </w:r>
    </w:p>
    <w:p>
      <w:pPr>
        <w:spacing w:after="0" w:line="74"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9"/>
          <w:szCs w:val="19"/>
          <w:b w:val="1"/>
          <w:bCs w:val="1"/>
          <w:color w:val="auto"/>
        </w:rPr>
        <w:t>Joint Research Committee.</w:t>
      </w:r>
    </w:p>
    <w:p>
      <w:pPr>
        <w:spacing w:after="0" w:line="98"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3.1.1 Formation. </w:t>
      </w:r>
      <w:r>
        <w:rPr>
          <w:rFonts w:ascii="Arial" w:cs="Arial" w:eastAsia="Arial" w:hAnsi="Arial"/>
          <w:sz w:val="22"/>
          <w:szCs w:val="22"/>
          <w:color w:val="auto"/>
        </w:rPr>
        <w:t>As soon as practical, but no later than [***], after the first Target</w:t>
      </w:r>
      <w:r>
        <w:rPr>
          <w:rFonts w:ascii="Arial" w:cs="Arial" w:eastAsia="Arial" w:hAnsi="Arial"/>
          <w:sz w:val="22"/>
          <w:szCs w:val="22"/>
          <w:b w:val="1"/>
          <w:bCs w:val="1"/>
          <w:color w:val="auto"/>
        </w:rPr>
        <w:t xml:space="preserve"> </w:t>
      </w:r>
      <w:r>
        <w:rPr>
          <w:rFonts w:ascii="Arial" w:cs="Arial" w:eastAsia="Arial" w:hAnsi="Arial"/>
          <w:sz w:val="22"/>
          <w:szCs w:val="22"/>
          <w:color w:val="auto"/>
        </w:rPr>
        <w:t>Acceptance Date, the Parties shall establish a joint research committee (the “</w:t>
      </w:r>
      <w:r>
        <w:rPr>
          <w:rFonts w:ascii="Arial" w:cs="Arial" w:eastAsia="Arial" w:hAnsi="Arial"/>
          <w:sz w:val="22"/>
          <w:szCs w:val="22"/>
          <w:b w:val="1"/>
          <w:bCs w:val="1"/>
          <w:color w:val="auto"/>
        </w:rPr>
        <w:t>Joint Research Committee</w:t>
      </w:r>
      <w:r>
        <w:rPr>
          <w:rFonts w:ascii="Arial" w:cs="Arial" w:eastAsia="Arial" w:hAnsi="Arial"/>
          <w:sz w:val="22"/>
          <w:szCs w:val="22"/>
          <w:color w:val="auto"/>
        </w:rPr>
        <w:t>” or “</w:t>
      </w:r>
      <w:r>
        <w:rPr>
          <w:rFonts w:ascii="Arial" w:cs="Arial" w:eastAsia="Arial" w:hAnsi="Arial"/>
          <w:sz w:val="22"/>
          <w:szCs w:val="22"/>
          <w:b w:val="1"/>
          <w:bCs w:val="1"/>
          <w:color w:val="auto"/>
        </w:rPr>
        <w:t>JRC</w:t>
      </w:r>
      <w:r>
        <w:rPr>
          <w:rFonts w:ascii="Arial" w:cs="Arial" w:eastAsia="Arial" w:hAnsi="Arial"/>
          <w:sz w:val="22"/>
          <w:szCs w:val="22"/>
          <w:color w:val="auto"/>
        </w:rPr>
        <w:t>”). The JRC shall consist of [***] representatives from [***], each with the requisite experience and seniority to enable such person to make decisions on behalf of the Parties with respect to the issues falling within the jurisdiction of the JRC. From time to time, each Party may substitute one (1) or more of its representatives to the JRC on written notice to the other Party. The JRC shall be chaired on an annual rotating basis by a JRC representative of either AbbVie or Licensor, as applicable, with [***] providing the first such chairperson.</w:t>
      </w:r>
    </w:p>
    <w:p>
      <w:pPr>
        <w:spacing w:after="0" w:line="76"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3.1.2 Specific Responsibilities. </w:t>
      </w:r>
      <w:r>
        <w:rPr>
          <w:rFonts w:ascii="Arial" w:cs="Arial" w:eastAsia="Arial" w:hAnsi="Arial"/>
          <w:sz w:val="22"/>
          <w:szCs w:val="22"/>
          <w:color w:val="auto"/>
        </w:rPr>
        <w:t>The JRC shall develop the strategies for and oversee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research and discovery related activities relating to the conversion of Discovery Antibodies into Discovery Probodies and the conjugation of Discovery Probodies into Discovery PDCs in accordance with the Discovery Research Plan, and shall serve as a forum for the coordination of such activities. In particular, the JRC shall:</w:t>
      </w:r>
    </w:p>
    <w:p>
      <w:pPr>
        <w:spacing w:after="0" w:line="79" w:lineRule="exact"/>
        <w:rPr>
          <w:sz w:val="20"/>
          <w:szCs w:val="20"/>
          <w:color w:val="auto"/>
        </w:rPr>
      </w:pPr>
    </w:p>
    <w:p>
      <w:pPr>
        <w:ind w:left="4400" w:hanging="881"/>
        <w:spacing w:after="0"/>
        <w:tabs>
          <w:tab w:leader="none" w:pos="44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periodically (no less often than quarterly) review and serve as a forum for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discussing the Discovery Research Plan, and review and approve amendments thereto;</w:t>
      </w:r>
    </w:p>
    <w:p>
      <w:pPr>
        <w:spacing w:after="0" w:line="80" w:lineRule="exact"/>
        <w:rPr>
          <w:rFonts w:ascii="Arial" w:cs="Arial" w:eastAsia="Arial" w:hAnsi="Arial"/>
          <w:sz w:val="21"/>
          <w:szCs w:val="21"/>
          <w:color w:val="auto"/>
        </w:rPr>
      </w:pPr>
    </w:p>
    <w:p>
      <w:pPr>
        <w:ind w:left="4420" w:hanging="901"/>
        <w:spacing w:after="0"/>
        <w:tabs>
          <w:tab w:leader="none" w:pos="44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serve as a forum for discussion of results from the conduct of activities under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Discovery Research Plan;</w:t>
      </w:r>
    </w:p>
    <w:p>
      <w:pPr>
        <w:spacing w:after="0" w:line="80" w:lineRule="exact"/>
        <w:rPr>
          <w:rFonts w:ascii="Arial" w:cs="Arial" w:eastAsia="Arial" w:hAnsi="Arial"/>
          <w:sz w:val="19"/>
          <w:szCs w:val="19"/>
          <w:color w:val="auto"/>
        </w:rPr>
      </w:pPr>
    </w:p>
    <w:p>
      <w:pPr>
        <w:ind w:left="4400" w:hanging="881"/>
        <w:spacing w:after="0"/>
        <w:tabs>
          <w:tab w:leader="none" w:pos="44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for each Accepted Target, serve as a forum for determining if a Discovery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Antibody has met the Antibody Criteria;</w:t>
      </w:r>
    </w:p>
    <w:p>
      <w:pPr>
        <w:spacing w:after="0" w:line="80" w:lineRule="exact"/>
        <w:rPr>
          <w:rFonts w:ascii="Arial" w:cs="Arial" w:eastAsia="Arial" w:hAnsi="Arial"/>
          <w:sz w:val="21"/>
          <w:szCs w:val="21"/>
          <w:color w:val="auto"/>
        </w:rPr>
      </w:pPr>
    </w:p>
    <w:p>
      <w:pPr>
        <w:ind w:firstLine="3519"/>
        <w:spacing w:after="0" w:line="251" w:lineRule="auto"/>
        <w:tabs>
          <w:tab w:leader="none" w:pos="4412" w:val="left"/>
        </w:tabs>
        <w:numPr>
          <w:ilvl w:val="0"/>
          <w:numId w:val="53"/>
        </w:numPr>
        <w:rPr>
          <w:rFonts w:ascii="Arial" w:cs="Arial" w:eastAsia="Arial" w:hAnsi="Arial"/>
          <w:sz w:val="22"/>
          <w:szCs w:val="22"/>
          <w:color w:val="auto"/>
        </w:rPr>
      </w:pPr>
      <w:r>
        <w:rPr>
          <w:rFonts w:ascii="Arial" w:cs="Arial" w:eastAsia="Arial" w:hAnsi="Arial"/>
          <w:sz w:val="22"/>
          <w:szCs w:val="22"/>
          <w:color w:val="auto"/>
        </w:rPr>
        <w:t>for each Accepted Target, serve as a forum for determining if the Discovery Probody Success Criteria and Discovery PDC Success Criteria have been met;</w:t>
      </w:r>
    </w:p>
    <w:p>
      <w:pPr>
        <w:spacing w:after="0" w:line="65" w:lineRule="exact"/>
        <w:rPr>
          <w:rFonts w:ascii="Arial" w:cs="Arial" w:eastAsia="Arial" w:hAnsi="Arial"/>
          <w:sz w:val="22"/>
          <w:szCs w:val="22"/>
          <w:color w:val="auto"/>
        </w:rPr>
      </w:pPr>
    </w:p>
    <w:p>
      <w:pPr>
        <w:ind w:left="4400" w:hanging="881"/>
        <w:spacing w:after="0"/>
        <w:tabs>
          <w:tab w:leader="none" w:pos="44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establish secure access methods (such as secure databases) for each Party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access research and discovery and other JRC related Information as contemplated under this Agreement;</w:t>
      </w:r>
    </w:p>
    <w:p>
      <w:pPr>
        <w:spacing w:after="0" w:line="80" w:lineRule="exact"/>
        <w:rPr>
          <w:rFonts w:ascii="Arial" w:cs="Arial" w:eastAsia="Arial" w:hAnsi="Arial"/>
          <w:sz w:val="19"/>
          <w:szCs w:val="19"/>
          <w:color w:val="auto"/>
        </w:rPr>
      </w:pPr>
    </w:p>
    <w:p>
      <w:pPr>
        <w:ind w:left="4380" w:hanging="861"/>
        <w:spacing w:after="0"/>
        <w:tabs>
          <w:tab w:leader="none" w:pos="4380" w:val="left"/>
        </w:tabs>
        <w:numPr>
          <w:ilvl w:val="0"/>
          <w:numId w:val="53"/>
        </w:numPr>
        <w:rPr>
          <w:rFonts w:ascii="Arial" w:cs="Arial" w:eastAsia="Arial" w:hAnsi="Arial"/>
          <w:sz w:val="19"/>
          <w:szCs w:val="19"/>
          <w:color w:val="auto"/>
        </w:rPr>
      </w:pPr>
      <w:r>
        <w:rPr>
          <w:rFonts w:ascii="Arial" w:cs="Arial" w:eastAsia="Arial" w:hAnsi="Arial"/>
          <w:sz w:val="19"/>
          <w:szCs w:val="19"/>
          <w:color w:val="auto"/>
        </w:rPr>
        <w:t>determine whether a Discovery PDC or AbbVie Probody Failure has occurred;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80" w:lineRule="exact"/>
        <w:rPr>
          <w:rFonts w:ascii="Arial" w:cs="Arial" w:eastAsia="Arial" w:hAnsi="Arial"/>
          <w:sz w:val="19"/>
          <w:szCs w:val="19"/>
          <w:color w:val="auto"/>
        </w:rPr>
      </w:pPr>
    </w:p>
    <w:p>
      <w:pPr>
        <w:ind w:left="4420" w:hanging="901"/>
        <w:spacing w:after="0"/>
        <w:tabs>
          <w:tab w:leader="none" w:pos="4420" w:val="left"/>
        </w:tabs>
        <w:numPr>
          <w:ilvl w:val="0"/>
          <w:numId w:val="53"/>
        </w:numPr>
        <w:rPr>
          <w:rFonts w:ascii="Arial" w:cs="Arial" w:eastAsia="Arial" w:hAnsi="Arial"/>
          <w:sz w:val="21"/>
          <w:szCs w:val="21"/>
          <w:color w:val="auto"/>
        </w:rPr>
      </w:pPr>
      <w:r>
        <w:rPr>
          <w:rFonts w:ascii="Arial" w:cs="Arial" w:eastAsia="Arial" w:hAnsi="Arial"/>
          <w:sz w:val="21"/>
          <w:szCs w:val="21"/>
          <w:color w:val="auto"/>
        </w:rPr>
        <w:t>perform such other functions as are set forth herein or as the Parties may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mutually agree in writing, except where in conflict with any provision of this Agreement.</w:t>
      </w:r>
    </w:p>
    <w:p>
      <w:pPr>
        <w:spacing w:after="0" w:line="74"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3.1.3 Disbandment. </w:t>
      </w:r>
      <w:r>
        <w:rPr>
          <w:rFonts w:ascii="Arial" w:cs="Arial" w:eastAsia="Arial" w:hAnsi="Arial"/>
          <w:sz w:val="22"/>
          <w:szCs w:val="22"/>
          <w:color w:val="auto"/>
        </w:rPr>
        <w:t>Upon completion of the Discovery Research Plan for a given Accepted</w:t>
      </w:r>
      <w:r>
        <w:rPr>
          <w:rFonts w:ascii="Arial" w:cs="Arial" w:eastAsia="Arial" w:hAnsi="Arial"/>
          <w:sz w:val="22"/>
          <w:szCs w:val="22"/>
          <w:b w:val="1"/>
          <w:bCs w:val="1"/>
          <w:color w:val="auto"/>
        </w:rPr>
        <w:t xml:space="preserve"> </w:t>
      </w:r>
      <w:r>
        <w:rPr>
          <w:rFonts w:ascii="Arial" w:cs="Arial" w:eastAsia="Arial" w:hAnsi="Arial"/>
          <w:sz w:val="22"/>
          <w:szCs w:val="22"/>
          <w:color w:val="auto"/>
        </w:rPr>
        <w:t>Target</w:t>
      </w:r>
      <w:r>
        <w:rPr>
          <w:rFonts w:ascii="Arial" w:cs="Arial" w:eastAsia="Arial" w:hAnsi="Arial"/>
          <w:sz w:val="22"/>
          <w:szCs w:val="22"/>
          <w:b w:val="1"/>
          <w:bCs w:val="1"/>
          <w:color w:val="auto"/>
        </w:rPr>
        <w:t>,</w:t>
      </w:r>
      <w:r>
        <w:rPr>
          <w:rFonts w:ascii="Arial" w:cs="Arial" w:eastAsia="Arial" w:hAnsi="Arial"/>
          <w:sz w:val="22"/>
          <w:szCs w:val="22"/>
          <w:color w:val="auto"/>
        </w:rPr>
        <w:t xml:space="preserve"> the JRC shall have no further responsibilities or authority under this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01" w:name="page102"/>
    <w:bookmarkEnd w:id="101"/>
    <w:p>
      <w:pPr>
        <w:jc w:val="both"/>
        <w:spacing w:after="0" w:line="274" w:lineRule="auto"/>
        <w:rPr>
          <w:sz w:val="20"/>
          <w:szCs w:val="20"/>
          <w:color w:val="auto"/>
        </w:rPr>
      </w:pPr>
      <w:r>
        <w:rPr>
          <w:rFonts w:ascii="Arial" w:cs="Arial" w:eastAsia="Arial" w:hAnsi="Arial"/>
          <w:sz w:val="19"/>
          <w:szCs w:val="19"/>
          <w:color w:val="auto"/>
        </w:rPr>
        <w:t xml:space="preserve">Agreement with respect to that Accepted Target and the associated Discovery Probodies, Discovery PDCs and Licensed Products. Once the Discovery Research Plan has been completed for the second Accepted Target (or, if a second Target is not nominated prior to the deadline set forth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the first Accepted Target), the JRC shall have no further responsibilities or authority under this Agreement with respect to that second Accepted Target and the associated Discovery Probodies, Discovery PDCs and Licensed Products. Once the Discovery Research Plan has been completed for both the first Accepted Target and, if applicable, second Accepted Target and all of AbbVie’s rights to perform a Target Exchange or to nominate a Substitute Target have expired or been exercised, the JRC will be considered fully dissolved by the Parties. Additionally, in the event of an Acquisition by Licensor or Change in Control of Licensor, in each case, involving a Competitor, AbbVie shall have the right at any time and for any reason, effective upon written notice, to disband the JRC pursuant to </w:t>
      </w:r>
      <w:r>
        <w:rPr>
          <w:rFonts w:ascii="Arial" w:cs="Arial" w:eastAsia="Arial" w:hAnsi="Arial"/>
          <w:sz w:val="19"/>
          <w:szCs w:val="19"/>
          <w:u w:val="single" w:color="auto"/>
          <w:color w:val="auto"/>
        </w:rPr>
        <w:t>Section 14.2.2</w:t>
      </w:r>
      <w:r>
        <w:rPr>
          <w:rFonts w:ascii="Arial" w:cs="Arial" w:eastAsia="Arial" w:hAnsi="Arial"/>
          <w:sz w:val="19"/>
          <w:szCs w:val="19"/>
          <w:color w:val="auto"/>
        </w:rPr>
        <w:t>.</w:t>
      </w:r>
    </w:p>
    <w:p>
      <w:pPr>
        <w:spacing w:after="0" w:line="45"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General Provisions Applicable to JRC.</w:t>
      </w:r>
    </w:p>
    <w:p>
      <w:pPr>
        <w:spacing w:after="0" w:line="98" w:lineRule="exact"/>
        <w:rPr>
          <w:sz w:val="20"/>
          <w:szCs w:val="20"/>
          <w:color w:val="auto"/>
        </w:rPr>
      </w:pPr>
    </w:p>
    <w:p>
      <w:pPr>
        <w:jc w:val="both"/>
        <w:ind w:firstLine="2634"/>
        <w:spacing w:after="0" w:line="273" w:lineRule="auto"/>
        <w:rPr>
          <w:sz w:val="20"/>
          <w:szCs w:val="20"/>
          <w:color w:val="auto"/>
        </w:rPr>
      </w:pPr>
      <w:r>
        <w:rPr>
          <w:rFonts w:ascii="Arial" w:cs="Arial" w:eastAsia="Arial" w:hAnsi="Arial"/>
          <w:sz w:val="19"/>
          <w:szCs w:val="19"/>
          <w:b w:val="1"/>
          <w:bCs w:val="1"/>
          <w:color w:val="auto"/>
        </w:rPr>
        <w:t xml:space="preserve">3.2.1 Meetings and Minutes. </w:t>
      </w:r>
      <w:r>
        <w:rPr>
          <w:rFonts w:ascii="Arial" w:cs="Arial" w:eastAsia="Arial" w:hAnsi="Arial"/>
          <w:sz w:val="19"/>
          <w:szCs w:val="19"/>
          <w:color w:val="auto"/>
        </w:rPr>
        <w:t>The JRC shall meet quarterly, or in each case as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agreed to by the Parties, with the location of such meetings alternating between locations designated by Licensor and locations designated by AbbVie. The chairperson of the JRC shall be responsible for calling meetings on no less than [***] notice. Each Party shall make all proposals for agenda items and shall provide all appropriate information with respect to such proposed items at least [***] in advance of the applicable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under exigent circumstances requiring input by the JRC, a Party may provide its agenda items to the other Party within a shorter period of time in advance of the meeting, or may propose that there not be a specific agenda for a particular meeting, so long as the other Party consents to such later addition of such agenda items or the absence of a specific agenda for such meeting. The chairperson of the JRC shall prepare and circulate for review and approval of the Parties minutes of each meeting within [***] after the meeting. The Parties shall agree on the minutes of each meeting promptly, but in no event later than the next meeting of the JRC. If the Parties cannot agree on the content of the minutes, the objecting Party shall append a notice of objection with the specific details of the objection to the proposed minutes.</w:t>
      </w:r>
    </w:p>
    <w:p>
      <w:pPr>
        <w:spacing w:after="0" w:line="48" w:lineRule="exact"/>
        <w:rPr>
          <w:sz w:val="20"/>
          <w:szCs w:val="20"/>
          <w:color w:val="auto"/>
        </w:rPr>
      </w:pPr>
    </w:p>
    <w:p>
      <w:pPr>
        <w:jc w:val="both"/>
        <w:ind w:firstLine="2634"/>
        <w:spacing w:after="0" w:line="272" w:lineRule="auto"/>
        <w:rPr>
          <w:sz w:val="20"/>
          <w:szCs w:val="20"/>
          <w:color w:val="auto"/>
        </w:rPr>
      </w:pPr>
      <w:r>
        <w:rPr>
          <w:rFonts w:ascii="Arial" w:cs="Arial" w:eastAsia="Arial" w:hAnsi="Arial"/>
          <w:sz w:val="19"/>
          <w:szCs w:val="19"/>
          <w:b w:val="1"/>
          <w:bCs w:val="1"/>
          <w:color w:val="auto"/>
        </w:rPr>
        <w:t xml:space="preserve">3.2.2 Procedural Rules. </w:t>
      </w:r>
      <w:r>
        <w:rPr>
          <w:rFonts w:ascii="Arial" w:cs="Arial" w:eastAsia="Arial" w:hAnsi="Arial"/>
          <w:sz w:val="19"/>
          <w:szCs w:val="19"/>
          <w:color w:val="auto"/>
        </w:rPr>
        <w:t>The JRC shall have the right to adopt such standing rules as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for its work, to the extent that such rules are not inconsistent with this Agreement. A quorum of the JRC shall exist whenever there is present at a meeting at least one (1) representative appointed by each Party. Representatives of the Parties on the JRC may attend a meeting either in person or by telephone, video conference or similar means in which each participant can hear what is said by, and be heard by, the other participants. Representation by proxy shall be allowed. The JRC shall take action by</w:t>
      </w:r>
    </w:p>
    <w:p>
      <w:pPr>
        <w:spacing w:after="0" w:line="1" w:lineRule="exact"/>
        <w:rPr>
          <w:sz w:val="20"/>
          <w:szCs w:val="20"/>
          <w:color w:val="auto"/>
        </w:rPr>
      </w:pPr>
    </w:p>
    <w:p>
      <w:pPr>
        <w:jc w:val="both"/>
        <w:ind w:firstLine="8"/>
        <w:spacing w:after="0" w:line="233" w:lineRule="auto"/>
        <w:tabs>
          <w:tab w:leader="none" w:pos="563"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of the representatives present at a meeting at which a quorum exists, with each Party having a [***], or by a written resolution signed by at least one (1) representative appointed by each Party. Employees or consultants of either Party that are not representatives of the Parties on the JRC may attend meetings of the JRC;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attendees (i) shall not vote or otherwise participate in the decision-making process of the JRC, and (ii) are bound by obligations of confidentiality and non-disclosure equivalent to those set forth in </w:t>
      </w:r>
      <w:r>
        <w:rPr>
          <w:rFonts w:ascii="Arial" w:cs="Arial" w:eastAsia="Arial" w:hAnsi="Arial"/>
          <w:sz w:val="22"/>
          <w:szCs w:val="22"/>
          <w:u w:val="single" w:color="auto"/>
          <w:color w:val="auto"/>
        </w:rPr>
        <w:t>ARTICLE 10</w:t>
      </w:r>
      <w:r>
        <w:rPr>
          <w:rFonts w:ascii="Arial" w:cs="Arial" w:eastAsia="Arial" w:hAnsi="Arial"/>
          <w:sz w:val="22"/>
          <w:szCs w:val="22"/>
          <w:color w:val="auto"/>
        </w:rPr>
        <w:t>.</w:t>
      </w:r>
    </w:p>
    <w:p>
      <w:pPr>
        <w:spacing w:after="0" w:line="72" w:lineRule="exact"/>
        <w:rPr>
          <w:sz w:val="20"/>
          <w:szCs w:val="20"/>
          <w:color w:val="auto"/>
        </w:rPr>
      </w:pPr>
    </w:p>
    <w:p>
      <w:pPr>
        <w:ind w:firstLine="2634"/>
        <w:spacing w:after="0" w:line="256" w:lineRule="auto"/>
        <w:rPr>
          <w:sz w:val="20"/>
          <w:szCs w:val="20"/>
          <w:color w:val="auto"/>
        </w:rPr>
      </w:pPr>
      <w:r>
        <w:rPr>
          <w:rFonts w:ascii="Arial" w:cs="Arial" w:eastAsia="Arial" w:hAnsi="Arial"/>
          <w:sz w:val="22"/>
          <w:szCs w:val="22"/>
          <w:b w:val="1"/>
          <w:bCs w:val="1"/>
          <w:color w:val="auto"/>
        </w:rPr>
        <w:t xml:space="preserve">3.2.3 JRC Dispute Resolution. </w:t>
      </w:r>
      <w:r>
        <w:rPr>
          <w:rFonts w:ascii="Arial" w:cs="Arial" w:eastAsia="Arial" w:hAnsi="Arial"/>
          <w:sz w:val="22"/>
          <w:szCs w:val="22"/>
          <w:color w:val="auto"/>
        </w:rPr>
        <w:t>If the JRC cannot, or does not, reach consensus on an issue</w:t>
      </w:r>
      <w:r>
        <w:rPr>
          <w:rFonts w:ascii="Arial" w:cs="Arial" w:eastAsia="Arial" w:hAnsi="Arial"/>
          <w:sz w:val="22"/>
          <w:szCs w:val="22"/>
          <w:b w:val="1"/>
          <w:bCs w:val="1"/>
          <w:color w:val="auto"/>
        </w:rPr>
        <w:t xml:space="preserve"> </w:t>
      </w:r>
      <w:r>
        <w:rPr>
          <w:rFonts w:ascii="Arial" w:cs="Arial" w:eastAsia="Arial" w:hAnsi="Arial"/>
          <w:sz w:val="22"/>
          <w:szCs w:val="22"/>
          <w:color w:val="auto"/>
        </w:rPr>
        <w:t>at a meeting or within a period of [***] thereafter or such other period as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2" w:name="page103"/>
    <w:bookmarkEnd w:id="102"/>
    <w:p>
      <w:pPr>
        <w:jc w:val="both"/>
        <w:spacing w:after="0" w:line="238" w:lineRule="auto"/>
        <w:rPr>
          <w:sz w:val="20"/>
          <w:szCs w:val="20"/>
          <w:color w:val="auto"/>
        </w:rPr>
      </w:pPr>
      <w:r>
        <w:rPr>
          <w:rFonts w:ascii="Arial" w:cs="Arial" w:eastAsia="Arial" w:hAnsi="Arial"/>
          <w:sz w:val="22"/>
          <w:szCs w:val="22"/>
          <w:color w:val="auto"/>
        </w:rPr>
        <w:t>the Parties may agree, then the dispute shall first be referred to the Senior Officers of the Parties, who shall confer in good faith on the resolution of the issue. Any final decision mutually agreed to by the Senior Officers shall be conclusive and binding on the Parties. If the Senior Officers are not able to agree on the resolution of any such issue within [***] after such issue was first referred to them, then:</w:t>
      </w:r>
    </w:p>
    <w:p>
      <w:pPr>
        <w:spacing w:after="0" w:line="77" w:lineRule="exact"/>
        <w:rPr>
          <w:sz w:val="20"/>
          <w:szCs w:val="20"/>
          <w:color w:val="auto"/>
        </w:rPr>
      </w:pPr>
    </w:p>
    <w:p>
      <w:pPr>
        <w:ind w:left="4460" w:hanging="941"/>
        <w:spacing w:after="0"/>
        <w:tabs>
          <w:tab w:leader="none" w:pos="44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420" w:hanging="901"/>
        <w:spacing w:after="0"/>
        <w:tabs>
          <w:tab w:leader="none" w:pos="442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4400" w:hanging="881"/>
        <w:spacing w:after="0"/>
        <w:tabs>
          <w:tab w:leader="none" w:pos="44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w:t>
      </w:r>
    </w:p>
    <w:p>
      <w:pPr>
        <w:spacing w:after="0" w:line="92" w:lineRule="exact"/>
        <w:rPr>
          <w:sz w:val="20"/>
          <w:szCs w:val="20"/>
          <w:color w:val="auto"/>
        </w:rPr>
      </w:pPr>
    </w:p>
    <w:p>
      <w:pPr>
        <w:jc w:val="both"/>
        <w:ind w:firstLine="2634"/>
        <w:spacing w:after="0" w:line="284" w:lineRule="auto"/>
        <w:rPr>
          <w:sz w:val="20"/>
          <w:szCs w:val="20"/>
          <w:color w:val="auto"/>
        </w:rPr>
      </w:pPr>
      <w:r>
        <w:rPr>
          <w:rFonts w:ascii="Arial" w:cs="Arial" w:eastAsia="Arial" w:hAnsi="Arial"/>
          <w:sz w:val="19"/>
          <w:szCs w:val="19"/>
          <w:b w:val="1"/>
          <w:bCs w:val="1"/>
          <w:color w:val="auto"/>
        </w:rPr>
        <w:t xml:space="preserve">3.2.4 Limitations on Authority. </w:t>
      </w:r>
      <w:r>
        <w:rPr>
          <w:rFonts w:ascii="Arial" w:cs="Arial" w:eastAsia="Arial" w:hAnsi="Arial"/>
          <w:sz w:val="19"/>
          <w:szCs w:val="19"/>
          <w:color w:val="auto"/>
        </w:rPr>
        <w:t>Each Party shall retain the rights, powers, and discretion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granted to it under this Agreement and no such rights, powers, or discretion shall be delegated to or vested in the JRC unless such delegation or vesting of rights is expressly provided for in this Agreement or the Parties expressly so agree in writing. The JRC shall not have the power to amend, modify, or waive compliance with this Agreement, which may only be amended or modified as provided in </w:t>
      </w:r>
      <w:r>
        <w:rPr>
          <w:rFonts w:ascii="Arial" w:cs="Arial" w:eastAsia="Arial" w:hAnsi="Arial"/>
          <w:sz w:val="19"/>
          <w:szCs w:val="19"/>
          <w:u w:val="single" w:color="auto"/>
          <w:color w:val="auto"/>
        </w:rPr>
        <w:t>Section 14.9</w:t>
      </w:r>
      <w:r>
        <w:rPr>
          <w:rFonts w:ascii="Arial" w:cs="Arial" w:eastAsia="Arial" w:hAnsi="Arial"/>
          <w:sz w:val="19"/>
          <w:szCs w:val="19"/>
          <w:color w:val="auto"/>
        </w:rPr>
        <w:t xml:space="preserve"> or compliance with which may only be waived as provided in </w:t>
      </w:r>
      <w:r>
        <w:rPr>
          <w:rFonts w:ascii="Arial" w:cs="Arial" w:eastAsia="Arial" w:hAnsi="Arial"/>
          <w:sz w:val="19"/>
          <w:szCs w:val="19"/>
          <w:u w:val="single" w:color="auto"/>
          <w:color w:val="auto"/>
        </w:rPr>
        <w:t>Section 14.11</w:t>
      </w:r>
      <w:r>
        <w:rPr>
          <w:rFonts w:ascii="Arial" w:cs="Arial" w:eastAsia="Arial" w:hAnsi="Arial"/>
          <w:sz w:val="19"/>
          <w:szCs w:val="19"/>
          <w:color w:val="auto"/>
        </w:rPr>
        <w:t>.</w:t>
      </w:r>
    </w:p>
    <w:p>
      <w:pPr>
        <w:spacing w:after="0" w:line="31" w:lineRule="exact"/>
        <w:rPr>
          <w:sz w:val="20"/>
          <w:szCs w:val="20"/>
          <w:color w:val="auto"/>
        </w:rPr>
      </w:pPr>
    </w:p>
    <w:p>
      <w:pPr>
        <w:jc w:val="both"/>
        <w:ind w:firstLine="2634"/>
        <w:spacing w:after="0" w:line="248" w:lineRule="auto"/>
        <w:rPr>
          <w:sz w:val="20"/>
          <w:szCs w:val="20"/>
          <w:color w:val="auto"/>
        </w:rPr>
      </w:pPr>
      <w:r>
        <w:rPr>
          <w:rFonts w:ascii="Arial" w:cs="Arial" w:eastAsia="Arial" w:hAnsi="Arial"/>
          <w:sz w:val="21"/>
          <w:szCs w:val="21"/>
          <w:b w:val="1"/>
          <w:bCs w:val="1"/>
          <w:color w:val="auto"/>
        </w:rPr>
        <w:t xml:space="preserve">3.2.5 Alliance Manager. </w:t>
      </w:r>
      <w:r>
        <w:rPr>
          <w:rFonts w:ascii="Arial" w:cs="Arial" w:eastAsia="Arial" w:hAnsi="Arial"/>
          <w:sz w:val="21"/>
          <w:szCs w:val="21"/>
          <w:color w:val="auto"/>
        </w:rPr>
        <w:t>Each Party shall appoint an individual to be the point of contact</w:t>
      </w:r>
      <w:r>
        <w:rPr>
          <w:rFonts w:ascii="Arial" w:cs="Arial" w:eastAsia="Arial" w:hAnsi="Arial"/>
          <w:sz w:val="21"/>
          <w:szCs w:val="21"/>
          <w:b w:val="1"/>
          <w:bCs w:val="1"/>
          <w:color w:val="auto"/>
        </w:rPr>
        <w:t xml:space="preserve"> </w:t>
      </w:r>
      <w:r>
        <w:rPr>
          <w:rFonts w:ascii="Arial" w:cs="Arial" w:eastAsia="Arial" w:hAnsi="Arial"/>
          <w:sz w:val="21"/>
          <w:szCs w:val="21"/>
          <w:color w:val="auto"/>
        </w:rPr>
        <w:t>within each Party (the “</w:t>
      </w:r>
      <w:r>
        <w:rPr>
          <w:rFonts w:ascii="Arial" w:cs="Arial" w:eastAsia="Arial" w:hAnsi="Arial"/>
          <w:sz w:val="21"/>
          <w:szCs w:val="21"/>
          <w:b w:val="1"/>
          <w:bCs w:val="1"/>
          <w:color w:val="auto"/>
        </w:rPr>
        <w:t>Alliance Manager</w:t>
      </w:r>
      <w:r>
        <w:rPr>
          <w:rFonts w:ascii="Arial" w:cs="Arial" w:eastAsia="Arial" w:hAnsi="Arial"/>
          <w:sz w:val="21"/>
          <w:szCs w:val="21"/>
          <w:color w:val="auto"/>
        </w:rPr>
        <w:t>”) with responsibility for facilitating communication between the Parties for all matters between meetings of the JRC, including communication between the Parties regarding the Discovery Activities and Party Development Activities. The Alliance Manager of each Party may be a member of the JRC. If the Alliance Manager of each Party is not a JRC member, then the Alliance Manager may attend JRC meetings as a non-voting participant. The Alliance Manager shall facilitate resolution of potential and pending issues and potential disputes to enable the JRC to try to reach consensus and avert escalation of such issues or potential disputes, if possible.</w:t>
      </w:r>
    </w:p>
    <w:p>
      <w:pPr>
        <w:spacing w:after="0" w:line="63"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3.3 Discontinuation of Participation on the JRC. </w:t>
      </w:r>
      <w:r>
        <w:rPr>
          <w:rFonts w:ascii="Arial" w:cs="Arial" w:eastAsia="Arial" w:hAnsi="Arial"/>
          <w:sz w:val="22"/>
          <w:szCs w:val="22"/>
          <w:color w:val="auto"/>
        </w:rPr>
        <w:t>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3.1.3</w:t>
      </w:r>
      <w:r>
        <w:rPr>
          <w:rFonts w:ascii="Arial" w:cs="Arial" w:eastAsia="Arial" w:hAnsi="Arial"/>
          <w:sz w:val="22"/>
          <w:szCs w:val="22"/>
          <w:color w:val="auto"/>
        </w:rPr>
        <w:t>, 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14.2.2</w:t>
      </w:r>
      <w:r>
        <w:rPr>
          <w:rFonts w:ascii="Arial" w:cs="Arial" w:eastAsia="Arial" w:hAnsi="Arial"/>
          <w:sz w:val="22"/>
          <w:szCs w:val="22"/>
          <w:color w:val="auto"/>
        </w:rPr>
        <w:t>, the JRC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exist until the Parties mutually agreeing to disband the JRC.</w:t>
      </w:r>
    </w:p>
    <w:p>
      <w:pPr>
        <w:spacing w:after="0" w:line="55"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3.4 Interactions Between a JRC and Internal Teams</w:t>
      </w:r>
      <w:r>
        <w:rPr>
          <w:rFonts w:ascii="Arial" w:cs="Arial" w:eastAsia="Arial" w:hAnsi="Arial"/>
          <w:sz w:val="22"/>
          <w:szCs w:val="22"/>
          <w:color w:val="auto"/>
        </w:rPr>
        <w:t>.</w:t>
      </w:r>
      <w:r>
        <w:rPr>
          <w:rFonts w:ascii="Arial" w:cs="Arial" w:eastAsia="Arial" w:hAnsi="Arial"/>
          <w:sz w:val="22"/>
          <w:szCs w:val="22"/>
          <w:b w:val="1"/>
          <w:bCs w:val="1"/>
          <w:color w:val="auto"/>
        </w:rPr>
        <w:t xml:space="preserve"> The Parties recognize that each Party possesses an internal structure (including various committees, teams and review boards) that will be involved in administering such Party’s activities under this Agreement. Nothing contained in this Article shall prevent a Party from making routine day-to-day decisions relating to the conduct of those activities for which it has a performance or other obligations hereunder, in each case in a manner consistent with the then-current applicable plan and the terms and conditions of this Agreement.</w:t>
      </w:r>
    </w:p>
    <w:p>
      <w:pPr>
        <w:spacing w:after="0" w:line="74" w:lineRule="exact"/>
        <w:rPr>
          <w:sz w:val="20"/>
          <w:szCs w:val="20"/>
          <w:color w:val="auto"/>
        </w:rPr>
      </w:pPr>
    </w:p>
    <w:p>
      <w:pPr>
        <w:jc w:val="both"/>
        <w:ind w:firstLine="1755"/>
        <w:spacing w:after="0" w:line="278" w:lineRule="auto"/>
        <w:rPr>
          <w:sz w:val="20"/>
          <w:szCs w:val="20"/>
          <w:color w:val="auto"/>
        </w:rPr>
      </w:pPr>
      <w:r>
        <w:rPr>
          <w:rFonts w:ascii="Arial" w:cs="Arial" w:eastAsia="Arial" w:hAnsi="Arial"/>
          <w:sz w:val="19"/>
          <w:szCs w:val="19"/>
          <w:b w:val="1"/>
          <w:bCs w:val="1"/>
          <w:color w:val="auto"/>
        </w:rPr>
        <w:t>3.5 Working Groups</w:t>
      </w:r>
      <w:r>
        <w:rPr>
          <w:rFonts w:ascii="Arial" w:cs="Arial" w:eastAsia="Arial" w:hAnsi="Arial"/>
          <w:sz w:val="19"/>
          <w:szCs w:val="19"/>
          <w:color w:val="auto"/>
        </w:rPr>
        <w:t>. From time to time, the JRC may establish and delegate duties to sub-committees</w:t>
      </w:r>
      <w:r>
        <w:rPr>
          <w:rFonts w:ascii="Arial" w:cs="Arial" w:eastAsia="Arial" w:hAnsi="Arial"/>
          <w:sz w:val="19"/>
          <w:szCs w:val="19"/>
          <w:b w:val="1"/>
          <w:bCs w:val="1"/>
          <w:color w:val="auto"/>
        </w:rPr>
        <w:t xml:space="preserve"> </w:t>
      </w:r>
      <w:r>
        <w:rPr>
          <w:rFonts w:ascii="Arial" w:cs="Arial" w:eastAsia="Arial" w:hAnsi="Arial"/>
          <w:sz w:val="19"/>
          <w:szCs w:val="19"/>
          <w:color w:val="auto"/>
        </w:rPr>
        <w:t>or directed teams (each, a “</w:t>
      </w:r>
      <w:r>
        <w:rPr>
          <w:rFonts w:ascii="Arial" w:cs="Arial" w:eastAsia="Arial" w:hAnsi="Arial"/>
          <w:sz w:val="19"/>
          <w:szCs w:val="19"/>
          <w:b w:val="1"/>
          <w:bCs w:val="1"/>
          <w:color w:val="auto"/>
        </w:rPr>
        <w:t>Working Group</w:t>
      </w:r>
      <w:r>
        <w:rPr>
          <w:rFonts w:ascii="Arial" w:cs="Arial" w:eastAsia="Arial" w:hAnsi="Arial"/>
          <w:sz w:val="19"/>
          <w:szCs w:val="19"/>
          <w:color w:val="auto"/>
        </w:rPr>
        <w:t>”) on an “as-needed” basis to oversee particular projects or activities (for example, joint project team, joint finance group, and/or joint intellectual property group). Each such Working Group shall be constituted and shall operate as the JRC determines; provided that each Working Group shall have equal representation from each Party, unless otherwise mutually agreed. Working Groups may be established on an ad hoc basis for purposes of a specific project or on such other basis as the JRC may determine. Each Working Group and its activities shall be subject to the oversight, review and approval of, and shall report to, the JRC that formed said Working Group. In no event shall the authority of the</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3" w:name="page104"/>
    <w:bookmarkEnd w:id="103"/>
    <w:p>
      <w:pPr>
        <w:jc w:val="both"/>
        <w:spacing w:after="0"/>
        <w:rPr>
          <w:sz w:val="20"/>
          <w:szCs w:val="20"/>
          <w:color w:val="auto"/>
        </w:rPr>
      </w:pPr>
      <w:r>
        <w:rPr>
          <w:rFonts w:ascii="Arial" w:cs="Arial" w:eastAsia="Arial" w:hAnsi="Arial"/>
          <w:sz w:val="22"/>
          <w:szCs w:val="22"/>
          <w:color w:val="auto"/>
        </w:rPr>
        <w:t>Working Group exceed that specified for the JRC that formed the Working Group to this Article. All decisions of a Working Group shall be by consensus. Any disagreement between the designees of AbbVie and Licensor on a Working Group shall be referred to the JRC that formed the Working Group for resolution.</w:t>
      </w:r>
    </w:p>
    <w:p>
      <w:pPr>
        <w:spacing w:after="0" w:line="7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3.6 Expenses</w:t>
      </w:r>
      <w:r>
        <w:rPr>
          <w:rFonts w:ascii="Arial" w:cs="Arial" w:eastAsia="Arial" w:hAnsi="Arial"/>
          <w:sz w:val="22"/>
          <w:szCs w:val="22"/>
          <w:color w:val="auto"/>
        </w:rPr>
        <w:t>.</w:t>
      </w:r>
      <w:r>
        <w:rPr>
          <w:rFonts w:ascii="Arial" w:cs="Arial" w:eastAsia="Arial" w:hAnsi="Arial"/>
          <w:sz w:val="22"/>
          <w:szCs w:val="22"/>
          <w:b w:val="1"/>
          <w:bCs w:val="1"/>
          <w:color w:val="auto"/>
        </w:rPr>
        <w:t xml:space="preserve"> Each Party shall be responsible for all travel and related costs and expenses for its members and other representatives to attend meetings of, and otherwise participate on, a Committee or other Working Group.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 AND REGULATORY</w:t>
      </w:r>
    </w:p>
    <w:p>
      <w:pPr>
        <w:spacing w:after="0" w:line="182"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b w:val="1"/>
          <w:bCs w:val="1"/>
          <w:color w:val="auto"/>
        </w:rPr>
        <w:t>4.1 Antibody Sequence Delivery</w:t>
      </w:r>
      <w:r>
        <w:rPr>
          <w:rFonts w:ascii="Arial" w:cs="Arial" w:eastAsia="Arial" w:hAnsi="Arial"/>
          <w:sz w:val="19"/>
          <w:szCs w:val="19"/>
          <w:color w:val="auto"/>
        </w:rPr>
        <w:t>. For each Accepted Target, AbbVie will use Commercially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Efforts to deliver to Licensor the sequence of an Antibody Controlled by AbbVie that specifically binds to such Accepted Target and that AbbVie believes meets the Antibody Criteria (the “</w:t>
      </w:r>
      <w:r>
        <w:rPr>
          <w:rFonts w:ascii="Arial" w:cs="Arial" w:eastAsia="Arial" w:hAnsi="Arial"/>
          <w:sz w:val="19"/>
          <w:szCs w:val="19"/>
          <w:b w:val="1"/>
          <w:bCs w:val="1"/>
          <w:color w:val="auto"/>
        </w:rPr>
        <w:t>Discovery Antibody</w:t>
      </w:r>
      <w:r>
        <w:rPr>
          <w:rFonts w:ascii="Arial" w:cs="Arial" w:eastAsia="Arial" w:hAnsi="Arial"/>
          <w:sz w:val="19"/>
          <w:szCs w:val="19"/>
          <w:color w:val="auto"/>
        </w:rPr>
        <w:t xml:space="preserve">”), together with related materials and data as set forth in the Discovery Research Plan. Following such delivery, Licensor will promptly evaluate whether such Discovery Antibody meets the Antibody Criteria in accordance with the Discovery Research Plan and the timeline set forth therein. If the JRC determines that a Discovery Antibody does not meet the Antibody Criteria, the JRC will promptly provide AbbVie with written notice identifying the deficiencies and AbbVie may, in its sole discretion and upon written notice to Licensor, elect to either (a) select a new Discovery Antibody for the existing Accepted Target or (b) select a Substitute Target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Following AbbVie’s selection, this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will apply with respect to the new Discovery Antibody.</w:t>
      </w:r>
    </w:p>
    <w:p>
      <w:pPr>
        <w:spacing w:after="0" w:line="43"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b w:val="1"/>
          <w:bCs w:val="1"/>
          <w:color w:val="auto"/>
        </w:rPr>
        <w:t>4.2 Creation of Discovery Probodies</w:t>
      </w:r>
      <w:r>
        <w:rPr>
          <w:rFonts w:ascii="Arial" w:cs="Arial" w:eastAsia="Arial" w:hAnsi="Arial"/>
          <w:sz w:val="19"/>
          <w:szCs w:val="19"/>
          <w:color w:val="auto"/>
        </w:rPr>
        <w:t>. For each Accepted Target (including any Substitute Target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New Target), following delivery by AbbVie of the sequence for a Discovery Antibody meeting the Antibody Criteria, Licensor will use Commercially Reasonable Efforts to create Discovery Probodies containing the Discovery Antibody in accordance with the Discovery Research Plan and the timeline set forth therein. As further detailed in the Discovery Research Plan, for each Accepted Target Licensor will deliver to AbbVie by the Discovery Probody Delivery Deadline sequences, materials and data for all Discovery Probodies that Licensor believes meet the Discovery Probody Success Criteria. Following AbbVie’s receipt of the foregoing, AbbVie will promptly evaluate whether the Discovery Probody Success Criteria have been met, and the JRC shall determine whether such Discovery Probody Success Criteria have been met. If the JRC determines that the Discovery Probody Success Criteria have not been met by the Discovery Probody Delivery Deadline AbbVie may, in its sole discretion, (a) provide written notice to Licensor identifying the deficiencies and Licensor will use Commercially Reasonable Efforts to create new Discovery Probodies containing the same Discovery Antibody previously used for such Accepted Target by the new Discovery Probody Delivery Deadline and submit the sequences, materials and data for such Discovery Probodies to AbbVie in accordance with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(b) provide Licensor with the sequence, materials and data of a new Discovery Antibody for such Accepted Target that meets the Antibody Criteria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Licensor will use Commercially Reasonable Efforts to create new Discovery Probodies containing the new Discovery Antibody for such Accepted Target by the new Discovery Probody Delivery Deadline and submit the sequences, materials and data for such Discovery Probodies to</w:t>
      </w:r>
    </w:p>
    <w:p>
      <w:pPr>
        <w:spacing w:after="0" w:line="3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 xml:space="preserve">AbbVie in accordance with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or (c) select a Substitute Target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92"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9"/>
          <w:szCs w:val="19"/>
          <w:b w:val="1"/>
          <w:bCs w:val="1"/>
          <w:color w:val="auto"/>
        </w:rPr>
        <w:t>Optional Development of AbbVie Probodies; Creation of Discovery PDCs</w:t>
      </w:r>
      <w:r>
        <w:rPr>
          <w:rFonts w:ascii="Arial" w:cs="Arial" w:eastAsia="Arial" w:hAnsi="Arial"/>
          <w:sz w:val="19"/>
          <w:szCs w:val="19"/>
          <w:color w:val="auto"/>
        </w:rPr>
        <w:t>.</w:t>
      </w:r>
    </w:p>
    <w:p>
      <w:pPr>
        <w:spacing w:after="0" w:line="98" w:lineRule="exact"/>
        <w:rPr>
          <w:sz w:val="20"/>
          <w:szCs w:val="20"/>
          <w:color w:val="auto"/>
        </w:rPr>
      </w:pPr>
    </w:p>
    <w:p>
      <w:pPr>
        <w:jc w:val="both"/>
        <w:ind w:firstLine="2634"/>
        <w:spacing w:after="0" w:line="272" w:lineRule="auto"/>
        <w:rPr>
          <w:sz w:val="20"/>
          <w:szCs w:val="20"/>
          <w:color w:val="auto"/>
        </w:rPr>
      </w:pPr>
      <w:r>
        <w:rPr>
          <w:rFonts w:ascii="Arial" w:cs="Arial" w:eastAsia="Arial" w:hAnsi="Arial"/>
          <w:sz w:val="19"/>
          <w:szCs w:val="19"/>
          <w:b w:val="1"/>
          <w:bCs w:val="1"/>
          <w:color w:val="auto"/>
        </w:rPr>
        <w:t xml:space="preserve">4.3.1 </w:t>
      </w:r>
      <w:r>
        <w:rPr>
          <w:rFonts w:ascii="Arial" w:cs="Arial" w:eastAsia="Arial" w:hAnsi="Arial"/>
          <w:sz w:val="19"/>
          <w:szCs w:val="19"/>
          <w:color w:val="auto"/>
        </w:rPr>
        <w:t>Licensor hereby grants AbbVie an option to Develop and Commercialize either</w:t>
      </w:r>
      <w:r>
        <w:rPr>
          <w:rFonts w:ascii="Arial" w:cs="Arial" w:eastAsia="Arial" w:hAnsi="Arial"/>
          <w:sz w:val="19"/>
          <w:szCs w:val="19"/>
          <w:b w:val="1"/>
          <w:bCs w:val="1"/>
          <w:color w:val="auto"/>
        </w:rPr>
        <w:t xml:space="preserve"> </w:t>
      </w:r>
      <w:r>
        <w:rPr>
          <w:rFonts w:ascii="Arial" w:cs="Arial" w:eastAsia="Arial" w:hAnsi="Arial"/>
          <w:sz w:val="19"/>
          <w:szCs w:val="19"/>
          <w:color w:val="auto"/>
        </w:rPr>
        <w:t>Discovery PDCs or, subject to CytomX’s prior written consent (which may be granted or withheld in CytomX’s sole discretion) as to AbbVie’s ability to Develop an AbbVie Probody targeting [***], AbbVie Probodies with respect to the AbbVie Probody Target (the “</w:t>
      </w:r>
      <w:r>
        <w:rPr>
          <w:rFonts w:ascii="Arial" w:cs="Arial" w:eastAsia="Arial" w:hAnsi="Arial"/>
          <w:sz w:val="19"/>
          <w:szCs w:val="19"/>
          <w:b w:val="1"/>
          <w:bCs w:val="1"/>
          <w:color w:val="auto"/>
        </w:rPr>
        <w:t>Option</w:t>
      </w:r>
      <w:r>
        <w:rPr>
          <w:rFonts w:ascii="Arial" w:cs="Arial" w:eastAsia="Arial" w:hAnsi="Arial"/>
          <w:sz w:val="19"/>
          <w:szCs w:val="19"/>
          <w:color w:val="auto"/>
        </w:rPr>
        <w:t>”). Such Option may be exercised by AbbVie in its sole discretion. The Option shall be deemed to be exercised upon AbbVie’s filing, and acceptance by the FDA, of an IND for either a Discovery PDC or an AbbVie Probody to the AbbVie Probody Target, subject to CytomX’s prior written consent (which may be granted or withheld in CytomX’s sole discretion) as to AbbVie’s ability to Develop an AbbVie Probody targeting [***]. Upon exercise of the Option, (a) the rights and obligations set forth in this Agreement shall apply to (i) Discovery PDCs, to the extent such IND contemplates investigation of a Discovery PDC, or (ii) AbbVie Probodies, to the extent such IND contemplates investigation of an AbbVie Probody, and (b) the Option shall expire with respect to (i) Discovery PDCs, to the extent such IND contemplates investigation of an AbbVie Probody, or (ii) AbbVie Probodies, to the extent such IND contemplates investigation of a Discovery PDC. For the purpose of clarity, to the extent that the AbbVie exercises the Option to Develop and Commercialize Discovery PDCs, AbbVie’s rights to Develop and Commercialize AbbVie Probodies targeting such AbbVie Probody Target shall cease, and the terms and conditions of this Agreement relating to Discovery Probodies as a component of, or precursor to, such Discovery PDCs shall remain in full force and effect.</w:t>
      </w:r>
    </w:p>
    <w:p>
      <w:pPr>
        <w:spacing w:after="0" w:line="45"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19"/>
          <w:szCs w:val="19"/>
          <w:b w:val="1"/>
          <w:bCs w:val="1"/>
          <w:color w:val="auto"/>
        </w:rPr>
        <w:t xml:space="preserve">4.3.2 </w:t>
      </w:r>
      <w:r>
        <w:rPr>
          <w:rFonts w:ascii="Arial" w:cs="Arial" w:eastAsia="Arial" w:hAnsi="Arial"/>
          <w:sz w:val="19"/>
          <w:szCs w:val="19"/>
          <w:color w:val="auto"/>
        </w:rPr>
        <w:t>For each Accepted Target, following AbbVie’s receipt of Discovery Probody sequences,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materials and data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the JRC’s determination that the Discovery Probody Success Criteria have been met by the Discovery Probody Delivery Deadline, with respect to the AbbVie Probody Target, AbbVie may elect to generate Discovery PDCs for such Accepted Target. Upon AbbVie’s election to generate such Discovery PDCs, AbbVie shall use Commercially Reasonable Efforts to create at least one Discovery PDC containing a Discovery Probody generated by Licensor in accordance with the Discovery Research Plan. Following AbbVie’s generation (or attempted generation) of such Discovery PDC, AbbVie will evaluate whether the Discovery PDC Success Criteria have been met, and the JRC shall determine whether such Discovery Probody Success Criteria have been met. If the JRC determines that the Discovery PDC Success Criteria have not been met, AbbVie may, in its sole discretion, (a) provide written notice to Licensor identifying the deficiencies and Licensor will, as soon as reasonably practicable (but in no case later than the new Discovery Probody Delivery Deadline), create new Discovery Probodies containing the same Discovery Antibody previously used for such Accepted Target and submit the sequences, materials and data for such Discovery Probodies to AbbVie in accordance with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(b) provide Licensor with the sequence, materials and data of a new Discovery Antibody for such Accepted Target that meets the Antibody Criteria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Licensor will, as soon as reasonably practicable (but in no case later than the new Discovery Probody Delivery Deadline), create new Discovery Probodies containing the new Discovery Antibody for such Accepted Target and submit the sequences, materials and data for</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5" w:name="page106"/>
    <w:bookmarkEnd w:id="105"/>
    <w:p>
      <w:pPr>
        <w:spacing w:after="0"/>
        <w:rPr>
          <w:sz w:val="20"/>
          <w:szCs w:val="20"/>
          <w:color w:val="auto"/>
        </w:rPr>
      </w:pPr>
      <w:r>
        <w:rPr>
          <w:rFonts w:ascii="Arial" w:cs="Arial" w:eastAsia="Arial" w:hAnsi="Arial"/>
          <w:sz w:val="21"/>
          <w:szCs w:val="21"/>
          <w:color w:val="auto"/>
        </w:rPr>
        <w:t xml:space="preserve">such Discovery Probodies to AbbVie in accordance with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(c) select a Substitute Target pursuant to </w:t>
      </w:r>
      <w:r>
        <w:rPr>
          <w:rFonts w:ascii="Arial" w:cs="Arial" w:eastAsia="Arial" w:hAnsi="Arial"/>
          <w:sz w:val="21"/>
          <w:szCs w:val="21"/>
          <w:u w:val="single" w:color="auto"/>
          <w:color w:val="auto"/>
        </w:rPr>
        <w:t>Section 2.2</w:t>
      </w:r>
      <w:r>
        <w:rPr>
          <w:rFonts w:ascii="Arial" w:cs="Arial" w:eastAsia="Arial" w:hAnsi="Arial"/>
          <w:sz w:val="21"/>
          <w:szCs w:val="21"/>
          <w:color w:val="auto"/>
        </w:rPr>
        <w:t>.</w:t>
      </w:r>
    </w:p>
    <w:p>
      <w:pPr>
        <w:spacing w:after="0" w:line="104"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b w:val="1"/>
          <w:bCs w:val="1"/>
          <w:color w:val="auto"/>
        </w:rPr>
        <w:t>4.4 Development of AbbVie Probodies, Discovery PDCs and Licensed Products</w:t>
      </w:r>
      <w:r>
        <w:rPr>
          <w:rFonts w:ascii="Arial" w:cs="Arial" w:eastAsia="Arial" w:hAnsi="Arial"/>
          <w:sz w:val="19"/>
          <w:szCs w:val="19"/>
          <w:color w:val="auto"/>
        </w:rPr>
        <w:t>. For each Accepted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Target, following the applicable Target Acceptance Date, except for Licensor’s responsibilities in the conduct of the Discovery Research Plan, AbbVie shall have the sole right to Develop and Manufacture (and shall control all aspects of Development and Manufacturing), including seeking Regulatory Approvals for, AbbVie Probodies, Discovery PDCs and Licensed Products in the Field and in the Territory and, for clarity, Licensor and its Affiliates shall have no right to do so. For each Accepted Target, following the creation of the applicable AbbVie Probody or Discovery PDCs, AbbVie shall use Commercially Reasonable Efforts to Develop a Licensed Product for at least one Indication for use in each Major Market. AbbVie shall have the right to satisfy its diligence obligations under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through its Affiliates or Sublicensees. [***]</w:t>
      </w:r>
    </w:p>
    <w:p>
      <w:pPr>
        <w:spacing w:after="0" w:line="43"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color w:val="auto"/>
        </w:rPr>
        <w:t xml:space="preserve">Supply of Technology for Development Purposes. </w:t>
      </w:r>
      <w:r>
        <w:rPr>
          <w:rFonts w:ascii="Arial" w:cs="Arial" w:eastAsia="Arial" w:hAnsi="Arial"/>
          <w:sz w:val="19"/>
          <w:szCs w:val="19"/>
          <w:color w:val="auto"/>
        </w:rPr>
        <w:t>On an Accepted Target-by-Accepted Target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basis:</w:t>
      </w:r>
    </w:p>
    <w:p>
      <w:pPr>
        <w:spacing w:after="0" w:line="80" w:lineRule="exact"/>
        <w:rPr>
          <w:sz w:val="20"/>
          <w:szCs w:val="20"/>
          <w:color w:val="auto"/>
        </w:rPr>
      </w:pPr>
    </w:p>
    <w:p>
      <w:pPr>
        <w:jc w:val="both"/>
        <w:ind w:firstLine="3519"/>
        <w:spacing w:after="0" w:line="277" w:lineRule="auto"/>
        <w:tabs>
          <w:tab w:leader="none" w:pos="4399"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Licensor shall, and shall cause its Affiliates to, without additional compensation, disclose and make available to AbbVie, in whatever form AbbVie may reasonably request, Regulatory Documentation, Licensor Background Know-How, Licensor Program Know-How, Joint Program Know-How, and any other Information claimed or covered by any Licensor Background Patent, Licensor Program Patent or Joint Program Patent, in each case to the extent relating to the Discovery Probodies (including sequence information), promptly following the creation of the Discovery Probodies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and otherwise promptly after the development, making conception or reduction to practice of such Information. Notwithstanding the foregoing, Licensor shall have no obligation to provide any Tools to AbbVie.</w:t>
      </w:r>
    </w:p>
    <w:p>
      <w:pPr>
        <w:spacing w:after="0" w:line="44" w:lineRule="exact"/>
        <w:rPr>
          <w:rFonts w:ascii="Arial" w:cs="Arial" w:eastAsia="Arial" w:hAnsi="Arial"/>
          <w:sz w:val="19"/>
          <w:szCs w:val="19"/>
          <w:color w:val="auto"/>
        </w:rPr>
      </w:pPr>
    </w:p>
    <w:p>
      <w:pPr>
        <w:jc w:val="both"/>
        <w:ind w:firstLine="3519"/>
        <w:spacing w:after="0" w:line="274" w:lineRule="auto"/>
        <w:tabs>
          <w:tab w:leader="none" w:pos="4412"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Licensor, at its sole cost and expense, shall provide AbbVie with reasonable assistance required in order to transfer to AbbVie the Regulatory Documentation, Licensor Background Know-How, Licensor Program Know-How, Joint Program Know-How, and other Information required to be produced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in each case in a timely manner, and shall assist AbbVie with respect to the Exploitation of any AbbVie Probody, any Discovery PDC and any Licensed Products. Without prejudice to the generality of the foregoing, if visits of Licensor’s representatives to AbbVie’s facilities are reasonably requested by AbbVie for purposes of transferring the Regulatory Documentation, Licensor Background Know-How, Licensor Program Know-How, Joint Program Know-How, or other Information to AbbVie or for purposes of AbbVie acquiring expertise on the practical application of such Information or assisting on issues arising during such Exploitation, Licensor shall send appropriate representatives to AbbVie’s facilities for reasonable time periods.</w:t>
      </w:r>
    </w:p>
    <w:p>
      <w:pPr>
        <w:spacing w:after="0" w:line="4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4.6 Expenses. </w:t>
      </w:r>
      <w:r>
        <w:rPr>
          <w:rFonts w:ascii="Arial" w:cs="Arial" w:eastAsia="Arial" w:hAnsi="Arial"/>
          <w:sz w:val="22"/>
          <w:szCs w:val="22"/>
          <w:color w:val="auto"/>
        </w:rPr>
        <w:t>Except as expressly set forth in this Agreement, each Party shall bear all costs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associated with the Development activities for which such Party is responsible under this Agreement and the Discovery Research Plan.</w:t>
      </w:r>
    </w:p>
    <w:p>
      <w:pPr>
        <w:spacing w:after="0" w:line="69"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4.7 Subcontracting</w:t>
      </w:r>
      <w:r>
        <w:rPr>
          <w:rFonts w:ascii="Arial" w:cs="Arial" w:eastAsia="Arial" w:hAnsi="Arial"/>
          <w:sz w:val="22"/>
          <w:szCs w:val="22"/>
          <w:color w:val="auto"/>
        </w:rPr>
        <w:t>. Each Party shall have the right to subcontract any of its Party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Activities to a Third Party (a “</w:t>
      </w:r>
      <w:r>
        <w:rPr>
          <w:rFonts w:ascii="Arial" w:cs="Arial" w:eastAsia="Arial" w:hAnsi="Arial"/>
          <w:sz w:val="22"/>
          <w:szCs w:val="22"/>
          <w:b w:val="1"/>
          <w:bCs w:val="1"/>
          <w:color w:val="auto"/>
        </w:rPr>
        <w:t>Third Party Provider</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that Licensor must (a) furnish AbbVie with advanced written notice thereof, which notice shall specify</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6" w:name="page107"/>
    <w:bookmarkEnd w:id="106"/>
    <w:p>
      <w:pPr>
        <w:jc w:val="both"/>
        <w:spacing w:after="0" w:line="235" w:lineRule="auto"/>
        <w:rPr>
          <w:sz w:val="20"/>
          <w:szCs w:val="20"/>
          <w:color w:val="auto"/>
        </w:rPr>
      </w:pPr>
      <w:r>
        <w:rPr>
          <w:rFonts w:ascii="Arial" w:cs="Arial" w:eastAsia="Arial" w:hAnsi="Arial"/>
          <w:sz w:val="22"/>
          <w:szCs w:val="22"/>
          <w:color w:val="auto"/>
        </w:rPr>
        <w:t xml:space="preserve">the work to be subcontracted, (b) secure AbbVie’s prior written consent to such Third Party Provider and the activities to be subcontracted (including consent through designating Third Party Providers in the Discovery Research Plan approved by AbbVie) and (c) obtain a written undertaking from the Third Party Provider that it shall be subject to the applicable terms and conditions of this Agreement, including the confidentiality provisions of </w:t>
      </w:r>
      <w:r>
        <w:rPr>
          <w:rFonts w:ascii="Arial" w:cs="Arial" w:eastAsia="Arial" w:hAnsi="Arial"/>
          <w:sz w:val="22"/>
          <w:szCs w:val="22"/>
          <w:u w:val="single" w:color="auto"/>
          <w:color w:val="auto"/>
        </w:rPr>
        <w:t>ARTICLE 10</w:t>
      </w:r>
      <w:r>
        <w:rPr>
          <w:rFonts w:ascii="Arial" w:cs="Arial" w:eastAsia="Arial" w:hAnsi="Arial"/>
          <w:sz w:val="22"/>
          <w:szCs w:val="22"/>
          <w:color w:val="auto"/>
        </w:rPr>
        <w:t>. Licensor shall include AbbVie in any discussions and negotiations with any such Third Party Provider and shall follow AbbVie’s instructions with respect to any decision pertaining to Licensor’s arrangement with such Third Party.</w:t>
      </w:r>
    </w:p>
    <w:p>
      <w:pPr>
        <w:spacing w:after="0" w:line="74"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9"/>
          <w:szCs w:val="19"/>
          <w:b w:val="1"/>
          <w:bCs w:val="1"/>
          <w:color w:val="auto"/>
        </w:rPr>
        <w:t>Regulatory Matters.</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4.8.1</w:t>
      </w:r>
      <w:r>
        <w:rPr>
          <w:sz w:val="20"/>
          <w:szCs w:val="20"/>
          <w:color w:val="auto"/>
        </w:rPr>
        <w:tab/>
      </w:r>
      <w:r>
        <w:rPr>
          <w:rFonts w:ascii="Arial" w:cs="Arial" w:eastAsia="Arial" w:hAnsi="Arial"/>
          <w:sz w:val="19"/>
          <w:szCs w:val="19"/>
          <w:b w:val="1"/>
          <w:bCs w:val="1"/>
          <w:color w:val="auto"/>
        </w:rPr>
        <w:t>Regulatory Activities.</w:t>
      </w:r>
    </w:p>
    <w:p>
      <w:pPr>
        <w:spacing w:after="0" w:line="104" w:lineRule="exact"/>
        <w:rPr>
          <w:sz w:val="20"/>
          <w:szCs w:val="20"/>
          <w:color w:val="auto"/>
        </w:rPr>
      </w:pPr>
    </w:p>
    <w:p>
      <w:pPr>
        <w:jc w:val="both"/>
        <w:ind w:firstLine="3519"/>
        <w:spacing w:after="0" w:line="246" w:lineRule="auto"/>
        <w:tabs>
          <w:tab w:leader="none" w:pos="4399" w:val="left"/>
        </w:tabs>
        <w:numPr>
          <w:ilvl w:val="0"/>
          <w:numId w:val="57"/>
        </w:numPr>
        <w:rPr>
          <w:rFonts w:ascii="Arial" w:cs="Arial" w:eastAsia="Arial" w:hAnsi="Arial"/>
          <w:sz w:val="21"/>
          <w:szCs w:val="21"/>
          <w:color w:val="auto"/>
        </w:rPr>
      </w:pPr>
      <w:r>
        <w:rPr>
          <w:rFonts w:ascii="Arial" w:cs="Arial" w:eastAsia="Arial" w:hAnsi="Arial"/>
          <w:sz w:val="21"/>
          <w:szCs w:val="21"/>
          <w:color w:val="auto"/>
        </w:rPr>
        <w:t>As between the Parties, AbbVie shall have the sole right to prepare, obtain, and maintain the Drug Approval Applications (including the setting of the overall regulatory strategy therefor), other Regulatory Approvals and other submissions, and to conduct communications with the Regulatory Authorities, for AbbVie Probodies, Discovery PDCs or Licensed Products in the Territory (which shall include filings of or with respect to INDs and other filings or communications with the Regulatory Authorities). Licensor shall support AbbVie, as may be reasonably necessary, in obtaining Regulatory Approvals for the Licensed Products, and in the activities in support thereof, including providing necessary documents or other materials required by Applicable Law to obtain Regulatory Approvals, in each case in accordance with the terms and conditions of this Agreement and the Discovery Research Plan.</w:t>
      </w:r>
    </w:p>
    <w:p>
      <w:pPr>
        <w:spacing w:after="0" w:line="72" w:lineRule="exact"/>
        <w:rPr>
          <w:rFonts w:ascii="Arial" w:cs="Arial" w:eastAsia="Arial" w:hAnsi="Arial"/>
          <w:sz w:val="21"/>
          <w:szCs w:val="21"/>
          <w:color w:val="auto"/>
        </w:rPr>
      </w:pPr>
    </w:p>
    <w:p>
      <w:pPr>
        <w:jc w:val="both"/>
        <w:ind w:firstLine="3519"/>
        <w:spacing w:after="0" w:line="247" w:lineRule="auto"/>
        <w:tabs>
          <w:tab w:leader="none" w:pos="4412" w:val="left"/>
        </w:tabs>
        <w:numPr>
          <w:ilvl w:val="0"/>
          <w:numId w:val="57"/>
        </w:numPr>
        <w:rPr>
          <w:rFonts w:ascii="Arial" w:cs="Arial" w:eastAsia="Arial" w:hAnsi="Arial"/>
          <w:sz w:val="21"/>
          <w:szCs w:val="21"/>
          <w:color w:val="auto"/>
        </w:rPr>
      </w:pPr>
      <w:r>
        <w:rPr>
          <w:rFonts w:ascii="Arial" w:cs="Arial" w:eastAsia="Arial" w:hAnsi="Arial"/>
          <w:sz w:val="21"/>
          <w:szCs w:val="21"/>
          <w:color w:val="auto"/>
        </w:rPr>
        <w:t>All Regulatory Documentation (including all Regulatory Approvals and Product Labeling) relating to the AbbVie Probodies, Discovery PDCs or Licensed Products with respect to the Territory shall be owned by, and shall be the sole property and held in the name of, AbbVie or its designated Affiliate, Sublicensee or designee. Licensor shall duly execute and deliver, or cause to be duly executed and delivered, such instruments and shall do and cause to be done such acts and things, including the filing of such assignments, agreements, documents, and instruments, as may be necessary under, or as AbbVie may reasonably request in connection with, or to carry out more effectively the purpose of, or to better assure and confirm unto AbbVie its rights under, this Section.</w:t>
      </w:r>
    </w:p>
    <w:p>
      <w:pPr>
        <w:spacing w:after="0" w:line="64"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b w:val="1"/>
          <w:bCs w:val="1"/>
          <w:color w:val="auto"/>
        </w:rPr>
        <w:t>4.8.2 Recalls</w:t>
      </w:r>
      <w:r>
        <w:rPr>
          <w:rFonts w:ascii="Arial" w:cs="Arial" w:eastAsia="Arial" w:hAnsi="Arial"/>
          <w:sz w:val="21"/>
          <w:szCs w:val="21"/>
          <w:color w:val="auto"/>
        </w:rPr>
        <w:t>. AbbVie shall make every reasonable effort to notify Licensor promptly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following its determination that any event, incident, or circumstance has occurred that may result in the need for a recall, market suspension, or market withdrawal of a Licensed Product in the Territory, and shall include in such notice the reasoning behind such determination, and any supporting facts. AbbVie (or its Sublicensee) shall have the right to make the final determination whether to voluntarily implement any such recall, market suspension, or market withdrawal in the Territory. If a recall, market suspension, or market withdrawal is mandated by a Regulatory Authority in the Territory, AbbVie (or its Sublicensee) shall initiate such a recall, market suspension, or market withdrawal in compliance with Applicable Law. For all recalls, market suspensions or market withdrawals undertaken pursuant to this </w:t>
      </w:r>
      <w:r>
        <w:rPr>
          <w:rFonts w:ascii="Arial" w:cs="Arial" w:eastAsia="Arial" w:hAnsi="Arial"/>
          <w:sz w:val="21"/>
          <w:szCs w:val="21"/>
          <w:u w:val="single" w:color="auto"/>
          <w:color w:val="auto"/>
        </w:rPr>
        <w:t>Section 4.8.2</w:t>
      </w:r>
      <w:r>
        <w:rPr>
          <w:rFonts w:ascii="Arial" w:cs="Arial" w:eastAsia="Arial" w:hAnsi="Arial"/>
          <w:sz w:val="21"/>
          <w:szCs w:val="21"/>
          <w:color w:val="auto"/>
        </w:rPr>
        <w:t xml:space="preserve">, AbbVie (or its Sublicensee) shall be solely responsible for the execution thereof, and Licensor shall reasonably cooperate in all such recall efforts. Subject to </w:t>
      </w:r>
      <w:r>
        <w:rPr>
          <w:rFonts w:ascii="Arial" w:cs="Arial" w:eastAsia="Arial" w:hAnsi="Arial"/>
          <w:sz w:val="21"/>
          <w:szCs w:val="21"/>
          <w:u w:val="single" w:color="auto"/>
          <w:color w:val="auto"/>
        </w:rPr>
        <w:t>ARTICLE 12</w:t>
      </w:r>
      <w:r>
        <w:rPr>
          <w:rFonts w:ascii="Arial" w:cs="Arial" w:eastAsia="Arial" w:hAnsi="Arial"/>
          <w:sz w:val="21"/>
          <w:szCs w:val="21"/>
          <w:color w:val="auto"/>
        </w:rPr>
        <w:t>, (i) in the event that a recall, market suspension, or market withdrawal resulted from a Party’s or its Affiliate’s breach of its obligations hereunder, or from such Party’s or its Affiliate’s negligence or willful</w:t>
      </w:r>
    </w:p>
    <w:p>
      <w:pPr>
        <w:spacing w:after="0" w:line="15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7" w:name="page108"/>
    <w:bookmarkEnd w:id="107"/>
    <w:p>
      <w:pPr>
        <w:jc w:val="both"/>
        <w:spacing w:after="0"/>
        <w:rPr>
          <w:sz w:val="20"/>
          <w:szCs w:val="20"/>
          <w:color w:val="auto"/>
        </w:rPr>
      </w:pPr>
      <w:r>
        <w:rPr>
          <w:rFonts w:ascii="Arial" w:cs="Arial" w:eastAsia="Arial" w:hAnsi="Arial"/>
          <w:sz w:val="22"/>
          <w:szCs w:val="22"/>
          <w:color w:val="auto"/>
        </w:rPr>
        <w:t xml:space="preserve">misconduct, such Party shall bear the expense of such recall, market suspension, or market withdrawal and (ii) with respect to any recall, market suspension, or market withdrawal not covered by </w:t>
      </w:r>
      <w:r>
        <w:rPr>
          <w:rFonts w:ascii="Arial" w:cs="Arial" w:eastAsia="Arial" w:hAnsi="Arial"/>
          <w:sz w:val="22"/>
          <w:szCs w:val="22"/>
          <w:u w:val="single" w:color="auto"/>
          <w:color w:val="auto"/>
        </w:rPr>
        <w:t>clause (i)</w:t>
      </w:r>
      <w:r>
        <w:rPr>
          <w:rFonts w:ascii="Arial" w:cs="Arial" w:eastAsia="Arial" w:hAnsi="Arial"/>
          <w:sz w:val="22"/>
          <w:szCs w:val="22"/>
          <w:color w:val="auto"/>
        </w:rPr>
        <w:t>, AbbVie shall be responsible for all costs of such recall, market suspension, or market withdrawal.</w:t>
      </w:r>
    </w:p>
    <w:p>
      <w:pPr>
        <w:spacing w:after="0" w:line="72" w:lineRule="exact"/>
        <w:rPr>
          <w:sz w:val="20"/>
          <w:szCs w:val="20"/>
          <w:color w:val="auto"/>
        </w:rPr>
      </w:pPr>
    </w:p>
    <w:p>
      <w:pPr>
        <w:jc w:val="both"/>
        <w:ind w:right="20" w:firstLine="1755"/>
        <w:spacing w:after="0" w:line="280" w:lineRule="auto"/>
        <w:rPr>
          <w:sz w:val="20"/>
          <w:szCs w:val="20"/>
          <w:color w:val="auto"/>
        </w:rPr>
      </w:pPr>
      <w:r>
        <w:rPr>
          <w:rFonts w:ascii="Arial" w:cs="Arial" w:eastAsia="Arial" w:hAnsi="Arial"/>
          <w:sz w:val="21"/>
          <w:szCs w:val="21"/>
          <w:b w:val="1"/>
          <w:bCs w:val="1"/>
          <w:color w:val="auto"/>
        </w:rPr>
        <w:t xml:space="preserve">4.9 Compliance. </w:t>
      </w:r>
      <w:r>
        <w:rPr>
          <w:rFonts w:ascii="Arial" w:cs="Arial" w:eastAsia="Arial" w:hAnsi="Arial"/>
          <w:sz w:val="21"/>
          <w:szCs w:val="21"/>
          <w:color w:val="auto"/>
        </w:rPr>
        <w:t>Licensor shall perform or cause to be performed, any and all of its Party Development</w:t>
      </w:r>
      <w:r>
        <w:rPr>
          <w:rFonts w:ascii="Arial" w:cs="Arial" w:eastAsia="Arial" w:hAnsi="Arial"/>
          <w:sz w:val="21"/>
          <w:szCs w:val="21"/>
          <w:b w:val="1"/>
          <w:bCs w:val="1"/>
          <w:color w:val="auto"/>
        </w:rPr>
        <w:t xml:space="preserve"> </w:t>
      </w:r>
      <w:r>
        <w:rPr>
          <w:rFonts w:ascii="Arial" w:cs="Arial" w:eastAsia="Arial" w:hAnsi="Arial"/>
          <w:sz w:val="21"/>
          <w:szCs w:val="21"/>
          <w:color w:val="auto"/>
        </w:rPr>
        <w:t>Activities under the Discovery Research Plan in good scientific manner and in compliance with all Applicable Law.</w:t>
      </w:r>
    </w:p>
    <w:p>
      <w:pPr>
        <w:spacing w:after="0" w:line="31"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color w:val="auto"/>
        </w:rPr>
        <w:t>Records.</w:t>
      </w:r>
    </w:p>
    <w:p>
      <w:pPr>
        <w:spacing w:after="0" w:line="98"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4.10.1 </w:t>
      </w:r>
      <w:r>
        <w:rPr>
          <w:rFonts w:ascii="Arial" w:cs="Arial" w:eastAsia="Arial" w:hAnsi="Arial"/>
          <w:sz w:val="22"/>
          <w:szCs w:val="22"/>
          <w:color w:val="auto"/>
        </w:rPr>
        <w:t>Each of Licensor and AbbVie shall, and shall ensure that its Third Party Providers,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maintain records in sufficient detail and in good scientific manner appropriate for patent and regulatory purposes, and in compliance with Applicable Law, which shall be complete and accurate and shall properly reflect all work done and results achieved in the performance of its designated Party Development Activities which shall record only such activities and shall not include or be commingled with records of activities outside the scope of this Agreement. Such records shall be retained by Licensor or AbbVie, as the case may be, for at least [***] after the termination of this Agreement, or for such longer period as may be required by Applicable Law. Upon request, Licensor shall provide copies of the records it has maintained pursuant to this </w:t>
      </w:r>
      <w:r>
        <w:rPr>
          <w:rFonts w:ascii="Arial" w:cs="Arial" w:eastAsia="Arial" w:hAnsi="Arial"/>
          <w:sz w:val="22"/>
          <w:szCs w:val="22"/>
          <w:u w:val="single" w:color="auto"/>
          <w:color w:val="auto"/>
        </w:rPr>
        <w:t>Section 4.10.1</w:t>
      </w:r>
      <w:r>
        <w:rPr>
          <w:rFonts w:ascii="Arial" w:cs="Arial" w:eastAsia="Arial" w:hAnsi="Arial"/>
          <w:sz w:val="22"/>
          <w:szCs w:val="22"/>
          <w:color w:val="auto"/>
        </w:rPr>
        <w:t xml:space="preserve"> to AbbVie.</w:t>
      </w:r>
    </w:p>
    <w:p>
      <w:pPr>
        <w:spacing w:after="0" w:line="71"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4.10.2 </w:t>
      </w:r>
      <w:r>
        <w:rPr>
          <w:rFonts w:ascii="Arial" w:cs="Arial" w:eastAsia="Arial" w:hAnsi="Arial"/>
          <w:sz w:val="22"/>
          <w:szCs w:val="22"/>
          <w:color w:val="auto"/>
        </w:rPr>
        <w:t>AbbVie shall have the right, during normal business hours and upon reasonable notice,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inspect and copy all records of Licensor maintained pursuant to </w:t>
      </w:r>
      <w:r>
        <w:rPr>
          <w:rFonts w:ascii="Arial" w:cs="Arial" w:eastAsia="Arial" w:hAnsi="Arial"/>
          <w:sz w:val="22"/>
          <w:szCs w:val="22"/>
          <w:u w:val="single" w:color="auto"/>
          <w:color w:val="auto"/>
        </w:rPr>
        <w:t>Section 4.10.1</w:t>
      </w:r>
      <w:r>
        <w:rPr>
          <w:rFonts w:ascii="Arial" w:cs="Arial" w:eastAsia="Arial" w:hAnsi="Arial"/>
          <w:sz w:val="22"/>
          <w:szCs w:val="22"/>
          <w:color w:val="auto"/>
        </w:rPr>
        <w:t xml:space="preserve">. AbbVie shall maintain such records and the information disclosed therein in confidence in accordance with </w:t>
      </w:r>
      <w:r>
        <w:rPr>
          <w:rFonts w:ascii="Arial" w:cs="Arial" w:eastAsia="Arial" w:hAnsi="Arial"/>
          <w:sz w:val="22"/>
          <w:szCs w:val="22"/>
          <w:u w:val="single" w:color="auto"/>
          <w:color w:val="auto"/>
        </w:rPr>
        <w:t>ARTICLE 10</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182" w:lineRule="exact"/>
        <w:rPr>
          <w:sz w:val="20"/>
          <w:szCs w:val="20"/>
          <w:color w:val="auto"/>
        </w:rPr>
      </w:pPr>
    </w:p>
    <w:p>
      <w:pPr>
        <w:jc w:val="both"/>
        <w:ind w:right="20" w:firstLine="1755"/>
        <w:spacing w:after="0" w:line="280" w:lineRule="auto"/>
        <w:rPr>
          <w:sz w:val="20"/>
          <w:szCs w:val="20"/>
          <w:color w:val="auto"/>
        </w:rPr>
      </w:pPr>
      <w:r>
        <w:rPr>
          <w:rFonts w:ascii="Arial" w:cs="Arial" w:eastAsia="Arial" w:hAnsi="Arial"/>
          <w:sz w:val="21"/>
          <w:szCs w:val="21"/>
          <w:b w:val="1"/>
          <w:bCs w:val="1"/>
          <w:color w:val="auto"/>
        </w:rPr>
        <w:t xml:space="preserve">5.1 In General. </w:t>
      </w:r>
      <w:r>
        <w:rPr>
          <w:rFonts w:ascii="Arial" w:cs="Arial" w:eastAsia="Arial" w:hAnsi="Arial"/>
          <w:sz w:val="21"/>
          <w:szCs w:val="21"/>
          <w:color w:val="auto"/>
        </w:rPr>
        <w:t>AbbVie (itself or through its Affiliates or Sublicensees) shall have the sole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Commercialize AbbVie Probodies, Discovery PDCs and Licensed Products in the Territory at its own cost and expense.</w:t>
      </w:r>
    </w:p>
    <w:p>
      <w:pPr>
        <w:spacing w:after="0" w:line="31"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1"/>
          <w:szCs w:val="21"/>
          <w:b w:val="1"/>
          <w:bCs w:val="1"/>
          <w:color w:val="auto"/>
        </w:rPr>
        <w:t xml:space="preserve">5.2 Diligence. </w:t>
      </w:r>
      <w:r>
        <w:rPr>
          <w:rFonts w:ascii="Arial" w:cs="Arial" w:eastAsia="Arial" w:hAnsi="Arial"/>
          <w:sz w:val="21"/>
          <w:szCs w:val="21"/>
          <w:color w:val="auto"/>
        </w:rPr>
        <w:t>On an Accepted Target-by-Accepted Target basis, AbbVie shall use Commercially</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Efforts to Commercialize one Licensed Product in each Major Market following receipt of Regulatory Approval therefor in such Major Market</w:t>
      </w:r>
      <w:r>
        <w:rPr>
          <w:rFonts w:ascii="Arial" w:cs="Arial" w:eastAsia="Arial" w:hAnsi="Arial"/>
          <w:sz w:val="21"/>
          <w:szCs w:val="21"/>
          <w:b w:val="1"/>
          <w:b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such obligation is expressly conditioned upon Licensor’s and its Affiliates’ performing their respective obligations hereunder. Licensor acknowledges and agrees that, in addition to the foregoing, (A) AbbVie shall have the right to satisfy its diligence obligations hereunder through its Affiliates or Sublicensees [***].</w:t>
      </w:r>
    </w:p>
    <w:p>
      <w:pPr>
        <w:spacing w:after="0" w:line="61"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5.3 Statements and Compliance with Applicable Law. </w:t>
      </w:r>
      <w:r>
        <w:rPr>
          <w:rFonts w:ascii="Arial" w:cs="Arial" w:eastAsia="Arial" w:hAnsi="Arial"/>
          <w:sz w:val="22"/>
          <w:szCs w:val="22"/>
          <w:color w:val="auto"/>
        </w:rPr>
        <w:t>AbbVie shall, and shall cause its Affiliates to,</w:t>
      </w:r>
      <w:r>
        <w:rPr>
          <w:rFonts w:ascii="Arial" w:cs="Arial" w:eastAsia="Arial" w:hAnsi="Arial"/>
          <w:sz w:val="22"/>
          <w:szCs w:val="22"/>
          <w:b w:val="1"/>
          <w:bCs w:val="1"/>
          <w:color w:val="auto"/>
        </w:rPr>
        <w:t xml:space="preserve"> </w:t>
      </w:r>
      <w:r>
        <w:rPr>
          <w:rFonts w:ascii="Arial" w:cs="Arial" w:eastAsia="Arial" w:hAnsi="Arial"/>
          <w:sz w:val="22"/>
          <w:szCs w:val="22"/>
          <w:color w:val="auto"/>
        </w:rPr>
        <w:t>comply with all Applicable Law with respect to the Commercialization of Licensed Products.</w:t>
      </w:r>
    </w:p>
    <w:p>
      <w:pPr>
        <w:spacing w:after="0" w:line="55" w:lineRule="exact"/>
        <w:rPr>
          <w:sz w:val="20"/>
          <w:szCs w:val="20"/>
          <w:color w:val="auto"/>
        </w:rPr>
      </w:pPr>
    </w:p>
    <w:p>
      <w:pPr>
        <w:jc w:val="both"/>
        <w:ind w:right="20" w:firstLine="1755"/>
        <w:spacing w:after="0" w:line="243" w:lineRule="auto"/>
        <w:rPr>
          <w:sz w:val="20"/>
          <w:szCs w:val="20"/>
          <w:color w:val="auto"/>
        </w:rPr>
      </w:pPr>
      <w:r>
        <w:rPr>
          <w:rFonts w:ascii="Arial" w:cs="Arial" w:eastAsia="Arial" w:hAnsi="Arial"/>
          <w:sz w:val="22"/>
          <w:szCs w:val="22"/>
          <w:b w:val="1"/>
          <w:bCs w:val="1"/>
          <w:color w:val="auto"/>
        </w:rPr>
        <w:t xml:space="preserve">5.4 Booking of Sales; Distribution. </w:t>
      </w:r>
      <w:r>
        <w:rPr>
          <w:rFonts w:ascii="Arial" w:cs="Arial" w:eastAsia="Arial" w:hAnsi="Arial"/>
          <w:sz w:val="22"/>
          <w:szCs w:val="22"/>
          <w:color w:val="auto"/>
        </w:rPr>
        <w:t>AbbVie shall have the sole right to invoice and book sales,</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 all terms of sale (including pricing and discounts) and warehousing, and distribute the Licensed Products in the Territory and to perform or cause to be performed all related</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8" w:name="page109"/>
    <w:bookmarkEnd w:id="108"/>
    <w:p>
      <w:pPr>
        <w:jc w:val="both"/>
        <w:spacing w:after="0" w:line="251" w:lineRule="auto"/>
        <w:rPr>
          <w:sz w:val="20"/>
          <w:szCs w:val="20"/>
          <w:color w:val="auto"/>
        </w:rPr>
      </w:pPr>
      <w:r>
        <w:rPr>
          <w:rFonts w:ascii="Arial" w:cs="Arial" w:eastAsia="Arial" w:hAnsi="Arial"/>
          <w:sz w:val="22"/>
          <w:szCs w:val="22"/>
          <w:color w:val="auto"/>
        </w:rPr>
        <w:t>services. AbbVie shall handle all returns, recalls, or withdrawals, order processing, invoicing, collection, distribution, and inventory management with respect to the Licensed Products in the Territory.</w:t>
      </w:r>
    </w:p>
    <w:p>
      <w:pPr>
        <w:spacing w:after="0" w:line="59"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b w:val="1"/>
          <w:bCs w:val="1"/>
          <w:color w:val="auto"/>
        </w:rPr>
        <w:t xml:space="preserve">5.5 Product Trademarks. </w:t>
      </w:r>
      <w:r>
        <w:rPr>
          <w:rFonts w:ascii="Arial" w:cs="Arial" w:eastAsia="Arial" w:hAnsi="Arial"/>
          <w:sz w:val="21"/>
          <w:szCs w:val="21"/>
          <w:color w:val="auto"/>
        </w:rPr>
        <w:t>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5.6</w:t>
      </w:r>
      <w:r>
        <w:rPr>
          <w:rFonts w:ascii="Arial" w:cs="Arial" w:eastAsia="Arial" w:hAnsi="Arial"/>
          <w:sz w:val="21"/>
          <w:szCs w:val="21"/>
          <w:color w:val="auto"/>
        </w:rPr>
        <w:t>, AbbVie shall have the sole right to determine and</w:t>
      </w:r>
      <w:r>
        <w:rPr>
          <w:rFonts w:ascii="Arial" w:cs="Arial" w:eastAsia="Arial" w:hAnsi="Arial"/>
          <w:sz w:val="21"/>
          <w:szCs w:val="21"/>
          <w:b w:val="1"/>
          <w:bCs w:val="1"/>
          <w:color w:val="auto"/>
        </w:rPr>
        <w:t xml:space="preserve"> </w:t>
      </w:r>
      <w:r>
        <w:rPr>
          <w:rFonts w:ascii="Arial" w:cs="Arial" w:eastAsia="Arial" w:hAnsi="Arial"/>
          <w:sz w:val="21"/>
          <w:szCs w:val="21"/>
          <w:color w:val="auto"/>
        </w:rPr>
        <w:t>own the Product Trademarks to be used with respect to the Exploitation of the Licensed Products on a worldwide basis. Licensor shall not, and shall not permit its Affiliates to, (a) use in their respective businesses, any Trademark that is confusingly similar to, misleading or deceptive with respect to or that dilutes any (or any part) of the Product Trademarks, and (b) do any act which endangers, destroys, or similarly affects, in any material respect, the value of the goodwill pertaining to the Product Trademarks. Licensor agrees, and shall cause its Affiliates, to conform (i) to the customary industry standards for the protection of Product Trademarks for products and such guidelines of AbbVie with respect to manner of use (as provided in writing by AbbVie) of the Product Trademarks, and (ii) to maintain the quality standards of AbbVie with respect to the goods sold and services provided in connection with such Product Trademarks. Licensor shall not, and shall not permit its Affiliates to, attack, dispute, or contest the validity of or ownership of such Product Trademark anywhere in the Territory or any registrations issued or issuing with respect thereto.</w:t>
      </w:r>
    </w:p>
    <w:p>
      <w:pPr>
        <w:spacing w:after="0" w:line="70" w:lineRule="exact"/>
        <w:rPr>
          <w:sz w:val="20"/>
          <w:szCs w:val="20"/>
          <w:color w:val="auto"/>
        </w:rPr>
      </w:pPr>
    </w:p>
    <w:p>
      <w:pPr>
        <w:jc w:val="both"/>
        <w:ind w:firstLine="1755"/>
        <w:spacing w:after="0" w:line="289" w:lineRule="auto"/>
        <w:rPr>
          <w:sz w:val="20"/>
          <w:szCs w:val="20"/>
          <w:color w:val="auto"/>
        </w:rPr>
      </w:pPr>
      <w:r>
        <w:rPr>
          <w:rFonts w:ascii="Arial" w:cs="Arial" w:eastAsia="Arial" w:hAnsi="Arial"/>
          <w:sz w:val="19"/>
          <w:szCs w:val="19"/>
          <w:b w:val="1"/>
          <w:bCs w:val="1"/>
          <w:color w:val="auto"/>
        </w:rPr>
        <w:t xml:space="preserve">5.6 Markings. </w:t>
      </w:r>
      <w:r>
        <w:rPr>
          <w:rFonts w:ascii="Arial" w:cs="Arial" w:eastAsia="Arial" w:hAnsi="Arial"/>
          <w:sz w:val="19"/>
          <w:szCs w:val="19"/>
          <w:color w:val="auto"/>
        </w:rPr>
        <w:t>To the extent required by Applicable Law in a country or other jurisdiction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the promotional materials, packaging, and Product Labeling for the Licensed Products used by AbbVie and its Affiliates in connection with the Licensed Products in such country or other jurisdiction shall contain (a) the Corporate Name of Licensor, and (b) the logo and corporate name of the manufacturer (if other than AbbVie or an Affiliate) (collectively, the “</w:t>
      </w:r>
      <w:r>
        <w:rPr>
          <w:rFonts w:ascii="Arial" w:cs="Arial" w:eastAsia="Arial" w:hAnsi="Arial"/>
          <w:sz w:val="19"/>
          <w:szCs w:val="19"/>
          <w:b w:val="1"/>
          <w:bCs w:val="1"/>
          <w:color w:val="auto"/>
        </w:rPr>
        <w:t>Markings</w:t>
      </w:r>
      <w:r>
        <w:rPr>
          <w:rFonts w:ascii="Arial" w:cs="Arial" w:eastAsia="Arial" w:hAnsi="Arial"/>
          <w:sz w:val="19"/>
          <w:szCs w:val="19"/>
          <w:color w:val="auto"/>
        </w:rPr>
        <w:t>”).</w:t>
      </w:r>
    </w:p>
    <w:p>
      <w:pPr>
        <w:spacing w:after="0" w:line="28"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9"/>
          <w:szCs w:val="19"/>
          <w:b w:val="1"/>
          <w:bCs w:val="1"/>
          <w:color w:val="auto"/>
        </w:rPr>
        <w:t>Commercial Supply of AbbVie Probodies, Discovery PDCs or Licensed Products.</w:t>
      </w:r>
    </w:p>
    <w:p>
      <w:pPr>
        <w:spacing w:after="0" w:line="98"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5.7.1 Commercial Supply of AbbVie Probodies, Discovery PDCs or Licensed Products. </w:t>
      </w:r>
      <w:r>
        <w:rPr>
          <w:rFonts w:ascii="Arial" w:cs="Arial" w:eastAsia="Arial" w:hAnsi="Arial"/>
          <w:sz w:val="22"/>
          <w:szCs w:val="22"/>
          <w:color w:val="auto"/>
        </w:rPr>
        <w:t>As between the Parties, AbbVie shall have the sole right, at its expense, to Manufacture (or have Manufactured) and</w:t>
      </w:r>
      <w:r>
        <w:rPr>
          <w:rFonts w:ascii="Arial" w:cs="Arial" w:eastAsia="Arial" w:hAnsi="Arial"/>
          <w:sz w:val="22"/>
          <w:szCs w:val="22"/>
          <w:b w:val="1"/>
          <w:bCs w:val="1"/>
          <w:color w:val="auto"/>
        </w:rPr>
        <w:t xml:space="preserve"> </w:t>
      </w:r>
      <w:r>
        <w:rPr>
          <w:rFonts w:ascii="Arial" w:cs="Arial" w:eastAsia="Arial" w:hAnsi="Arial"/>
          <w:sz w:val="22"/>
          <w:szCs w:val="22"/>
          <w:color w:val="auto"/>
        </w:rPr>
        <w:t>supply AbbVie Probodies, Discovery PDCs and Licensed Products for commercial sale in the Territory by AbbVie and its Affiliates and Sublicensees.</w:t>
      </w:r>
    </w:p>
    <w:p>
      <w:pPr>
        <w:spacing w:after="0" w:line="73" w:lineRule="exact"/>
        <w:rPr>
          <w:sz w:val="20"/>
          <w:szCs w:val="20"/>
          <w:color w:val="auto"/>
        </w:rPr>
      </w:pPr>
    </w:p>
    <w:p>
      <w:pPr>
        <w:jc w:val="both"/>
        <w:ind w:firstLine="2634"/>
        <w:spacing w:after="0" w:line="274" w:lineRule="auto"/>
        <w:rPr>
          <w:sz w:val="20"/>
          <w:szCs w:val="20"/>
          <w:color w:val="auto"/>
        </w:rPr>
      </w:pPr>
      <w:r>
        <w:rPr>
          <w:rFonts w:ascii="Arial" w:cs="Arial" w:eastAsia="Arial" w:hAnsi="Arial"/>
          <w:sz w:val="19"/>
          <w:szCs w:val="19"/>
          <w:b w:val="1"/>
          <w:bCs w:val="1"/>
          <w:color w:val="auto"/>
        </w:rPr>
        <w:t xml:space="preserve">5.7.2 Manufacturing Technology Transfer Upon AbbVie’s Request. </w:t>
      </w:r>
      <w:r>
        <w:rPr>
          <w:rFonts w:ascii="Arial" w:cs="Arial" w:eastAsia="Arial" w:hAnsi="Arial"/>
          <w:sz w:val="19"/>
          <w:szCs w:val="19"/>
          <w:color w:val="auto"/>
        </w:rPr>
        <w:t>AbbVie shall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right, at any time and from time to time after the Effective Date, to require Licensor to effect a full transfer to AbbVie or its designee (which designee may be an Affiliate or a Third Party manufacturer, and which Third Party manufacturer may be a backup manufacturer or a second manufacturer of AbbVie Probody, Discovery PDC or Licensed Product) of all Licensor Background Know-How, Licensor Program Know-How and Joint Program Know-How relating to the then-current process necessary or useful for the Manufacture of the Discovery Probodies, (the “</w:t>
      </w:r>
      <w:r>
        <w:rPr>
          <w:rFonts w:ascii="Arial" w:cs="Arial" w:eastAsia="Arial" w:hAnsi="Arial"/>
          <w:sz w:val="19"/>
          <w:szCs w:val="19"/>
          <w:b w:val="1"/>
          <w:bCs w:val="1"/>
          <w:color w:val="auto"/>
        </w:rPr>
        <w:t>Manufacturing Process</w:t>
      </w:r>
      <w:r>
        <w:rPr>
          <w:rFonts w:ascii="Arial" w:cs="Arial" w:eastAsia="Arial" w:hAnsi="Arial"/>
          <w:sz w:val="19"/>
          <w:szCs w:val="19"/>
          <w:color w:val="auto"/>
        </w:rPr>
        <w:t xml:space="preserve">”) and to implement the Manufacturing Process at facilities designated by AbbVie (such transfer and implementation, as more fully described in this </w:t>
      </w:r>
      <w:r>
        <w:rPr>
          <w:rFonts w:ascii="Arial" w:cs="Arial" w:eastAsia="Arial" w:hAnsi="Arial"/>
          <w:sz w:val="19"/>
          <w:szCs w:val="19"/>
          <w:u w:val="single" w:color="auto"/>
          <w:color w:val="auto"/>
        </w:rPr>
        <w:t>Section 5.7.2</w:t>
      </w:r>
      <w:r>
        <w:rPr>
          <w:rFonts w:ascii="Arial" w:cs="Arial" w:eastAsia="Arial" w:hAnsi="Arial"/>
          <w:sz w:val="19"/>
          <w:szCs w:val="19"/>
          <w:color w:val="auto"/>
        </w:rPr>
        <w:t>, the “</w:t>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Licensor shall provide, and shall cause its Third Party manufacturers that have manufactured Discovery Probodies (“</w:t>
      </w:r>
      <w:r>
        <w:rPr>
          <w:rFonts w:ascii="Arial" w:cs="Arial" w:eastAsia="Arial" w:hAnsi="Arial"/>
          <w:sz w:val="19"/>
          <w:szCs w:val="19"/>
          <w:b w:val="1"/>
          <w:bCs w:val="1"/>
          <w:color w:val="auto"/>
        </w:rPr>
        <w:t>Third Party Manufacturers</w:t>
      </w:r>
      <w:r>
        <w:rPr>
          <w:rFonts w:ascii="Arial" w:cs="Arial" w:eastAsia="Arial" w:hAnsi="Arial"/>
          <w:sz w:val="19"/>
          <w:szCs w:val="19"/>
          <w:color w:val="auto"/>
        </w:rPr>
        <w:t>”) to provide, all reasonable assistance requested by AbbVie to enable AbbVie (or its Affiliate or designated Third Party manufacturer, as applicable) to implement the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09" w:name="page110"/>
    <w:bookmarkEnd w:id="109"/>
    <w:p>
      <w:pPr>
        <w:jc w:val="both"/>
        <w:spacing w:after="0" w:line="238" w:lineRule="auto"/>
        <w:rPr>
          <w:sz w:val="20"/>
          <w:szCs w:val="20"/>
          <w:color w:val="auto"/>
        </w:rPr>
      </w:pPr>
      <w:r>
        <w:rPr>
          <w:rFonts w:ascii="Arial" w:cs="Arial" w:eastAsia="Arial" w:hAnsi="Arial"/>
          <w:sz w:val="22"/>
          <w:szCs w:val="22"/>
          <w:color w:val="auto"/>
        </w:rPr>
        <w:t>Manufacturing Process at the facilities designated by AbbVie. If requested by AbbVie, such assistance shall include facilitating the entering into of agreements with applicable Third Party Manufacturers relating to Discovery Probodies. Without limitation to the foregoing, in connection with each Manufacturing Technology Transfer, Licensor shall, and shall cause its Third Party Manufacturers to:</w:t>
      </w:r>
    </w:p>
    <w:p>
      <w:pPr>
        <w:spacing w:after="0" w:line="77" w:lineRule="exact"/>
        <w:rPr>
          <w:sz w:val="20"/>
          <w:szCs w:val="20"/>
          <w:color w:val="auto"/>
        </w:rPr>
      </w:pPr>
    </w:p>
    <w:p>
      <w:pPr>
        <w:jc w:val="both"/>
        <w:ind w:firstLine="3519"/>
        <w:spacing w:after="0" w:line="279" w:lineRule="auto"/>
        <w:tabs>
          <w:tab w:leader="none" w:pos="4399" w:val="left"/>
        </w:tabs>
        <w:numPr>
          <w:ilvl w:val="0"/>
          <w:numId w:val="58"/>
        </w:numPr>
        <w:rPr>
          <w:rFonts w:ascii="Arial" w:cs="Arial" w:eastAsia="Arial" w:hAnsi="Arial"/>
          <w:sz w:val="19"/>
          <w:szCs w:val="19"/>
          <w:color w:val="auto"/>
        </w:rPr>
      </w:pPr>
      <w:r>
        <w:rPr>
          <w:rFonts w:ascii="Arial" w:cs="Arial" w:eastAsia="Arial" w:hAnsi="Arial"/>
          <w:sz w:val="19"/>
          <w:szCs w:val="19"/>
          <w:color w:val="auto"/>
        </w:rPr>
        <w:t>make available to AbbVie (or its Affiliate or designated Third Party manufacturer, as applicable) from time to time as AbbVie may request, all Manufacturing-related Licensor Background Know-How, Licensor Program Know-How, Joint Program Know-How, Information and materials relating to the Manufacturing Process, and all documentation constituting material support, performance advice, shop practice, standard operating procedures, specifications as to materials to be used and control methods, that are reasonably necessary or useful to enable AbbVie (or its Affiliate or designated Third Party manufacturer, as applicable) to use and practice the Manufacturing Process;</w:t>
      </w:r>
    </w:p>
    <w:p>
      <w:pPr>
        <w:spacing w:after="0" w:line="42" w:lineRule="exact"/>
        <w:rPr>
          <w:rFonts w:ascii="Arial" w:cs="Arial" w:eastAsia="Arial" w:hAnsi="Arial"/>
          <w:sz w:val="19"/>
          <w:szCs w:val="19"/>
          <w:color w:val="auto"/>
        </w:rPr>
      </w:pPr>
    </w:p>
    <w:p>
      <w:pPr>
        <w:jc w:val="both"/>
        <w:ind w:firstLine="3519"/>
        <w:spacing w:after="0" w:line="234" w:lineRule="auto"/>
        <w:tabs>
          <w:tab w:leader="none" w:pos="4412" w:val="left"/>
        </w:tabs>
        <w:numPr>
          <w:ilvl w:val="0"/>
          <w:numId w:val="58"/>
        </w:numPr>
        <w:rPr>
          <w:rFonts w:ascii="Arial" w:cs="Arial" w:eastAsia="Arial" w:hAnsi="Arial"/>
          <w:sz w:val="22"/>
          <w:szCs w:val="22"/>
          <w:color w:val="auto"/>
        </w:rPr>
      </w:pPr>
      <w:r>
        <w:rPr>
          <w:rFonts w:ascii="Arial" w:cs="Arial" w:eastAsia="Arial" w:hAnsi="Arial"/>
          <w:sz w:val="22"/>
          <w:szCs w:val="22"/>
          <w:color w:val="auto"/>
        </w:rPr>
        <w:t>cause all appropriate employees and representatives of Licensor and its Affiliates and all appropriate employees and representatives of its Third Party Manufacturers to meet with employees or representatives of AbbVie (or its Affiliate or designated Third Party manufacturer, as applicable) at the applicable manufacturing facility at mutually convenient times to assist with the working up and use of the Manufacturing Process and with the training of the personnel of AbbVie (or its Affiliate or designated Third Party manufacturer, as applicable) to the extent reasonably necessary or useful to enable AbbVie (or its Affiliate or designated Third Party manufacturer, as applicable) to use and practice the Manufacturing Process;</w:t>
      </w:r>
    </w:p>
    <w:p>
      <w:pPr>
        <w:spacing w:after="0" w:line="83" w:lineRule="exact"/>
        <w:rPr>
          <w:rFonts w:ascii="Arial" w:cs="Arial" w:eastAsia="Arial" w:hAnsi="Arial"/>
          <w:sz w:val="22"/>
          <w:szCs w:val="22"/>
          <w:color w:val="auto"/>
        </w:rPr>
      </w:pPr>
    </w:p>
    <w:p>
      <w:pPr>
        <w:jc w:val="both"/>
        <w:ind w:firstLine="3519"/>
        <w:spacing w:after="0" w:line="246" w:lineRule="auto"/>
        <w:tabs>
          <w:tab w:leader="none" w:pos="4399"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Without limiting the generality of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above, cause all appropriate analytical and quality control laboratory employees and representatives of Licensor and its Affiliates and all appropriate analytical and quality control employees and representatives of its Third Party Manufacturers to meet with employees or representatives of AbbVie (or its Affiliate or designated Third Party manufacturer, as applicable) at the applicable manufacturing facility and make available all necessary equipment, at mutually convenient times, to support and execute the transfer of all applicable analytical methods and the validation thereof (including, all applicable Licensor Background Know-How, Licensor Program Know-How, Joint Program Know-How, methods, validation documents and other documentation, materials and sufficient supplies of all primary and other reference standards);</w:t>
      </w:r>
    </w:p>
    <w:p>
      <w:pPr>
        <w:spacing w:after="0" w:line="72" w:lineRule="exact"/>
        <w:rPr>
          <w:rFonts w:ascii="Arial" w:cs="Arial" w:eastAsia="Arial" w:hAnsi="Arial"/>
          <w:sz w:val="21"/>
          <w:szCs w:val="21"/>
          <w:color w:val="auto"/>
        </w:rPr>
      </w:pPr>
    </w:p>
    <w:p>
      <w:pPr>
        <w:jc w:val="both"/>
        <w:ind w:firstLine="3519"/>
        <w:spacing w:after="0" w:line="297" w:lineRule="auto"/>
        <w:tabs>
          <w:tab w:leader="none" w:pos="4412" w:val="left"/>
        </w:tabs>
        <w:numPr>
          <w:ilvl w:val="0"/>
          <w:numId w:val="58"/>
        </w:numPr>
        <w:rPr>
          <w:rFonts w:ascii="Arial" w:cs="Arial" w:eastAsia="Arial" w:hAnsi="Arial"/>
          <w:sz w:val="19"/>
          <w:szCs w:val="19"/>
          <w:color w:val="auto"/>
        </w:rPr>
      </w:pPr>
      <w:r>
        <w:rPr>
          <w:rFonts w:ascii="Arial" w:cs="Arial" w:eastAsia="Arial" w:hAnsi="Arial"/>
          <w:sz w:val="19"/>
          <w:szCs w:val="19"/>
          <w:color w:val="auto"/>
        </w:rPr>
        <w:t>take such steps as are reasonably necessary or useful to assist in reasonable respects AbbVie (or its Affiliate or designated Third Party manufacturer, as applicable) in obtaining any necessary licenses, permits or approvals from Regulatory Authorities with respect to the Manufacture of Discovery Probodies at the applicable facilities; and</w:t>
      </w:r>
    </w:p>
    <w:p>
      <w:pPr>
        <w:spacing w:after="0" w:line="26" w:lineRule="exact"/>
        <w:rPr>
          <w:rFonts w:ascii="Arial" w:cs="Arial" w:eastAsia="Arial" w:hAnsi="Arial"/>
          <w:sz w:val="19"/>
          <w:szCs w:val="19"/>
          <w:color w:val="auto"/>
        </w:rPr>
      </w:pPr>
    </w:p>
    <w:p>
      <w:pPr>
        <w:jc w:val="both"/>
        <w:ind w:firstLine="3519"/>
        <w:spacing w:after="0" w:line="297" w:lineRule="auto"/>
        <w:tabs>
          <w:tab w:leader="none" w:pos="4399"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provide such other assistance as AbbVie (or its Affiliate or designated Third Party manufacturer, as applicable) may reasonably request to enable AbbVie (or its Affiliate or designated Third Party manufacturer, as applicable) to use and practice the Manufacturing Process and otherwise to Manufacture Discovery Probodies</w:t>
      </w:r>
    </w:p>
    <w:p>
      <w:pPr>
        <w:spacing w:after="0" w:line="20"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5.7.3 Subsequent Manufacturing Technology Transfer. </w:t>
      </w:r>
      <w:r>
        <w:rPr>
          <w:rFonts w:ascii="Arial" w:cs="Arial" w:eastAsia="Arial" w:hAnsi="Arial"/>
          <w:sz w:val="22"/>
          <w:szCs w:val="22"/>
          <w:color w:val="auto"/>
        </w:rPr>
        <w:t>Without limiting the foregoing,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event that Licensor makes any invention, discovery, or improvement relating to the Manufacture of a Discovery Probody, a Discovery PDC or a Licensed Product after</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10" w:name="page111"/>
    <w:bookmarkEnd w:id="110"/>
    <w:p>
      <w:pPr>
        <w:jc w:val="both"/>
        <w:spacing w:after="0" w:line="297" w:lineRule="auto"/>
        <w:rPr>
          <w:sz w:val="20"/>
          <w:szCs w:val="20"/>
          <w:color w:val="auto"/>
        </w:rPr>
      </w:pPr>
      <w:r>
        <w:rPr>
          <w:rFonts w:ascii="Arial" w:cs="Arial" w:eastAsia="Arial" w:hAnsi="Arial"/>
          <w:sz w:val="19"/>
          <w:szCs w:val="19"/>
          <w:color w:val="auto"/>
        </w:rPr>
        <w:t xml:space="preserve">Licensor has conducted a technology transfer pursuant to </w:t>
      </w:r>
      <w:r>
        <w:rPr>
          <w:rFonts w:ascii="Arial" w:cs="Arial" w:eastAsia="Arial" w:hAnsi="Arial"/>
          <w:sz w:val="19"/>
          <w:szCs w:val="19"/>
          <w:u w:val="single" w:color="auto"/>
          <w:color w:val="auto"/>
        </w:rPr>
        <w:t>Section 5.7.2</w:t>
      </w:r>
      <w:r>
        <w:rPr>
          <w:rFonts w:ascii="Arial" w:cs="Arial" w:eastAsia="Arial" w:hAnsi="Arial"/>
          <w:sz w:val="19"/>
          <w:szCs w:val="19"/>
          <w:color w:val="auto"/>
        </w:rPr>
        <w:t xml:space="preserve">, Licensor shall, promptly disclose such invention, discovery, or improvement to AbbVie, and shall, at AbbVie’s request and at AbbVie’s sole cost and expense, perform technology transfer with respect to such invention, discovery, or improvement in the same manner as provided in </w:t>
      </w:r>
      <w:r>
        <w:rPr>
          <w:rFonts w:ascii="Arial" w:cs="Arial" w:eastAsia="Arial" w:hAnsi="Arial"/>
          <w:sz w:val="19"/>
          <w:szCs w:val="19"/>
          <w:u w:val="single" w:color="auto"/>
          <w:color w:val="auto"/>
        </w:rPr>
        <w:t>Section 5.7.2</w:t>
      </w:r>
      <w:r>
        <w:rPr>
          <w:rFonts w:ascii="Arial" w:cs="Arial" w:eastAsia="Arial" w:hAnsi="Arial"/>
          <w:sz w:val="19"/>
          <w:szCs w:val="19"/>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RIGHTS</w:t>
      </w:r>
    </w:p>
    <w:p>
      <w:pPr>
        <w:spacing w:after="0" w:line="182"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9"/>
          <w:szCs w:val="19"/>
          <w:b w:val="1"/>
          <w:bCs w:val="1"/>
          <w:color w:val="auto"/>
        </w:rPr>
        <w:t>Grants to AbbVie.</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19"/>
          <w:szCs w:val="19"/>
          <w:color w:val="auto"/>
        </w:rPr>
        <w:t>Upon the Effective Date, Licensor (on behalf of itself and its Affiliates) hereby grants to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AbbVie, on an Accepted Target-by-Accepted Target basis:</w:t>
      </w:r>
    </w:p>
    <w:p>
      <w:pPr>
        <w:spacing w:after="0" w:line="80" w:lineRule="exact"/>
        <w:rPr>
          <w:sz w:val="20"/>
          <w:szCs w:val="20"/>
          <w:color w:val="auto"/>
        </w:rPr>
      </w:pPr>
    </w:p>
    <w:p>
      <w:pPr>
        <w:jc w:val="both"/>
        <w:ind w:firstLine="3519"/>
        <w:spacing w:after="0" w:line="248" w:lineRule="auto"/>
        <w:tabs>
          <w:tab w:leader="none" w:pos="4399"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an exclusive (including with regard to Licensor and its Affiliates, except as provided in </w:t>
      </w:r>
      <w:r>
        <w:rPr>
          <w:rFonts w:ascii="Arial" w:cs="Arial" w:eastAsia="Arial" w:hAnsi="Arial"/>
          <w:sz w:val="21"/>
          <w:szCs w:val="21"/>
          <w:u w:val="single" w:color="auto"/>
          <w:color w:val="auto"/>
        </w:rPr>
        <w:t>Section 6.6</w:t>
      </w:r>
      <w:r>
        <w:rPr>
          <w:rFonts w:ascii="Arial" w:cs="Arial" w:eastAsia="Arial" w:hAnsi="Arial"/>
          <w:sz w:val="21"/>
          <w:szCs w:val="21"/>
          <w:color w:val="auto"/>
        </w:rPr>
        <w:t xml:space="preserve">) license (or sublicense), with the right to grant sublicenses in accordance with </w:t>
      </w:r>
      <w:r>
        <w:rPr>
          <w:rFonts w:ascii="Arial" w:cs="Arial" w:eastAsia="Arial" w:hAnsi="Arial"/>
          <w:sz w:val="21"/>
          <w:szCs w:val="21"/>
          <w:u w:val="single" w:color="auto"/>
          <w:color w:val="auto"/>
        </w:rPr>
        <w:t>Section 6.3</w:t>
      </w:r>
      <w:r>
        <w:rPr>
          <w:rFonts w:ascii="Arial" w:cs="Arial" w:eastAsia="Arial" w:hAnsi="Arial"/>
          <w:sz w:val="21"/>
          <w:szCs w:val="21"/>
          <w:color w:val="auto"/>
        </w:rPr>
        <w:t>, under the Licensor Background Patents, the Licensor Program Patents, the Licensor Background Know-How, the Licensor Program Know-How and Licensor’s interests in the Joint Program Patents and the Joint Program Know-How, to (a) characterize and test Discovery Probodies; (b) use Discovery Probodies to Manufacture and Develop Discovery PDCs and (c) Exploit the AbbVie Probodies, Discovery PDCs and Licensed Products in the Field in the Territory;</w:t>
      </w:r>
    </w:p>
    <w:p>
      <w:pPr>
        <w:spacing w:after="0" w:line="69" w:lineRule="exact"/>
        <w:rPr>
          <w:rFonts w:ascii="Arial" w:cs="Arial" w:eastAsia="Arial" w:hAnsi="Arial"/>
          <w:sz w:val="21"/>
          <w:szCs w:val="21"/>
          <w:color w:val="auto"/>
        </w:rPr>
      </w:pPr>
    </w:p>
    <w:p>
      <w:pPr>
        <w:jc w:val="both"/>
        <w:ind w:firstLine="3519"/>
        <w:spacing w:after="0" w:line="249" w:lineRule="auto"/>
        <w:tabs>
          <w:tab w:leader="none" w:pos="4412"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an exclusive (including with regard to Licensor and its Affiliates, except as provided in </w:t>
      </w:r>
      <w:r>
        <w:rPr>
          <w:rFonts w:ascii="Arial" w:cs="Arial" w:eastAsia="Arial" w:hAnsi="Arial"/>
          <w:sz w:val="21"/>
          <w:szCs w:val="21"/>
          <w:u w:val="single" w:color="auto"/>
          <w:color w:val="auto"/>
        </w:rPr>
        <w:t>Section 6.6</w:t>
      </w:r>
      <w:r>
        <w:rPr>
          <w:rFonts w:ascii="Arial" w:cs="Arial" w:eastAsia="Arial" w:hAnsi="Arial"/>
          <w:sz w:val="21"/>
          <w:szCs w:val="21"/>
          <w:color w:val="auto"/>
        </w:rPr>
        <w:t xml:space="preserve">) license and right of reference, with the right to grant sublicenses and further rights of reference in accordance with </w:t>
      </w:r>
      <w:r>
        <w:rPr>
          <w:rFonts w:ascii="Arial" w:cs="Arial" w:eastAsia="Arial" w:hAnsi="Arial"/>
          <w:sz w:val="21"/>
          <w:szCs w:val="21"/>
          <w:u w:val="single" w:color="auto"/>
          <w:color w:val="auto"/>
        </w:rPr>
        <w:t>Section 6.3</w:t>
      </w:r>
      <w:r>
        <w:rPr>
          <w:rFonts w:ascii="Arial" w:cs="Arial" w:eastAsia="Arial" w:hAnsi="Arial"/>
          <w:sz w:val="21"/>
          <w:szCs w:val="21"/>
          <w:color w:val="auto"/>
        </w:rPr>
        <w:t>, under the Regulatory Approvals and any other Regulatory Documentation that Licensor or its Affiliates may Control with respect to the Discovery Probodies, Discovery PDCs or Licensed Products as necessary for purposes of Exploiting the AbbVie Probodies, Discovery PDCs and Licensed Products in the Field in the Territory; and</w:t>
      </w:r>
    </w:p>
    <w:p>
      <w:pPr>
        <w:spacing w:after="0" w:line="70" w:lineRule="exact"/>
        <w:rPr>
          <w:rFonts w:ascii="Arial" w:cs="Arial" w:eastAsia="Arial" w:hAnsi="Arial"/>
          <w:sz w:val="21"/>
          <w:szCs w:val="21"/>
          <w:color w:val="auto"/>
        </w:rPr>
      </w:pPr>
    </w:p>
    <w:p>
      <w:pPr>
        <w:jc w:val="both"/>
        <w:ind w:firstLine="3519"/>
        <w:spacing w:after="0" w:line="287" w:lineRule="auto"/>
        <w:tabs>
          <w:tab w:leader="none" w:pos="4399"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8.1.6</w:t>
      </w:r>
      <w:r>
        <w:rPr>
          <w:rFonts w:ascii="Arial" w:cs="Arial" w:eastAsia="Arial" w:hAnsi="Arial"/>
          <w:sz w:val="19"/>
          <w:szCs w:val="19"/>
          <w:color w:val="auto"/>
        </w:rPr>
        <w:t xml:space="preserve">, a non-exclusive license, with the right to grant sublicenses in accordance with </w:t>
      </w:r>
      <w:r>
        <w:rPr>
          <w:rFonts w:ascii="Arial" w:cs="Arial" w:eastAsia="Arial" w:hAnsi="Arial"/>
          <w:sz w:val="19"/>
          <w:szCs w:val="19"/>
          <w:u w:val="single" w:color="auto"/>
          <w:color w:val="auto"/>
        </w:rPr>
        <w:t>Section 6.3</w:t>
      </w:r>
      <w:r>
        <w:rPr>
          <w:rFonts w:ascii="Arial" w:cs="Arial" w:eastAsia="Arial" w:hAnsi="Arial"/>
          <w:sz w:val="19"/>
          <w:szCs w:val="19"/>
          <w:color w:val="auto"/>
        </w:rPr>
        <w:t>, to use (a) Licensor’s Corporate Names solely as required to Exploit the AbbVie Probodies, Discovery PDCs or Licensed Products in the Field in the Territory, or (b) the trademark “Probody” to Exploit the AbbVie Probodies, Discovery PDCs or Licensed Products in the Field in the Territory, and in each case for no other purpose.</w:t>
      </w:r>
    </w:p>
    <w:p>
      <w:pPr>
        <w:spacing w:after="0" w:line="29" w:lineRule="exact"/>
        <w:rPr>
          <w:sz w:val="20"/>
          <w:szCs w:val="20"/>
          <w:color w:val="auto"/>
        </w:rPr>
      </w:pPr>
    </w:p>
    <w:p>
      <w:pPr>
        <w:jc w:val="both"/>
        <w:ind w:right="20" w:firstLine="2634"/>
        <w:spacing w:after="0" w:line="326" w:lineRule="auto"/>
        <w:rPr>
          <w:sz w:val="20"/>
          <w:szCs w:val="20"/>
          <w:color w:val="auto"/>
        </w:rPr>
      </w:pPr>
      <w:r>
        <w:rPr>
          <w:rFonts w:ascii="Arial" w:cs="Arial" w:eastAsia="Arial" w:hAnsi="Arial"/>
          <w:sz w:val="19"/>
          <w:szCs w:val="19"/>
          <w:b w:val="1"/>
          <w:bCs w:val="1"/>
          <w:color w:val="auto"/>
        </w:rPr>
        <w:t xml:space="preserve">6.1.2 </w:t>
      </w:r>
      <w:r>
        <w:rPr>
          <w:rFonts w:ascii="Arial" w:cs="Arial" w:eastAsia="Arial" w:hAnsi="Arial"/>
          <w:sz w:val="19"/>
          <w:szCs w:val="19"/>
          <w:color w:val="auto"/>
        </w:rPr>
        <w:t>The grants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6.1.1</w:t>
      </w:r>
      <w:r>
        <w:rPr>
          <w:rFonts w:ascii="Arial" w:cs="Arial" w:eastAsia="Arial" w:hAnsi="Arial"/>
          <w:sz w:val="19"/>
          <w:szCs w:val="19"/>
          <w:b w:val="1"/>
          <w:bCs w:val="1"/>
          <w:color w:val="auto"/>
        </w:rPr>
        <w:t xml:space="preserve"> </w:t>
      </w:r>
      <w:r>
        <w:rPr>
          <w:rFonts w:ascii="Arial" w:cs="Arial" w:eastAsia="Arial" w:hAnsi="Arial"/>
          <w:sz w:val="19"/>
          <w:szCs w:val="19"/>
          <w:color w:val="auto"/>
        </w:rPr>
        <w:t>will automatically come into full force and effect on</w:t>
      </w:r>
      <w:r>
        <w:rPr>
          <w:rFonts w:ascii="Arial" w:cs="Arial" w:eastAsia="Arial" w:hAnsi="Arial"/>
          <w:sz w:val="19"/>
          <w:szCs w:val="19"/>
          <w:b w:val="1"/>
          <w:bCs w:val="1"/>
          <w:color w:val="auto"/>
        </w:rPr>
        <w:t xml:space="preserve"> </w:t>
      </w:r>
      <w:r>
        <w:rPr>
          <w:rFonts w:ascii="Arial" w:cs="Arial" w:eastAsia="Arial" w:hAnsi="Arial"/>
          <w:sz w:val="19"/>
          <w:szCs w:val="19"/>
          <w:color w:val="auto"/>
        </w:rPr>
        <w:t>the Target Acceptance Date for such Accepted Target without any further action required by either Party under this Agreement.</w:t>
      </w:r>
    </w:p>
    <w:p>
      <w:pPr>
        <w:spacing w:after="0" w:line="1"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b w:val="1"/>
          <w:bCs w:val="1"/>
          <w:color w:val="auto"/>
        </w:rPr>
        <w:t>Grants to Licensor.</w:t>
      </w:r>
    </w:p>
    <w:p>
      <w:pPr>
        <w:spacing w:after="0" w:line="98" w:lineRule="exact"/>
        <w:rPr>
          <w:sz w:val="20"/>
          <w:szCs w:val="20"/>
          <w:color w:val="auto"/>
        </w:rPr>
      </w:pPr>
    </w:p>
    <w:p>
      <w:pPr>
        <w:jc w:val="both"/>
        <w:ind w:firstLine="2634"/>
        <w:spacing w:after="0" w:line="236" w:lineRule="auto"/>
        <w:rPr>
          <w:sz w:val="20"/>
          <w:szCs w:val="20"/>
          <w:color w:val="auto"/>
        </w:rPr>
      </w:pPr>
      <w:r>
        <w:rPr>
          <w:rFonts w:ascii="Arial" w:cs="Arial" w:eastAsia="Arial" w:hAnsi="Arial"/>
          <w:sz w:val="22"/>
          <w:szCs w:val="22"/>
          <w:b w:val="1"/>
          <w:bCs w:val="1"/>
          <w:color w:val="auto"/>
        </w:rPr>
        <w:t xml:space="preserve">6.2.1 </w:t>
      </w:r>
      <w:r>
        <w:rPr>
          <w:rFonts w:ascii="Arial" w:cs="Arial" w:eastAsia="Arial" w:hAnsi="Arial"/>
          <w:sz w:val="22"/>
          <w:szCs w:val="22"/>
          <w:color w:val="auto"/>
        </w:rPr>
        <w:t xml:space="preserve">Upon the Effective Date, AbbVie grants to Licensor, on an Accepted Target-by-Accepted Target basis, a non-exclusive, royalty-free license, without the right to grant sublicenses (other than to permitted subcontractors of Licensor in accordance with </w:t>
      </w:r>
      <w:r>
        <w:rPr>
          <w:rFonts w:ascii="Arial" w:cs="Arial" w:eastAsia="Arial" w:hAnsi="Arial"/>
          <w:sz w:val="22"/>
          <w:szCs w:val="22"/>
          <w:u w:val="single" w:color="auto"/>
          <w:color w:val="auto"/>
        </w:rPr>
        <w:t>Section 4.7</w:t>
      </w:r>
      <w:r>
        <w:rPr>
          <w:rFonts w:ascii="Arial" w:cs="Arial" w:eastAsia="Arial" w:hAnsi="Arial"/>
          <w:sz w:val="22"/>
          <w:szCs w:val="22"/>
          <w:color w:val="auto"/>
        </w:rPr>
        <w:t>), under the AbbVie Background Patents, AbbVie Background Know-How, AbbVie Program Patents, and AbbVie Program Know-How, claiming or covering Discovery Antibodies, to Develop and Manufacture the Discovery Probodies in the Territory solely for purposes of performing its obligations as set forth in, and subject to, the Discovery Research Plan.</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11" w:name="page112"/>
    <w:bookmarkEnd w:id="111"/>
    <w:p>
      <w:pPr>
        <w:jc w:val="both"/>
        <w:ind w:right="20" w:firstLine="2634"/>
        <w:spacing w:after="0" w:line="326" w:lineRule="auto"/>
        <w:rPr>
          <w:sz w:val="20"/>
          <w:szCs w:val="20"/>
          <w:color w:val="auto"/>
        </w:rPr>
      </w:pPr>
      <w:r>
        <w:rPr>
          <w:rFonts w:ascii="Arial" w:cs="Arial" w:eastAsia="Arial" w:hAnsi="Arial"/>
          <w:sz w:val="19"/>
          <w:szCs w:val="19"/>
          <w:b w:val="1"/>
          <w:bCs w:val="1"/>
          <w:color w:val="auto"/>
        </w:rPr>
        <w:t xml:space="preserve">6.2.2 </w:t>
      </w:r>
      <w:r>
        <w:rPr>
          <w:rFonts w:ascii="Arial" w:cs="Arial" w:eastAsia="Arial" w:hAnsi="Arial"/>
          <w:sz w:val="19"/>
          <w:szCs w:val="19"/>
          <w:color w:val="auto"/>
        </w:rPr>
        <w:t>The grants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6.2.1</w:t>
      </w:r>
      <w:r>
        <w:rPr>
          <w:rFonts w:ascii="Arial" w:cs="Arial" w:eastAsia="Arial" w:hAnsi="Arial"/>
          <w:sz w:val="19"/>
          <w:szCs w:val="19"/>
          <w:b w:val="1"/>
          <w:bCs w:val="1"/>
          <w:color w:val="auto"/>
        </w:rPr>
        <w:t xml:space="preserve"> </w:t>
      </w:r>
      <w:r>
        <w:rPr>
          <w:rFonts w:ascii="Arial" w:cs="Arial" w:eastAsia="Arial" w:hAnsi="Arial"/>
          <w:sz w:val="19"/>
          <w:szCs w:val="19"/>
          <w:color w:val="auto"/>
        </w:rPr>
        <w:t>will automatically come into full force and effect on</w:t>
      </w:r>
      <w:r>
        <w:rPr>
          <w:rFonts w:ascii="Arial" w:cs="Arial" w:eastAsia="Arial" w:hAnsi="Arial"/>
          <w:sz w:val="19"/>
          <w:szCs w:val="19"/>
          <w:b w:val="1"/>
          <w:bCs w:val="1"/>
          <w:color w:val="auto"/>
        </w:rPr>
        <w:t xml:space="preserve"> </w:t>
      </w:r>
      <w:r>
        <w:rPr>
          <w:rFonts w:ascii="Arial" w:cs="Arial" w:eastAsia="Arial" w:hAnsi="Arial"/>
          <w:sz w:val="19"/>
          <w:szCs w:val="19"/>
          <w:color w:val="auto"/>
        </w:rPr>
        <w:t>the Target Acceptance Date for such Accepted Target without any further action required by either Party under this Agreement.</w:t>
      </w:r>
    </w:p>
    <w:p>
      <w:pPr>
        <w:spacing w:after="0" w:line="1"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6.3 Sublicenses. </w:t>
      </w:r>
      <w:r>
        <w:rPr>
          <w:rFonts w:ascii="Arial" w:cs="Arial" w:eastAsia="Arial" w:hAnsi="Arial"/>
          <w:sz w:val="22"/>
          <w:szCs w:val="22"/>
          <w:color w:val="auto"/>
        </w:rPr>
        <w:t>AbbVie shall have the right to grant sublicenses (or further rights of reference),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through multiple tiers of sublicensees, under the licenses and rights of reference granted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to its Affiliates and other Persons;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AbbVie shall remain responsible for its obligations under this Agreement and shall be responsible for the performance of the relevant Sublicensee, and any such sublicenses shall be consistent with the terms and conditions of this Agreement.</w:t>
      </w:r>
    </w:p>
    <w:p>
      <w:pPr>
        <w:spacing w:after="0" w:line="7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b w:val="1"/>
          <w:bCs w:val="1"/>
          <w:color w:val="auto"/>
        </w:rPr>
        <w:t xml:space="preserve">6.4 Distributorships. </w:t>
      </w:r>
      <w:r>
        <w:rPr>
          <w:rFonts w:ascii="Arial" w:cs="Arial" w:eastAsia="Arial" w:hAnsi="Arial"/>
          <w:sz w:val="21"/>
          <w:szCs w:val="21"/>
          <w:color w:val="auto"/>
        </w:rPr>
        <w:t>AbbVie shall have the right, in its sole discretion, to appoint its Affiliates, and</w:t>
      </w:r>
      <w:r>
        <w:rPr>
          <w:rFonts w:ascii="Arial" w:cs="Arial" w:eastAsia="Arial" w:hAnsi="Arial"/>
          <w:sz w:val="21"/>
          <w:szCs w:val="21"/>
          <w:b w:val="1"/>
          <w:bCs w:val="1"/>
          <w:color w:val="auto"/>
        </w:rPr>
        <w:t xml:space="preserve"> </w:t>
      </w:r>
      <w:r>
        <w:rPr>
          <w:rFonts w:ascii="Arial" w:cs="Arial" w:eastAsia="Arial" w:hAnsi="Arial"/>
          <w:sz w:val="21"/>
          <w:szCs w:val="21"/>
          <w:color w:val="auto"/>
        </w:rPr>
        <w:t>AbbVie and its Affiliates shall have the right, in their sole discretion, to appoint any other Persons, in the Territory or in any country or other jurisdiction of the Territory, to distribute, market, and sell the Licensed Products (with or without packaging rights), in circumstances where the Person purchases its requirements of Licensed Products from AbbVie or its Affiliates. Where AbbVie or its Affiliates appoints such a Person and such Person is not an Affiliate of AbbVie, that Person shall be a “</w:t>
      </w:r>
      <w:r>
        <w:rPr>
          <w:rFonts w:ascii="Arial" w:cs="Arial" w:eastAsia="Arial" w:hAnsi="Arial"/>
          <w:sz w:val="21"/>
          <w:szCs w:val="21"/>
          <w:b w:val="1"/>
          <w:bCs w:val="1"/>
          <w:color w:val="auto"/>
        </w:rPr>
        <w:t>Distributor</w:t>
      </w:r>
      <w:r>
        <w:rPr>
          <w:rFonts w:ascii="Arial" w:cs="Arial" w:eastAsia="Arial" w:hAnsi="Arial"/>
          <w:sz w:val="21"/>
          <w:szCs w:val="21"/>
          <w:color w:val="auto"/>
        </w:rPr>
        <w:t>” for purposes of this Agreement. The term “</w:t>
      </w:r>
      <w:r>
        <w:rPr>
          <w:rFonts w:ascii="Arial" w:cs="Arial" w:eastAsia="Arial" w:hAnsi="Arial"/>
          <w:sz w:val="21"/>
          <w:szCs w:val="21"/>
          <w:b w:val="1"/>
          <w:bCs w:val="1"/>
          <w:color w:val="auto"/>
        </w:rPr>
        <w:t>packaging rights</w:t>
      </w:r>
      <w:r>
        <w:rPr>
          <w:rFonts w:ascii="Arial" w:cs="Arial" w:eastAsia="Arial" w:hAnsi="Arial"/>
          <w:sz w:val="21"/>
          <w:szCs w:val="21"/>
          <w:color w:val="auto"/>
        </w:rPr>
        <w:t>” in this Section means the right for the Distributor to package Licensed Products supplied in unpackaged bulk form into individual ready-for-sale packs.</w:t>
      </w:r>
    </w:p>
    <w:p>
      <w:pPr>
        <w:spacing w:after="0" w:line="63"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6.5 Co-Promotion Rights. </w:t>
      </w:r>
      <w:r>
        <w:rPr>
          <w:rFonts w:ascii="Arial" w:cs="Arial" w:eastAsia="Arial" w:hAnsi="Arial"/>
          <w:sz w:val="22"/>
          <w:szCs w:val="22"/>
          <w:color w:val="auto"/>
        </w:rPr>
        <w:t>For purposes of clarity, AbbVie and its Affiliates shall have the right, in</w:t>
      </w:r>
      <w:r>
        <w:rPr>
          <w:rFonts w:ascii="Arial" w:cs="Arial" w:eastAsia="Arial" w:hAnsi="Arial"/>
          <w:sz w:val="22"/>
          <w:szCs w:val="22"/>
          <w:b w:val="1"/>
          <w:bCs w:val="1"/>
          <w:color w:val="auto"/>
        </w:rPr>
        <w:t xml:space="preserve"> </w:t>
      </w:r>
      <w:r>
        <w:rPr>
          <w:rFonts w:ascii="Arial" w:cs="Arial" w:eastAsia="Arial" w:hAnsi="Arial"/>
          <w:sz w:val="22"/>
          <w:szCs w:val="22"/>
          <w:color w:val="auto"/>
        </w:rPr>
        <w:t>their sole discretion, to co-promote the Licensed Products with any other Person(s), or to appoint one (1) or more Third Parties to promote the Licensed Products without AbbVie in all or any part of the Territory.</w:t>
      </w:r>
    </w:p>
    <w:p>
      <w:pPr>
        <w:spacing w:after="0" w:line="69"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color w:val="auto"/>
        </w:rPr>
        <w:t>Retention of Rights.</w:t>
      </w:r>
    </w:p>
    <w:p>
      <w:pPr>
        <w:spacing w:after="0" w:line="98" w:lineRule="exact"/>
        <w:rPr>
          <w:sz w:val="20"/>
          <w:szCs w:val="20"/>
          <w:color w:val="auto"/>
        </w:rPr>
      </w:pPr>
    </w:p>
    <w:p>
      <w:pPr>
        <w:jc w:val="both"/>
        <w:ind w:firstLine="2634"/>
        <w:spacing w:after="0" w:line="276" w:lineRule="auto"/>
        <w:rPr>
          <w:sz w:val="20"/>
          <w:szCs w:val="20"/>
          <w:color w:val="auto"/>
        </w:rPr>
      </w:pPr>
      <w:r>
        <w:rPr>
          <w:rFonts w:ascii="Arial" w:cs="Arial" w:eastAsia="Arial" w:hAnsi="Arial"/>
          <w:sz w:val="19"/>
          <w:szCs w:val="19"/>
          <w:b w:val="1"/>
          <w:bCs w:val="1"/>
          <w:color w:val="auto"/>
        </w:rPr>
        <w:t xml:space="preserve">6.6.1 </w:t>
      </w:r>
      <w:r>
        <w:rPr>
          <w:rFonts w:ascii="Arial" w:cs="Arial" w:eastAsia="Arial" w:hAnsi="Arial"/>
          <w:sz w:val="19"/>
          <w:szCs w:val="19"/>
          <w:color w:val="auto"/>
        </w:rPr>
        <w:t>Notwithstanding the exclusive licenses granted to AbbVie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6.1</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Licensor retains the right to practice under the Licensor Background Patents, the Licensor Program Patents, the Licensor Background Know-How, the Licensors Program Know-How, Licensor’s interests in the Joint Program Patents and the Joint Program Know-How, Regulatory Approvals and any other Regulatory Documentation solely to perform (and to sublicense Third Parties to perform as permitted hereunder) its obligations under this Agreement. Except as expressly provided herein, Licensor grants no other right or license, including any rights or licenses to the Licensor Background Patents, the Licensor Program Patents, the Licensor Background Know-How, the Licensor Program Know-How, the Regulatory Documentation, the Licensor Corporate Names, or any other Patent, Other Active Ingredient or intellectual property rights not otherwise expressly granted herein.</w:t>
      </w:r>
    </w:p>
    <w:p>
      <w:pPr>
        <w:spacing w:after="0" w:line="43"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6.6.2 </w:t>
      </w:r>
      <w:r>
        <w:rPr>
          <w:rFonts w:ascii="Arial" w:cs="Arial" w:eastAsia="Arial" w:hAnsi="Arial"/>
          <w:sz w:val="22"/>
          <w:szCs w:val="22"/>
          <w:color w:val="auto"/>
        </w:rPr>
        <w:t>Except as expressly provided herein, AbbVie grants no other right or license,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any rights or licenses to the AbbVie Background Patents, the AbbVie Program Patents, the AbbVie Background Know-How, the AbbVie Program Know-How, the Regulatory Documentation, or any other Patent or intellectual property rights not otherwise expressly granted herein.</w:t>
      </w:r>
    </w:p>
    <w:p>
      <w:pPr>
        <w:spacing w:after="0" w:line="73"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6.7 Confirmatory Patent License. </w:t>
      </w:r>
      <w:r>
        <w:rPr>
          <w:rFonts w:ascii="Arial" w:cs="Arial" w:eastAsia="Arial" w:hAnsi="Arial"/>
          <w:sz w:val="22"/>
          <w:szCs w:val="22"/>
          <w:color w:val="auto"/>
        </w:rPr>
        <w:t>Licensor shall if requested to do so by AbbVie immediately enter</w:t>
      </w:r>
      <w:r>
        <w:rPr>
          <w:rFonts w:ascii="Arial" w:cs="Arial" w:eastAsia="Arial" w:hAnsi="Arial"/>
          <w:sz w:val="22"/>
          <w:szCs w:val="22"/>
          <w:b w:val="1"/>
          <w:bCs w:val="1"/>
          <w:color w:val="auto"/>
        </w:rPr>
        <w:t xml:space="preserve"> </w:t>
      </w:r>
      <w:r>
        <w:rPr>
          <w:rFonts w:ascii="Arial" w:cs="Arial" w:eastAsia="Arial" w:hAnsi="Arial"/>
          <w:sz w:val="22"/>
          <w:szCs w:val="22"/>
          <w:color w:val="auto"/>
        </w:rPr>
        <w:t>into confirmatory license agreements in the form or substantially the form reasonably requested by AbbVie for purposes of recording the licenses granted under this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12" w:name="page113"/>
    <w:bookmarkEnd w:id="112"/>
    <w:p>
      <w:pPr>
        <w:jc w:val="both"/>
        <w:spacing w:after="0" w:line="238" w:lineRule="auto"/>
        <w:rPr>
          <w:sz w:val="20"/>
          <w:szCs w:val="20"/>
          <w:color w:val="auto"/>
        </w:rPr>
      </w:pPr>
      <w:r>
        <w:rPr>
          <w:rFonts w:ascii="Arial" w:cs="Arial" w:eastAsia="Arial" w:hAnsi="Arial"/>
          <w:sz w:val="22"/>
          <w:szCs w:val="22"/>
          <w:color w:val="auto"/>
        </w:rPr>
        <w:t>Agreement with such patent offices in the Territory as AbbVie considers appropriate. Until the execution of any such confirmatory licenses, so far as may be legally possible, Licensor and AbbVie shall have the same rights in respect of the Licensor Background Patents, Licensor Program Patents and Joint Program Patents and be under the same obligations to each other in all respects as if the said confirmatory licenses had been executed.</w:t>
      </w:r>
    </w:p>
    <w:p>
      <w:pPr>
        <w:spacing w:after="0" w:line="71"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9"/>
          <w:szCs w:val="19"/>
          <w:b w:val="1"/>
          <w:bCs w:val="1"/>
          <w:color w:val="auto"/>
        </w:rPr>
        <w:t>Exclusivity with Respect to the Territory.</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6.8.1</w:t>
      </w:r>
      <w:r>
        <w:rPr>
          <w:sz w:val="20"/>
          <w:szCs w:val="20"/>
          <w:color w:val="auto"/>
        </w:rPr>
        <w:tab/>
      </w:r>
      <w:r>
        <w:rPr>
          <w:rFonts w:ascii="Arial" w:cs="Arial" w:eastAsia="Arial" w:hAnsi="Arial"/>
          <w:sz w:val="19"/>
          <w:szCs w:val="19"/>
          <w:b w:val="1"/>
          <w:bCs w:val="1"/>
          <w:color w:val="auto"/>
        </w:rPr>
        <w:t>Licensor Covenant.</w:t>
      </w:r>
    </w:p>
    <w:p>
      <w:pPr>
        <w:spacing w:after="0" w:line="104" w:lineRule="exact"/>
        <w:rPr>
          <w:sz w:val="20"/>
          <w:szCs w:val="20"/>
          <w:color w:val="auto"/>
        </w:rPr>
      </w:pPr>
    </w:p>
    <w:p>
      <w:pPr>
        <w:jc w:val="both"/>
        <w:ind w:firstLine="3519"/>
        <w:spacing w:after="0" w:line="270" w:lineRule="auto"/>
        <w:tabs>
          <w:tab w:leader="none" w:pos="4399" w:val="left"/>
        </w:tabs>
        <w:numPr>
          <w:ilvl w:val="1"/>
          <w:numId w:val="60"/>
        </w:numPr>
        <w:rPr>
          <w:rFonts w:ascii="Arial" w:cs="Arial" w:eastAsia="Arial" w:hAnsi="Arial"/>
          <w:sz w:val="19"/>
          <w:szCs w:val="19"/>
          <w:color w:val="auto"/>
        </w:rPr>
      </w:pPr>
      <w:r>
        <w:rPr>
          <w:rFonts w:ascii="Arial" w:cs="Arial" w:eastAsia="Arial" w:hAnsi="Arial"/>
          <w:sz w:val="19"/>
          <w:szCs w:val="19"/>
          <w:color w:val="auto"/>
        </w:rPr>
        <w:t>Licensor shall not, and shall cause its Affiliates not to, on an Accepted Target-by-Accepted Target basis, beginning on the applicable Target Acceptance Date until the termination or expiration of this Agreement with respect to the applicable Accepted Target (including by Target Exchange or replacement with a Substitute Target), (a) directly or indirectly, whether alone or together with a Third Party, Develop for any purpose a Discovery Probody, Discovery PDC or Licensed Products for any purpose, except as otherwise expressly provided in the Discovery Research Plan, (b) directly or indirectly, develop, commercialize or manufacture any Competing Product in any country or other jurisdiction in the Territory</w:t>
      </w:r>
      <w:r>
        <w:rPr>
          <w:rFonts w:ascii="Arial" w:cs="Arial" w:eastAsia="Arial" w:hAnsi="Arial"/>
          <w:sz w:val="19"/>
          <w:szCs w:val="19"/>
          <w:b w:val="1"/>
          <w:bCs w:val="1"/>
          <w:color w:val="auto"/>
        </w:rPr>
        <w:t>,</w:t>
      </w:r>
      <w:r>
        <w:rPr>
          <w:rFonts w:ascii="Arial" w:cs="Arial" w:eastAsia="Arial" w:hAnsi="Arial"/>
          <w:sz w:val="19"/>
          <w:szCs w:val="19"/>
          <w:color w:val="auto"/>
        </w:rPr>
        <w:t xml:space="preserve"> or</w:t>
      </w:r>
    </w:p>
    <w:p>
      <w:pPr>
        <w:spacing w:after="0" w:line="1" w:lineRule="exact"/>
        <w:rPr>
          <w:rFonts w:ascii="Arial" w:cs="Arial" w:eastAsia="Arial" w:hAnsi="Arial"/>
          <w:sz w:val="19"/>
          <w:szCs w:val="19"/>
          <w:color w:val="auto"/>
        </w:rPr>
      </w:pPr>
    </w:p>
    <w:p>
      <w:pPr>
        <w:ind w:firstLine="8"/>
        <w:spacing w:after="0" w:line="237" w:lineRule="auto"/>
        <w:tabs>
          <w:tab w:leader="none" w:pos="297" w:val="left"/>
        </w:tabs>
        <w:numPr>
          <w:ilvl w:val="0"/>
          <w:numId w:val="61"/>
        </w:numPr>
        <w:rPr>
          <w:rFonts w:ascii="Arial" w:cs="Arial" w:eastAsia="Arial" w:hAnsi="Arial"/>
          <w:sz w:val="22"/>
          <w:szCs w:val="22"/>
          <w:color w:val="auto"/>
        </w:rPr>
      </w:pPr>
      <w:r>
        <w:rPr>
          <w:rFonts w:ascii="Arial" w:cs="Arial" w:eastAsia="Arial" w:hAnsi="Arial"/>
          <w:sz w:val="22"/>
          <w:szCs w:val="22"/>
          <w:color w:val="auto"/>
        </w:rPr>
        <w:t>license, authorize, appoint, or otherwise enable any Third Party to directly or indirectly, develop, commercialize or manufacture any Competing Product in any country or other jurisdiction in the Territory.</w:t>
      </w:r>
    </w:p>
    <w:p>
      <w:pPr>
        <w:spacing w:after="0" w:line="76" w:lineRule="exact"/>
        <w:rPr>
          <w:rFonts w:ascii="Arial" w:cs="Arial" w:eastAsia="Arial" w:hAnsi="Arial"/>
          <w:sz w:val="22"/>
          <w:szCs w:val="22"/>
          <w:color w:val="auto"/>
        </w:rPr>
      </w:pPr>
    </w:p>
    <w:p>
      <w:pPr>
        <w:ind w:left="4420" w:hanging="901"/>
        <w:spacing w:after="0"/>
        <w:tabs>
          <w:tab w:leader="none" w:pos="4420" w:val="left"/>
        </w:tabs>
        <w:numPr>
          <w:ilvl w:val="1"/>
          <w:numId w:val="61"/>
        </w:numPr>
        <w:rPr>
          <w:rFonts w:ascii="Arial" w:cs="Arial" w:eastAsia="Arial" w:hAnsi="Arial"/>
          <w:sz w:val="22"/>
          <w:szCs w:val="22"/>
          <w:color w:val="auto"/>
        </w:rPr>
      </w:pPr>
      <w:r>
        <w:rPr>
          <w:rFonts w:ascii="Arial" w:cs="Arial" w:eastAsia="Arial" w:hAnsi="Arial"/>
          <w:sz w:val="22"/>
          <w:szCs w:val="22"/>
          <w:color w:val="auto"/>
        </w:rPr>
        <w:t>[***].</w:t>
      </w:r>
    </w:p>
    <w:p>
      <w:pPr>
        <w:spacing w:after="0" w:line="92"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b w:val="1"/>
          <w:bCs w:val="1"/>
          <w:color w:val="auto"/>
        </w:rPr>
        <w:t>6.9 In-License Agreements</w:t>
      </w:r>
      <w:r>
        <w:rPr>
          <w:rFonts w:ascii="Arial" w:cs="Arial" w:eastAsia="Arial" w:hAnsi="Arial"/>
          <w:sz w:val="19"/>
          <w:szCs w:val="19"/>
          <w:color w:val="auto"/>
        </w:rPr>
        <w:t>. During the Term, neither Licensor nor any of its Affiliates shall,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AbbVie’s prior written consent, enter into any agreement with a Third Party related to Information, Regulatory Documentation, material, Patents, or other intellectual other property rights directed primarily to Discovery Probodies, Discovery PDCs or Licensed Products. Subject to </w:t>
      </w:r>
      <w:r>
        <w:rPr>
          <w:rFonts w:ascii="Arial" w:cs="Arial" w:eastAsia="Arial" w:hAnsi="Arial"/>
          <w:sz w:val="19"/>
          <w:szCs w:val="19"/>
          <w:u w:val="single" w:color="auto"/>
          <w:color w:val="auto"/>
        </w:rPr>
        <w:t>Section 8.6</w:t>
      </w:r>
      <w:r>
        <w:rPr>
          <w:rFonts w:ascii="Arial" w:cs="Arial" w:eastAsia="Arial" w:hAnsi="Arial"/>
          <w:sz w:val="19"/>
          <w:szCs w:val="19"/>
          <w:color w:val="auto"/>
        </w:rPr>
        <w:t>, if Licensor or any of its Affiliates are a party to a license, sublicense or other agreement for additional rights, with the right to sublicense, that is relevant to (i.e., not directed primarily to) Discovery Probodies, Discovery PDCs or Licensed Products, or as permitted in the aforementioned sentence, then Licensor shall inform AbbVie and shall provide AbbVie with a copy of such license, sublicense, or other agreement (“</w:t>
      </w:r>
      <w:r>
        <w:rPr>
          <w:rFonts w:ascii="Arial" w:cs="Arial" w:eastAsia="Arial" w:hAnsi="Arial"/>
          <w:sz w:val="19"/>
          <w:szCs w:val="19"/>
          <w:b w:val="1"/>
          <w:bCs w:val="1"/>
          <w:color w:val="auto"/>
        </w:rPr>
        <w:t>Proposed Future In-Licensed Rights</w:t>
      </w:r>
      <w:r>
        <w:rPr>
          <w:rFonts w:ascii="Arial" w:cs="Arial" w:eastAsia="Arial" w:hAnsi="Arial"/>
          <w:sz w:val="19"/>
          <w:szCs w:val="19"/>
          <w:color w:val="auto"/>
        </w:rPr>
        <w:t>”). If AbbVie notifies Licensor in writing that it wishes to be bound by and/or assume the rights and obligations of the Proposed Future In-Licensed Rights as they apply to AbbVie and this Agreement, then the Proposed Future In-Licensed Rights shall automatically be included in the Licensor Background Patents and/or Licensor Background Know-How (as applicable) hereunder and AbbVie agrees to abide by all applicable terms and conditions of such license, sublicense or other agreement, as it relates to AbbVie and this Agreement. The amounts payable under any Licensor In-License Agreements and Proposed Future In-Licensed Rights shall be the responsibility of one or both of the Parties as follows:</w:t>
      </w:r>
    </w:p>
    <w:p>
      <w:pPr>
        <w:spacing w:after="0" w:line="297"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6.9.1</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6.9.2</w:t>
      </w:r>
      <w:r>
        <w:rPr>
          <w:sz w:val="20"/>
          <w:szCs w:val="20"/>
          <w:color w:val="auto"/>
        </w:rPr>
        <w:tab/>
      </w:r>
      <w:r>
        <w:rPr>
          <w:rFonts w:ascii="Arial" w:cs="Arial" w:eastAsia="Arial" w:hAnsi="Arial"/>
          <w:sz w:val="22"/>
          <w:szCs w:val="22"/>
          <w:color w:val="auto"/>
        </w:rPr>
        <w:t>[***]; and</w:t>
      </w:r>
    </w:p>
    <w:p>
      <w:pPr>
        <w:spacing w:after="0" w:line="98"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6.9.3 </w:t>
      </w:r>
      <w:r>
        <w:rPr>
          <w:rFonts w:ascii="Arial" w:cs="Arial" w:eastAsia="Arial" w:hAnsi="Arial"/>
          <w:sz w:val="22"/>
          <w:szCs w:val="22"/>
          <w:color w:val="auto"/>
        </w:rPr>
        <w:t>Other than as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6.9.1</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6.9.2</w:t>
      </w:r>
      <w:r>
        <w:rPr>
          <w:rFonts w:ascii="Arial" w:cs="Arial" w:eastAsia="Arial" w:hAnsi="Arial"/>
          <w:sz w:val="22"/>
          <w:szCs w:val="22"/>
          <w:b w:val="1"/>
          <w:bCs w:val="1"/>
          <w:color w:val="auto"/>
        </w:rPr>
        <w:t xml:space="preserve"> </w:t>
      </w:r>
      <w:r>
        <w:rPr>
          <w:rFonts w:ascii="Arial" w:cs="Arial" w:eastAsia="Arial" w:hAnsi="Arial"/>
          <w:sz w:val="22"/>
          <w:szCs w:val="22"/>
          <w:color w:val="auto"/>
        </w:rPr>
        <w:t>above, Licensor shall be solely</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responsible for and shall bear all upfront payments, milestone payments, royalties and other amounts payable to any Third Party in respect of any Proposed Future In-Licensed Rights; provided, that if AbbVie notifies Licensor in writing that it wishes to be bound by and/or</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13" w:name="page114"/>
    <w:bookmarkEnd w:id="113"/>
    <w:p>
      <w:pPr>
        <w:jc w:val="both"/>
        <w:spacing w:after="0" w:line="274" w:lineRule="auto"/>
        <w:rPr>
          <w:sz w:val="20"/>
          <w:szCs w:val="20"/>
          <w:color w:val="auto"/>
        </w:rPr>
      </w:pPr>
      <w:r>
        <w:rPr>
          <w:rFonts w:ascii="Arial" w:cs="Arial" w:eastAsia="Arial" w:hAnsi="Arial"/>
          <w:sz w:val="19"/>
          <w:szCs w:val="19"/>
          <w:color w:val="auto"/>
        </w:rPr>
        <w:t>assume certain rights and obligations of any Proposed Future In-Licensed Rights and such Proposed Future In-Licensed Rights are automatically included in the Licensor Background Patents and/or Licensor Background Know-How (as applicable) hereunder, then AbbVie shall be responsible for [***] (but not any other payments) that are payable to any Third Party under the provisions of any such Licensor In-License Agreement that contains such Proposed Future In-Licensed Rights to the extent that such [***] specifically pertain to the Exploitation of an AbbVie Probody, Discovery PDC or Licensed Product by AbbVie or its Affiliates (excluding the portion of any such [***] that are payable under such Licensor In-License Agreement based on the cumulative effect of the Exploitation of an AbbVie Probody, Discovery PDC or Licensed Product by AbbVie or its Affiliates combined with the Exploitation of any other compounds or products by Licensor, its Affiliates or any Third Party). Licensor shall be solely responsible for any other amounts that are payable under such Licensor In-License Agreement.</w:t>
      </w:r>
    </w:p>
    <w:p>
      <w:pPr>
        <w:spacing w:after="0" w:line="45" w:lineRule="exact"/>
        <w:rPr>
          <w:sz w:val="20"/>
          <w:szCs w:val="20"/>
          <w:color w:val="auto"/>
        </w:rPr>
      </w:pPr>
    </w:p>
    <w:p>
      <w:pPr>
        <w:jc w:val="both"/>
        <w:ind w:firstLine="1755"/>
        <w:spacing w:after="0" w:line="280" w:lineRule="auto"/>
        <w:rPr>
          <w:sz w:val="20"/>
          <w:szCs w:val="20"/>
          <w:color w:val="auto"/>
        </w:rPr>
      </w:pPr>
      <w:r>
        <w:rPr>
          <w:rFonts w:ascii="Arial" w:cs="Arial" w:eastAsia="Arial" w:hAnsi="Arial"/>
          <w:sz w:val="19"/>
          <w:szCs w:val="19"/>
          <w:b w:val="1"/>
          <w:bCs w:val="1"/>
          <w:color w:val="auto"/>
        </w:rPr>
        <w:t xml:space="preserve">6.10 Reverse Engineering. </w:t>
      </w:r>
      <w:r>
        <w:rPr>
          <w:rFonts w:ascii="Arial" w:cs="Arial" w:eastAsia="Arial" w:hAnsi="Arial"/>
          <w:sz w:val="19"/>
          <w:szCs w:val="19"/>
          <w:color w:val="auto"/>
        </w:rPr>
        <w:t>During the Term and for a period of [***] following the termination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Licensor hereby covenants and agrees that it shall not, and shall cause it Affiliates to not, for itself or themselves,</w:t>
      </w:r>
    </w:p>
    <w:p>
      <w:pPr>
        <w:jc w:val="both"/>
        <w:ind w:firstLine="8"/>
        <w:spacing w:after="0" w:line="233" w:lineRule="auto"/>
        <w:tabs>
          <w:tab w:leader="none" w:pos="299" w:val="left"/>
        </w:tabs>
        <w:numPr>
          <w:ilvl w:val="0"/>
          <w:numId w:val="62"/>
        </w:numPr>
        <w:rPr>
          <w:rFonts w:ascii="Arial" w:cs="Arial" w:eastAsia="Arial" w:hAnsi="Arial"/>
          <w:sz w:val="22"/>
          <w:szCs w:val="22"/>
          <w:color w:val="auto"/>
        </w:rPr>
      </w:pPr>
      <w:r>
        <w:rPr>
          <w:rFonts w:ascii="Arial" w:cs="Arial" w:eastAsia="Arial" w:hAnsi="Arial"/>
          <w:sz w:val="22"/>
          <w:szCs w:val="22"/>
          <w:color w:val="auto"/>
        </w:rPr>
        <w:t>Develop, Commercialize or Manufacture in any country in the Territory, any Antibody or pharmaceutical product containing or encoding any Antibody, in each case that includes or contains an Antibody sequence provided by AbbVie or its Affiliates to Licensor or its Affiliates hereunder, or (b) reverse engineer any Antibody or pharmaceutical product containing or encoding any Antibody, in each case that includes or contains an Antibody sequence provided by AbbVie or its Affiliates to Licensor or its Affiliates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PAYMENTS AND RECORDS</w:t>
      </w:r>
    </w:p>
    <w:p>
      <w:pPr>
        <w:spacing w:after="0" w:line="182"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7.1 Upfront Payment. </w:t>
      </w:r>
      <w:r>
        <w:rPr>
          <w:rFonts w:ascii="Arial" w:cs="Arial" w:eastAsia="Arial" w:hAnsi="Arial"/>
          <w:sz w:val="22"/>
          <w:szCs w:val="22"/>
          <w:color w:val="auto"/>
        </w:rPr>
        <w:t>No later than [***] following the Effective Date, AbbVie shall pay Licensor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one-time upfront amount equal to Ten Million Dollars </w:t>
      </w:r>
      <w:r>
        <w:rPr>
          <w:rFonts w:ascii="Arial" w:cs="Arial" w:eastAsia="Arial" w:hAnsi="Arial"/>
          <w:sz w:val="22"/>
          <w:szCs w:val="22"/>
          <w:b w:val="1"/>
          <w:bCs w:val="1"/>
          <w:color w:val="auto"/>
        </w:rPr>
        <w:t>($10,000,000)</w:t>
      </w:r>
      <w:r>
        <w:rPr>
          <w:rFonts w:ascii="Arial" w:cs="Arial" w:eastAsia="Arial" w:hAnsi="Arial"/>
          <w:sz w:val="22"/>
          <w:szCs w:val="22"/>
          <w:color w:val="auto"/>
        </w:rPr>
        <w:t>. Such payment shall be noncreditable against any other payments due hereunder.</w:t>
      </w:r>
    </w:p>
    <w:p>
      <w:pPr>
        <w:spacing w:after="0" w:line="69"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b w:val="1"/>
          <w:bCs w:val="1"/>
          <w:color w:val="auto"/>
        </w:rPr>
        <w:t xml:space="preserve">7.2 Second Accepted Target Fee. </w:t>
      </w:r>
      <w:r>
        <w:rPr>
          <w:rFonts w:ascii="Arial" w:cs="Arial" w:eastAsia="Arial" w:hAnsi="Arial"/>
          <w:sz w:val="19"/>
          <w:szCs w:val="19"/>
          <w:color w:val="auto"/>
        </w:rPr>
        <w:t>Subject to the terms and conditions set forth in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within [***] after the Target Acceptance Date for a second Accepted Target, if any (that is not a Substitute Target or a New Target), AbbVie will pay Licensor a one-time fee of Ten Million Dollars ($10,000,000) (the “</w:t>
      </w:r>
      <w:r>
        <w:rPr>
          <w:rFonts w:ascii="Arial" w:cs="Arial" w:eastAsia="Arial" w:hAnsi="Arial"/>
          <w:sz w:val="19"/>
          <w:szCs w:val="19"/>
          <w:b w:val="1"/>
          <w:bCs w:val="1"/>
          <w:color w:val="auto"/>
        </w:rPr>
        <w:t>Second Accepted Target Fee</w:t>
      </w:r>
      <w:r>
        <w:rPr>
          <w:rFonts w:ascii="Arial" w:cs="Arial" w:eastAsia="Arial" w:hAnsi="Arial"/>
          <w:sz w:val="19"/>
          <w:szCs w:val="19"/>
          <w:color w:val="auto"/>
        </w:rPr>
        <w:t xml:space="preserve">”); provided, that if, under the CD71 Agreement, (a) AbbVie has determined that Licensor has not met the Preclinical POC Success Criteria prior to the Preclinical POC Success Criteria Deadline (as each such term is defined in the CD71 Agreement), and (b) pursuant to </w:t>
      </w:r>
      <w:r>
        <w:rPr>
          <w:rFonts w:ascii="Arial" w:cs="Arial" w:eastAsia="Arial" w:hAnsi="Arial"/>
          <w:sz w:val="19"/>
          <w:szCs w:val="19"/>
          <w:u w:val="single" w:color="auto"/>
          <w:color w:val="auto"/>
        </w:rPr>
        <w:t>Section 3.1.3(c)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13.3.1</w:t>
      </w:r>
      <w:r>
        <w:rPr>
          <w:rFonts w:ascii="Arial" w:cs="Arial" w:eastAsia="Arial" w:hAnsi="Arial"/>
          <w:sz w:val="19"/>
          <w:szCs w:val="19"/>
          <w:color w:val="auto"/>
        </w:rPr>
        <w:t xml:space="preserve"> of the CD71 Agreement, AbbVie terminates the CD71 Agreement following the conclusion of the Cessation Period (as such terms are defined in the CD71 Agreement), then no Second Accepted Target Fee shall be required and AbbVie may nominate a second Accepted Target under this Agreement for no additional consideration.</w:t>
      </w:r>
    </w:p>
    <w:p>
      <w:pPr>
        <w:spacing w:after="0" w:line="43"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7.3 Development Milestones. </w:t>
      </w:r>
      <w:r>
        <w:rPr>
          <w:rFonts w:ascii="Arial" w:cs="Arial" w:eastAsia="Arial" w:hAnsi="Arial"/>
          <w:sz w:val="22"/>
          <w:szCs w:val="22"/>
          <w:color w:val="auto"/>
        </w:rPr>
        <w:t>In partial consideration of the rights granted by Licensor to AbbVie</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and subject to the terms and conditions set forth in this Agreement, AbbVie shall pay to Licensor a milestone payment within [***] after the achievement of each of the following milestones for the first Licensed Product for each Accepted Target, calculated as follows: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14" w:name="page115"/>
    <w:bookmarkEnd w:id="114"/>
    <w:p>
      <w:pPr>
        <w:ind w:left="2640"/>
        <w:spacing w:after="0"/>
        <w:tabs>
          <w:tab w:leader="none" w:pos="3700" w:val="left"/>
        </w:tabs>
        <w:rPr>
          <w:sz w:val="20"/>
          <w:szCs w:val="20"/>
          <w:color w:val="auto"/>
        </w:rPr>
      </w:pPr>
      <w:r>
        <w:rPr>
          <w:rFonts w:ascii="Arial" w:cs="Arial" w:eastAsia="Arial" w:hAnsi="Arial"/>
          <w:sz w:val="22"/>
          <w:szCs w:val="22"/>
          <w:b w:val="1"/>
          <w:bCs w:val="1"/>
          <w:color w:val="auto"/>
        </w:rPr>
        <w:t>7.3.1</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7.3.2</w:t>
      </w:r>
      <w:r>
        <w:rPr>
          <w:sz w:val="20"/>
          <w:szCs w:val="20"/>
          <w:color w:val="auto"/>
        </w:rPr>
        <w:tab/>
      </w:r>
      <w:r>
        <w:rPr>
          <w:rFonts w:ascii="Arial" w:cs="Arial" w:eastAsia="Arial" w:hAnsi="Arial"/>
          <w:sz w:val="22"/>
          <w:szCs w:val="22"/>
          <w:color w:val="auto"/>
        </w:rPr>
        <w:t>[***]; and</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7.3.3</w:t>
      </w:r>
      <w:r>
        <w:rPr>
          <w:sz w:val="20"/>
          <w:szCs w:val="20"/>
          <w:color w:val="auto"/>
        </w:rPr>
        <w:tab/>
      </w:r>
      <w:r>
        <w:rPr>
          <w:rFonts w:ascii="Arial" w:cs="Arial" w:eastAsia="Arial" w:hAnsi="Arial"/>
          <w:sz w:val="22"/>
          <w:szCs w:val="22"/>
          <w:color w:val="auto"/>
        </w:rPr>
        <w:t>[***].</w:t>
      </w:r>
    </w:p>
    <w:p>
      <w:pPr>
        <w:spacing w:after="0" w:line="104" w:lineRule="exact"/>
        <w:rPr>
          <w:sz w:val="20"/>
          <w:szCs w:val="20"/>
          <w:color w:val="auto"/>
        </w:rPr>
      </w:pPr>
    </w:p>
    <w:p>
      <w:pPr>
        <w:jc w:val="both"/>
        <w:ind w:firstLine="877"/>
        <w:spacing w:after="0" w:line="258" w:lineRule="auto"/>
        <w:rPr>
          <w:sz w:val="20"/>
          <w:szCs w:val="20"/>
          <w:color w:val="auto"/>
        </w:rPr>
      </w:pPr>
      <w:r>
        <w:rPr>
          <w:rFonts w:ascii="Arial" w:cs="Arial" w:eastAsia="Arial" w:hAnsi="Arial"/>
          <w:sz w:val="21"/>
          <w:szCs w:val="21"/>
          <w:color w:val="auto"/>
        </w:rPr>
        <w:t xml:space="preserve">On an Accepted Target-by-Accepted Target basis, if a development milestone set forth in this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for a Licensed Product becomes due before an earlier listed development milestone for such Licensed Product, then the earlier listed development milestone shall become payable upon the achievement of the later listed development milestone.</w:t>
      </w:r>
    </w:p>
    <w:p>
      <w:pPr>
        <w:spacing w:after="0" w:line="167"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 xml:space="preserve">Each milestone payment in this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shall be payable only upon the first achievement of such milestone for each Accepted Target and no amounts shall be due for subsequent or repeated achievements of such milestone, whether for the same or a different Licensed Product targeting such Accepted Target. The maximum aggregate amount payable by AbbVie pursuant to this </w:t>
      </w:r>
      <w:r>
        <w:rPr>
          <w:rFonts w:ascii="Arial" w:cs="Arial" w:eastAsia="Arial" w:hAnsi="Arial"/>
          <w:sz w:val="21"/>
          <w:szCs w:val="21"/>
          <w:u w:val="single" w:color="auto"/>
          <w:color w:val="auto"/>
        </w:rPr>
        <w:t>Section 7.3</w:t>
      </w:r>
      <w:r>
        <w:rPr>
          <w:rFonts w:ascii="Arial" w:cs="Arial" w:eastAsia="Arial" w:hAnsi="Arial"/>
          <w:sz w:val="21"/>
          <w:szCs w:val="21"/>
          <w:color w:val="auto"/>
        </w:rPr>
        <w:t xml:space="preserve"> for each Accepted Target is [***] and for all Accepted Targets is [***].</w:t>
      </w:r>
    </w:p>
    <w:p>
      <w:pPr>
        <w:spacing w:after="0" w:line="168"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7.4 Regulatory Milestones. </w:t>
      </w:r>
      <w:r>
        <w:rPr>
          <w:rFonts w:ascii="Arial" w:cs="Arial" w:eastAsia="Arial" w:hAnsi="Arial"/>
          <w:sz w:val="22"/>
          <w:szCs w:val="22"/>
          <w:color w:val="auto"/>
        </w:rPr>
        <w:t>In partial consideration of the rights granted by Licensor to AbbVie</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and subject to the terms and conditions set forth in this Agreement, AbbVie shall pay to Licensor a milestone payment within [***] after the achievement of each of the following milestones for the first Licensed Product for each Accepted Target, calculated as follows:</w:t>
      </w:r>
    </w:p>
    <w:p>
      <w:pPr>
        <w:spacing w:after="0" w:line="73"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7.4.1</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7.4.2</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7.4.3</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7.4.4</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7.4.5</w:t>
      </w:r>
      <w:r>
        <w:rPr>
          <w:sz w:val="20"/>
          <w:szCs w:val="20"/>
          <w:color w:val="auto"/>
        </w:rPr>
        <w:tab/>
      </w:r>
      <w:r>
        <w:rPr>
          <w:rFonts w:ascii="Arial" w:cs="Arial" w:eastAsia="Arial" w:hAnsi="Arial"/>
          <w:sz w:val="22"/>
          <w:szCs w:val="22"/>
          <w:color w:val="auto"/>
        </w:rPr>
        <w:t>[***]; and</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7.4.6</w:t>
      </w:r>
      <w:r>
        <w:rPr>
          <w:sz w:val="20"/>
          <w:szCs w:val="20"/>
          <w:color w:val="auto"/>
        </w:rPr>
        <w:tab/>
      </w:r>
      <w:r>
        <w:rPr>
          <w:rFonts w:ascii="Arial" w:cs="Arial" w:eastAsia="Arial" w:hAnsi="Arial"/>
          <w:sz w:val="22"/>
          <w:szCs w:val="22"/>
          <w:color w:val="auto"/>
        </w:rPr>
        <w:t>[***].</w:t>
      </w:r>
    </w:p>
    <w:p>
      <w:pPr>
        <w:spacing w:after="0" w:line="104" w:lineRule="exact"/>
        <w:rPr>
          <w:sz w:val="20"/>
          <w:szCs w:val="20"/>
          <w:color w:val="auto"/>
        </w:rPr>
      </w:pPr>
    </w:p>
    <w:p>
      <w:pPr>
        <w:jc w:val="both"/>
        <w:ind w:firstLine="877"/>
        <w:spacing w:after="0" w:line="252" w:lineRule="auto"/>
        <w:rPr>
          <w:sz w:val="20"/>
          <w:szCs w:val="20"/>
          <w:color w:val="auto"/>
        </w:rPr>
      </w:pPr>
      <w:r>
        <w:rPr>
          <w:rFonts w:ascii="Arial" w:cs="Arial" w:eastAsia="Arial" w:hAnsi="Arial"/>
          <w:sz w:val="21"/>
          <w:szCs w:val="21"/>
          <w:color w:val="auto"/>
        </w:rPr>
        <w:t xml:space="preserve">Each milestone payment in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shall be payable only upon the first achievement of such milestone for each Accepted Target and no amounts shall be due for subsequent or repeated achievements of such milestone, whether for the same or a different Licensed Product targeting such Accepted Target. The maximum aggregate amount payable by AbbVie pursuant to this </w:t>
      </w:r>
      <w:r>
        <w:rPr>
          <w:rFonts w:ascii="Arial" w:cs="Arial" w:eastAsia="Arial" w:hAnsi="Arial"/>
          <w:sz w:val="21"/>
          <w:szCs w:val="21"/>
          <w:u w:val="single" w:color="auto"/>
          <w:color w:val="auto"/>
        </w:rPr>
        <w:t>Section 7.4</w:t>
      </w:r>
      <w:r>
        <w:rPr>
          <w:rFonts w:ascii="Arial" w:cs="Arial" w:eastAsia="Arial" w:hAnsi="Arial"/>
          <w:sz w:val="21"/>
          <w:szCs w:val="21"/>
          <w:color w:val="auto"/>
        </w:rPr>
        <w:t xml:space="preserve"> for each Accepted Target is [***] and for all Accepted Targets is [***].</w:t>
      </w:r>
    </w:p>
    <w:p>
      <w:pPr>
        <w:spacing w:after="0" w:line="168"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7.5 Sales-Based Milestones. </w:t>
      </w:r>
      <w:r>
        <w:rPr>
          <w:rFonts w:ascii="Arial" w:cs="Arial" w:eastAsia="Arial" w:hAnsi="Arial"/>
          <w:sz w:val="22"/>
          <w:szCs w:val="22"/>
          <w:color w:val="auto"/>
        </w:rPr>
        <w:t>In partial consideration of the rights granted by Licensor to AbbVie</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and subject to the terms and conditions set forth in this Agreement, AbbVie shall pay to Licensor the following milestone payments due within [***] after the end of the Calendar Year in which such milestone was achieved for the first Licensed Product for each Accepted Target, calculated as follows:</w:t>
      </w:r>
    </w:p>
    <w:p>
      <w:pPr>
        <w:spacing w:after="0" w:line="73"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7.5.1</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7.5.2</w:t>
      </w:r>
      <w:r>
        <w:rPr>
          <w:sz w:val="20"/>
          <w:szCs w:val="20"/>
          <w:color w:val="auto"/>
        </w:rPr>
        <w:tab/>
      </w:r>
      <w:r>
        <w:rPr>
          <w:rFonts w:ascii="Arial" w:cs="Arial" w:eastAsia="Arial" w:hAnsi="Arial"/>
          <w:sz w:val="22"/>
          <w:szCs w:val="22"/>
          <w:color w:val="auto"/>
        </w:rPr>
        <w:t>[***]; and</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15" w:name="page116"/>
    <w:bookmarkEnd w:id="115"/>
    <w:p>
      <w:pPr>
        <w:ind w:left="2640"/>
        <w:spacing w:after="0"/>
        <w:tabs>
          <w:tab w:leader="none" w:pos="3700" w:val="left"/>
        </w:tabs>
        <w:rPr>
          <w:sz w:val="20"/>
          <w:szCs w:val="20"/>
          <w:color w:val="auto"/>
        </w:rPr>
      </w:pPr>
      <w:r>
        <w:rPr>
          <w:rFonts w:ascii="Arial" w:cs="Arial" w:eastAsia="Arial" w:hAnsi="Arial"/>
          <w:sz w:val="22"/>
          <w:szCs w:val="22"/>
          <w:b w:val="1"/>
          <w:bCs w:val="1"/>
          <w:color w:val="auto"/>
        </w:rPr>
        <w:t>7.5.3</w:t>
      </w:r>
      <w:r>
        <w:rPr>
          <w:sz w:val="20"/>
          <w:szCs w:val="20"/>
          <w:color w:val="auto"/>
        </w:rPr>
        <w:tab/>
      </w:r>
      <w:r>
        <w:rPr>
          <w:rFonts w:ascii="Arial" w:cs="Arial" w:eastAsia="Arial" w:hAnsi="Arial"/>
          <w:sz w:val="22"/>
          <w:szCs w:val="22"/>
          <w:color w:val="auto"/>
        </w:rPr>
        <w:t>[***].</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Each milestone payment in this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shall be payable only upon the first achievement of such milestone for each Accepted Target and no amounts shall be due for subsequent or repeated achievements of such milestone, whether for the same or a different Licensed Product targeting such Accepted Target. The maximum aggregate amount payable by AbbVie pursuant to this Section for each Accepted Target is [***] and for all Accepted Targets is [***].</w:t>
      </w:r>
    </w:p>
    <w:p>
      <w:pPr>
        <w:spacing w:after="0" w:line="168"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7.6</w:t>
      </w:r>
      <w:r>
        <w:rPr>
          <w:sz w:val="20"/>
          <w:szCs w:val="20"/>
          <w:color w:val="auto"/>
        </w:rPr>
        <w:tab/>
      </w:r>
      <w:r>
        <w:rPr>
          <w:rFonts w:ascii="Arial" w:cs="Arial" w:eastAsia="Arial" w:hAnsi="Arial"/>
          <w:sz w:val="19"/>
          <w:szCs w:val="19"/>
          <w:b w:val="1"/>
          <w:bCs w:val="1"/>
          <w:color w:val="auto"/>
        </w:rPr>
        <w:t>Royalties.</w:t>
      </w:r>
    </w:p>
    <w:p>
      <w:pPr>
        <w:spacing w:after="0" w:line="98" w:lineRule="exact"/>
        <w:rPr>
          <w:sz w:val="20"/>
          <w:szCs w:val="20"/>
          <w:color w:val="auto"/>
        </w:rPr>
      </w:pPr>
    </w:p>
    <w:p>
      <w:pPr>
        <w:jc w:val="both"/>
        <w:ind w:firstLine="2634"/>
        <w:spacing w:after="0" w:line="284" w:lineRule="auto"/>
        <w:rPr>
          <w:sz w:val="20"/>
          <w:szCs w:val="20"/>
          <w:color w:val="auto"/>
        </w:rPr>
      </w:pPr>
      <w:r>
        <w:rPr>
          <w:rFonts w:ascii="Arial" w:cs="Arial" w:eastAsia="Arial" w:hAnsi="Arial"/>
          <w:sz w:val="19"/>
          <w:szCs w:val="19"/>
          <w:b w:val="1"/>
          <w:bCs w:val="1"/>
          <w:color w:val="auto"/>
        </w:rPr>
        <w:t xml:space="preserve">7.6.1 Royalty Rates. </w:t>
      </w:r>
      <w:r>
        <w:rPr>
          <w:rFonts w:ascii="Arial" w:cs="Arial" w:eastAsia="Arial" w:hAnsi="Arial"/>
          <w:sz w:val="19"/>
          <w:szCs w:val="19"/>
          <w:color w:val="auto"/>
        </w:rPr>
        <w:t>As further consideration for the rights granted to AbbVie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7.6.3</w:t>
      </w:r>
      <w:r>
        <w:rPr>
          <w:rFonts w:ascii="Arial" w:cs="Arial" w:eastAsia="Arial" w:hAnsi="Arial"/>
          <w:sz w:val="19"/>
          <w:szCs w:val="19"/>
          <w:color w:val="auto"/>
        </w:rPr>
        <w:t>, commencing upon the First Commercial Sale of a Licensed Product in the Territory, on a Licensed Product-by-Licensed Product basis, AbbVie shall pay to Licensor a royalty on Net Sales of each Licensed Product in the Territory (excluding Net Sales of each Licensed Product in any country or other jurisdiction in the Territory for which the Royalty Term for such Licensed Product in such country or other jurisdiction has expired) during each Calendar Year at the following rates:</w:t>
      </w:r>
    </w:p>
    <w:p>
      <w:pPr>
        <w:spacing w:after="0" w:line="58" w:lineRule="exact"/>
        <w:rPr>
          <w:sz w:val="20"/>
          <w:szCs w:val="20"/>
          <w:color w:val="auto"/>
        </w:rPr>
      </w:pPr>
    </w:p>
    <w:tbl>
      <w:tblPr>
        <w:tblLayout w:type="fixed"/>
        <w:tblInd w:w="1020" w:type="dxa"/>
        <w:tblCellMar>
          <w:top w:w="0" w:type="dxa"/>
          <w:left w:w="0" w:type="dxa"/>
          <w:bottom w:w="0" w:type="dxa"/>
          <w:right w:w="0" w:type="dxa"/>
        </w:tblCellMar>
      </w:tblPr>
      <w:tr>
        <w:trPr>
          <w:trHeight w:val="315"/>
        </w:trPr>
        <w:tc>
          <w:tcPr>
            <w:tcW w:w="7580" w:type="dxa"/>
            <w:vAlign w:val="bottom"/>
            <w:shd w:val="clear" w:color="auto" w:fill="E6E6E6"/>
          </w:tcPr>
          <w:p>
            <w:pPr>
              <w:ind w:left="100"/>
              <w:spacing w:after="0"/>
              <w:rPr>
                <w:sz w:val="20"/>
                <w:szCs w:val="20"/>
                <w:color w:val="auto"/>
              </w:rPr>
            </w:pPr>
            <w:r>
              <w:rPr>
                <w:rFonts w:ascii="Arial" w:cs="Arial" w:eastAsia="Arial" w:hAnsi="Arial"/>
                <w:sz w:val="20"/>
                <w:szCs w:val="20"/>
                <w:b w:val="1"/>
                <w:bCs w:val="1"/>
                <w:color w:val="auto"/>
                <w:w w:val="99"/>
              </w:rPr>
              <w:t>Net Sales in the Territory of all Licensed Products containing the same AbbVie</w:t>
            </w:r>
          </w:p>
        </w:tc>
        <w:tc>
          <w:tcPr>
            <w:tcW w:w="2300" w:type="dxa"/>
            <w:vAlign w:val="bottom"/>
            <w:shd w:val="clear" w:color="auto" w:fill="E6E6E6"/>
          </w:tcPr>
          <w:p>
            <w:pPr>
              <w:jc w:val="center"/>
              <w:ind w:right="241"/>
              <w:spacing w:after="0"/>
              <w:rPr>
                <w:sz w:val="20"/>
                <w:szCs w:val="20"/>
                <w:color w:val="auto"/>
              </w:rPr>
            </w:pPr>
            <w:r>
              <w:rPr>
                <w:rFonts w:ascii="Arial" w:cs="Arial" w:eastAsia="Arial" w:hAnsi="Arial"/>
                <w:sz w:val="20"/>
                <w:szCs w:val="20"/>
                <w:b w:val="1"/>
                <w:bCs w:val="1"/>
                <w:color w:val="auto"/>
                <w:w w:val="92"/>
              </w:rPr>
              <w:t>Royalty Rate</w:t>
            </w:r>
          </w:p>
        </w:tc>
      </w:tr>
      <w:tr>
        <w:trPr>
          <w:trHeight w:val="256"/>
        </w:trPr>
        <w:tc>
          <w:tcPr>
            <w:tcW w:w="7580" w:type="dxa"/>
            <w:vAlign w:val="bottom"/>
            <w:shd w:val="clear" w:color="auto" w:fill="E6E6E6"/>
          </w:tcPr>
          <w:p>
            <w:pPr>
              <w:ind w:left="100"/>
              <w:spacing w:after="0"/>
              <w:rPr>
                <w:sz w:val="20"/>
                <w:szCs w:val="20"/>
                <w:color w:val="auto"/>
              </w:rPr>
            </w:pPr>
            <w:r>
              <w:rPr>
                <w:rFonts w:ascii="Arial" w:cs="Arial" w:eastAsia="Arial" w:hAnsi="Arial"/>
                <w:sz w:val="20"/>
                <w:szCs w:val="20"/>
                <w:b w:val="1"/>
                <w:bCs w:val="1"/>
                <w:color w:val="auto"/>
              </w:rPr>
              <w:t>Probody or Discovery PDC, as applicable, in a Calendar Year</w:t>
            </w:r>
          </w:p>
        </w:tc>
        <w:tc>
          <w:tcPr>
            <w:tcW w:w="2300" w:type="dxa"/>
            <w:vAlign w:val="bottom"/>
            <w:shd w:val="clear" w:color="auto" w:fill="E6E6E6"/>
          </w:tcPr>
          <w:p>
            <w:pPr>
              <w:spacing w:after="0"/>
              <w:rPr>
                <w:sz w:val="22"/>
                <w:szCs w:val="22"/>
                <w:color w:val="auto"/>
              </w:rPr>
            </w:pPr>
          </w:p>
        </w:tc>
      </w:tr>
      <w:tr>
        <w:trPr>
          <w:trHeight w:val="104"/>
        </w:trPr>
        <w:tc>
          <w:tcPr>
            <w:tcW w:w="7580" w:type="dxa"/>
            <w:vAlign w:val="bottom"/>
            <w:shd w:val="clear" w:color="auto" w:fill="E6E6E6"/>
          </w:tcPr>
          <w:p>
            <w:pPr>
              <w:spacing w:after="0"/>
              <w:rPr>
                <w:sz w:val="9"/>
                <w:szCs w:val="9"/>
                <w:color w:val="auto"/>
              </w:rPr>
            </w:pPr>
          </w:p>
        </w:tc>
        <w:tc>
          <w:tcPr>
            <w:tcW w:w="2300" w:type="dxa"/>
            <w:vAlign w:val="bottom"/>
            <w:shd w:val="clear" w:color="auto" w:fill="E6E6E6"/>
          </w:tcPr>
          <w:p>
            <w:pPr>
              <w:spacing w:after="0"/>
              <w:rPr>
                <w:sz w:val="9"/>
                <w:szCs w:val="9"/>
                <w:color w:val="auto"/>
              </w:rPr>
            </w:pPr>
          </w:p>
        </w:tc>
      </w:tr>
      <w:tr>
        <w:trPr>
          <w:trHeight w:val="342"/>
        </w:trPr>
        <w:tc>
          <w:tcPr>
            <w:tcW w:w="7580" w:type="dxa"/>
            <w:vAlign w:val="bottom"/>
          </w:tcPr>
          <w:p>
            <w:pPr>
              <w:jc w:val="right"/>
              <w:ind w:right="6721"/>
              <w:spacing w:after="0"/>
              <w:rPr>
                <w:sz w:val="20"/>
                <w:szCs w:val="20"/>
                <w:color w:val="auto"/>
              </w:rPr>
            </w:pPr>
            <w:r>
              <w:rPr>
                <w:rFonts w:ascii="Arial" w:cs="Arial" w:eastAsia="Arial" w:hAnsi="Arial"/>
                <w:sz w:val="20"/>
                <w:szCs w:val="20"/>
                <w:color w:val="auto"/>
              </w:rPr>
              <w:t>[***]</w:t>
            </w:r>
          </w:p>
        </w:tc>
        <w:tc>
          <w:tcPr>
            <w:tcW w:w="2300" w:type="dxa"/>
            <w:vAlign w:val="bottom"/>
          </w:tcPr>
          <w:p>
            <w:pPr>
              <w:jc w:val="center"/>
              <w:ind w:right="241"/>
              <w:spacing w:after="0"/>
              <w:rPr>
                <w:sz w:val="20"/>
                <w:szCs w:val="20"/>
                <w:color w:val="auto"/>
              </w:rPr>
            </w:pPr>
            <w:r>
              <w:rPr>
                <w:rFonts w:ascii="Arial" w:cs="Arial" w:eastAsia="Arial" w:hAnsi="Arial"/>
                <w:sz w:val="20"/>
                <w:szCs w:val="20"/>
                <w:color w:val="auto"/>
              </w:rPr>
              <w:t>[***]</w:t>
            </w:r>
          </w:p>
        </w:tc>
      </w:tr>
      <w:tr>
        <w:trPr>
          <w:trHeight w:val="446"/>
        </w:trPr>
        <w:tc>
          <w:tcPr>
            <w:tcW w:w="7580" w:type="dxa"/>
            <w:vAlign w:val="bottom"/>
          </w:tcPr>
          <w:p>
            <w:pPr>
              <w:jc w:val="right"/>
              <w:ind w:right="6721"/>
              <w:spacing w:after="0"/>
              <w:rPr>
                <w:sz w:val="20"/>
                <w:szCs w:val="20"/>
                <w:color w:val="auto"/>
              </w:rPr>
            </w:pPr>
            <w:r>
              <w:rPr>
                <w:rFonts w:ascii="Arial" w:cs="Arial" w:eastAsia="Arial" w:hAnsi="Arial"/>
                <w:sz w:val="20"/>
                <w:szCs w:val="20"/>
                <w:color w:val="auto"/>
              </w:rPr>
              <w:t>[***]</w:t>
            </w:r>
          </w:p>
        </w:tc>
        <w:tc>
          <w:tcPr>
            <w:tcW w:w="2300" w:type="dxa"/>
            <w:vAlign w:val="bottom"/>
          </w:tcPr>
          <w:p>
            <w:pPr>
              <w:jc w:val="center"/>
              <w:ind w:right="241"/>
              <w:spacing w:after="0"/>
              <w:rPr>
                <w:sz w:val="20"/>
                <w:szCs w:val="20"/>
                <w:color w:val="auto"/>
              </w:rPr>
            </w:pPr>
            <w:r>
              <w:rPr>
                <w:rFonts w:ascii="Arial" w:cs="Arial" w:eastAsia="Arial" w:hAnsi="Arial"/>
                <w:sz w:val="20"/>
                <w:szCs w:val="20"/>
                <w:color w:val="auto"/>
              </w:rPr>
              <w:t>[***]</w:t>
            </w:r>
          </w:p>
        </w:tc>
      </w:tr>
      <w:tr>
        <w:trPr>
          <w:trHeight w:val="446"/>
        </w:trPr>
        <w:tc>
          <w:tcPr>
            <w:tcW w:w="7580" w:type="dxa"/>
            <w:vAlign w:val="bottom"/>
          </w:tcPr>
          <w:p>
            <w:pPr>
              <w:jc w:val="right"/>
              <w:ind w:right="6721"/>
              <w:spacing w:after="0"/>
              <w:rPr>
                <w:sz w:val="20"/>
                <w:szCs w:val="20"/>
                <w:color w:val="auto"/>
              </w:rPr>
            </w:pPr>
            <w:r>
              <w:rPr>
                <w:rFonts w:ascii="Arial" w:cs="Arial" w:eastAsia="Arial" w:hAnsi="Arial"/>
                <w:sz w:val="20"/>
                <w:szCs w:val="20"/>
                <w:color w:val="auto"/>
              </w:rPr>
              <w:t>[***]</w:t>
            </w:r>
          </w:p>
        </w:tc>
        <w:tc>
          <w:tcPr>
            <w:tcW w:w="2300" w:type="dxa"/>
            <w:vAlign w:val="bottom"/>
          </w:tcPr>
          <w:p>
            <w:pPr>
              <w:jc w:val="center"/>
              <w:ind w:right="241"/>
              <w:spacing w:after="0"/>
              <w:rPr>
                <w:sz w:val="20"/>
                <w:szCs w:val="20"/>
                <w:color w:val="auto"/>
              </w:rPr>
            </w:pPr>
            <w:r>
              <w:rPr>
                <w:rFonts w:ascii="Arial" w:cs="Arial" w:eastAsia="Arial" w:hAnsi="Arial"/>
                <w:sz w:val="20"/>
                <w:szCs w:val="20"/>
                <w:color w:val="auto"/>
              </w:rPr>
              <w:t>[***]</w:t>
            </w:r>
          </w:p>
        </w:tc>
      </w:tr>
    </w:tbl>
    <w:p>
      <w:pPr>
        <w:spacing w:after="0" w:line="8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royalty tiers set forth in the table above shall apply separately to Licensed Products [***]. For example, if [***] during a Calendar Year are [***], and [***] are [***] during such Calendar Year, the Net Sales for both Licensed Products shall bear a royalty rate of [***].</w:t>
      </w:r>
    </w:p>
    <w:p>
      <w:pPr>
        <w:spacing w:after="0" w:line="180"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7.6.2 Royalty Term. </w:t>
      </w:r>
      <w:r>
        <w:rPr>
          <w:rFonts w:ascii="Arial" w:cs="Arial" w:eastAsia="Arial" w:hAnsi="Arial"/>
          <w:sz w:val="22"/>
          <w:szCs w:val="22"/>
          <w:color w:val="auto"/>
        </w:rPr>
        <w:t>AbbVie shall have no obligation to pay any royalty with respect to Net</w:t>
      </w:r>
      <w:r>
        <w:rPr>
          <w:rFonts w:ascii="Arial" w:cs="Arial" w:eastAsia="Arial" w:hAnsi="Arial"/>
          <w:sz w:val="22"/>
          <w:szCs w:val="22"/>
          <w:b w:val="1"/>
          <w:bCs w:val="1"/>
          <w:color w:val="auto"/>
        </w:rPr>
        <w:t xml:space="preserve"> </w:t>
      </w:r>
      <w:r>
        <w:rPr>
          <w:rFonts w:ascii="Arial" w:cs="Arial" w:eastAsia="Arial" w:hAnsi="Arial"/>
          <w:sz w:val="22"/>
          <w:szCs w:val="22"/>
          <w:color w:val="auto"/>
        </w:rPr>
        <w:t>Sales of any Licensed Product in any country or other jurisdiction after the Royalty Term for such Licensed Product in such country or other jurisdiction has expired.</w:t>
      </w:r>
    </w:p>
    <w:p>
      <w:pPr>
        <w:spacing w:after="0" w:line="69"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7.6.3</w:t>
      </w:r>
      <w:r>
        <w:rPr>
          <w:sz w:val="20"/>
          <w:szCs w:val="20"/>
          <w:color w:val="auto"/>
        </w:rPr>
        <w:tab/>
      </w:r>
      <w:r>
        <w:rPr>
          <w:rFonts w:ascii="Arial" w:cs="Arial" w:eastAsia="Arial" w:hAnsi="Arial"/>
          <w:sz w:val="19"/>
          <w:szCs w:val="19"/>
          <w:b w:val="1"/>
          <w:bCs w:val="1"/>
          <w:color w:val="auto"/>
        </w:rPr>
        <w:t xml:space="preserve">Reductions. </w:t>
      </w:r>
      <w:r>
        <w:rPr>
          <w:rFonts w:ascii="Arial" w:cs="Arial" w:eastAsia="Arial" w:hAnsi="Arial"/>
          <w:sz w:val="19"/>
          <w:szCs w:val="19"/>
          <w:color w:val="auto"/>
        </w:rPr>
        <w:t>Notwithstanding the foregoing:</w:t>
      </w:r>
    </w:p>
    <w:p>
      <w:pPr>
        <w:spacing w:after="0" w:line="104" w:lineRule="exact"/>
        <w:rPr>
          <w:sz w:val="20"/>
          <w:szCs w:val="20"/>
          <w:color w:val="auto"/>
        </w:rPr>
      </w:pPr>
    </w:p>
    <w:p>
      <w:pPr>
        <w:ind w:left="4400" w:hanging="881"/>
        <w:spacing w:after="0"/>
        <w:tabs>
          <w:tab w:leader="none" w:pos="4400" w:val="left"/>
        </w:tabs>
        <w:numPr>
          <w:ilvl w:val="1"/>
          <w:numId w:val="63"/>
        </w:numPr>
        <w:rPr>
          <w:rFonts w:ascii="Arial" w:cs="Arial" w:eastAsia="Arial" w:hAnsi="Arial"/>
          <w:sz w:val="19"/>
          <w:szCs w:val="19"/>
          <w:color w:val="auto"/>
        </w:rPr>
      </w:pPr>
      <w:r>
        <w:rPr>
          <w:rFonts w:ascii="Arial" w:cs="Arial" w:eastAsia="Arial" w:hAnsi="Arial"/>
          <w:sz w:val="19"/>
          <w:szCs w:val="19"/>
          <w:color w:val="auto"/>
        </w:rPr>
        <w:t>in the event that in any country or other jurisdiction in the Territory during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Royalty Term for a Licensed Product there is Biosimilar Competition resulting in [***];</w:t>
      </w:r>
    </w:p>
    <w:p>
      <w:pPr>
        <w:spacing w:after="0" w:line="80" w:lineRule="exact"/>
        <w:rPr>
          <w:rFonts w:ascii="Arial" w:cs="Arial" w:eastAsia="Arial" w:hAnsi="Arial"/>
          <w:sz w:val="19"/>
          <w:szCs w:val="19"/>
          <w:color w:val="auto"/>
        </w:rPr>
      </w:pPr>
    </w:p>
    <w:p>
      <w:pPr>
        <w:jc w:val="both"/>
        <w:ind w:firstLine="3519"/>
        <w:spacing w:after="0" w:line="234" w:lineRule="auto"/>
        <w:tabs>
          <w:tab w:leader="none" w:pos="4412" w:val="left"/>
        </w:tabs>
        <w:numPr>
          <w:ilvl w:val="1"/>
          <w:numId w:val="63"/>
        </w:numPr>
        <w:rPr>
          <w:rFonts w:ascii="Arial" w:cs="Arial" w:eastAsia="Arial" w:hAnsi="Arial"/>
          <w:sz w:val="22"/>
          <w:szCs w:val="22"/>
          <w:color w:val="auto"/>
        </w:rPr>
      </w:pPr>
      <w:r>
        <w:rPr>
          <w:rFonts w:ascii="Arial" w:cs="Arial" w:eastAsia="Arial" w:hAnsi="Arial"/>
          <w:sz w:val="22"/>
          <w:szCs w:val="22"/>
          <w:color w:val="auto"/>
        </w:rPr>
        <w:t>AbbVie shall be entitled to deduct from any royalties, milestones or other amounts payable hereunder with respect to a country or other jurisdiction [***] of all upfront payments, milestone payments, royalties and other amounts paid under AbbVie In-License Agreements with respect to such country or other jurisdiction except to the extent such AbbVie Third Party Payments constitute royalties under any agreement in which AbbVie obtained a right or license to Exploit an Other Active Ingredient (for which the Net Sales calculation under this Agreement excluded the value of such Other Active Ingredient); and provided further that (i) AbbVie has the right to deduct [***] of all payments by AbbVie in connection with Blocking</w:t>
      </w:r>
    </w:p>
    <w:p>
      <w:pPr>
        <w:spacing w:after="0" w:line="164" w:lineRule="exact"/>
        <w:rPr>
          <w:rFonts w:ascii="Arial" w:cs="Arial" w:eastAsia="Arial" w:hAnsi="Arial"/>
          <w:sz w:val="22"/>
          <w:szCs w:val="22"/>
          <w:color w:val="auto"/>
        </w:rPr>
      </w:pPr>
    </w:p>
    <w:p>
      <w:pPr>
        <w:ind w:left="1020" w:hanging="135"/>
        <w:spacing w:after="0"/>
        <w:tabs>
          <w:tab w:leader="none" w:pos="1020" w:val="left"/>
        </w:tabs>
        <w:numPr>
          <w:ilvl w:val="0"/>
          <w:numId w:val="63"/>
        </w:numPr>
        <w:rPr>
          <w:rFonts w:ascii="Arial" w:cs="Arial" w:eastAsia="Arial" w:hAnsi="Arial"/>
          <w:sz w:val="22"/>
          <w:szCs w:val="22"/>
          <w:color w:val="auto"/>
        </w:rPr>
      </w:pPr>
      <w:r>
        <w:rPr>
          <w:rFonts w:ascii="Arial" w:cs="Arial" w:eastAsia="Arial" w:hAnsi="Arial"/>
          <w:sz w:val="22"/>
          <w:szCs w:val="22"/>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16" w:name="page117"/>
    <w:bookmarkEnd w:id="116"/>
    <w:p>
      <w:pPr>
        <w:spacing w:after="0" w:line="251" w:lineRule="auto"/>
        <w:rPr>
          <w:sz w:val="20"/>
          <w:szCs w:val="20"/>
          <w:color w:val="auto"/>
        </w:rPr>
      </w:pPr>
      <w:r>
        <w:rPr>
          <w:rFonts w:ascii="Arial" w:cs="Arial" w:eastAsia="Arial" w:hAnsi="Arial"/>
          <w:sz w:val="22"/>
          <w:szCs w:val="22"/>
          <w:color w:val="auto"/>
        </w:rPr>
        <w:t>Third Party Platform IP and (B) AbbVie shall be responsible for [***] of all payments by AbbVie in connection with Blocking Third Party Payload IP;</w:t>
      </w:r>
    </w:p>
    <w:p>
      <w:pPr>
        <w:spacing w:after="0" w:line="65" w:lineRule="exact"/>
        <w:rPr>
          <w:sz w:val="20"/>
          <w:szCs w:val="20"/>
          <w:color w:val="auto"/>
        </w:rPr>
      </w:pPr>
    </w:p>
    <w:p>
      <w:pPr>
        <w:jc w:val="both"/>
        <w:ind w:firstLine="3519"/>
        <w:spacing w:after="0" w:line="236" w:lineRule="auto"/>
        <w:tabs>
          <w:tab w:leader="none" w:pos="4399"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in the event that a court or a governmental agency of competent jurisdiction requires AbbVie or any of its Affiliates or Sublicensees to grant a compulsory license to a Third Party permitting such Third Party to make and sell a Licensed Product in a country or other jurisdiction in the Territory, then, for the purposes of calculating the royalties payable with respect to such Licensed Product under </w:t>
      </w:r>
      <w:r>
        <w:rPr>
          <w:rFonts w:ascii="Arial" w:cs="Arial" w:eastAsia="Arial" w:hAnsi="Arial"/>
          <w:sz w:val="22"/>
          <w:szCs w:val="22"/>
          <w:u w:val="single" w:color="auto"/>
          <w:color w:val="auto"/>
        </w:rPr>
        <w:t>Section 7.6.1</w:t>
      </w:r>
      <w:r>
        <w:rPr>
          <w:rFonts w:ascii="Arial" w:cs="Arial" w:eastAsia="Arial" w:hAnsi="Arial"/>
          <w:sz w:val="22"/>
          <w:szCs w:val="22"/>
          <w:color w:val="auto"/>
        </w:rPr>
        <w:t>, [***] of Net Sales of such Licensed Product in such country or other jurisdiction shall be disregarded;</w:t>
      </w:r>
    </w:p>
    <w:p>
      <w:pPr>
        <w:spacing w:after="0" w:line="79" w:lineRule="exact"/>
        <w:rPr>
          <w:rFonts w:ascii="Arial" w:cs="Arial" w:eastAsia="Arial" w:hAnsi="Arial"/>
          <w:sz w:val="22"/>
          <w:szCs w:val="22"/>
          <w:color w:val="auto"/>
        </w:rPr>
      </w:pPr>
    </w:p>
    <w:p>
      <w:pPr>
        <w:jc w:val="both"/>
        <w:ind w:firstLine="3519"/>
        <w:spacing w:after="0" w:line="236" w:lineRule="auto"/>
        <w:tabs>
          <w:tab w:leader="none" w:pos="4412"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in the event that, and in such case from and after the date on which, a Licensed Product is Exploited in a country or other jurisdiction and is not covered by a Valid Claim of a Licensor Background Patent or Licensor Program Patent that covers the Manufacture, use or sale of a Licensed Product in such country or other jurisdiction, the royalty rate set forth in </w:t>
      </w:r>
      <w:r>
        <w:rPr>
          <w:rFonts w:ascii="Arial" w:cs="Arial" w:eastAsia="Arial" w:hAnsi="Arial"/>
          <w:sz w:val="22"/>
          <w:szCs w:val="22"/>
          <w:u w:val="single" w:color="auto"/>
          <w:color w:val="auto"/>
        </w:rPr>
        <w:t>Section 7.6.1</w:t>
      </w:r>
      <w:r>
        <w:rPr>
          <w:rFonts w:ascii="Arial" w:cs="Arial" w:eastAsia="Arial" w:hAnsi="Arial"/>
          <w:sz w:val="22"/>
          <w:szCs w:val="22"/>
          <w:color w:val="auto"/>
        </w:rPr>
        <w:t xml:space="preserve"> with respect to such country or other jurisdiction (for purposes of calculations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7.6.1</w:t>
      </w:r>
      <w:r>
        <w:rPr>
          <w:rFonts w:ascii="Arial" w:cs="Arial" w:eastAsia="Arial" w:hAnsi="Arial"/>
          <w:sz w:val="22"/>
          <w:szCs w:val="22"/>
          <w:color w:val="auto"/>
        </w:rPr>
        <w:t>), each shall be reduced by [***]; and</w:t>
      </w:r>
    </w:p>
    <w:p>
      <w:pPr>
        <w:spacing w:after="0" w:line="79" w:lineRule="exact"/>
        <w:rPr>
          <w:rFonts w:ascii="Arial" w:cs="Arial" w:eastAsia="Arial" w:hAnsi="Arial"/>
          <w:sz w:val="22"/>
          <w:szCs w:val="22"/>
          <w:color w:val="auto"/>
        </w:rPr>
      </w:pPr>
    </w:p>
    <w:p>
      <w:pPr>
        <w:ind w:left="4400" w:hanging="881"/>
        <w:spacing w:after="0"/>
        <w:tabs>
          <w:tab w:leader="none" w:pos="44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AbbVie shall have the right to deduct costs in accordance with </w:t>
      </w:r>
      <w:r>
        <w:rPr>
          <w:rFonts w:ascii="Arial" w:cs="Arial" w:eastAsia="Arial" w:hAnsi="Arial"/>
          <w:sz w:val="19"/>
          <w:szCs w:val="19"/>
          <w:u w:val="single" w:color="auto"/>
          <w:color w:val="auto"/>
        </w:rPr>
        <w:t>Section 8.3.7</w:t>
      </w:r>
      <w:r>
        <w:rPr>
          <w:rFonts w:ascii="Arial" w:cs="Arial" w:eastAsia="Arial" w:hAnsi="Arial"/>
          <w:sz w:val="19"/>
          <w:szCs w:val="19"/>
          <w:color w:val="auto"/>
        </w:rPr>
        <w:t xml:space="preserve">, </w:t>
      </w:r>
      <w:r>
        <w:rPr>
          <w:rFonts w:ascii="Arial" w:cs="Arial" w:eastAsia="Arial" w:hAnsi="Arial"/>
          <w:sz w:val="19"/>
          <w:szCs w:val="19"/>
          <w:u w:val="single" w:color="auto"/>
          <w:color w:val="auto"/>
        </w:rPr>
        <w:t>8.4</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8.5.6</w:t>
      </w: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jc w:val="both"/>
        <w:ind w:firstLine="3519"/>
        <w:spacing w:after="0" w:line="235" w:lineRule="auto"/>
        <w:tabs>
          <w:tab w:leader="none" w:pos="4376"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Section 7.6.3</w:t>
      </w:r>
      <w:r>
        <w:rPr>
          <w:rFonts w:ascii="Arial" w:cs="Arial" w:eastAsia="Arial" w:hAnsi="Arial"/>
          <w:sz w:val="22"/>
          <w:szCs w:val="22"/>
          <w:color w:val="auto"/>
        </w:rPr>
        <w:t xml:space="preserve">, in no event will the royalties payable to Licensor under this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be reduced to less than [***] of the royalties set forth in </w:t>
      </w:r>
      <w:r>
        <w:rPr>
          <w:rFonts w:ascii="Arial" w:cs="Arial" w:eastAsia="Arial" w:hAnsi="Arial"/>
          <w:sz w:val="22"/>
          <w:szCs w:val="22"/>
          <w:u w:val="single" w:color="auto"/>
          <w:color w:val="auto"/>
        </w:rPr>
        <w:t>Sections 7.6.1</w:t>
      </w:r>
      <w:r>
        <w:rPr>
          <w:rFonts w:ascii="Arial" w:cs="Arial" w:eastAsia="Arial" w:hAnsi="Arial"/>
          <w:sz w:val="22"/>
          <w:szCs w:val="22"/>
          <w:color w:val="auto"/>
        </w:rPr>
        <w:t xml:space="preserve"> and any balance of such deductions then remaining would be carried over to subsequent [***] and applied against any royalties due with respect to such subsequent [***]. Notwithstanding the foregoing, the foregoing limitation on current reductions of the royalty rate below [***] shall not apply to (i) </w:t>
      </w:r>
      <w:r>
        <w:rPr>
          <w:rFonts w:ascii="Arial" w:cs="Arial" w:eastAsia="Arial" w:hAnsi="Arial"/>
          <w:sz w:val="22"/>
          <w:szCs w:val="22"/>
          <w:u w:val="single" w:color="auto"/>
          <w:color w:val="auto"/>
        </w:rPr>
        <w:t>Section 7.6.3(b)(i)</w:t>
      </w:r>
      <w:r>
        <w:rPr>
          <w:rFonts w:ascii="Arial" w:cs="Arial" w:eastAsia="Arial" w:hAnsi="Arial"/>
          <w:sz w:val="22"/>
          <w:szCs w:val="22"/>
          <w:color w:val="auto"/>
        </w:rPr>
        <w:t xml:space="preserve">, or (ii) deductions in accordance with </w:t>
      </w:r>
      <w:r>
        <w:rPr>
          <w:rFonts w:ascii="Arial" w:cs="Arial" w:eastAsia="Arial" w:hAnsi="Arial"/>
          <w:sz w:val="22"/>
          <w:szCs w:val="22"/>
          <w:u w:val="single" w:color="auto"/>
          <w:color w:val="auto"/>
        </w:rPr>
        <w:t>Section 8.3.7</w:t>
      </w:r>
      <w:r>
        <w:rPr>
          <w:rFonts w:ascii="Arial" w:cs="Arial" w:eastAsia="Arial" w:hAnsi="Arial"/>
          <w:sz w:val="22"/>
          <w:szCs w:val="22"/>
          <w:color w:val="auto"/>
        </w:rPr>
        <w:t xml:space="preserve">, </w:t>
      </w:r>
      <w:r>
        <w:rPr>
          <w:rFonts w:ascii="Arial" w:cs="Arial" w:eastAsia="Arial" w:hAnsi="Arial"/>
          <w:sz w:val="22"/>
          <w:szCs w:val="22"/>
          <w:u w:val="single" w:color="auto"/>
          <w:color w:val="auto"/>
        </w:rPr>
        <w:t>8.4</w:t>
      </w:r>
      <w:r>
        <w:rPr>
          <w:rFonts w:ascii="Arial" w:cs="Arial" w:eastAsia="Arial" w:hAnsi="Arial"/>
          <w:sz w:val="22"/>
          <w:szCs w:val="22"/>
          <w:color w:val="auto"/>
        </w:rPr>
        <w:t xml:space="preserve"> (relating to Blocking Third Party Platform IP), and </w:t>
      </w:r>
      <w:r>
        <w:rPr>
          <w:rFonts w:ascii="Arial" w:cs="Arial" w:eastAsia="Arial" w:hAnsi="Arial"/>
          <w:sz w:val="22"/>
          <w:szCs w:val="22"/>
          <w:u w:val="single" w:color="auto"/>
          <w:color w:val="auto"/>
        </w:rPr>
        <w:t>Section 8.5.6</w:t>
      </w: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jc w:val="both"/>
        <w:ind w:firstLine="3519"/>
        <w:spacing w:after="0" w:line="236" w:lineRule="auto"/>
        <w:tabs>
          <w:tab w:leader="none" w:pos="4412"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The Parties acknowledge and agree that the royalty payments (including the royalty rates and term for such royalty payments) set forth in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are to be made in consideration for the licenses and rights granted by Licensor to AbbVie with respect to both the Patents and Know-How, and have been agreed to by the Parties for the purpose of reflecting and advancing their mutual convenience, including the ease of calculation of such royalties and the payment of such royalties by AbbVie to Licensor.</w:t>
      </w:r>
    </w:p>
    <w:p>
      <w:pPr>
        <w:spacing w:after="0" w:line="74" w:lineRule="exact"/>
        <w:rPr>
          <w:sz w:val="20"/>
          <w:szCs w:val="20"/>
          <w:color w:val="auto"/>
        </w:rPr>
      </w:pPr>
    </w:p>
    <w:p>
      <w:pPr>
        <w:jc w:val="both"/>
        <w:ind w:firstLine="1755"/>
        <w:spacing w:after="0" w:line="248" w:lineRule="auto"/>
        <w:rPr>
          <w:sz w:val="20"/>
          <w:szCs w:val="20"/>
          <w:color w:val="auto"/>
        </w:rPr>
      </w:pPr>
      <w:r>
        <w:rPr>
          <w:rFonts w:ascii="Arial" w:cs="Arial" w:eastAsia="Arial" w:hAnsi="Arial"/>
          <w:sz w:val="21"/>
          <w:szCs w:val="21"/>
          <w:b w:val="1"/>
          <w:bCs w:val="1"/>
          <w:color w:val="auto"/>
        </w:rPr>
        <w:t xml:space="preserve">7.7 Royalty Payments and Reports. </w:t>
      </w:r>
      <w:r>
        <w:rPr>
          <w:rFonts w:ascii="Arial" w:cs="Arial" w:eastAsia="Arial" w:hAnsi="Arial"/>
          <w:sz w:val="21"/>
          <w:szCs w:val="21"/>
          <w:color w:val="auto"/>
        </w:rPr>
        <w:t>AbbVie shall calculate all amounts payable to Licensor pursuant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to </w:t>
      </w:r>
      <w:r>
        <w:rPr>
          <w:rFonts w:ascii="Arial" w:cs="Arial" w:eastAsia="Arial" w:hAnsi="Arial"/>
          <w:sz w:val="21"/>
          <w:szCs w:val="21"/>
          <w:u w:val="single" w:color="auto"/>
          <w:color w:val="auto"/>
        </w:rPr>
        <w:t>Section 7.6</w:t>
      </w:r>
      <w:r>
        <w:rPr>
          <w:rFonts w:ascii="Arial" w:cs="Arial" w:eastAsia="Arial" w:hAnsi="Arial"/>
          <w:sz w:val="21"/>
          <w:szCs w:val="21"/>
          <w:color w:val="auto"/>
        </w:rPr>
        <w:t xml:space="preserve"> at the end of each Calendar Quarter, which amounts shall be converted to Dollars,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7.8</w:t>
      </w:r>
      <w:r>
        <w:rPr>
          <w:rFonts w:ascii="Arial" w:cs="Arial" w:eastAsia="Arial" w:hAnsi="Arial"/>
          <w:sz w:val="21"/>
          <w:szCs w:val="21"/>
          <w:color w:val="auto"/>
        </w:rPr>
        <w:t>. AbbVie shall pay to Licensor the royalty amounts due with respect to a given Calendar Quarter within [***] after the end of such Calendar Quarter. Each payment of royalties due to Licensor shall be accompanied by a statement of the amount of Net Sales of each Licensed Product in each country or other jurisdiction in the Territory during the applicable Calendar Quarter (including such amounts expressed in local currency and as converted to Dollars) and a calculation of the amount of royalty payment due on such Net Sales for such Calendar Quarter.</w:t>
      </w:r>
    </w:p>
    <w:p>
      <w:pPr>
        <w:spacing w:after="0" w:line="63"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7.8 Mode of Payment; Offsets. </w:t>
      </w:r>
      <w:r>
        <w:rPr>
          <w:rFonts w:ascii="Arial" w:cs="Arial" w:eastAsia="Arial" w:hAnsi="Arial"/>
          <w:sz w:val="22"/>
          <w:szCs w:val="22"/>
          <w:color w:val="auto"/>
        </w:rPr>
        <w:t>All payments to either Party under this Agreement shall be made by</w:t>
      </w:r>
      <w:r>
        <w:rPr>
          <w:rFonts w:ascii="Arial" w:cs="Arial" w:eastAsia="Arial" w:hAnsi="Arial"/>
          <w:sz w:val="22"/>
          <w:szCs w:val="22"/>
          <w:b w:val="1"/>
          <w:bCs w:val="1"/>
          <w:color w:val="auto"/>
        </w:rPr>
        <w:t xml:space="preserve"> </w:t>
      </w:r>
      <w:r>
        <w:rPr>
          <w:rFonts w:ascii="Arial" w:cs="Arial" w:eastAsia="Arial" w:hAnsi="Arial"/>
          <w:sz w:val="22"/>
          <w:szCs w:val="22"/>
          <w:color w:val="auto"/>
        </w:rPr>
        <w:t>deposit of Dollars in the requisite amount to such bank account as the receiving Party may from time to time designate by notice to the paying Party. For the purpose</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17" w:name="page118"/>
    <w:bookmarkEnd w:id="117"/>
    <w:p>
      <w:pPr>
        <w:jc w:val="both"/>
        <w:spacing w:after="0" w:line="236" w:lineRule="auto"/>
        <w:rPr>
          <w:sz w:val="20"/>
          <w:szCs w:val="20"/>
          <w:color w:val="auto"/>
        </w:rPr>
      </w:pPr>
      <w:r>
        <w:rPr>
          <w:rFonts w:ascii="Arial" w:cs="Arial" w:eastAsia="Arial" w:hAnsi="Arial"/>
          <w:sz w:val="22"/>
          <w:szCs w:val="22"/>
          <w:color w:val="auto"/>
        </w:rPr>
        <w:t>of calculating any sums due under, or otherwise reimbursable pursuant to, this Agreement (including the calculation of Net Sales expressed in currencies other than Dollars), a Party shall convert any amount expressed in a foreign currency into Dollar equivalents using its, its Affiliate’s or Sublicensee’s standard conversion methodology consistent with Accounting Standards. AbbVie shall have the right to offset any payment that is owed by Licensor but not paid against any payments owed by AbbVie, if any, under this Agreement.</w:t>
      </w:r>
    </w:p>
    <w:p>
      <w:pPr>
        <w:spacing w:after="0" w:line="74" w:lineRule="exact"/>
        <w:rPr>
          <w:sz w:val="20"/>
          <w:szCs w:val="20"/>
          <w:color w:val="auto"/>
        </w:rPr>
      </w:pPr>
    </w:p>
    <w:p>
      <w:pPr>
        <w:jc w:val="both"/>
        <w:ind w:firstLine="1755"/>
        <w:spacing w:after="0" w:line="271" w:lineRule="auto"/>
        <w:rPr>
          <w:sz w:val="20"/>
          <w:szCs w:val="20"/>
          <w:color w:val="auto"/>
        </w:rPr>
      </w:pPr>
      <w:r>
        <w:rPr>
          <w:rFonts w:ascii="Arial" w:cs="Arial" w:eastAsia="Arial" w:hAnsi="Arial"/>
          <w:sz w:val="19"/>
          <w:szCs w:val="19"/>
          <w:b w:val="1"/>
          <w:bCs w:val="1"/>
          <w:color w:val="auto"/>
        </w:rPr>
        <w:t xml:space="preserve">7.9 Withholding Taxes. </w:t>
      </w:r>
      <w:r>
        <w:rPr>
          <w:rFonts w:ascii="Arial" w:cs="Arial" w:eastAsia="Arial" w:hAnsi="Arial"/>
          <w:sz w:val="19"/>
          <w:szCs w:val="19"/>
          <w:color w:val="auto"/>
        </w:rPr>
        <w:t>Where any sum due to be paid to either Party hereunder is subject to any</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or similar tax, the Parties shall use their commercially reasonable efforts to do all such acts and things and to sign all such documents as will enable them to take advantage of any applicable double taxation agreement or treaty. In the event there is no applicable double taxation agreement or treaty, or if an applicable double taxation agreement or treaty reduces but does not eliminate such withholding or similar tax, the payor shall remit such withholding or similar tax to the appropriate government authority, deduct the amount paid from the amount due to payee and secure and send to payee the best available evidence of such withholding or similar tax. If withholding or similar taxes are paid to a government authority, each Party will provide the other such assistance as is reasonably required to obtain a refund of the withheld or similar taxes, or obtain a credit with respect to such taxes paid. In the event that a government authority retroactively determines that a payment made by a Party to the other pursuant to this Agreement should have been subject to withholding or similar (or to additional withholding or similar) taxes, and such Party (the “</w:t>
      </w:r>
      <w:r>
        <w:rPr>
          <w:rFonts w:ascii="Arial" w:cs="Arial" w:eastAsia="Arial" w:hAnsi="Arial"/>
          <w:sz w:val="19"/>
          <w:szCs w:val="19"/>
          <w:b w:val="1"/>
          <w:bCs w:val="1"/>
          <w:color w:val="auto"/>
        </w:rPr>
        <w:t>Withholding Party</w:t>
      </w:r>
      <w:r>
        <w:rPr>
          <w:rFonts w:ascii="Arial" w:cs="Arial" w:eastAsia="Arial" w:hAnsi="Arial"/>
          <w:sz w:val="19"/>
          <w:szCs w:val="19"/>
          <w:color w:val="auto"/>
        </w:rPr>
        <w:t>”) remits such withholding or similar taxes to the government authority, the Withholding Party will have the right (a) to offset such amount, including any interest and penalties that may be imposed thereon (except to the extent any such interest or penalties result from the negligence of the Withholding Party), against future payment obligations of the Withholding Party under this Agreement, (b) to invoice the other Party for such amount (which shall be payable by the other Party within [***] of its receipt of such invoice) or (c) to pursue reimbursement by any other available remedy.</w:t>
      </w:r>
    </w:p>
    <w:p>
      <w:pPr>
        <w:spacing w:after="0" w:line="54" w:lineRule="exact"/>
        <w:rPr>
          <w:sz w:val="20"/>
          <w:szCs w:val="20"/>
          <w:color w:val="auto"/>
        </w:rPr>
      </w:pPr>
    </w:p>
    <w:p>
      <w:pPr>
        <w:jc w:val="both"/>
        <w:ind w:firstLine="1755"/>
        <w:spacing w:after="0" w:line="244" w:lineRule="auto"/>
        <w:rPr>
          <w:sz w:val="20"/>
          <w:szCs w:val="20"/>
          <w:color w:val="auto"/>
        </w:rPr>
      </w:pPr>
      <w:r>
        <w:rPr>
          <w:rFonts w:ascii="Arial" w:cs="Arial" w:eastAsia="Arial" w:hAnsi="Arial"/>
          <w:sz w:val="21"/>
          <w:szCs w:val="21"/>
          <w:b w:val="1"/>
          <w:bCs w:val="1"/>
          <w:color w:val="auto"/>
        </w:rPr>
        <w:t xml:space="preserve">7.10 Indirect Taxes. </w:t>
      </w:r>
      <w:r>
        <w:rPr>
          <w:rFonts w:ascii="Arial" w:cs="Arial" w:eastAsia="Arial" w:hAnsi="Arial"/>
          <w:sz w:val="21"/>
          <w:szCs w:val="21"/>
          <w:color w:val="auto"/>
        </w:rPr>
        <w:t>All payments are exclusive of value added taxes, sales taxes, consumption taxes</w:t>
      </w:r>
      <w:r>
        <w:rPr>
          <w:rFonts w:ascii="Arial" w:cs="Arial" w:eastAsia="Arial" w:hAnsi="Arial"/>
          <w:sz w:val="21"/>
          <w:szCs w:val="21"/>
          <w:b w:val="1"/>
          <w:bCs w:val="1"/>
          <w:color w:val="auto"/>
        </w:rPr>
        <w:t xml:space="preserve"> </w:t>
      </w:r>
      <w:r>
        <w:rPr>
          <w:rFonts w:ascii="Arial" w:cs="Arial" w:eastAsia="Arial" w:hAnsi="Arial"/>
          <w:sz w:val="21"/>
          <w:szCs w:val="21"/>
          <w:color w:val="auto"/>
        </w:rPr>
        <w:t>and other similar taxes (the “</w:t>
      </w:r>
      <w:r>
        <w:rPr>
          <w:rFonts w:ascii="Arial" w:cs="Arial" w:eastAsia="Arial" w:hAnsi="Arial"/>
          <w:sz w:val="21"/>
          <w:szCs w:val="21"/>
          <w:b w:val="1"/>
          <w:bCs w:val="1"/>
          <w:color w:val="auto"/>
        </w:rPr>
        <w:t>Indirect Taxes</w:t>
      </w:r>
      <w:r>
        <w:rPr>
          <w:rFonts w:ascii="Arial" w:cs="Arial" w:eastAsia="Arial" w:hAnsi="Arial"/>
          <w:sz w:val="21"/>
          <w:szCs w:val="21"/>
          <w:color w:val="auto"/>
        </w:rPr>
        <w:t>”). If any Indirect Taxes are chargeable in respect of any payments, the paying Party shall pay such Indirect Taxes at the applicable rate in respect of such payments following receipt, where applicable, of an Indirect Taxes invoice in the appropriate form issued by the receiving Party in respect of those payments. The Parties shall issue invoices for all amounts payable under this Agreement consistent with Indirect Tax requirements and irrespective of whether the sums may be netted for settlement purposes. If the Indirect Taxes originally paid or otherwise borne by the paying Party are in whole or in part subsequently determined not to have been chargeable, all necessary steps will be taken by the receiving Party to receive a refund of these undue Indirect Taxes from the applicable governmental authority or other fiscal authority and any amount of undue Indirect Taxes repaid by such authority to the receiving Party will be transferred to the paying Party within [***] of receipt. In the event that a government authority retroactively determines that a payment made by the paying Party to the receiving Party pursuant to this Agreement should have been subject to Indirect Taxes, and the receiving Party is required to remit such Indirect Taxes to the government authority, the receiving Party will have the right (a) to invoice the paying Party for such amount (which shall be payable by the paying Party within [***] of its receipt of such invoice) or (b) to pursue reimbursement by any other available remedy.</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18" w:name="page119"/>
    <w:bookmarkEnd w:id="118"/>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7.11 Interest on Late Payments. </w:t>
      </w:r>
      <w:r>
        <w:rPr>
          <w:rFonts w:ascii="Arial" w:cs="Arial" w:eastAsia="Arial" w:hAnsi="Arial"/>
          <w:sz w:val="22"/>
          <w:szCs w:val="22"/>
          <w:color w:val="auto"/>
        </w:rPr>
        <w:t>If any payment due to either Party under this Agreement is not paid</w:t>
      </w:r>
      <w:r>
        <w:rPr>
          <w:rFonts w:ascii="Arial" w:cs="Arial" w:eastAsia="Arial" w:hAnsi="Arial"/>
          <w:sz w:val="22"/>
          <w:szCs w:val="22"/>
          <w:b w:val="1"/>
          <w:bCs w:val="1"/>
          <w:color w:val="auto"/>
        </w:rPr>
        <w:t xml:space="preserve"> </w:t>
      </w:r>
      <w:r>
        <w:rPr>
          <w:rFonts w:ascii="Arial" w:cs="Arial" w:eastAsia="Arial" w:hAnsi="Arial"/>
          <w:sz w:val="22"/>
          <w:szCs w:val="22"/>
          <w:color w:val="auto"/>
        </w:rPr>
        <w:t>when due, then such paying Party shall pay interest thereon (before and after any judgment) at an annual rate (but with interest accruing on a daily basis) of [***], such interest to run from the date on which payment of such sum became due until payment thereof in full together with such interest.</w:t>
      </w:r>
    </w:p>
    <w:p>
      <w:pPr>
        <w:spacing w:after="0" w:line="7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7.12 Financial Records. </w:t>
      </w:r>
      <w:r>
        <w:rPr>
          <w:rFonts w:ascii="Arial" w:cs="Arial" w:eastAsia="Arial" w:hAnsi="Arial"/>
          <w:sz w:val="22"/>
          <w:szCs w:val="22"/>
          <w:color w:val="auto"/>
        </w:rPr>
        <w:t>AbbVie shall, and shall cause its Affiliates to, keep complete and accurate</w:t>
      </w:r>
      <w:r>
        <w:rPr>
          <w:rFonts w:ascii="Arial" w:cs="Arial" w:eastAsia="Arial" w:hAnsi="Arial"/>
          <w:sz w:val="22"/>
          <w:szCs w:val="22"/>
          <w:b w:val="1"/>
          <w:bCs w:val="1"/>
          <w:color w:val="auto"/>
        </w:rPr>
        <w:t xml:space="preserve"> </w:t>
      </w:r>
      <w:r>
        <w:rPr>
          <w:rFonts w:ascii="Arial" w:cs="Arial" w:eastAsia="Arial" w:hAnsi="Arial"/>
          <w:sz w:val="22"/>
          <w:szCs w:val="22"/>
          <w:color w:val="auto"/>
        </w:rPr>
        <w:t>books and records pertaining to Net Sales of Licensed Products in sufficient detail to calculate all amounts payable hereunder and to verify compliance with its obligations under this Agreement. Such books and records shall be retained by AbbVie and its Affiliates until the later of (a) [***] after the end of the period to which such books and records pertain, and (b) the expiration of the applicable tax statute of limitations (or any extensions thereof), or for such longer period as may be required by Applicable Law.</w:t>
      </w:r>
    </w:p>
    <w:p>
      <w:pPr>
        <w:spacing w:after="0" w:line="74"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b w:val="1"/>
          <w:bCs w:val="1"/>
          <w:color w:val="auto"/>
        </w:rPr>
        <w:t xml:space="preserve">7.13 Audit. </w:t>
      </w:r>
      <w:r>
        <w:rPr>
          <w:rFonts w:ascii="Arial" w:cs="Arial" w:eastAsia="Arial" w:hAnsi="Arial"/>
          <w:sz w:val="19"/>
          <w:szCs w:val="19"/>
          <w:color w:val="auto"/>
        </w:rPr>
        <w:t>At the request of Licensor, AbbVie shall, and shall cause its Affiliates to, permit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independent public accounting firm of nationally recognized standing designated by Licensor and reasonably acceptable to AbbVie, at reasonable times during normal business hours and upon reasonable notice, to audit the books and records maintained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to ensure the accuracy of all reports and payments made hereunder. Such examinations may not (a) be conducted for any Calendar Quarter more than [***] after the end of such quarter, (b) be conducted more than once in any [***] period (unless a previous audit during such [***] period revealed an underpayment with respect to such period) or (c) be repeated for any Calendar Quarter. The accounting firm shall disclose to Licensor only whether the reports are correct or not, and the specific details concerning any discrepancies. No other Confidential Information of the audited Party shall be shared. Except as provided below, the cost of this audit shall be borne by Licensor, unless the audit reveals a variance of more than [***] from the reported amounts, in which case AbbVie shall bear the cost of the audit. Unless disputed pursuant to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below, if such audit concludes that (i) additional amounts were owed by AbbVie, AbbVie shall pay the additional amounts, with interest from the date originally due as provided in </w:t>
      </w:r>
      <w:r>
        <w:rPr>
          <w:rFonts w:ascii="Arial" w:cs="Arial" w:eastAsia="Arial" w:hAnsi="Arial"/>
          <w:sz w:val="19"/>
          <w:szCs w:val="19"/>
          <w:u w:val="single" w:color="auto"/>
          <w:color w:val="auto"/>
        </w:rPr>
        <w:t>Section 7.11</w:t>
      </w:r>
      <w:r>
        <w:rPr>
          <w:rFonts w:ascii="Arial" w:cs="Arial" w:eastAsia="Arial" w:hAnsi="Arial"/>
          <w:sz w:val="19"/>
          <w:szCs w:val="19"/>
          <w:color w:val="auto"/>
        </w:rPr>
        <w:t>, or (ii) excess payments were made by AbbVie, Licensor shall reimburse such excess payments, in either case ((i) or (ii)), within [***] after the date on which such audit is completed by the Licensor.</w:t>
      </w:r>
    </w:p>
    <w:p>
      <w:pPr>
        <w:spacing w:after="0" w:line="49"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b w:val="1"/>
          <w:bCs w:val="1"/>
          <w:color w:val="auto"/>
        </w:rPr>
        <w:t xml:space="preserve">7.14 Audit Dispute. </w:t>
      </w:r>
      <w:r>
        <w:rPr>
          <w:rFonts w:ascii="Arial" w:cs="Arial" w:eastAsia="Arial" w:hAnsi="Arial"/>
          <w:sz w:val="21"/>
          <w:szCs w:val="21"/>
          <w:color w:val="auto"/>
        </w:rPr>
        <w:t>In the event of a dispute with respect to any audit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7.13</w:t>
      </w:r>
      <w:r>
        <w:rPr>
          <w:rFonts w:ascii="Arial" w:cs="Arial" w:eastAsia="Arial" w:hAnsi="Arial"/>
          <w:sz w:val="21"/>
          <w:szCs w:val="21"/>
          <w:color w:val="auto"/>
        </w:rPr>
        <w:t>, Licensor and</w:t>
      </w:r>
      <w:r>
        <w:rPr>
          <w:rFonts w:ascii="Arial" w:cs="Arial" w:eastAsia="Arial" w:hAnsi="Arial"/>
          <w:sz w:val="21"/>
          <w:szCs w:val="21"/>
          <w:b w:val="1"/>
          <w:bCs w:val="1"/>
          <w:color w:val="auto"/>
        </w:rPr>
        <w:t xml:space="preserve"> </w:t>
      </w:r>
      <w:r>
        <w:rPr>
          <w:rFonts w:ascii="Arial" w:cs="Arial" w:eastAsia="Arial" w:hAnsi="Arial"/>
          <w:sz w:val="21"/>
          <w:szCs w:val="21"/>
          <w:color w:val="auto"/>
        </w:rPr>
        <w:t>AbbVie shall work in good faith to resolve the disagreement. If the Parties are unable to reach a mutually acceptable resolution of any such dispute within [***], the dispute shall be submitted for resolution to a certified public accounting firm jointly selected by each Party’s certified public accountants or to such other Person as the Parties shall mutually agree (the “</w:t>
      </w:r>
      <w:r>
        <w:rPr>
          <w:rFonts w:ascii="Arial" w:cs="Arial" w:eastAsia="Arial" w:hAnsi="Arial"/>
          <w:sz w:val="21"/>
          <w:szCs w:val="21"/>
          <w:b w:val="1"/>
          <w:bCs w:val="1"/>
          <w:color w:val="auto"/>
        </w:rPr>
        <w:t>Audit Arbitrator</w:t>
      </w:r>
      <w:r>
        <w:rPr>
          <w:rFonts w:ascii="Arial" w:cs="Arial" w:eastAsia="Arial" w:hAnsi="Arial"/>
          <w:sz w:val="21"/>
          <w:szCs w:val="21"/>
          <w:color w:val="auto"/>
        </w:rPr>
        <w:t xml:space="preserve">”). The decision of the Audit Arbitrator shall be final and the costs of such arbitration as well as the initial audit shall be borne between the Parties in such manner as the Audit Arbitrator shall determine. Not later than [***] after such decision and in accordance with such decision, AbbVie shall pay the additional amounts, with interest from the date originally due as provided in </w:t>
      </w:r>
      <w:r>
        <w:rPr>
          <w:rFonts w:ascii="Arial" w:cs="Arial" w:eastAsia="Arial" w:hAnsi="Arial"/>
          <w:sz w:val="21"/>
          <w:szCs w:val="21"/>
          <w:u w:val="single" w:color="auto"/>
          <w:color w:val="auto"/>
        </w:rPr>
        <w:t>Section 7.10</w:t>
      </w:r>
      <w:r>
        <w:rPr>
          <w:rFonts w:ascii="Arial" w:cs="Arial" w:eastAsia="Arial" w:hAnsi="Arial"/>
          <w:sz w:val="21"/>
          <w:szCs w:val="21"/>
          <w:color w:val="auto"/>
        </w:rPr>
        <w:t>, or Licensor shall reimburse the excess payments, as applicable.</w:t>
      </w:r>
    </w:p>
    <w:p>
      <w:pPr>
        <w:spacing w:after="0" w:line="65" w:lineRule="exact"/>
        <w:rPr>
          <w:sz w:val="20"/>
          <w:szCs w:val="20"/>
          <w:color w:val="auto"/>
        </w:rPr>
      </w:pPr>
    </w:p>
    <w:p>
      <w:pPr>
        <w:jc w:val="both"/>
        <w:ind w:right="20" w:firstLine="1755"/>
        <w:spacing w:after="0" w:line="243" w:lineRule="auto"/>
        <w:rPr>
          <w:sz w:val="20"/>
          <w:szCs w:val="20"/>
          <w:color w:val="auto"/>
        </w:rPr>
      </w:pPr>
      <w:r>
        <w:rPr>
          <w:rFonts w:ascii="Arial" w:cs="Arial" w:eastAsia="Arial" w:hAnsi="Arial"/>
          <w:sz w:val="22"/>
          <w:szCs w:val="22"/>
          <w:b w:val="1"/>
          <w:bCs w:val="1"/>
          <w:color w:val="auto"/>
        </w:rPr>
        <w:t xml:space="preserve">7.15 Confidentiality. </w:t>
      </w:r>
      <w:r>
        <w:rPr>
          <w:rFonts w:ascii="Arial" w:cs="Arial" w:eastAsia="Arial" w:hAnsi="Arial"/>
          <w:sz w:val="22"/>
          <w:szCs w:val="22"/>
          <w:color w:val="auto"/>
        </w:rPr>
        <w:t>Licensor shall treat all information subject to review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7</w:t>
      </w:r>
      <w:r>
        <w:rPr>
          <w:rFonts w:ascii="Arial" w:cs="Arial" w:eastAsia="Arial" w:hAnsi="Arial"/>
          <w:sz w:val="22"/>
          <w:szCs w:val="22"/>
          <w:b w:val="1"/>
          <w:bCs w:val="1"/>
          <w:color w:val="auto"/>
        </w:rPr>
        <w:t xml:space="preserve"> </w:t>
      </w:r>
      <w:r>
        <w:rPr>
          <w:rFonts w:ascii="Arial" w:cs="Arial" w:eastAsia="Arial" w:hAnsi="Arial"/>
          <w:sz w:val="22"/>
          <w:szCs w:val="22"/>
          <w:color w:val="auto"/>
        </w:rPr>
        <w:t>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accordance with the confidentiality provisions of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and the Parties shall cause the Audit Arbitrator to enter into a reasonably acceptable confidentiality</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19" w:name="page120"/>
    <w:bookmarkEnd w:id="119"/>
    <w:p>
      <w:pPr>
        <w:jc w:val="both"/>
        <w:ind w:right="20"/>
        <w:spacing w:after="0" w:line="251" w:lineRule="auto"/>
        <w:rPr>
          <w:sz w:val="20"/>
          <w:szCs w:val="20"/>
          <w:color w:val="auto"/>
        </w:rPr>
      </w:pPr>
      <w:r>
        <w:rPr>
          <w:rFonts w:ascii="Arial" w:cs="Arial" w:eastAsia="Arial" w:hAnsi="Arial"/>
          <w:sz w:val="22"/>
          <w:szCs w:val="22"/>
          <w:color w:val="auto"/>
        </w:rPr>
        <w:t>agreement with AbbVie obligating such firm to retain all such financial information in confidence pursuant to such confidentiality agreement.</w:t>
      </w:r>
    </w:p>
    <w:p>
      <w:pPr>
        <w:spacing w:after="0" w:line="59"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b w:val="1"/>
          <w:bCs w:val="1"/>
          <w:color w:val="auto"/>
        </w:rPr>
        <w:t>7.16 Diagnostic or Veterinary Products</w:t>
      </w:r>
      <w:r>
        <w:rPr>
          <w:rFonts w:ascii="Arial" w:cs="Arial" w:eastAsia="Arial" w:hAnsi="Arial"/>
          <w:sz w:val="19"/>
          <w:szCs w:val="19"/>
          <w:color w:val="auto"/>
        </w:rPr>
        <w:t xml:space="preserve">. The development milestones, regulatory milestones, sales-based milestones and royalties in </w:t>
      </w:r>
      <w:r>
        <w:rPr>
          <w:rFonts w:ascii="Arial" w:cs="Arial" w:eastAsia="Arial" w:hAnsi="Arial"/>
          <w:sz w:val="19"/>
          <w:szCs w:val="19"/>
          <w:u w:val="single" w:color="auto"/>
          <w:color w:val="auto"/>
        </w:rPr>
        <w:t>Sections 7.3</w:t>
      </w:r>
      <w:r>
        <w:rPr>
          <w:rFonts w:ascii="Arial" w:cs="Arial" w:eastAsia="Arial" w:hAnsi="Arial"/>
          <w:sz w:val="19"/>
          <w:szCs w:val="19"/>
          <w:color w:val="auto"/>
        </w:rPr>
        <w:t xml:space="preserve">, </w:t>
      </w:r>
      <w:r>
        <w:rPr>
          <w:rFonts w:ascii="Arial" w:cs="Arial" w:eastAsia="Arial" w:hAnsi="Arial"/>
          <w:sz w:val="19"/>
          <w:szCs w:val="19"/>
          <w:u w:val="single" w:color="auto"/>
          <w:color w:val="auto"/>
        </w:rPr>
        <w:t>7.4</w:t>
      </w:r>
      <w:r>
        <w:rPr>
          <w:rFonts w:ascii="Arial" w:cs="Arial" w:eastAsia="Arial" w:hAnsi="Arial"/>
          <w:sz w:val="19"/>
          <w:szCs w:val="19"/>
          <w:color w:val="auto"/>
        </w:rPr>
        <w:t xml:space="preserve">, </w:t>
      </w:r>
      <w:r>
        <w:rPr>
          <w:rFonts w:ascii="Arial" w:cs="Arial" w:eastAsia="Arial" w:hAnsi="Arial"/>
          <w:sz w:val="19"/>
          <w:szCs w:val="19"/>
          <w:u w:val="single" w:color="auto"/>
          <w:color w:val="auto"/>
        </w:rPr>
        <w:t>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7.6</w:t>
      </w:r>
      <w:r>
        <w:rPr>
          <w:rFonts w:ascii="Arial" w:cs="Arial" w:eastAsia="Arial" w:hAnsi="Arial"/>
          <w:sz w:val="19"/>
          <w:szCs w:val="19"/>
          <w:color w:val="auto"/>
        </w:rPr>
        <w:t xml:space="preserve"> shall not apply to Development and Commercialization of AbbVie Probodies, Discovery PDCs or Licensed Products for diagnostic or veterinary use, or for uses solely for screening patients who have been diagnosed with a disease, state, or condition for eligibility to be treated for such disease, state, or condition with an AbbVie Probody, Discovery PDC or Licensed Product, as applicable, or for monitoring patients who are or have been treated with an AbbVie Probody, Discovery PDC or Licensed Product, as applicable. In the event that an AbbVie Probody, Discovery PDC or Licensed Product, as applicable, is Developed for any such purposes, the Parties shall negotiate a downward adjustment to royalties for the sale of such Licensed Product that reflects the commercial potential of such Licensed Product and standard commercial terms in the industry for diagnostic or veterinary products, as applicable</w:t>
      </w:r>
      <w:r>
        <w:rPr>
          <w:rFonts w:ascii="Arial" w:cs="Arial" w:eastAsia="Arial" w:hAnsi="Arial"/>
          <w:sz w:val="19"/>
          <w:szCs w:val="19"/>
          <w:b w:val="1"/>
          <w:bCs w:val="1"/>
          <w:color w:val="auto"/>
        </w:rPr>
        <w:t>.</w:t>
      </w:r>
    </w:p>
    <w:p>
      <w:pPr>
        <w:spacing w:after="0" w:line="43"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7.17 No Other Compensation</w:t>
      </w:r>
      <w:r>
        <w:rPr>
          <w:rFonts w:ascii="Arial" w:cs="Arial" w:eastAsia="Arial" w:hAnsi="Arial"/>
          <w:sz w:val="22"/>
          <w:szCs w:val="22"/>
          <w:color w:val="auto"/>
        </w:rPr>
        <w:t>.</w:t>
      </w:r>
      <w:r>
        <w:rPr>
          <w:rFonts w:ascii="Arial" w:cs="Arial" w:eastAsia="Arial" w:hAnsi="Arial"/>
          <w:sz w:val="22"/>
          <w:szCs w:val="22"/>
          <w:b w:val="1"/>
          <w:bCs w:val="1"/>
          <w:color w:val="auto"/>
        </w:rPr>
        <w:t xml:space="preserve"> Each Party hereby agrees that the terms of this Agreement fully define all consideration, compensation and benefits, monetary or otherwise, to be paid, granted or delivered by one (1) Party to the other Party in connection with the transactions contemplated herein. Neither Party previously has paid or entered into any other commitment to pay, whether orally or in writing, any of the other Party’s employees, directly or indirectly, any consideration, compensation or benefits, monetary or otherwise, in connection with the transaction contemplated herein.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Ownership of Intellectual Property.</w:t>
      </w:r>
    </w:p>
    <w:p>
      <w:pPr>
        <w:spacing w:after="0" w:line="98"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8.1.1 Licensor Ownership. </w:t>
      </w:r>
      <w:r>
        <w:rPr>
          <w:rFonts w:ascii="Arial" w:cs="Arial" w:eastAsia="Arial" w:hAnsi="Arial"/>
          <w:sz w:val="22"/>
          <w:szCs w:val="22"/>
          <w:color w:val="auto"/>
        </w:rPr>
        <w:t>As between the Parties, Licensor shall own all right, title and</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in and to any and all Licensor Background Patents, Licensor Background Know-How, Licensor Program Patents and Licensor Program Know-How.</w:t>
      </w:r>
    </w:p>
    <w:p>
      <w:pPr>
        <w:spacing w:after="0" w:line="69"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8.1.2 AbbVie Ownership</w:t>
      </w:r>
      <w:r>
        <w:rPr>
          <w:rFonts w:ascii="Arial" w:cs="Arial" w:eastAsia="Arial" w:hAnsi="Arial"/>
          <w:sz w:val="22"/>
          <w:szCs w:val="22"/>
          <w:color w:val="auto"/>
        </w:rPr>
        <w:t>. As between the Parties, AbbVie or an Affiliate designated by</w:t>
      </w:r>
      <w:r>
        <w:rPr>
          <w:rFonts w:ascii="Arial" w:cs="Arial" w:eastAsia="Arial" w:hAnsi="Arial"/>
          <w:sz w:val="22"/>
          <w:szCs w:val="22"/>
          <w:b w:val="1"/>
          <w:bCs w:val="1"/>
          <w:color w:val="auto"/>
        </w:rPr>
        <w:t xml:space="preserve"> </w:t>
      </w:r>
      <w:r>
        <w:rPr>
          <w:rFonts w:ascii="Arial" w:cs="Arial" w:eastAsia="Arial" w:hAnsi="Arial"/>
          <w:sz w:val="22"/>
          <w:szCs w:val="22"/>
          <w:color w:val="auto"/>
        </w:rPr>
        <w:t>AbbVie shall own and retain all right, title, and interest in and to any and all AbbVie Background Patents, AbbVie Background Know-How, AbbVie Program Patents and AbbVie Program Know-How.</w:t>
      </w:r>
    </w:p>
    <w:p>
      <w:pPr>
        <w:spacing w:after="0" w:line="69" w:lineRule="exact"/>
        <w:rPr>
          <w:sz w:val="20"/>
          <w:szCs w:val="20"/>
          <w:color w:val="auto"/>
        </w:rPr>
      </w:pPr>
    </w:p>
    <w:p>
      <w:pPr>
        <w:jc w:val="both"/>
        <w:ind w:firstLine="2634"/>
        <w:spacing w:after="0" w:line="248" w:lineRule="auto"/>
        <w:rPr>
          <w:sz w:val="20"/>
          <w:szCs w:val="20"/>
          <w:color w:val="auto"/>
        </w:rPr>
      </w:pPr>
      <w:r>
        <w:rPr>
          <w:rFonts w:ascii="Arial" w:cs="Arial" w:eastAsia="Arial" w:hAnsi="Arial"/>
          <w:sz w:val="21"/>
          <w:szCs w:val="21"/>
          <w:b w:val="1"/>
          <w:bCs w:val="1"/>
          <w:color w:val="auto"/>
        </w:rPr>
        <w:t xml:space="preserve">8.1.3 Ownership of Joint Program Patents and Joint Program Know-How. </w:t>
      </w:r>
      <w:r>
        <w:rPr>
          <w:rFonts w:ascii="Arial" w:cs="Arial" w:eastAsia="Arial" w:hAnsi="Arial"/>
          <w:sz w:val="21"/>
          <w:szCs w:val="21"/>
          <w:color w:val="auto"/>
        </w:rPr>
        <w:t>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4.8.1(b)</w:t>
      </w:r>
      <w:r>
        <w:rPr>
          <w:rFonts w:ascii="Arial" w:cs="Arial" w:eastAsia="Arial" w:hAnsi="Arial"/>
          <w:sz w:val="21"/>
          <w:szCs w:val="21"/>
          <w:color w:val="auto"/>
        </w:rPr>
        <w:t xml:space="preserve">, as between the Parties, each Party shall own an equal, undivided interest in any and all Joint Program Patents and Joint Program Know-How. Within [***], each Party shall disclose to the other Party in writing, and shall cause its Affiliates, its licensees and sublicensees to so disclose, the development, making, conception or reduction to practice of any Joint Program Know-How or Joint Program Patents. Subject to the licenses and rights of reference granted under </w:t>
      </w:r>
      <w:r>
        <w:rPr>
          <w:rFonts w:ascii="Arial" w:cs="Arial" w:eastAsia="Arial" w:hAnsi="Arial"/>
          <w:sz w:val="21"/>
          <w:szCs w:val="21"/>
          <w:u w:val="single" w:color="auto"/>
          <w:color w:val="auto"/>
        </w:rPr>
        <w:t>Sections 6.1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6.2</w:t>
      </w:r>
      <w:r>
        <w:rPr>
          <w:rFonts w:ascii="Arial" w:cs="Arial" w:eastAsia="Arial" w:hAnsi="Arial"/>
          <w:sz w:val="21"/>
          <w:szCs w:val="21"/>
          <w:color w:val="auto"/>
        </w:rPr>
        <w:t xml:space="preserve"> and Licensor’s exclusivity obligations hereunder, each Party shall have the right to Exploit the Joint Intellectual Property Rights without a duty of seeking consent or accounting to the other Party.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20" w:name="page121"/>
    <w:bookmarkEnd w:id="120"/>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8.1.4 United States Law. </w:t>
      </w:r>
      <w:r>
        <w:rPr>
          <w:rFonts w:ascii="Arial" w:cs="Arial" w:eastAsia="Arial" w:hAnsi="Arial"/>
          <w:sz w:val="22"/>
          <w:szCs w:val="22"/>
          <w:color w:val="auto"/>
        </w:rPr>
        <w:t>The determination of whether Information and inventions are</w:t>
      </w:r>
      <w:r>
        <w:rPr>
          <w:rFonts w:ascii="Arial" w:cs="Arial" w:eastAsia="Arial" w:hAnsi="Arial"/>
          <w:sz w:val="22"/>
          <w:szCs w:val="22"/>
          <w:b w:val="1"/>
          <w:bCs w:val="1"/>
          <w:color w:val="auto"/>
        </w:rPr>
        <w:t xml:space="preserve"> </w:t>
      </w:r>
      <w:r>
        <w:rPr>
          <w:rFonts w:ascii="Arial" w:cs="Arial" w:eastAsia="Arial" w:hAnsi="Arial"/>
          <w:sz w:val="22"/>
          <w:szCs w:val="22"/>
          <w:color w:val="auto"/>
        </w:rPr>
        <w:t>conceived, discovered, developed, or otherwise made by a Party for the purpose of allocating proprietary rights (including Patent, copyright or other intellectual property rights) therein, shall, for purposes of this Agreement, be made in accordance with Applicable Law in the United States as such law exists as of the Effective Date irrespective of where such conception, discovery, development or making occurs.</w:t>
      </w:r>
    </w:p>
    <w:p>
      <w:pPr>
        <w:spacing w:after="0" w:line="74"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8.1.5</w:t>
      </w:r>
      <w:r>
        <w:rPr>
          <w:sz w:val="20"/>
          <w:szCs w:val="20"/>
          <w:color w:val="auto"/>
        </w:rPr>
        <w:tab/>
      </w:r>
      <w:r>
        <w:rPr>
          <w:rFonts w:ascii="Arial" w:cs="Arial" w:eastAsia="Arial" w:hAnsi="Arial"/>
          <w:sz w:val="19"/>
          <w:szCs w:val="19"/>
          <w:b w:val="1"/>
          <w:bCs w:val="1"/>
          <w:color w:val="auto"/>
        </w:rPr>
        <w:t>Assignment Obligation.</w:t>
      </w:r>
    </w:p>
    <w:p>
      <w:pPr>
        <w:spacing w:after="0" w:line="104" w:lineRule="exact"/>
        <w:rPr>
          <w:sz w:val="20"/>
          <w:szCs w:val="20"/>
          <w:color w:val="auto"/>
        </w:rPr>
      </w:pPr>
    </w:p>
    <w:p>
      <w:pPr>
        <w:jc w:val="both"/>
        <w:ind w:firstLine="3519"/>
        <w:spacing w:after="0" w:line="279" w:lineRule="auto"/>
        <w:tabs>
          <w:tab w:leader="none" w:pos="4399" w:val="left"/>
        </w:tabs>
        <w:numPr>
          <w:ilvl w:val="0"/>
          <w:numId w:val="65"/>
        </w:numPr>
        <w:rPr>
          <w:rFonts w:ascii="Arial" w:cs="Arial" w:eastAsia="Arial" w:hAnsi="Arial"/>
          <w:sz w:val="19"/>
          <w:szCs w:val="19"/>
          <w:color w:val="auto"/>
        </w:rPr>
      </w:pPr>
      <w:r>
        <w:rPr>
          <w:rFonts w:ascii="Arial" w:cs="Arial" w:eastAsia="Arial" w:hAnsi="Arial"/>
          <w:sz w:val="19"/>
          <w:szCs w:val="19"/>
          <w:color w:val="auto"/>
        </w:rPr>
        <w:t>Each Party shall cause all Persons who perform activities for such Party under this Agreement to be under an obligation to assign (or, if such Party is unable to cause such Person to agree to such assignment obligation despite such Party using commercially reasonable efforts to negotiate such assignment obligation, provide a license under) their rights in any Information and inventions resulting therefrom to such Party, except where Applicable Law requires otherwise and except in the case of governmental, not-for-profit and public institutions which have standard policies against such an assignment (in which case a suitable license, or right to obtain such a license, shall be obtained).</w:t>
      </w:r>
    </w:p>
    <w:p>
      <w:pPr>
        <w:spacing w:after="0" w:line="42" w:lineRule="exact"/>
        <w:rPr>
          <w:rFonts w:ascii="Arial" w:cs="Arial" w:eastAsia="Arial" w:hAnsi="Arial"/>
          <w:sz w:val="19"/>
          <w:szCs w:val="19"/>
          <w:color w:val="auto"/>
        </w:rPr>
      </w:pPr>
    </w:p>
    <w:p>
      <w:pPr>
        <w:jc w:val="both"/>
        <w:ind w:firstLine="3519"/>
        <w:spacing w:after="0" w:line="248" w:lineRule="auto"/>
        <w:tabs>
          <w:tab w:leader="none" w:pos="4412" w:val="left"/>
        </w:tabs>
        <w:numPr>
          <w:ilvl w:val="0"/>
          <w:numId w:val="65"/>
        </w:numPr>
        <w:rPr>
          <w:rFonts w:ascii="Arial" w:cs="Arial" w:eastAsia="Arial" w:hAnsi="Arial"/>
          <w:sz w:val="21"/>
          <w:szCs w:val="21"/>
          <w:color w:val="auto"/>
        </w:rPr>
      </w:pPr>
      <w:r>
        <w:rPr>
          <w:rFonts w:ascii="Arial" w:cs="Arial" w:eastAsia="Arial" w:hAnsi="Arial"/>
          <w:sz w:val="21"/>
          <w:szCs w:val="21"/>
          <w:color w:val="auto"/>
        </w:rPr>
        <w:t>AbbVie will promptly disclose to Licensor in writing, the conception, discovery, development or making of any Licensor Program Know-How or Licensor Program Patents by Persons who perform activities for AbbVie under this Agreement. AbbVie, for itself and on behalf of its Affiliates, hereby assigns (and to the extent such assignment can only be made in the future hereby agrees to assign), to Licensor all its right, title and interest in and to any Licensor Program Know-How and its right, title and interest in and to Licensor Program Patents. AbbVie will execute and record assignments and other necessary documents consistent with such ownership.</w:t>
      </w:r>
    </w:p>
    <w:p>
      <w:pPr>
        <w:spacing w:after="0" w:line="69" w:lineRule="exact"/>
        <w:rPr>
          <w:rFonts w:ascii="Arial" w:cs="Arial" w:eastAsia="Arial" w:hAnsi="Arial"/>
          <w:sz w:val="21"/>
          <w:szCs w:val="21"/>
          <w:color w:val="auto"/>
        </w:rPr>
      </w:pPr>
    </w:p>
    <w:p>
      <w:pPr>
        <w:jc w:val="both"/>
        <w:ind w:firstLine="3519"/>
        <w:spacing w:after="0" w:line="248" w:lineRule="auto"/>
        <w:tabs>
          <w:tab w:leader="none" w:pos="4399" w:val="left"/>
        </w:tabs>
        <w:numPr>
          <w:ilvl w:val="0"/>
          <w:numId w:val="65"/>
        </w:numPr>
        <w:rPr>
          <w:rFonts w:ascii="Arial" w:cs="Arial" w:eastAsia="Arial" w:hAnsi="Arial"/>
          <w:sz w:val="21"/>
          <w:szCs w:val="21"/>
          <w:color w:val="auto"/>
        </w:rPr>
      </w:pPr>
      <w:r>
        <w:rPr>
          <w:rFonts w:ascii="Arial" w:cs="Arial" w:eastAsia="Arial" w:hAnsi="Arial"/>
          <w:sz w:val="21"/>
          <w:szCs w:val="21"/>
          <w:color w:val="auto"/>
        </w:rPr>
        <w:t>Licensor will promptly disclose to AbbVie in writing, the conception, discovery, development or making of any AbbVie Program Know-How or AbbVie Program Patents by Persons who perform activities for Licensor under this Agreement. Licensor, for itself and on behalf of its Affiliates, hereby assigns (and to the extent such assignment can only be made in the future hereby agrees to assign), to AbbVie all its right, title and interest in and to any AbbVie Program Know-How and its right, title and interest in and to AbbVie Program Patents. Licensor will execute and record assignments and other necessary documents consistent with such ownership.</w:t>
      </w:r>
    </w:p>
    <w:p>
      <w:pPr>
        <w:spacing w:after="0" w:line="69" w:lineRule="exact"/>
        <w:rPr>
          <w:rFonts w:ascii="Arial" w:cs="Arial" w:eastAsia="Arial" w:hAnsi="Arial"/>
          <w:sz w:val="21"/>
          <w:szCs w:val="21"/>
          <w:color w:val="auto"/>
        </w:rPr>
      </w:pPr>
    </w:p>
    <w:p>
      <w:pPr>
        <w:jc w:val="both"/>
        <w:ind w:firstLine="3519"/>
        <w:spacing w:after="0" w:line="279" w:lineRule="auto"/>
        <w:tabs>
          <w:tab w:leader="none" w:pos="4412"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Each Party will promptly disclose to the other Party in writing, the conception, discovery, development or making of any Joint Program Know-How or Joint Program Patents by Persons who perform activities for it under this Agreement. Each Party, for itself and on behalf of its Affiliates, hereby assigns (and to the extent such assignment can only be made in the future hereby agrees to assign), to the other Party such right, title and interest in and to any Joint Program Know-How and Joint Program Patents as is necessary to achieve the joint ownership set forth in </w:t>
      </w:r>
      <w:r>
        <w:rPr>
          <w:rFonts w:ascii="Arial" w:cs="Arial" w:eastAsia="Arial" w:hAnsi="Arial"/>
          <w:sz w:val="19"/>
          <w:szCs w:val="19"/>
          <w:u w:val="single" w:color="auto"/>
          <w:color w:val="auto"/>
        </w:rPr>
        <w:t>Section 8.1.3</w:t>
      </w:r>
      <w:r>
        <w:rPr>
          <w:rFonts w:ascii="Arial" w:cs="Arial" w:eastAsia="Arial" w:hAnsi="Arial"/>
          <w:sz w:val="19"/>
          <w:szCs w:val="19"/>
          <w:color w:val="auto"/>
        </w:rPr>
        <w:t>. Each party will execute and record assignments and other necessary documents consistent with such ownership.</w:t>
      </w:r>
    </w:p>
    <w:p>
      <w:pPr>
        <w:spacing w:after="0" w:line="37" w:lineRule="exact"/>
        <w:rPr>
          <w:sz w:val="20"/>
          <w:szCs w:val="20"/>
          <w:color w:val="auto"/>
        </w:rPr>
      </w:pPr>
    </w:p>
    <w:p>
      <w:pPr>
        <w:ind w:right="20" w:firstLine="2634"/>
        <w:spacing w:after="0" w:line="256" w:lineRule="auto"/>
        <w:rPr>
          <w:sz w:val="20"/>
          <w:szCs w:val="20"/>
          <w:color w:val="auto"/>
        </w:rPr>
      </w:pPr>
      <w:r>
        <w:rPr>
          <w:rFonts w:ascii="Arial" w:cs="Arial" w:eastAsia="Arial" w:hAnsi="Arial"/>
          <w:sz w:val="22"/>
          <w:szCs w:val="22"/>
          <w:b w:val="1"/>
          <w:bCs w:val="1"/>
          <w:color w:val="auto"/>
        </w:rPr>
        <w:t>8.1.6 Ownership of Corporate Names</w:t>
      </w:r>
      <w:r>
        <w:rPr>
          <w:rFonts w:ascii="Arial" w:cs="Arial" w:eastAsia="Arial" w:hAnsi="Arial"/>
          <w:sz w:val="22"/>
          <w:szCs w:val="22"/>
          <w:color w:val="auto"/>
        </w:rPr>
        <w:t>. As between the Parties, Licensor shall retain all</w:t>
      </w:r>
      <w:r>
        <w:rPr>
          <w:rFonts w:ascii="Arial" w:cs="Arial" w:eastAsia="Arial" w:hAnsi="Arial"/>
          <w:sz w:val="22"/>
          <w:szCs w:val="22"/>
          <w:b w:val="1"/>
          <w:bCs w:val="1"/>
          <w:color w:val="auto"/>
        </w:rPr>
        <w:t xml:space="preserve"> </w:t>
      </w:r>
      <w:r>
        <w:rPr>
          <w:rFonts w:ascii="Arial" w:cs="Arial" w:eastAsia="Arial" w:hAnsi="Arial"/>
          <w:sz w:val="22"/>
          <w:szCs w:val="22"/>
          <w:color w:val="auto"/>
        </w:rPr>
        <w:t>right, title and interest in and to its Corporate Names.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21" w:name="page122"/>
    <w:bookmarkEnd w:id="121"/>
    <w:p>
      <w:pPr>
        <w:ind w:left="1760"/>
        <w:spacing w:after="0"/>
        <w:tabs>
          <w:tab w:leader="none" w:pos="266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Maintenance and Prosecution of Patents.</w:t>
      </w:r>
    </w:p>
    <w:p>
      <w:pPr>
        <w:spacing w:after="0" w:line="98" w:lineRule="exact"/>
        <w:rPr>
          <w:sz w:val="20"/>
          <w:szCs w:val="20"/>
          <w:color w:val="auto"/>
        </w:rPr>
      </w:pPr>
    </w:p>
    <w:p>
      <w:pPr>
        <w:jc w:val="both"/>
        <w:ind w:firstLine="2634"/>
        <w:spacing w:after="0" w:line="275" w:lineRule="auto"/>
        <w:rPr>
          <w:sz w:val="20"/>
          <w:szCs w:val="20"/>
          <w:color w:val="auto"/>
        </w:rPr>
      </w:pPr>
      <w:r>
        <w:rPr>
          <w:rFonts w:ascii="Arial" w:cs="Arial" w:eastAsia="Arial" w:hAnsi="Arial"/>
          <w:sz w:val="19"/>
          <w:szCs w:val="19"/>
          <w:b w:val="1"/>
          <w:bCs w:val="1"/>
          <w:color w:val="auto"/>
        </w:rPr>
        <w:t xml:space="preserve">8.2.1 Patent Cooperation. </w:t>
      </w:r>
      <w:r>
        <w:rPr>
          <w:rFonts w:ascii="Arial" w:cs="Arial" w:eastAsia="Arial" w:hAnsi="Arial"/>
          <w:sz w:val="19"/>
          <w:szCs w:val="19"/>
          <w:color w:val="auto"/>
        </w:rPr>
        <w:t>During the term of the Agreement, a patent attorney or agent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“Patent Representatives”) from each of Licensor and AbbVie shall meet regularly, in person or by teleconference, to coordinate and discuss Patent filings, prosecution and maintenance of the Licensor Program Patents, AbbVie Program Patents, and Joint Program Patents. Each Party’s Patent Representative also may include such Party’s outside patent counsel in any such meeting. The Patent Representatives shall review and coordinate responsibilities and obligations in connection with Patents arising from the performance of the activities under this Agreement by either Party or jointly by the Parties, their Affiliates or, in each such case, Third Parties acting on their behalf. The Patent Representatives may attend JRC quarterly meetings (as mutually agreed by the Parties). The Patent Representatives shall have no decision making authority, and shall serve primarily as a forum for communication and coordination of activities between the Parties with respect to the matters described in this </w:t>
      </w:r>
      <w:r>
        <w:rPr>
          <w:rFonts w:ascii="Arial" w:cs="Arial" w:eastAsia="Arial" w:hAnsi="Arial"/>
          <w:sz w:val="19"/>
          <w:szCs w:val="19"/>
          <w:u w:val="single" w:color="auto"/>
          <w:color w:val="auto"/>
        </w:rPr>
        <w:t>Section 8.2.1</w:t>
      </w:r>
      <w:r>
        <w:rPr>
          <w:rFonts w:ascii="Arial" w:cs="Arial" w:eastAsia="Arial" w:hAnsi="Arial"/>
          <w:sz w:val="19"/>
          <w:szCs w:val="19"/>
          <w:color w:val="auto"/>
        </w:rPr>
        <w:t>.</w:t>
      </w:r>
    </w:p>
    <w:p>
      <w:pPr>
        <w:spacing w:after="0" w:line="43" w:lineRule="exact"/>
        <w:rPr>
          <w:sz w:val="20"/>
          <w:szCs w:val="20"/>
          <w:color w:val="auto"/>
        </w:rPr>
      </w:pPr>
    </w:p>
    <w:p>
      <w:pPr>
        <w:jc w:val="both"/>
        <w:ind w:firstLine="2634"/>
        <w:spacing w:after="0" w:line="236" w:lineRule="auto"/>
        <w:rPr>
          <w:sz w:val="20"/>
          <w:szCs w:val="20"/>
          <w:color w:val="auto"/>
        </w:rPr>
      </w:pPr>
      <w:r>
        <w:rPr>
          <w:rFonts w:ascii="Arial" w:cs="Arial" w:eastAsia="Arial" w:hAnsi="Arial"/>
          <w:sz w:val="22"/>
          <w:szCs w:val="22"/>
          <w:b w:val="1"/>
          <w:bCs w:val="1"/>
          <w:color w:val="auto"/>
        </w:rPr>
        <w:t>8.2.2 Patent Prosecution and Maintenance of Licensor Background Patents</w:t>
      </w:r>
      <w:r>
        <w:rPr>
          <w:rFonts w:ascii="Arial" w:cs="Arial" w:eastAsia="Arial" w:hAnsi="Arial"/>
          <w:sz w:val="22"/>
          <w:szCs w:val="22"/>
          <w:color w:val="auto"/>
        </w:rPr>
        <w:t>. Licensor</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sole right, but not the obligation, through the use of internal or outside counsel, to prepare, file, prosecute, and maintain the Licensor Background Patents worldwide, at Licensor’s sole cost and expense. Licensor shall keep AbbVie informed regarding each Licensor Background Patent that Licensor is prosecuting, and shall provide copies to AbbVie of all material communications from any patent office, and copies of all material correspondence sent to such patent offices by or on behalf of Licensor.</w:t>
      </w:r>
    </w:p>
    <w:p>
      <w:pPr>
        <w:spacing w:after="0" w:line="74" w:lineRule="exact"/>
        <w:rPr>
          <w:sz w:val="20"/>
          <w:szCs w:val="20"/>
          <w:color w:val="auto"/>
        </w:rPr>
      </w:pPr>
    </w:p>
    <w:p>
      <w:pPr>
        <w:jc w:val="both"/>
        <w:ind w:firstLine="2634"/>
        <w:spacing w:after="0" w:line="272" w:lineRule="auto"/>
        <w:rPr>
          <w:sz w:val="20"/>
          <w:szCs w:val="20"/>
          <w:color w:val="auto"/>
        </w:rPr>
      </w:pPr>
      <w:r>
        <w:rPr>
          <w:rFonts w:ascii="Arial" w:cs="Arial" w:eastAsia="Arial" w:hAnsi="Arial"/>
          <w:sz w:val="19"/>
          <w:szCs w:val="19"/>
          <w:b w:val="1"/>
          <w:bCs w:val="1"/>
          <w:color w:val="auto"/>
        </w:rPr>
        <w:t xml:space="preserve">8.2.3 Patent Prosecution and Maintenance of Licensor Program Patents. </w:t>
      </w:r>
      <w:r>
        <w:rPr>
          <w:rFonts w:ascii="Arial" w:cs="Arial" w:eastAsia="Arial" w:hAnsi="Arial"/>
          <w:sz w:val="19"/>
          <w:szCs w:val="19"/>
          <w:color w:val="auto"/>
        </w:rPr>
        <w:t>In consultation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AbbVie, Licensor shall have the right, but not the obligation, through the use of internal or outside counsel, to prepare, file, prosecute, and maintain the Licensor Program Patents worldwide, at Licensor’s sole cost and expense. Licensor shall keep AbbVie fully informed of all steps with regard to the preparation, filing, prosecution, and maintenance of Licensor Program Patents, including by providing AbbVie with a copy of material communications to and from any patent authority in the Territory regarding such Licensor Program Patents, and by providing AbbVie drafts of any material filings or responses to be made to such patent authorities in the Territory sufficiently in advance of submitting such filings or responses so as to allow for a reasonable opportunity for AbbVie to review and comment thereon. Licensor shall consider in good faith the requests and suggestions of AbbVie with respect to such Licensor drafts and with respect to strategies for filing and prosecuting the Licensor Program Patents in the Territory. Notwithstanding the foregoing, Licensor shall promptly inform AbbVie of any adversarial patent office proceeding or sua sponte filing, including a request for, or filing or declaration of, any interference, opposition, or reexamination relating to any Licensor Program Patents in the Territory. The Parties shall thereafter consult and cooperate to determine a course of action with respect to any such proceeding in the Territory relating to a Discovery Probody and Licensor shall consider in good faith all comments, requests and suggestions provided by AbbVie.</w:t>
      </w:r>
    </w:p>
    <w:p>
      <w:pPr>
        <w:spacing w:after="0" w:line="292" w:lineRule="exact"/>
        <w:rPr>
          <w:sz w:val="20"/>
          <w:szCs w:val="20"/>
          <w:color w:val="auto"/>
        </w:rPr>
      </w:pPr>
    </w:p>
    <w:p>
      <w:pPr>
        <w:jc w:val="both"/>
        <w:ind w:firstLine="2634"/>
        <w:spacing w:after="0" w:line="289" w:lineRule="auto"/>
        <w:rPr>
          <w:sz w:val="20"/>
          <w:szCs w:val="20"/>
          <w:color w:val="auto"/>
        </w:rPr>
      </w:pPr>
      <w:r>
        <w:rPr>
          <w:rFonts w:ascii="Arial" w:cs="Arial" w:eastAsia="Arial" w:hAnsi="Arial"/>
          <w:sz w:val="19"/>
          <w:szCs w:val="19"/>
          <w:b w:val="1"/>
          <w:bCs w:val="1"/>
          <w:color w:val="auto"/>
        </w:rPr>
        <w:t xml:space="preserve">8.2.4 Patent Prosecution and Maintenance of AbbVie Background Patents, AbbVie Program Patents and Joint Program Patents. </w:t>
      </w:r>
      <w:r>
        <w:rPr>
          <w:rFonts w:ascii="Arial" w:cs="Arial" w:eastAsia="Arial" w:hAnsi="Arial"/>
          <w:sz w:val="19"/>
          <w:szCs w:val="19"/>
          <w:color w:val="auto"/>
        </w:rPr>
        <w:t>AbbVie shall have the right, but not the obligation, to prepare, file, prosecute, and</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the AbbVie Background Patents, AbbVie Program Patents and the Joint Program Patents worldwide, at AbbVie’s sole cost and expense. AbbVie shall keep Licensor fully informed of all steps with regard to the preparation,</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22" w:name="page123"/>
    <w:bookmarkEnd w:id="122"/>
    <w:p>
      <w:pPr>
        <w:jc w:val="both"/>
        <w:spacing w:after="0" w:line="270" w:lineRule="auto"/>
        <w:rPr>
          <w:sz w:val="20"/>
          <w:szCs w:val="20"/>
          <w:color w:val="auto"/>
        </w:rPr>
      </w:pPr>
      <w:r>
        <w:rPr>
          <w:rFonts w:ascii="Arial" w:cs="Arial" w:eastAsia="Arial" w:hAnsi="Arial"/>
          <w:sz w:val="19"/>
          <w:szCs w:val="19"/>
          <w:color w:val="auto"/>
        </w:rPr>
        <w:t xml:space="preserve">filing, prosecution, and maintenance of Joint Program Patents and AbbVie Program Patents, including by providing Licensor with a copy of material communications to and from any patent authority in the Territory regarding such Joint Program Patents and AbbVie Program Patents, and by providing Licensor drafts of any material filings or responses to be made to such patent authorities in the Territory sufficiently in advance of submitting such filings or responses so as to allow for a reasonable opportunity for Licensor to review and comment thereon. AbbVie shall consider in good faith the requests and suggestions of Licensor with respect to such AbbVie drafts and with respect to strategies for filing and prosecuting the Joint Program Patents and AbbVie Program Patents in the Territory. In the event that AbbVie decides not to prepare, file, prosecute, or maintain a Joint Program Patent in a country or other jurisdiction in the Territory, AbbVie shall provide reasonable prior written notice to Licensor of such intention (which notice shall, in any event, be given no later than [***] prior to the next deadline for any action that may be taken with respect to such Joint Program Patent in such country or other jurisdiction), and Licensor shall thereupon have the option, in its sole discretion, to assume the control and direction of the preparation, filing, prosecution, and maintenance of such Joint Program Patent at its expense in such country or other jurisdiction. Upon Licensor’s written acceptance of such option, Licensor shall assume the responsibility and control for the preparation, filing, prosecution, and maintenance of such specific Joint Program Patent. In such event, AbbVie shall reasonably cooperate with Licensor in such country or other jurisdiction as provided under </w:t>
      </w:r>
      <w:r>
        <w:rPr>
          <w:rFonts w:ascii="Arial" w:cs="Arial" w:eastAsia="Arial" w:hAnsi="Arial"/>
          <w:sz w:val="19"/>
          <w:szCs w:val="19"/>
          <w:u w:val="single" w:color="auto"/>
          <w:color w:val="auto"/>
        </w:rPr>
        <w:t>Section 8.2.5</w:t>
      </w:r>
      <w:r>
        <w:rPr>
          <w:rFonts w:ascii="Arial" w:cs="Arial" w:eastAsia="Arial" w:hAnsi="Arial"/>
          <w:sz w:val="19"/>
          <w:szCs w:val="19"/>
          <w:color w:val="auto"/>
        </w:rPr>
        <w:t>. Notwithstanding the foregoing, AbbVie shall promptly inform Licensor of any adversarial patent office proceeding or sua sponte filing, including a request for, or filing or declaration of, any interference, opposition, or reexamination relating to any AbbVie Program Patents or Joint Program Patents in the Territory. The Parties shall thereafter consult and cooperate to determine a course of action with respect to any such proceeding in the Territory relating to a Discovery Probody and AbbVie shall consider in good faith all comments, requests and suggestions provided by Licensor.</w:t>
      </w:r>
    </w:p>
    <w:p>
      <w:pPr>
        <w:spacing w:after="0" w:line="296"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8.2.5 Cooperation. </w:t>
      </w:r>
      <w:r>
        <w:rPr>
          <w:rFonts w:ascii="Arial" w:cs="Arial" w:eastAsia="Arial" w:hAnsi="Arial"/>
          <w:sz w:val="22"/>
          <w:szCs w:val="22"/>
          <w:color w:val="auto"/>
        </w:rPr>
        <w:t>The Parties agree to cooperate fully in the preparation, filing,</w:t>
      </w:r>
      <w:r>
        <w:rPr>
          <w:rFonts w:ascii="Arial" w:cs="Arial" w:eastAsia="Arial" w:hAnsi="Arial"/>
          <w:sz w:val="22"/>
          <w:szCs w:val="22"/>
          <w:b w:val="1"/>
          <w:bCs w:val="1"/>
          <w:color w:val="auto"/>
        </w:rPr>
        <w:t xml:space="preserve"> </w:t>
      </w:r>
      <w:r>
        <w:rPr>
          <w:rFonts w:ascii="Arial" w:cs="Arial" w:eastAsia="Arial" w:hAnsi="Arial"/>
          <w:sz w:val="22"/>
          <w:szCs w:val="22"/>
          <w:color w:val="auto"/>
        </w:rPr>
        <w:t>prosecution, and maintenance of the Licensor Program Patents, AbbVie Program Patents, and Joint Program Patents in the Territory under this Agreement. Cooperation shall include:</w:t>
      </w:r>
    </w:p>
    <w:p>
      <w:pPr>
        <w:spacing w:after="0" w:line="75" w:lineRule="exact"/>
        <w:rPr>
          <w:sz w:val="20"/>
          <w:szCs w:val="20"/>
          <w:color w:val="auto"/>
        </w:rPr>
      </w:pPr>
    </w:p>
    <w:p>
      <w:pPr>
        <w:jc w:val="both"/>
        <w:ind w:firstLine="3519"/>
        <w:spacing w:after="0" w:line="258" w:lineRule="auto"/>
        <w:tabs>
          <w:tab w:leader="none" w:pos="4399" w:val="left"/>
        </w:tabs>
        <w:numPr>
          <w:ilvl w:val="1"/>
          <w:numId w:val="66"/>
        </w:numPr>
        <w:rPr>
          <w:rFonts w:ascii="Arial" w:cs="Arial" w:eastAsia="Arial" w:hAnsi="Arial"/>
          <w:sz w:val="21"/>
          <w:szCs w:val="21"/>
          <w:color w:val="auto"/>
        </w:rPr>
      </w:pPr>
      <w:r>
        <w:rPr>
          <w:rFonts w:ascii="Arial" w:cs="Arial" w:eastAsia="Arial" w:hAnsi="Arial"/>
          <w:sz w:val="21"/>
          <w:szCs w:val="21"/>
          <w:color w:val="auto"/>
        </w:rPr>
        <w:t>without limiting any other rights and obligations of the Parties under this Agreement, cooperating with respect to the timing, scope and filing of such Patents to preserve and enhance the patent protection for AbbVie Probodies, Discovery PDCs and Licensed Products, including the manufacture and use thereof.</w:t>
      </w:r>
    </w:p>
    <w:p>
      <w:pPr>
        <w:spacing w:after="0" w:line="58" w:lineRule="exact"/>
        <w:rPr>
          <w:rFonts w:ascii="Arial" w:cs="Arial" w:eastAsia="Arial" w:hAnsi="Arial"/>
          <w:sz w:val="21"/>
          <w:szCs w:val="21"/>
          <w:color w:val="auto"/>
        </w:rPr>
      </w:pPr>
    </w:p>
    <w:p>
      <w:pPr>
        <w:jc w:val="both"/>
        <w:ind w:firstLine="3519"/>
        <w:spacing w:after="0" w:line="235" w:lineRule="auto"/>
        <w:tabs>
          <w:tab w:leader="none" w:pos="4412" w:val="left"/>
        </w:tabs>
        <w:numPr>
          <w:ilvl w:val="1"/>
          <w:numId w:val="66"/>
        </w:numPr>
        <w:rPr>
          <w:rFonts w:ascii="Arial" w:cs="Arial" w:eastAsia="Arial" w:hAnsi="Arial"/>
          <w:sz w:val="22"/>
          <w:szCs w:val="22"/>
          <w:color w:val="auto"/>
        </w:rPr>
      </w:pPr>
      <w:r>
        <w:rPr>
          <w:rFonts w:ascii="Arial" w:cs="Arial" w:eastAsia="Arial" w:hAnsi="Arial"/>
          <w:sz w:val="22"/>
          <w:szCs w:val="22"/>
          <w:color w:val="auto"/>
        </w:rPr>
        <w:t xml:space="preserve">executing all papers and instruments, or requiring its employees or contractors to execute such papers and instruments, so as to (i) effectuate the ownership of intellectual property set forth in </w:t>
      </w:r>
      <w:r>
        <w:rPr>
          <w:rFonts w:ascii="Arial" w:cs="Arial" w:eastAsia="Arial" w:hAnsi="Arial"/>
          <w:sz w:val="22"/>
          <w:szCs w:val="22"/>
          <w:u w:val="single" w:color="auto"/>
          <w:color w:val="auto"/>
        </w:rPr>
        <w:t>Section 8.1.1</w:t>
      </w:r>
      <w:r>
        <w:rPr>
          <w:rFonts w:ascii="Arial" w:cs="Arial" w:eastAsia="Arial" w:hAnsi="Arial"/>
          <w:sz w:val="22"/>
          <w:szCs w:val="22"/>
          <w:color w:val="auto"/>
        </w:rPr>
        <w:t xml:space="preserve">, </w:t>
      </w:r>
      <w:r>
        <w:rPr>
          <w:rFonts w:ascii="Arial" w:cs="Arial" w:eastAsia="Arial" w:hAnsi="Arial"/>
          <w:sz w:val="22"/>
          <w:szCs w:val="22"/>
          <w:u w:val="single" w:color="auto"/>
          <w:color w:val="auto"/>
        </w:rPr>
        <w:t>8.1.2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8.1.3</w:t>
      </w:r>
      <w:r>
        <w:rPr>
          <w:rFonts w:ascii="Arial" w:cs="Arial" w:eastAsia="Arial" w:hAnsi="Arial"/>
          <w:sz w:val="22"/>
          <w:szCs w:val="22"/>
          <w:color w:val="auto"/>
        </w:rPr>
        <w:t>; (ii) enable the other Party to apply for and to prosecute Patent applications in the Territory; and (iii) obtain and maintain any Patent extensions, supplementary protection certificates, and the like with respect to the Licensor Program Patents, AbbVie Program Patents and Joint Program Patents in the Territory, in each case ((i), (ii), and (iii)) to the extent provided for in this Agreement;</w:t>
      </w:r>
    </w:p>
    <w:p>
      <w:pPr>
        <w:spacing w:after="0" w:line="161" w:lineRule="exact"/>
        <w:rPr>
          <w:rFonts w:ascii="Arial" w:cs="Arial" w:eastAsia="Arial" w:hAnsi="Arial"/>
          <w:sz w:val="22"/>
          <w:szCs w:val="22"/>
          <w:color w:val="auto"/>
        </w:rPr>
      </w:pPr>
    </w:p>
    <w:p>
      <w:pPr>
        <w:ind w:left="1020" w:hanging="135"/>
        <w:spacing w:after="0"/>
        <w:tabs>
          <w:tab w:leader="none" w:pos="10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23" w:name="page124"/>
    <w:bookmarkEnd w:id="123"/>
    <w:p>
      <w:pPr>
        <w:jc w:val="both"/>
        <w:ind w:firstLine="3519"/>
        <w:spacing w:after="0"/>
        <w:tabs>
          <w:tab w:leader="none" w:pos="4399" w:val="left"/>
        </w:tabs>
        <w:numPr>
          <w:ilvl w:val="0"/>
          <w:numId w:val="67"/>
        </w:numPr>
        <w:rPr>
          <w:rFonts w:ascii="Arial" w:cs="Arial" w:eastAsia="Arial" w:hAnsi="Arial"/>
          <w:sz w:val="22"/>
          <w:szCs w:val="22"/>
          <w:color w:val="auto"/>
        </w:rPr>
      </w:pPr>
      <w:r>
        <w:rPr>
          <w:rFonts w:ascii="Arial" w:cs="Arial" w:eastAsia="Arial" w:hAnsi="Arial"/>
          <w:sz w:val="22"/>
          <w:szCs w:val="22"/>
          <w:color w:val="auto"/>
        </w:rPr>
        <w:t>consistent with this Agreement, assisting in any license registration processes with applicable governmental authorities that may be available in the Territory for the protection of a Party’s interests in this Agreement; and</w:t>
      </w:r>
    </w:p>
    <w:p>
      <w:pPr>
        <w:spacing w:after="0" w:line="78" w:lineRule="exact"/>
        <w:rPr>
          <w:rFonts w:ascii="Arial" w:cs="Arial" w:eastAsia="Arial" w:hAnsi="Arial"/>
          <w:sz w:val="22"/>
          <w:szCs w:val="22"/>
          <w:color w:val="auto"/>
        </w:rPr>
      </w:pPr>
    </w:p>
    <w:p>
      <w:pPr>
        <w:ind w:left="4420" w:hanging="901"/>
        <w:spacing w:after="0"/>
        <w:tabs>
          <w:tab w:leader="none" w:pos="4420" w:val="left"/>
        </w:tabs>
        <w:numPr>
          <w:ilvl w:val="0"/>
          <w:numId w:val="67"/>
        </w:numPr>
        <w:rPr>
          <w:rFonts w:ascii="Arial" w:cs="Arial" w:eastAsia="Arial" w:hAnsi="Arial"/>
          <w:sz w:val="21"/>
          <w:szCs w:val="21"/>
          <w:color w:val="auto"/>
        </w:rPr>
      </w:pPr>
      <w:r>
        <w:rPr>
          <w:rFonts w:ascii="Arial" w:cs="Arial" w:eastAsia="Arial" w:hAnsi="Arial"/>
          <w:sz w:val="21"/>
          <w:szCs w:val="21"/>
          <w:color w:val="auto"/>
        </w:rPr>
        <w:t>promptly informing the other Party of any matters coming to such Party’s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attention that may materially affect the preparation, filing, prosecution, or maintenance of any such Patents in the Territory.</w:t>
      </w:r>
    </w:p>
    <w:p>
      <w:pPr>
        <w:spacing w:after="0" w:line="86" w:lineRule="exact"/>
        <w:rPr>
          <w:sz w:val="20"/>
          <w:szCs w:val="20"/>
          <w:color w:val="auto"/>
        </w:rPr>
      </w:pPr>
    </w:p>
    <w:p>
      <w:pPr>
        <w:jc w:val="both"/>
        <w:ind w:firstLine="2634"/>
        <w:spacing w:after="0" w:line="275" w:lineRule="auto"/>
        <w:rPr>
          <w:sz w:val="20"/>
          <w:szCs w:val="20"/>
          <w:color w:val="auto"/>
        </w:rPr>
      </w:pPr>
      <w:r>
        <w:rPr>
          <w:rFonts w:ascii="Arial" w:cs="Arial" w:eastAsia="Arial" w:hAnsi="Arial"/>
          <w:sz w:val="19"/>
          <w:szCs w:val="19"/>
          <w:b w:val="1"/>
          <w:bCs w:val="1"/>
          <w:color w:val="auto"/>
        </w:rPr>
        <w:t xml:space="preserve">8.2.6 Patent Term Extension and Supplementary Protection Certificate. </w:t>
      </w:r>
      <w:r>
        <w:rPr>
          <w:rFonts w:ascii="Arial" w:cs="Arial" w:eastAsia="Arial" w:hAnsi="Arial"/>
          <w:sz w:val="19"/>
          <w:szCs w:val="19"/>
          <w:color w:val="auto"/>
        </w:rPr>
        <w:t>AbbVie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responsible for making decisions regarding patent term extensions, including supplementary protection certificates and any other extensions that are now or become available in the future, wherever applicable, for AbbVie Background Patents, AbbVie Program Patents and Joint Program Patents in any country or other jurisdiction. AbbVie shall have the responsibility of applying for any extension or supplementary protection certificate with respect to such Patents in the Territory. AbbVie shall keep Licensor fully informed of its efforts to obtain such extension or supplementary protection certificate. Licensor shall provide prompt and reasonable assistance, as requested by AbbVie, including by taking such action as patent holder as is required under any Applicable Law to obtain such patent extension or supplementary protection certificate. AbbVie shall pay all expenses in regard to obtaining the extension or supplementary protection certificate in the Territory.</w:t>
      </w:r>
    </w:p>
    <w:p>
      <w:pPr>
        <w:spacing w:after="0" w:line="43"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8.2.7</w:t>
      </w:r>
      <w:r>
        <w:rPr>
          <w:sz w:val="20"/>
          <w:szCs w:val="20"/>
          <w:color w:val="auto"/>
        </w:rPr>
        <w:tab/>
      </w:r>
      <w:r>
        <w:rPr>
          <w:rFonts w:ascii="Arial" w:cs="Arial" w:eastAsia="Arial" w:hAnsi="Arial"/>
          <w:sz w:val="19"/>
          <w:szCs w:val="19"/>
          <w:b w:val="1"/>
          <w:bCs w:val="1"/>
          <w:color w:val="auto"/>
        </w:rPr>
        <w:t>Patent Listings.</w:t>
      </w:r>
    </w:p>
    <w:p>
      <w:pPr>
        <w:spacing w:after="0" w:line="104" w:lineRule="exact"/>
        <w:rPr>
          <w:sz w:val="20"/>
          <w:szCs w:val="20"/>
          <w:color w:val="auto"/>
        </w:rPr>
      </w:pPr>
    </w:p>
    <w:p>
      <w:pPr>
        <w:jc w:val="both"/>
        <w:ind w:firstLine="4397"/>
        <w:spacing w:after="0" w:line="279" w:lineRule="auto"/>
        <w:tabs>
          <w:tab w:leader="none" w:pos="5277" w:val="left"/>
        </w:tabs>
        <w:numPr>
          <w:ilvl w:val="0"/>
          <w:numId w:val="68"/>
        </w:numPr>
        <w:rPr>
          <w:rFonts w:ascii="Arial" w:cs="Arial" w:eastAsia="Arial" w:hAnsi="Arial"/>
          <w:sz w:val="19"/>
          <w:szCs w:val="19"/>
          <w:color w:val="auto"/>
        </w:rPr>
      </w:pPr>
      <w:r>
        <w:rPr>
          <w:rFonts w:ascii="Arial" w:cs="Arial" w:eastAsia="Arial" w:hAnsi="Arial"/>
          <w:sz w:val="19"/>
          <w:szCs w:val="19"/>
          <w:color w:val="auto"/>
        </w:rPr>
        <w:t>AbbVie shall have the sole right to make all filings with Regulatory Authorities in the Territory with respect to AbbVie Background Patents, AbbVie Program Patents and Joint Program Patents, including as required or allowed (i) in the United States, in the FDA’s Orange Book if in the future legislation employs the Orange Book for biologics, or its alternative, and (ii) outside the United States, under the national implementations of Article 10.1(a)(iii) of Directive 2001/EC/83 or other international equivalents. Licensor shall cooperate with AbbVie’s reasonable requests in connection therewith, including meeting any submission deadlines, to the extent required or permitted by Applicable Law.</w:t>
      </w:r>
    </w:p>
    <w:p>
      <w:pPr>
        <w:spacing w:after="0" w:line="42" w:lineRule="exact"/>
        <w:rPr>
          <w:rFonts w:ascii="Arial" w:cs="Arial" w:eastAsia="Arial" w:hAnsi="Arial"/>
          <w:sz w:val="19"/>
          <w:szCs w:val="19"/>
          <w:color w:val="auto"/>
        </w:rPr>
      </w:pPr>
    </w:p>
    <w:p>
      <w:pPr>
        <w:jc w:val="both"/>
        <w:ind w:firstLine="4397"/>
        <w:spacing w:after="0" w:line="236" w:lineRule="auto"/>
        <w:tabs>
          <w:tab w:leader="none" w:pos="5289"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Parties will negotiate in good faith regarding filings with Regulatory Authorities in the Territory with respect to Licensor Background Patents and Licensor Program Patents, including as required or allowed (i) in the United States, in the FDA’s Orange Book if in the future legislation employs the Orange Book for biologics, or its alternative, and (ii) outside the United States, under the national implementations of Article 10.1(a)(iii) of Directive 2001/EC/83 or other international equivalents.</w:t>
      </w:r>
    </w:p>
    <w:p>
      <w:pPr>
        <w:spacing w:after="0" w:line="74"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Enforcement of Patents.</w:t>
      </w:r>
    </w:p>
    <w:p>
      <w:pPr>
        <w:spacing w:after="0" w:line="98"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8.3.1</w:t>
      </w:r>
      <w:r>
        <w:rPr>
          <w:sz w:val="20"/>
          <w:szCs w:val="20"/>
          <w:color w:val="auto"/>
        </w:rPr>
        <w:tab/>
      </w:r>
      <w:r>
        <w:rPr>
          <w:rFonts w:ascii="Arial" w:cs="Arial" w:eastAsia="Arial" w:hAnsi="Arial"/>
          <w:sz w:val="19"/>
          <w:szCs w:val="19"/>
          <w:b w:val="1"/>
          <w:bCs w:val="1"/>
          <w:color w:val="auto"/>
        </w:rPr>
        <w:t>Enforcement of Licensor Program Patents.</w:t>
      </w:r>
    </w:p>
    <w:p>
      <w:pPr>
        <w:spacing w:after="0" w:line="104" w:lineRule="exact"/>
        <w:rPr>
          <w:sz w:val="20"/>
          <w:szCs w:val="20"/>
          <w:color w:val="auto"/>
        </w:rPr>
      </w:pPr>
    </w:p>
    <w:p>
      <w:pPr>
        <w:jc w:val="both"/>
        <w:ind w:firstLine="4397"/>
        <w:spacing w:after="0" w:line="235" w:lineRule="auto"/>
        <w:tabs>
          <w:tab w:leader="none" w:pos="5277" w:val="left"/>
        </w:tabs>
        <w:numPr>
          <w:ilvl w:val="1"/>
          <w:numId w:val="69"/>
        </w:numPr>
        <w:rPr>
          <w:rFonts w:ascii="Arial" w:cs="Arial" w:eastAsia="Arial" w:hAnsi="Arial"/>
          <w:sz w:val="22"/>
          <w:szCs w:val="22"/>
          <w:color w:val="auto"/>
        </w:rPr>
      </w:pPr>
      <w:r>
        <w:rPr>
          <w:rFonts w:ascii="Arial" w:cs="Arial" w:eastAsia="Arial" w:hAnsi="Arial"/>
          <w:sz w:val="22"/>
          <w:szCs w:val="22"/>
          <w:color w:val="auto"/>
        </w:rPr>
        <w:t>Each Party shall promptly notify the other Party in writing of any alleged or threatened infringement of the Licensor Background Patents by a Third Party in respect of a Competing Product or Licensor Program Patent (regardless of whether or not related to a Competing Product) in the Territory and of which such Party becomes aware (including alleged or threatened infringement based on the development, commercialization, or an application to market a product containing a Discovery Probody, Discovery PDC or any Licensed Product in the Territory (the “</w:t>
      </w:r>
      <w:r>
        <w:rPr>
          <w:rFonts w:ascii="Arial" w:cs="Arial" w:eastAsia="Arial" w:hAnsi="Arial"/>
          <w:sz w:val="22"/>
          <w:szCs w:val="22"/>
          <w:b w:val="1"/>
          <w:bCs w:val="1"/>
          <w:color w:val="auto"/>
        </w:rPr>
        <w:t>Product</w:t>
      </w:r>
      <w:r>
        <w:rPr>
          <w:rFonts w:ascii="Arial" w:cs="Arial" w:eastAsia="Arial" w:hAnsi="Arial"/>
          <w:sz w:val="22"/>
          <w:szCs w:val="22"/>
          <w:color w:val="auto"/>
        </w:rPr>
        <w:t xml:space="preserve"> </w:t>
      </w:r>
      <w:r>
        <w:rPr>
          <w:rFonts w:ascii="Arial" w:cs="Arial" w:eastAsia="Arial" w:hAnsi="Arial"/>
          <w:sz w:val="22"/>
          <w:szCs w:val="22"/>
          <w:b w:val="1"/>
          <w:bCs w:val="1"/>
          <w:color w:val="auto"/>
        </w:rPr>
        <w:t>Infringement</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ind w:left="1020" w:hanging="135"/>
        <w:spacing w:after="0"/>
        <w:tabs>
          <w:tab w:leader="none" w:pos="10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24" w:name="page125"/>
    <w:bookmarkEnd w:id="124"/>
    <w:p>
      <w:pPr>
        <w:jc w:val="both"/>
        <w:ind w:firstLine="4397"/>
        <w:spacing w:after="0" w:line="243" w:lineRule="auto"/>
        <w:tabs>
          <w:tab w:leader="none" w:pos="5289" w:val="left"/>
        </w:tabs>
        <w:numPr>
          <w:ilvl w:val="0"/>
          <w:numId w:val="70"/>
        </w:numPr>
        <w:rPr>
          <w:rFonts w:ascii="Arial" w:cs="Arial" w:eastAsia="Arial" w:hAnsi="Arial"/>
          <w:sz w:val="21"/>
          <w:szCs w:val="21"/>
          <w:color w:val="auto"/>
        </w:rPr>
      </w:pPr>
      <w:r>
        <w:rPr>
          <w:rFonts w:ascii="Arial" w:cs="Arial" w:eastAsia="Arial" w:hAnsi="Arial"/>
          <w:sz w:val="21"/>
          <w:szCs w:val="21"/>
          <w:color w:val="auto"/>
        </w:rPr>
        <w:t>With respect to any Product Infringement in the Territory, Licensor shall have the first right, but not the obligation, to prosecute any Product Infringement in the Territory involving any Licensor Program Patents (the “</w:t>
      </w:r>
      <w:r>
        <w:rPr>
          <w:rFonts w:ascii="Arial" w:cs="Arial" w:eastAsia="Arial" w:hAnsi="Arial"/>
          <w:sz w:val="21"/>
          <w:szCs w:val="21"/>
          <w:b w:val="1"/>
          <w:bCs w:val="1"/>
          <w:color w:val="auto"/>
        </w:rPr>
        <w:t>Licensor Prosecuted Infringements</w:t>
      </w:r>
      <w:r>
        <w:rPr>
          <w:rFonts w:ascii="Arial" w:cs="Arial" w:eastAsia="Arial" w:hAnsi="Arial"/>
          <w:sz w:val="21"/>
          <w:szCs w:val="21"/>
          <w:color w:val="auto"/>
        </w:rPr>
        <w:t xml:space="preserve">”) at its sole expense and Licensor shall retain control of the prosecution of such claim, suit or proceeding. In the event Licensor prosecutes any Licensor Prosecuted Infringement, AbbVie shall have the right to join as a party to such claim, suit, or proceeding in the Territory and participate with its own counsel at its own expense;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Licensor shall retain control of the prosecution of such claim, suit, or proceeding. During any such claim, suit, or proceeding, Licensor shall: (i) provide AbbVie with drafts of all official papers and statements (whether written or oral) prior to their submission in such claim, suit, or proceeding, in sufficient time to allow AbbVie to review, consider and substantively comment thereon; (ii) allow AbbVie the opportunity to participate in the preparation of witnesses and other participants in such claim, suit, or proceeding at its own expense; and (iii) not settle any such claim, suit, or proceeding except in a manner that it believes in good faith is in the best interests of the Discovery Probodies, Discovery PDCs or Licensed Products. If Licensor does not take commercially reasonable steps to prosecute a Licensor Prosecuted Infringement (A) within [***] following the first notice provided above with respect to the Licensor Prosecuted Infringement, or (B) provided such date occurs after the first such notice of the Licensor Prosecuted Infringement is provided, [***] before the time limit, if any, set forth in appropriate laws and regulations for filing of such actions, whichever comes first, then AbbVie may prosecute the Licensor Prosecuted Infringement at its own expense.</w:t>
      </w:r>
    </w:p>
    <w:p>
      <w:pPr>
        <w:spacing w:after="0" w:line="80"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8.3.2</w:t>
      </w:r>
      <w:r>
        <w:rPr>
          <w:sz w:val="20"/>
          <w:szCs w:val="20"/>
          <w:color w:val="auto"/>
        </w:rPr>
        <w:tab/>
      </w:r>
      <w:r>
        <w:rPr>
          <w:rFonts w:ascii="Arial" w:cs="Arial" w:eastAsia="Arial" w:hAnsi="Arial"/>
          <w:sz w:val="19"/>
          <w:szCs w:val="19"/>
          <w:b w:val="1"/>
          <w:bCs w:val="1"/>
          <w:color w:val="auto"/>
        </w:rPr>
        <w:t>Enforcement of AbbVie Background Patents, AbbVie Program Patents and Joint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 Patents.</w:t>
      </w:r>
    </w:p>
    <w:p>
      <w:pPr>
        <w:spacing w:after="0" w:line="80" w:lineRule="exact"/>
        <w:rPr>
          <w:sz w:val="20"/>
          <w:szCs w:val="20"/>
          <w:color w:val="auto"/>
        </w:rPr>
      </w:pPr>
    </w:p>
    <w:p>
      <w:pPr>
        <w:jc w:val="both"/>
        <w:ind w:firstLine="3519"/>
        <w:spacing w:after="0" w:line="236" w:lineRule="auto"/>
        <w:tabs>
          <w:tab w:leader="none" w:pos="4399" w:val="left"/>
        </w:tabs>
        <w:numPr>
          <w:ilvl w:val="1"/>
          <w:numId w:val="71"/>
        </w:numPr>
        <w:rPr>
          <w:rFonts w:ascii="Arial" w:cs="Arial" w:eastAsia="Arial" w:hAnsi="Arial"/>
          <w:sz w:val="22"/>
          <w:szCs w:val="22"/>
          <w:color w:val="auto"/>
        </w:rPr>
      </w:pPr>
      <w:r>
        <w:rPr>
          <w:rFonts w:ascii="Arial" w:cs="Arial" w:eastAsia="Arial" w:hAnsi="Arial"/>
          <w:sz w:val="22"/>
          <w:szCs w:val="22"/>
          <w:color w:val="auto"/>
        </w:rPr>
        <w:t>Each Party shall promptly notify the other Party in writing of any alleged or threatened infringement of the AbbVie Background Patents in respect of a Competing Product, the AbbVie Program Patents or the Joint Program Patents by a Third Party in the Territory and of which such Party becomes aware (including alleged or threatened infringement based on the development, commercialization, or an application to market a product containing a Discovery Probody, Discovery PDC or any Licensed Product in the Territory).</w:t>
      </w:r>
    </w:p>
    <w:p>
      <w:pPr>
        <w:spacing w:after="0" w:line="79" w:lineRule="exact"/>
        <w:rPr>
          <w:rFonts w:ascii="Arial" w:cs="Arial" w:eastAsia="Arial" w:hAnsi="Arial"/>
          <w:sz w:val="22"/>
          <w:szCs w:val="22"/>
          <w:color w:val="auto"/>
        </w:rPr>
      </w:pPr>
    </w:p>
    <w:p>
      <w:pPr>
        <w:jc w:val="both"/>
        <w:ind w:firstLine="3519"/>
        <w:spacing w:after="0" w:line="233" w:lineRule="auto"/>
        <w:tabs>
          <w:tab w:leader="none" w:pos="4412" w:val="left"/>
        </w:tabs>
        <w:numPr>
          <w:ilvl w:val="1"/>
          <w:numId w:val="71"/>
        </w:numPr>
        <w:rPr>
          <w:rFonts w:ascii="Arial" w:cs="Arial" w:eastAsia="Arial" w:hAnsi="Arial"/>
          <w:sz w:val="22"/>
          <w:szCs w:val="22"/>
          <w:color w:val="auto"/>
        </w:rPr>
      </w:pPr>
      <w:r>
        <w:rPr>
          <w:rFonts w:ascii="Arial" w:cs="Arial" w:eastAsia="Arial" w:hAnsi="Arial"/>
          <w:sz w:val="22"/>
          <w:szCs w:val="22"/>
          <w:color w:val="auto"/>
        </w:rPr>
        <w:t>AbbVie shall have the sole right, but not the obligation, to prosecute any Product Infringement in the Territory involving any AbbVie Background Patents and AbbVie Program Patents in the Territory at its sole expense and AbbVie shall retain control of the prosecution of such claim, suit or proceeding. During any such claim, suit, or proceeding, to enforce any AbbVie Program Patents, AbbVie shall: (i) provide Licensor with drafts of all official papers and statements (whether written or oral) prior to their submission in such claim, suit, or proceeding, in sufficient time to allow Licensor to review, consider and substantively comment thereon; (ii) allow Licensor the opportunity to participate in the preparation of witnesses and other participants in such claim, suit, or proceeding at its own expense; and (iii) not settle any such claim, suit, or proceeding except in a manner that it believes in good faith is in the best interests of the AbbVie Probodies, Discovery PDCs and Licensed Products.</w:t>
      </w:r>
    </w:p>
    <w:p>
      <w:pPr>
        <w:spacing w:after="0" w:line="85" w:lineRule="exact"/>
        <w:rPr>
          <w:rFonts w:ascii="Arial" w:cs="Arial" w:eastAsia="Arial" w:hAnsi="Arial"/>
          <w:sz w:val="22"/>
          <w:szCs w:val="22"/>
          <w:color w:val="auto"/>
        </w:rPr>
      </w:pPr>
    </w:p>
    <w:p>
      <w:pPr>
        <w:jc w:val="both"/>
        <w:ind w:firstLine="3519"/>
        <w:spacing w:after="0" w:line="238" w:lineRule="auto"/>
        <w:tabs>
          <w:tab w:leader="none" w:pos="4399" w:val="left"/>
        </w:tabs>
        <w:numPr>
          <w:ilvl w:val="1"/>
          <w:numId w:val="71"/>
        </w:numPr>
        <w:rPr>
          <w:rFonts w:ascii="Arial" w:cs="Arial" w:eastAsia="Arial" w:hAnsi="Arial"/>
          <w:sz w:val="22"/>
          <w:szCs w:val="22"/>
          <w:color w:val="auto"/>
        </w:rPr>
      </w:pPr>
      <w:r>
        <w:rPr>
          <w:rFonts w:ascii="Arial" w:cs="Arial" w:eastAsia="Arial" w:hAnsi="Arial"/>
          <w:sz w:val="22"/>
          <w:szCs w:val="22"/>
          <w:color w:val="auto"/>
        </w:rPr>
        <w:t>AbbVie shall have the first right, but not the obligation, to prosecute any such infringement of Joint Program Patents in the Territory at its sole expense and AbbVie shall retain control of the prosecution of such claim, suit or proceeding. In the event AbbVie prosecutes any such infringement, Licensor shall have the right to join as a party to such</w:t>
      </w:r>
    </w:p>
    <w:p>
      <w:pPr>
        <w:spacing w:after="0" w:line="158" w:lineRule="exact"/>
        <w:rPr>
          <w:rFonts w:ascii="Arial" w:cs="Arial" w:eastAsia="Arial" w:hAnsi="Arial"/>
          <w:sz w:val="22"/>
          <w:szCs w:val="22"/>
          <w:color w:val="auto"/>
        </w:rPr>
      </w:pPr>
    </w:p>
    <w:p>
      <w:pPr>
        <w:ind w:left="1020" w:hanging="135"/>
        <w:spacing w:after="0"/>
        <w:tabs>
          <w:tab w:leader="none" w:pos="10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25" w:name="page126"/>
    <w:bookmarkEnd w:id="125"/>
    <w:p>
      <w:pPr>
        <w:jc w:val="both"/>
        <w:spacing w:after="0" w:line="279" w:lineRule="auto"/>
        <w:rPr>
          <w:sz w:val="20"/>
          <w:szCs w:val="20"/>
          <w:color w:val="auto"/>
        </w:rPr>
      </w:pPr>
      <w:r>
        <w:rPr>
          <w:rFonts w:ascii="Arial" w:cs="Arial" w:eastAsia="Arial" w:hAnsi="Arial"/>
          <w:sz w:val="19"/>
          <w:szCs w:val="19"/>
          <w:color w:val="auto"/>
        </w:rPr>
        <w:t xml:space="preserve">claim, suit or proceeding in the Territory and participate with its own counsel at its own expense;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AbbVie shall retain control of the prosecution of such claim, suit or proceeding. If AbbVie does not take commercially reasonable steps to prosecute the alleged or threatened infringement in the Territory with respect to such Joint Program Patents (i) within [***] following the first notice provided above with respect to such alleged infringement, or (ii) provided such date occurs after the first such notice of infringement is provided, [***] before the time limit, if any, set forth in appropriate laws and regulations for filing of such actions, whichever comes first, then Licensor may prosecute the alleged or threatened infringement in the Territory at its own expense.</w:t>
      </w:r>
    </w:p>
    <w:p>
      <w:pPr>
        <w:spacing w:after="0" w:line="37" w:lineRule="exact"/>
        <w:rPr>
          <w:sz w:val="20"/>
          <w:szCs w:val="20"/>
          <w:color w:val="auto"/>
        </w:rPr>
      </w:pPr>
    </w:p>
    <w:p>
      <w:pPr>
        <w:jc w:val="both"/>
        <w:ind w:firstLine="2634"/>
        <w:spacing w:after="0" w:line="269" w:lineRule="auto"/>
        <w:rPr>
          <w:sz w:val="20"/>
          <w:szCs w:val="20"/>
          <w:color w:val="auto"/>
        </w:rPr>
      </w:pPr>
      <w:r>
        <w:rPr>
          <w:rFonts w:ascii="Arial" w:cs="Arial" w:eastAsia="Arial" w:hAnsi="Arial"/>
          <w:sz w:val="19"/>
          <w:szCs w:val="19"/>
          <w:b w:val="1"/>
          <w:bCs w:val="1"/>
          <w:color w:val="auto"/>
        </w:rPr>
        <w:t xml:space="preserve">8.3.3 Patent Exclusivity Listings. </w:t>
      </w:r>
      <w:r>
        <w:rPr>
          <w:rFonts w:ascii="Arial" w:cs="Arial" w:eastAsia="Arial" w:hAnsi="Arial"/>
          <w:sz w:val="19"/>
          <w:szCs w:val="19"/>
          <w:color w:val="auto"/>
        </w:rPr>
        <w:t>If either Party receives a copy of an application submitted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FDA under subsection (k) of Section 351 of the PHSA (a “</w:t>
      </w:r>
      <w:r>
        <w:rPr>
          <w:rFonts w:ascii="Arial" w:cs="Arial" w:eastAsia="Arial" w:hAnsi="Arial"/>
          <w:sz w:val="19"/>
          <w:szCs w:val="19"/>
          <w:b w:val="1"/>
          <w:bCs w:val="1"/>
          <w:color w:val="auto"/>
        </w:rPr>
        <w:t>Biosimilar Application</w:t>
      </w:r>
      <w:r>
        <w:rPr>
          <w:rFonts w:ascii="Arial" w:cs="Arial" w:eastAsia="Arial" w:hAnsi="Arial"/>
          <w:sz w:val="19"/>
          <w:szCs w:val="19"/>
          <w:color w:val="auto"/>
        </w:rPr>
        <w:t>”) naming a Licensed Product as a reference product or otherwise becomes aware that such a Biosimilar Application has been filed (such as in an instance described in Section 351(l)(9)(C) of the PHSA), either Party shall, within [***], notify the other Party so that the other Party may seek permission to view the application and related confidential information from the filer of the Biosimilar Application under Section 351(l)(1)(B)(iii) of the PHSA. If either Party receives any equivalent or similar certification or notice in any other jurisdiction in the Territory, either Party shall, within [***], notify and provide the other Party with copies of such communication. Regardless of the Party that is the “reference product sponsor” for purposes of such Biosimilar Application, (a) AbbVie shall have the sole right to designate pursuant to Section 351(l)(1)(B)(ii) of the PHSA the outside counsel and in-house counsel who shall receive confidential access to the Biosimilar Application; (b) AbbVie shall have the sole right to list any AbbVie Background Patent, AbbVie Program Patent and Joint Program Patents (and, with the agreement of Licensor, any Licensor Background Patents or Licensor Program Patents), insofar as they claim or cover the applicable Licensed Product as required pursuant to Section 351(l)(3)(A), Section 351(l)</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(5)(b)(i)(II), or Section 351(l)(7) of the PHSA, to respond to any communications with respect to such lists from the filer of the Biosimilar Application, and to negotiate with the filer of the Biosimilar Application as to whether to utilize a different mechanism for information exchange than that specified in Section 351(l) of the PHSA; and (c) AbbVie shall have the sole right to identify Patents or respond to communications under any equivalent or similar listing in any other jurisdiction in the Territory. If required pursuant to Applicable Law, Licensor shall prepare such lists and make such responses at AbbVie’s direction. Licensor shall</w:t>
      </w:r>
    </w:p>
    <w:p>
      <w:pPr>
        <w:jc w:val="both"/>
        <w:ind w:firstLine="8"/>
        <w:spacing w:after="0" w:line="267" w:lineRule="auto"/>
        <w:tabs>
          <w:tab w:leader="none" w:pos="306" w:val="left"/>
        </w:tabs>
        <w:numPr>
          <w:ilvl w:val="0"/>
          <w:numId w:val="72"/>
        </w:numPr>
        <w:rPr>
          <w:rFonts w:ascii="Arial" w:cs="Arial" w:eastAsia="Arial" w:hAnsi="Arial"/>
          <w:sz w:val="19"/>
          <w:szCs w:val="19"/>
          <w:color w:val="auto"/>
        </w:rPr>
      </w:pPr>
      <w:r>
        <w:rPr>
          <w:rFonts w:ascii="Arial" w:cs="Arial" w:eastAsia="Arial" w:hAnsi="Arial"/>
          <w:sz w:val="19"/>
          <w:szCs w:val="19"/>
          <w:color w:val="auto"/>
        </w:rPr>
        <w:t>provide to AbbVie, within [***] of AbbVie’s request, all Information, including a correct and complete list of Licensor Background Patents or Licensor Program Patents covering any Licensed Product, that is necessary or reasonably useful to enable AbbVie to make such lists and communications with respect to the Licensor Background Patents or Licensor Program Patents, and</w:t>
      </w:r>
    </w:p>
    <w:p>
      <w:pPr>
        <w:jc w:val="both"/>
        <w:ind w:firstLine="8"/>
        <w:spacing w:after="0" w:line="233" w:lineRule="auto"/>
        <w:tabs>
          <w:tab w:leader="none" w:pos="348"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cooperate with AbbVie’s reasonable requests in connection therewith, including meeting any submission deadlines, in each case, to the extent required or permitted by Applicable Law. AbbVie shall (A) reasonably consult with Licensor prior to identifying any Licensor Background Patents or Licensor Program Patents to a Third Party as contemplated by this </w:t>
      </w:r>
      <w:r>
        <w:rPr>
          <w:rFonts w:ascii="Arial" w:cs="Arial" w:eastAsia="Arial" w:hAnsi="Arial"/>
          <w:sz w:val="22"/>
          <w:szCs w:val="22"/>
          <w:u w:val="single" w:color="auto"/>
          <w:color w:val="auto"/>
        </w:rPr>
        <w:t>Section 8.3.3</w:t>
      </w:r>
      <w:r>
        <w:rPr>
          <w:rFonts w:ascii="Arial" w:cs="Arial" w:eastAsia="Arial" w:hAnsi="Arial"/>
          <w:sz w:val="22"/>
          <w:szCs w:val="22"/>
          <w:color w:val="auto"/>
        </w:rPr>
        <w:t xml:space="preserve"> and shall consider in good faith Licensor’s advice and suggestions with respect thereto, and (B) notify Licensor of any such lists or communications promptly after they are made.</w:t>
      </w:r>
    </w:p>
    <w:p>
      <w:pPr>
        <w:spacing w:after="0" w:line="72"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8.3.4 Conduct of Patent Litigation Under the Biologics Price Competition and Innovation Act. </w:t>
      </w:r>
      <w:r>
        <w:rPr>
          <w:rFonts w:ascii="Arial" w:cs="Arial" w:eastAsia="Arial" w:hAnsi="Arial"/>
          <w:sz w:val="22"/>
          <w:szCs w:val="22"/>
          <w:color w:val="auto"/>
        </w:rPr>
        <w:t>Notwithstanding anything to the contrary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8.3</w:t>
      </w:r>
      <w:r>
        <w:rPr>
          <w:rFonts w:ascii="Arial" w:cs="Arial" w:eastAsia="Arial" w:hAnsi="Arial"/>
          <w:sz w:val="22"/>
          <w:szCs w:val="22"/>
          <w:color w:val="auto"/>
        </w:rPr>
        <w:t>, AbbVie shall have the first right to bring an action</w:t>
      </w:r>
      <w:r>
        <w:rPr>
          <w:rFonts w:ascii="Arial" w:cs="Arial" w:eastAsia="Arial" w:hAnsi="Arial"/>
          <w:sz w:val="22"/>
          <w:szCs w:val="22"/>
          <w:b w:val="1"/>
          <w:bCs w:val="1"/>
          <w:color w:val="auto"/>
        </w:rPr>
        <w:t xml:space="preserve"> </w:t>
      </w:r>
      <w:r>
        <w:rPr>
          <w:rFonts w:ascii="Arial" w:cs="Arial" w:eastAsia="Arial" w:hAnsi="Arial"/>
          <w:sz w:val="22"/>
          <w:szCs w:val="22"/>
          <w:color w:val="auto"/>
        </w:rPr>
        <w:t>for infringement of the Licensor Program</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26" w:name="page127"/>
    <w:bookmarkEnd w:id="126"/>
    <w:p>
      <w:pPr>
        <w:jc w:val="both"/>
        <w:spacing w:after="0" w:line="244" w:lineRule="auto"/>
        <w:rPr>
          <w:sz w:val="20"/>
          <w:szCs w:val="20"/>
          <w:color w:val="auto"/>
        </w:rPr>
      </w:pPr>
      <w:r>
        <w:rPr>
          <w:rFonts w:ascii="Arial" w:cs="Arial" w:eastAsia="Arial" w:hAnsi="Arial"/>
          <w:sz w:val="21"/>
          <w:szCs w:val="21"/>
          <w:color w:val="auto"/>
        </w:rPr>
        <w:t xml:space="preserve">Patents, AbbVie Background Patents, AbbVie Program Patents or Joint Program Patents as required under Section 351(l)(6) of the PHSA following the agreement on a list of patents for litigation under Section 351(l)(4) or exchange of Patent lists pursuant to Section 351(l)(5)(B) of such act, or as required following any equivalent or similar certification or notice in any other jurisdiction. The Parties’ rights and obligations with respect to the foregoing legal actions shall be as set forth in </w:t>
      </w:r>
      <w:r>
        <w:rPr>
          <w:rFonts w:ascii="Arial" w:cs="Arial" w:eastAsia="Arial" w:hAnsi="Arial"/>
          <w:sz w:val="21"/>
          <w:szCs w:val="21"/>
          <w:u w:val="single" w:color="auto"/>
          <w:color w:val="auto"/>
        </w:rPr>
        <w:t>Sections 8.3.1</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8.3.5</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within [***] of reaching agreement on a list of Patents for litigation under Section 351(l)(4) or exchange of Patent lists pursuant to Section 351(l)(5)(B), AbbVie shall notify Licensor as to whether or not it elects to prosecute such infringement. Either Party shall, within [***], notify and provide the other Party with copies of any notice of commercial marketing provided by the filer of a Biosimilar Application pursuant to Section 351(l)(8)(A) of the PHSA, or any equivalent or similar certification or notice in any other jurisdiction. Thereafter, the Party controlling any Patent infringement litigation pursuant to this </w:t>
      </w:r>
      <w:r>
        <w:rPr>
          <w:rFonts w:ascii="Arial" w:cs="Arial" w:eastAsia="Arial" w:hAnsi="Arial"/>
          <w:sz w:val="21"/>
          <w:szCs w:val="21"/>
          <w:u w:val="single" w:color="auto"/>
          <w:color w:val="auto"/>
        </w:rPr>
        <w:t>Section 8.3.4</w:t>
      </w:r>
      <w:r>
        <w:rPr>
          <w:rFonts w:ascii="Arial" w:cs="Arial" w:eastAsia="Arial" w:hAnsi="Arial"/>
          <w:sz w:val="21"/>
          <w:szCs w:val="21"/>
          <w:color w:val="auto"/>
        </w:rPr>
        <w:t xml:space="preserve"> shall have the first right to seek an injunction against such commercial marketing as permitted pursuant to Section 351(l)(8)(B) of the PHSA. If no such litigation is ongoing at the time of such notice, then AbbVie shall have the first right to seek such an injunction.</w:t>
      </w:r>
    </w:p>
    <w:p>
      <w:pPr>
        <w:spacing w:after="0" w:line="73" w:lineRule="exact"/>
        <w:rPr>
          <w:sz w:val="20"/>
          <w:szCs w:val="20"/>
          <w:color w:val="auto"/>
        </w:rPr>
      </w:pPr>
    </w:p>
    <w:p>
      <w:pPr>
        <w:jc w:val="both"/>
        <w:ind w:firstLine="2634"/>
        <w:spacing w:after="0" w:line="275" w:lineRule="auto"/>
        <w:rPr>
          <w:sz w:val="20"/>
          <w:szCs w:val="20"/>
          <w:color w:val="auto"/>
        </w:rPr>
      </w:pPr>
      <w:r>
        <w:rPr>
          <w:rFonts w:ascii="Arial" w:cs="Arial" w:eastAsia="Arial" w:hAnsi="Arial"/>
          <w:sz w:val="19"/>
          <w:szCs w:val="19"/>
          <w:b w:val="1"/>
          <w:bCs w:val="1"/>
          <w:color w:val="auto"/>
        </w:rPr>
        <w:t xml:space="preserve">8.3.5 Cooperation. </w:t>
      </w:r>
      <w:r>
        <w:rPr>
          <w:rFonts w:ascii="Arial" w:cs="Arial" w:eastAsia="Arial" w:hAnsi="Arial"/>
          <w:sz w:val="19"/>
          <w:szCs w:val="19"/>
          <w:color w:val="auto"/>
        </w:rPr>
        <w:t>The Parties agree to cooperate fully in any infringement action pursuant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Where a Party brings such an action, the other Party shall, where necessary, furnish a power of attorney solely for such purpose or shall join in, or be named as a necessary party to, such action. Unless otherwise set forth herein, the Party entitled to bring any patent infringement litigation in accordance with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shall have the right to settle such claim;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neither Party shall have the right to settle any patent infringement litigation under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8.3</w:t>
      </w:r>
      <w:r>
        <w:rPr>
          <w:rFonts w:ascii="Arial" w:cs="Arial" w:eastAsia="Arial" w:hAnsi="Arial"/>
          <w:sz w:val="19"/>
          <w:szCs w:val="19"/>
          <w:i w:val="1"/>
          <w:iCs w:val="1"/>
          <w:color w:val="auto"/>
        </w:rPr>
        <w:t xml:space="preserve"> </w:t>
      </w:r>
      <w:r>
        <w:rPr>
          <w:rFonts w:ascii="Arial" w:cs="Arial" w:eastAsia="Arial" w:hAnsi="Arial"/>
          <w:sz w:val="19"/>
          <w:szCs w:val="19"/>
          <w:color w:val="auto"/>
        </w:rPr>
        <w:t>in a manner that</w:t>
      </w:r>
      <w:r>
        <w:rPr>
          <w:rFonts w:ascii="Arial" w:cs="Arial" w:eastAsia="Arial" w:hAnsi="Arial"/>
          <w:sz w:val="19"/>
          <w:szCs w:val="19"/>
          <w:i w:val="1"/>
          <w:iCs w:val="1"/>
          <w:color w:val="auto"/>
        </w:rPr>
        <w:t xml:space="preserve"> </w:t>
      </w:r>
      <w:r>
        <w:rPr>
          <w:rFonts w:ascii="Arial" w:cs="Arial" w:eastAsia="Arial" w:hAnsi="Arial"/>
          <w:sz w:val="19"/>
          <w:szCs w:val="19"/>
          <w:color w:val="auto"/>
        </w:rPr>
        <w:t>diminishes or has a material adverse effect on the rights or interest of the other Party, or in a manner that imposes any costs or liability on, or involves any admission by, the other Party, without the express written consent of such other Party. The Party commencing the litigation shall provide the other Party with copies of all pleadings and other documents filed with the court and shall consider reasonable input from the other Party during the course of the proceedings.</w:t>
      </w:r>
    </w:p>
    <w:p>
      <w:pPr>
        <w:spacing w:after="0" w:line="43"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b w:val="1"/>
          <w:bCs w:val="1"/>
          <w:color w:val="auto"/>
        </w:rPr>
        <w:t xml:space="preserve">8.3.6 Recovery. </w:t>
      </w:r>
      <w:r>
        <w:rPr>
          <w:rFonts w:ascii="Arial" w:cs="Arial" w:eastAsia="Arial" w:hAnsi="Arial"/>
          <w:sz w:val="21"/>
          <w:szCs w:val="21"/>
          <w:color w:val="auto"/>
        </w:rPr>
        <w:t>Except as otherwise agreed by the Parties in connection with a cost sharing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arrangement, any recovery realized as a result of such litigation described in </w:t>
      </w:r>
      <w:r>
        <w:rPr>
          <w:rFonts w:ascii="Arial" w:cs="Arial" w:eastAsia="Arial" w:hAnsi="Arial"/>
          <w:sz w:val="21"/>
          <w:szCs w:val="21"/>
          <w:u w:val="single" w:color="auto"/>
          <w:color w:val="auto"/>
        </w:rPr>
        <w:t>Section 8.3.1</w:t>
      </w:r>
      <w:r>
        <w:rPr>
          <w:rFonts w:ascii="Arial" w:cs="Arial" w:eastAsia="Arial" w:hAnsi="Arial"/>
          <w:sz w:val="21"/>
          <w:szCs w:val="21"/>
          <w:color w:val="auto"/>
        </w:rPr>
        <w:t xml:space="preserve">, </w:t>
      </w:r>
      <w:r>
        <w:rPr>
          <w:rFonts w:ascii="Arial" w:cs="Arial" w:eastAsia="Arial" w:hAnsi="Arial"/>
          <w:sz w:val="21"/>
          <w:szCs w:val="21"/>
          <w:u w:val="single" w:color="auto"/>
          <w:color w:val="auto"/>
        </w:rPr>
        <w:t>8.3.2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8.3.4</w:t>
      </w:r>
      <w:r>
        <w:rPr>
          <w:rFonts w:ascii="Arial" w:cs="Arial" w:eastAsia="Arial" w:hAnsi="Arial"/>
          <w:sz w:val="21"/>
          <w:szCs w:val="21"/>
          <w:color w:val="auto"/>
        </w:rPr>
        <w:t xml:space="preserve"> (whether by way of settlement or otherwise) shall be first, allocated to reimburse the Parties for their costs and expenses in making such recovery (which amounts shall be allocated pro rata if insufficient to cover the totality of such expenses). [***]</w:t>
      </w:r>
    </w:p>
    <w:p>
      <w:pPr>
        <w:spacing w:after="0" w:line="58"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b w:val="1"/>
          <w:bCs w:val="1"/>
          <w:color w:val="auto"/>
        </w:rPr>
        <w:t>8.3.7 Costs and Expenses</w:t>
      </w:r>
      <w:r>
        <w:rPr>
          <w:rFonts w:ascii="Arial" w:cs="Arial" w:eastAsia="Arial" w:hAnsi="Arial"/>
          <w:sz w:val="21"/>
          <w:szCs w:val="21"/>
          <w:color w:val="auto"/>
        </w:rPr>
        <w:t>. AbbVie shall be entitled to deduct [***] of the reasonable out-of-pocket costs borne by AbbVie in connection with such litigation in a given Calendar Quarter from any amounts due to Licensor under this Agreement for such Calendar Quarter, with any balance then remaining to be carried over to subsequent Calendar Quarters and applied against any amounts due with respect to such subsequent Calendar Quarters.</w:t>
      </w:r>
    </w:p>
    <w:p>
      <w:pPr>
        <w:spacing w:after="0" w:line="58"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8.4 Infringement Claims by Third Parties. </w:t>
      </w:r>
      <w:r>
        <w:rPr>
          <w:rFonts w:ascii="Arial" w:cs="Arial" w:eastAsia="Arial" w:hAnsi="Arial"/>
          <w:sz w:val="22"/>
          <w:szCs w:val="22"/>
          <w:color w:val="auto"/>
        </w:rPr>
        <w:t>If the manufacture, sale, or use of a Discovery Probody,</w:t>
      </w:r>
      <w:r>
        <w:rPr>
          <w:rFonts w:ascii="Arial" w:cs="Arial" w:eastAsia="Arial" w:hAnsi="Arial"/>
          <w:sz w:val="22"/>
          <w:szCs w:val="22"/>
          <w:b w:val="1"/>
          <w:bCs w:val="1"/>
          <w:color w:val="auto"/>
        </w:rPr>
        <w:t xml:space="preserve"> </w:t>
      </w:r>
      <w:r>
        <w:rPr>
          <w:rFonts w:ascii="Arial" w:cs="Arial" w:eastAsia="Arial" w:hAnsi="Arial"/>
          <w:sz w:val="22"/>
          <w:szCs w:val="22"/>
          <w:color w:val="auto"/>
        </w:rPr>
        <w:t>Discovery PDC or Licensed Product in the Territory pursuant to this Agreement results in, or may result in, any claim, suit, or proceeding by a Third Party alleging patent infringement by AbbVie (or its Affiliates or Sublicensees), AbbVie shall promptly notify Licensor thereof in writing. AbbVie shall have the first right, but not the obligation, to defend and control the defense of any such claim, suit, or proceeding at its own expense (but subject to</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27" w:name="page128"/>
    <w:bookmarkEnd w:id="127"/>
    <w:p>
      <w:pPr>
        <w:jc w:val="both"/>
        <w:spacing w:after="0" w:line="245" w:lineRule="auto"/>
        <w:rPr>
          <w:sz w:val="20"/>
          <w:szCs w:val="20"/>
          <w:color w:val="auto"/>
        </w:rPr>
      </w:pPr>
      <w:r>
        <w:rPr>
          <w:rFonts w:ascii="Arial" w:cs="Arial" w:eastAsia="Arial" w:hAnsi="Arial"/>
          <w:sz w:val="21"/>
          <w:szCs w:val="21"/>
          <w:color w:val="auto"/>
        </w:rPr>
        <w:t>deduction as provided below), using counsel of its own choice. Licensor may participate in any such claim, suit, or proceeding with counsel of its choice at its own expense. Without limitation of the foregoing, if AbbVie finds it necessary or desirable to join Licensor as a party to any such action, Licensor shall execute all papers and perform such acts as shall be reasonably required, provided that AbbVie reimburses any out-of-pocket costs incurred by Licensor as a result. If AbbVie elects (in a written communication submitted to Licensor within a reasonable amount of time after notice of the alleged patent infringement) not to defend or control the defense of, or otherwise fails to initiate and maintain the defense of, any such claim, suit, or proceeding, within such time periods so that Licensor is not prejudiced by any delays, Licensor may conduct and control the defense of any such claim, suit, or proceeding at its own expense. Each Party shall keep the other Party reasonably informed of all material developments in connection with any such claim, suit, or proceeding. [***]</w:t>
      </w:r>
    </w:p>
    <w:p>
      <w:pPr>
        <w:spacing w:after="0" w:line="71" w:lineRule="exact"/>
        <w:rPr>
          <w:sz w:val="20"/>
          <w:szCs w:val="20"/>
          <w:color w:val="auto"/>
        </w:rPr>
      </w:pPr>
    </w:p>
    <w:p>
      <w:pPr>
        <w:ind w:left="1760"/>
        <w:spacing w:after="0"/>
        <w:tabs>
          <w:tab w:leader="none" w:pos="266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19"/>
          <w:szCs w:val="19"/>
          <w:b w:val="1"/>
          <w:bCs w:val="1"/>
          <w:color w:val="auto"/>
        </w:rPr>
        <w:t>Invalidity or Unenforceability Defenses or Actions.</w:t>
      </w:r>
    </w:p>
    <w:p>
      <w:pPr>
        <w:spacing w:after="0" w:line="98"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8.5.1 Notice. </w:t>
      </w:r>
      <w:r>
        <w:rPr>
          <w:rFonts w:ascii="Arial" w:cs="Arial" w:eastAsia="Arial" w:hAnsi="Arial"/>
          <w:sz w:val="22"/>
          <w:szCs w:val="22"/>
          <w:color w:val="auto"/>
        </w:rPr>
        <w:t>Each Party shall promptly notify the other Party in writing of any alleged or</w:t>
      </w:r>
      <w:r>
        <w:rPr>
          <w:rFonts w:ascii="Arial" w:cs="Arial" w:eastAsia="Arial" w:hAnsi="Arial"/>
          <w:sz w:val="22"/>
          <w:szCs w:val="22"/>
          <w:b w:val="1"/>
          <w:bCs w:val="1"/>
          <w:color w:val="auto"/>
        </w:rPr>
        <w:t xml:space="preserve"> </w:t>
      </w:r>
      <w:r>
        <w:rPr>
          <w:rFonts w:ascii="Arial" w:cs="Arial" w:eastAsia="Arial" w:hAnsi="Arial"/>
          <w:sz w:val="22"/>
          <w:szCs w:val="22"/>
          <w:color w:val="auto"/>
        </w:rPr>
        <w:t>threatened assertion of invalidity or unenforceability of any of the Licensor Background Patents, Licensor Program Patents, AbbVie Background Patents, AbbVie Program Patents or Joint Program Patents by a Third Party, in each case in the Territory and of which such Party becomes aware.</w:t>
      </w:r>
    </w:p>
    <w:p>
      <w:pPr>
        <w:spacing w:after="0" w:line="73"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8.5.2 Licensor Background Patents. </w:t>
      </w:r>
      <w:r>
        <w:rPr>
          <w:rFonts w:ascii="Arial" w:cs="Arial" w:eastAsia="Arial" w:hAnsi="Arial"/>
          <w:sz w:val="22"/>
          <w:szCs w:val="22"/>
          <w:color w:val="auto"/>
        </w:rPr>
        <w:t>Licensor shall have the sole right, but not the</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to defend and control the defense of the validity and enforceability of the Licensor Background Patents at its own expense in the Territory.</w:t>
      </w:r>
    </w:p>
    <w:p>
      <w:pPr>
        <w:spacing w:after="0" w:line="69"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8.5.3 Licensor Program Patents. </w:t>
      </w:r>
      <w:r>
        <w:rPr>
          <w:rFonts w:ascii="Arial" w:cs="Arial" w:eastAsia="Arial" w:hAnsi="Arial"/>
          <w:sz w:val="22"/>
          <w:szCs w:val="22"/>
          <w:color w:val="auto"/>
        </w:rPr>
        <w:t>Licensor shall have the first right, but not the obligation,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defend and control the defense of the validity and enforceability of the Licensor Program Patents at its own expense in the Territory. AbbVie may participate in any such claim, suit, or proceeding in the Territory with counsel of its choice at its own expense;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Licensor shall retain control of the defense in such claim, suit, or proceeding. If Licensor elects not to defend or control the defense of the Patents in a suit brought in the Territory, or otherwise fails to initiate and maintain the defense of any such claim, suit, or proceeding, then AbbVie may conduct and control the defense of any such claim, suit, or proceeding at its own expense.</w:t>
      </w:r>
    </w:p>
    <w:p>
      <w:pPr>
        <w:spacing w:after="0" w:line="76" w:lineRule="exact"/>
        <w:rPr>
          <w:sz w:val="20"/>
          <w:szCs w:val="20"/>
          <w:color w:val="auto"/>
        </w:rPr>
      </w:pPr>
    </w:p>
    <w:p>
      <w:pPr>
        <w:ind w:left="2640"/>
        <w:spacing w:after="0"/>
        <w:tabs>
          <w:tab w:leader="none" w:pos="3700" w:val="left"/>
        </w:tabs>
        <w:rPr>
          <w:sz w:val="20"/>
          <w:szCs w:val="20"/>
          <w:color w:val="auto"/>
        </w:rPr>
      </w:pPr>
      <w:r>
        <w:rPr>
          <w:rFonts w:ascii="Arial" w:cs="Arial" w:eastAsia="Arial" w:hAnsi="Arial"/>
          <w:sz w:val="22"/>
          <w:szCs w:val="22"/>
          <w:b w:val="1"/>
          <w:bCs w:val="1"/>
          <w:color w:val="auto"/>
        </w:rPr>
        <w:t>8.5.4</w:t>
      </w:r>
      <w:r>
        <w:rPr>
          <w:sz w:val="20"/>
          <w:szCs w:val="20"/>
          <w:color w:val="auto"/>
        </w:rPr>
        <w:tab/>
      </w:r>
      <w:r>
        <w:rPr>
          <w:rFonts w:ascii="Arial" w:cs="Arial" w:eastAsia="Arial" w:hAnsi="Arial"/>
          <w:sz w:val="19"/>
          <w:szCs w:val="19"/>
          <w:b w:val="1"/>
          <w:bCs w:val="1"/>
          <w:color w:val="auto"/>
        </w:rPr>
        <w:t>AbbVie Background Patents, AbbVie Program Patents and Joint Program Patents.</w:t>
      </w:r>
    </w:p>
    <w:p>
      <w:pPr>
        <w:spacing w:after="0" w:line="104" w:lineRule="exact"/>
        <w:rPr>
          <w:sz w:val="20"/>
          <w:szCs w:val="20"/>
          <w:color w:val="auto"/>
        </w:rPr>
      </w:pPr>
    </w:p>
    <w:p>
      <w:pPr>
        <w:jc w:val="both"/>
        <w:ind w:firstLine="3519"/>
        <w:spacing w:after="0"/>
        <w:tabs>
          <w:tab w:leader="none" w:pos="4399" w:val="left"/>
        </w:tabs>
        <w:numPr>
          <w:ilvl w:val="1"/>
          <w:numId w:val="73"/>
        </w:numPr>
        <w:rPr>
          <w:rFonts w:ascii="Arial" w:cs="Arial" w:eastAsia="Arial" w:hAnsi="Arial"/>
          <w:sz w:val="22"/>
          <w:szCs w:val="22"/>
          <w:color w:val="auto"/>
        </w:rPr>
      </w:pPr>
      <w:r>
        <w:rPr>
          <w:rFonts w:ascii="Arial" w:cs="Arial" w:eastAsia="Arial" w:hAnsi="Arial"/>
          <w:sz w:val="22"/>
          <w:szCs w:val="22"/>
          <w:color w:val="auto"/>
        </w:rPr>
        <w:t>AbbVie shall have the sole right, but not the obligation, to defend and control the defense of the validity and enforceability of the AbbVie Background Patents and AbbVie Program Patents at its own expense in the Territory.</w:t>
      </w:r>
    </w:p>
    <w:p>
      <w:pPr>
        <w:spacing w:after="0" w:line="78" w:lineRule="exact"/>
        <w:rPr>
          <w:rFonts w:ascii="Arial" w:cs="Arial" w:eastAsia="Arial" w:hAnsi="Arial"/>
          <w:sz w:val="22"/>
          <w:szCs w:val="22"/>
          <w:color w:val="auto"/>
        </w:rPr>
      </w:pPr>
    </w:p>
    <w:p>
      <w:pPr>
        <w:jc w:val="both"/>
        <w:ind w:firstLine="3519"/>
        <w:spacing w:after="0" w:line="235" w:lineRule="auto"/>
        <w:tabs>
          <w:tab w:leader="none" w:pos="4412"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AbbVie shall have the first right, but not the obligation, to defend and control the defense of the validity and enforceability of the Joint Program Patents at its own expense in the Territory. Licensor may participate in any such claim, suit, or proceeding in the Territory related to the Joint Program Patents with counsel of its choice at its own expense;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AbbVie shall retain control of the defense in such claim, suit, or proceeding. If AbbVie elects not to defend or control the defense of the Joint Program Patents in a suit brought in the Territory, or otherwise fails to initiate and maintain the defense of any such claim, suit, or</w:t>
      </w:r>
    </w:p>
    <w:p>
      <w:pPr>
        <w:spacing w:after="0" w:line="161" w:lineRule="exact"/>
        <w:rPr>
          <w:rFonts w:ascii="Arial" w:cs="Arial" w:eastAsia="Arial" w:hAnsi="Arial"/>
          <w:sz w:val="22"/>
          <w:szCs w:val="22"/>
          <w:color w:val="auto"/>
        </w:rPr>
      </w:pPr>
    </w:p>
    <w:p>
      <w:pPr>
        <w:ind w:left="1020" w:hanging="135"/>
        <w:spacing w:after="0"/>
        <w:tabs>
          <w:tab w:leader="none" w:pos="10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28" w:name="page129"/>
    <w:bookmarkEnd w:id="128"/>
    <w:p>
      <w:pPr>
        <w:jc w:val="both"/>
        <w:spacing w:after="0" w:line="274" w:lineRule="auto"/>
        <w:rPr>
          <w:sz w:val="20"/>
          <w:szCs w:val="20"/>
          <w:color w:val="auto"/>
        </w:rPr>
      </w:pPr>
      <w:r>
        <w:rPr>
          <w:rFonts w:ascii="Arial" w:cs="Arial" w:eastAsia="Arial" w:hAnsi="Arial"/>
          <w:sz w:val="21"/>
          <w:szCs w:val="21"/>
          <w:color w:val="auto"/>
        </w:rPr>
        <w:t xml:space="preserve">proceeding, then Licensor may conduct and control the defense of any such claim, suit, or proceeding, at its own expense; </w:t>
      </w:r>
      <w:r>
        <w:rPr>
          <w:rFonts w:ascii="Arial" w:cs="Arial" w:eastAsia="Arial" w:hAnsi="Arial"/>
          <w:sz w:val="21"/>
          <w:szCs w:val="21"/>
          <w:i w:val="1"/>
          <w:iCs w:val="1"/>
          <w:color w:val="auto"/>
        </w:rPr>
        <w:t>provided</w:t>
      </w:r>
      <w:r>
        <w:rPr>
          <w:rFonts w:ascii="Arial" w:cs="Arial" w:eastAsia="Arial" w:hAnsi="Arial"/>
          <w:sz w:val="21"/>
          <w:szCs w:val="21"/>
          <w:color w:val="auto"/>
        </w:rPr>
        <w:t>, that Licensor shall obtain the written consent of AbbVie prior to settling or compromising such defense.</w:t>
      </w:r>
    </w:p>
    <w:p>
      <w:pPr>
        <w:spacing w:after="0" w:line="37" w:lineRule="exact"/>
        <w:rPr>
          <w:sz w:val="20"/>
          <w:szCs w:val="20"/>
          <w:color w:val="auto"/>
        </w:rPr>
      </w:pPr>
    </w:p>
    <w:p>
      <w:pPr>
        <w:jc w:val="both"/>
        <w:ind w:firstLine="2634"/>
        <w:spacing w:after="0" w:line="276" w:lineRule="auto"/>
        <w:rPr>
          <w:sz w:val="20"/>
          <w:szCs w:val="20"/>
          <w:color w:val="auto"/>
        </w:rPr>
      </w:pPr>
      <w:r>
        <w:rPr>
          <w:rFonts w:ascii="Arial" w:cs="Arial" w:eastAsia="Arial" w:hAnsi="Arial"/>
          <w:sz w:val="19"/>
          <w:szCs w:val="19"/>
          <w:b w:val="1"/>
          <w:bCs w:val="1"/>
          <w:color w:val="auto"/>
        </w:rPr>
        <w:t xml:space="preserve">8.5.5 Cooperation. </w:t>
      </w:r>
      <w:r>
        <w:rPr>
          <w:rFonts w:ascii="Arial" w:cs="Arial" w:eastAsia="Arial" w:hAnsi="Arial"/>
          <w:sz w:val="19"/>
          <w:szCs w:val="19"/>
          <w:color w:val="auto"/>
        </w:rPr>
        <w:t>Each Party shall assist and cooperate with the other Party as such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Party may reasonably request from time to time in connection with its activities set forth in this </w:t>
      </w:r>
      <w:r>
        <w:rPr>
          <w:rFonts w:ascii="Arial" w:cs="Arial" w:eastAsia="Arial" w:hAnsi="Arial"/>
          <w:sz w:val="19"/>
          <w:szCs w:val="19"/>
          <w:u w:val="single" w:color="auto"/>
          <w:color w:val="auto"/>
        </w:rPr>
        <w:t>Section 8.5</w:t>
      </w:r>
      <w:r>
        <w:rPr>
          <w:rFonts w:ascii="Arial" w:cs="Arial" w:eastAsia="Arial" w:hAnsi="Arial"/>
          <w:sz w:val="19"/>
          <w:szCs w:val="19"/>
          <w:color w:val="auto"/>
        </w:rPr>
        <w:t xml:space="preserve">, including by being joined as a party plaintiff in such action or proceeding, providing access to relevant documents and other evidence, and making its employees available at reasonable business hours. In connection with any such defense or claim or counterclaim, the controlling Party shall consider in good faith any comments from the other Party and shall keep the other Party reasonably informed of any steps taken, and shall provide copies of all documents filed, in connection with such defense, claim, or counterclaim. In connection with the activities set forth in this </w:t>
      </w:r>
      <w:r>
        <w:rPr>
          <w:rFonts w:ascii="Arial" w:cs="Arial" w:eastAsia="Arial" w:hAnsi="Arial"/>
          <w:sz w:val="19"/>
          <w:szCs w:val="19"/>
          <w:u w:val="single" w:color="auto"/>
          <w:color w:val="auto"/>
        </w:rPr>
        <w:t>Section 8.5</w:t>
      </w:r>
      <w:r>
        <w:rPr>
          <w:rFonts w:ascii="Arial" w:cs="Arial" w:eastAsia="Arial" w:hAnsi="Arial"/>
          <w:sz w:val="19"/>
          <w:szCs w:val="19"/>
          <w:color w:val="auto"/>
        </w:rPr>
        <w:t>, each Party shall consult with the other as to the strategy for the defense of the Licensor Program Patents, AbbVie Program Patents and Joint Program Patents.</w:t>
      </w:r>
    </w:p>
    <w:p>
      <w:pPr>
        <w:spacing w:after="0" w:line="43"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8.5.6 Costs and Expenses. </w:t>
      </w:r>
      <w:r>
        <w:rPr>
          <w:rFonts w:ascii="Arial" w:cs="Arial" w:eastAsia="Arial" w:hAnsi="Arial"/>
          <w:sz w:val="22"/>
          <w:szCs w:val="22"/>
          <w:color w:val="auto"/>
        </w:rPr>
        <w:t>AbbVie shall be entitled to offset up to [***] of the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out-of-pocket costs of defending such claim, suit, or proceeding under this </w:t>
      </w:r>
      <w:r>
        <w:rPr>
          <w:rFonts w:ascii="Arial" w:cs="Arial" w:eastAsia="Arial" w:hAnsi="Arial"/>
          <w:sz w:val="22"/>
          <w:szCs w:val="22"/>
          <w:u w:val="single" w:color="auto"/>
          <w:color w:val="auto"/>
        </w:rPr>
        <w:t>Section 8.5</w:t>
      </w:r>
      <w:r>
        <w:rPr>
          <w:rFonts w:ascii="Arial" w:cs="Arial" w:eastAsia="Arial" w:hAnsi="Arial"/>
          <w:sz w:val="22"/>
          <w:szCs w:val="22"/>
          <w:color w:val="auto"/>
        </w:rPr>
        <w:t xml:space="preserve"> that are borne by AbbVie in a given Calendar Quarter against any amounts owed to Licensor under this Agreement for such Calendar Quarter, with any balance then remaining to be carried over to amounts due with respect to such subsequent Calendar Quarters.</w:t>
      </w:r>
    </w:p>
    <w:p>
      <w:pPr>
        <w:spacing w:after="0" w:line="73"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b w:val="1"/>
          <w:bCs w:val="1"/>
          <w:color w:val="auto"/>
        </w:rPr>
        <w:t xml:space="preserve">8.6 Third Party Licenses. </w:t>
      </w:r>
      <w:r>
        <w:rPr>
          <w:rFonts w:ascii="Arial" w:cs="Arial" w:eastAsia="Arial" w:hAnsi="Arial"/>
          <w:sz w:val="19"/>
          <w:szCs w:val="19"/>
          <w:color w:val="auto"/>
        </w:rPr>
        <w:t>If in the reasonable opinion of AbbVie, the Development, Manufacture,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Commercialization of any AbbVie Probody, Discovery PDC or Licensed Product by AbbVie, any of its Affiliates, or any of its or their Sublicensees infringes or misappropriates any Patent, trade secret, or other intellectual property right of a Third Party in any country or other jurisdiction in the Territory, such that AbbVie, any of its Affiliates or any of its or their Sublicensees cannot Develop, Manufacture, or Commercialize such AbbVie Probody, Discovery PDC or Licensed Product in such country or other jurisdiction without infringing such Patent, trade secret, or other intellectual property right of such Third Party, then AbbVie shall provide notice of such potential infringement or misappropriation, and the Parties shall agree to meet within [***] after such notice to determine whether a license to such Third Party intellectual property is necessary, and, if the Parties agree a license is necessary, which Party should obtain a license to such Third Party intellectual property; provided, however that if the Parties cannot agree as to either the necessity of such a license or as to which Party should seek such license in such meeting, then (a) if such Patent, trade secret or other intellectual property right covers or is necessary to Exploit other Probodies in addition to Discovery Probodies, then Licensor shall have the right for a period of [***] following the date of such meeting between the Parties to negotiate a license for such intellectual property, which license shall include the right of Licensor to sublicense such intellectual property to AbbVie; provided if Licensor is not able to obtain such license within such [***] period, then AbbVie shall have the sole right to obtain such license to Develop, Manufacture, and Commercialize AbbVie Probodies, Discovery PDCs and Licensed Products; and (b) otherwise, AbbVie shall have the sole right, but not the obligation, to negotiate and obtain a license from such Third Party as necessary for AbbVie and its Affiliates, and its and their Sublicensees to Develop, Manufacture, and Commercialize AbbVie Probodies, Discovery PDCs and Licensed Products in such country or other jurisdiction, and in each case any amounts due under such Third Party license shall be allocated in accordance with </w:t>
      </w:r>
      <w:r>
        <w:rPr>
          <w:rFonts w:ascii="Arial" w:cs="Arial" w:eastAsia="Arial" w:hAnsi="Arial"/>
          <w:sz w:val="19"/>
          <w:szCs w:val="19"/>
          <w:u w:val="single" w:color="auto"/>
          <w:color w:val="auto"/>
        </w:rPr>
        <w:t>Section 7.6.3(b)</w:t>
      </w:r>
      <w:r>
        <w:rPr>
          <w:rFonts w:ascii="Arial" w:cs="Arial" w:eastAsia="Arial" w:hAnsi="Arial"/>
          <w:sz w:val="19"/>
          <w:szCs w:val="19"/>
          <w:color w:val="auto"/>
        </w:rPr>
        <w:t>.</w:t>
      </w:r>
    </w:p>
    <w:p>
      <w:pPr>
        <w:spacing w:after="0" w:line="39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29" w:name="page130"/>
    <w:bookmarkEnd w:id="129"/>
    <w:p>
      <w:pPr>
        <w:ind w:left="1760"/>
        <w:spacing w:after="0"/>
        <w:tabs>
          <w:tab w:leader="none" w:pos="266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9"/>
          <w:szCs w:val="19"/>
          <w:b w:val="1"/>
          <w:bCs w:val="1"/>
          <w:color w:val="auto"/>
        </w:rPr>
        <w:t>Product Trademarks.</w:t>
      </w:r>
    </w:p>
    <w:p>
      <w:pPr>
        <w:spacing w:after="0" w:line="98"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8.7.1 Ownership and Prosecution of Product Trademarks. </w:t>
      </w:r>
      <w:r>
        <w:rPr>
          <w:rFonts w:ascii="Arial" w:cs="Arial" w:eastAsia="Arial" w:hAnsi="Arial"/>
          <w:sz w:val="22"/>
          <w:szCs w:val="22"/>
          <w:color w:val="auto"/>
        </w:rPr>
        <w:t>AbbVie shall own all right,</w:t>
      </w:r>
      <w:r>
        <w:rPr>
          <w:rFonts w:ascii="Arial" w:cs="Arial" w:eastAsia="Arial" w:hAnsi="Arial"/>
          <w:sz w:val="22"/>
          <w:szCs w:val="22"/>
          <w:b w:val="1"/>
          <w:bCs w:val="1"/>
          <w:color w:val="auto"/>
        </w:rPr>
        <w:t xml:space="preserve"> </w:t>
      </w:r>
      <w:r>
        <w:rPr>
          <w:rFonts w:ascii="Arial" w:cs="Arial" w:eastAsia="Arial" w:hAnsi="Arial"/>
          <w:sz w:val="22"/>
          <w:szCs w:val="22"/>
          <w:color w:val="auto"/>
        </w:rPr>
        <w:t>title, and interest to the Product Trademarks in the Territory, and shall be responsible for the registration, prosecution, and maintenance thereof. All costs and expenses of registering, prosecuting, and maintaining the Product Trademarks shall be borne solely by AbbVie. Licensor shall provide all assistance and documents reasonably requested by AbbVie in support of its prosecution, registration, and maintenance of the Product Trademarks.</w:t>
      </w:r>
    </w:p>
    <w:p>
      <w:pPr>
        <w:spacing w:after="0" w:line="74"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b w:val="1"/>
          <w:bCs w:val="1"/>
          <w:color w:val="auto"/>
        </w:rPr>
        <w:t xml:space="preserve">8.7.2 Enforcement of Product Trademarks. </w:t>
      </w:r>
      <w:r>
        <w:rPr>
          <w:rFonts w:ascii="Arial" w:cs="Arial" w:eastAsia="Arial" w:hAnsi="Arial"/>
          <w:sz w:val="21"/>
          <w:szCs w:val="21"/>
          <w:color w:val="auto"/>
        </w:rPr>
        <w:t>AbbVie shall have the sole right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responsibility for taking such action as AbbVie, after consultation with Licensor, deems necessary against a Third Party based on any alleged, threatened, or actual infringement, dilution, misappropriation, or other violation of, or unfair trade practices or any other like offense relating to, the Product Trademarks by a Third Party in the Territory. AbbVie shall bear the costs and expenses relating to any enforcement action commenced pursuant to this </w:t>
      </w:r>
      <w:r>
        <w:rPr>
          <w:rFonts w:ascii="Arial" w:cs="Arial" w:eastAsia="Arial" w:hAnsi="Arial"/>
          <w:sz w:val="21"/>
          <w:szCs w:val="21"/>
          <w:u w:val="single" w:color="auto"/>
          <w:color w:val="auto"/>
        </w:rPr>
        <w:t>Section 8.7.2</w:t>
      </w:r>
      <w:r>
        <w:rPr>
          <w:rFonts w:ascii="Arial" w:cs="Arial" w:eastAsia="Arial" w:hAnsi="Arial"/>
          <w:sz w:val="21"/>
          <w:szCs w:val="21"/>
          <w:color w:val="auto"/>
        </w:rPr>
        <w:t xml:space="preserve"> and any settlements and judgments with respect thereto, and shall retain any damages or other amounts collected in connection therewith.</w:t>
      </w:r>
    </w:p>
    <w:p>
      <w:pPr>
        <w:spacing w:after="0" w:line="63" w:lineRule="exact"/>
        <w:rPr>
          <w:sz w:val="20"/>
          <w:szCs w:val="20"/>
          <w:color w:val="auto"/>
        </w:rPr>
      </w:pPr>
    </w:p>
    <w:p>
      <w:pPr>
        <w:jc w:val="both"/>
        <w:ind w:firstLine="2634"/>
        <w:spacing w:after="0" w:line="248" w:lineRule="auto"/>
        <w:rPr>
          <w:sz w:val="20"/>
          <w:szCs w:val="20"/>
          <w:color w:val="auto"/>
        </w:rPr>
      </w:pPr>
      <w:r>
        <w:rPr>
          <w:rFonts w:ascii="Arial" w:cs="Arial" w:eastAsia="Arial" w:hAnsi="Arial"/>
          <w:sz w:val="21"/>
          <w:szCs w:val="21"/>
          <w:b w:val="1"/>
          <w:bCs w:val="1"/>
          <w:color w:val="auto"/>
        </w:rPr>
        <w:t>8.7.3 Third Party Claims</w:t>
      </w:r>
      <w:r>
        <w:rPr>
          <w:rFonts w:ascii="Arial" w:cs="Arial" w:eastAsia="Arial" w:hAnsi="Arial"/>
          <w:sz w:val="21"/>
          <w:szCs w:val="21"/>
          <w:color w:val="auto"/>
        </w:rPr>
        <w:t>. AbbVie shall have the sole right and responsibility for defending</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against any alleged, threatened, or actual claim by a Third Party that the use or registration of the Product Trademarks in the Territory infringes, dilutes, misappropriates, or otherwise violates any Trademark or other right of that Third Party or constitutes unfair trade practices or any other like offense, or any other claims as may be brought by a Third Party against a Party in connection with the use of the Product Trademarks with respect to a Licensed Product in the Territory. AbbVie shall bear the costs and expenses relating to any defense commenced pursuant to this </w:t>
      </w:r>
      <w:r>
        <w:rPr>
          <w:rFonts w:ascii="Arial" w:cs="Arial" w:eastAsia="Arial" w:hAnsi="Arial"/>
          <w:sz w:val="21"/>
          <w:szCs w:val="21"/>
          <w:u w:val="single" w:color="auto"/>
          <w:color w:val="auto"/>
        </w:rPr>
        <w:t>Section 8.7.3</w:t>
      </w:r>
      <w:r>
        <w:rPr>
          <w:rFonts w:ascii="Arial" w:cs="Arial" w:eastAsia="Arial" w:hAnsi="Arial"/>
          <w:sz w:val="21"/>
          <w:szCs w:val="21"/>
          <w:color w:val="auto"/>
        </w:rPr>
        <w:t xml:space="preserve"> and any settlements and judgments with respect thereto, and shall retain any damages or other amounts collected in connection therewith.</w:t>
      </w:r>
    </w:p>
    <w:p>
      <w:pPr>
        <w:spacing w:after="0" w:line="63" w:lineRule="exact"/>
        <w:rPr>
          <w:sz w:val="20"/>
          <w:szCs w:val="20"/>
          <w:color w:val="auto"/>
        </w:rPr>
      </w:pPr>
    </w:p>
    <w:p>
      <w:pPr>
        <w:jc w:val="both"/>
        <w:ind w:firstLine="2634"/>
        <w:spacing w:after="0" w:line="289" w:lineRule="auto"/>
        <w:rPr>
          <w:sz w:val="20"/>
          <w:szCs w:val="20"/>
          <w:color w:val="auto"/>
        </w:rPr>
      </w:pPr>
      <w:r>
        <w:rPr>
          <w:rFonts w:ascii="Arial" w:cs="Arial" w:eastAsia="Arial" w:hAnsi="Arial"/>
          <w:sz w:val="19"/>
          <w:szCs w:val="19"/>
          <w:b w:val="1"/>
          <w:bCs w:val="1"/>
          <w:color w:val="auto"/>
        </w:rPr>
        <w:t>8.7.4 Notice and Cooperation</w:t>
      </w:r>
      <w:r>
        <w:rPr>
          <w:rFonts w:ascii="Arial" w:cs="Arial" w:eastAsia="Arial" w:hAnsi="Arial"/>
          <w:sz w:val="19"/>
          <w:szCs w:val="19"/>
          <w:color w:val="auto"/>
        </w:rPr>
        <w:t>. Each Party shall provide to the other Party prompt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notice of any actual or threatened infringement of the Product Trademarks in the Territory and of any actual or threatened claim that the use of the Product Trademarks in the Territory violates the rights of any Third Party. Each Party agrees to cooperate fully with the other Party with respect to any enforcement action or defense commenced pursuant to this </w:t>
      </w:r>
      <w:r>
        <w:rPr>
          <w:rFonts w:ascii="Arial" w:cs="Arial" w:eastAsia="Arial" w:hAnsi="Arial"/>
          <w:sz w:val="19"/>
          <w:szCs w:val="19"/>
          <w:u w:val="single" w:color="auto"/>
          <w:color w:val="auto"/>
        </w:rPr>
        <w:t>Section 8.7</w:t>
      </w:r>
      <w:r>
        <w:rPr>
          <w:rFonts w:ascii="Arial" w:cs="Arial" w:eastAsia="Arial" w:hAnsi="Arial"/>
          <w:sz w:val="19"/>
          <w:szCs w:val="19"/>
          <w:color w:val="auto"/>
        </w:rPr>
        <w:t>.</w:t>
      </w:r>
    </w:p>
    <w:p>
      <w:pPr>
        <w:spacing w:after="0" w:line="28"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8.8 Inventor's Remuneration</w:t>
      </w:r>
      <w:r>
        <w:rPr>
          <w:rFonts w:ascii="Arial" w:cs="Arial" w:eastAsia="Arial" w:hAnsi="Arial"/>
          <w:sz w:val="22"/>
          <w:szCs w:val="22"/>
          <w:color w:val="auto"/>
        </w:rPr>
        <w:t>. Each Party shall be solely responsible for any remuneration that may</w:t>
      </w:r>
      <w:r>
        <w:rPr>
          <w:rFonts w:ascii="Arial" w:cs="Arial" w:eastAsia="Arial" w:hAnsi="Arial"/>
          <w:sz w:val="22"/>
          <w:szCs w:val="22"/>
          <w:b w:val="1"/>
          <w:bCs w:val="1"/>
          <w:color w:val="auto"/>
        </w:rPr>
        <w:t xml:space="preserve"> </w:t>
      </w:r>
      <w:r>
        <w:rPr>
          <w:rFonts w:ascii="Arial" w:cs="Arial" w:eastAsia="Arial" w:hAnsi="Arial"/>
          <w:sz w:val="22"/>
          <w:szCs w:val="22"/>
          <w:color w:val="auto"/>
        </w:rPr>
        <w:t>be due such Party's inventors under any applicable inventor remuneration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PHARMACOVIGILANCE AND SAFETY</w:t>
      </w:r>
    </w:p>
    <w:p>
      <w:pPr>
        <w:spacing w:after="0" w:line="182" w:lineRule="exact"/>
        <w:rPr>
          <w:sz w:val="20"/>
          <w:szCs w:val="20"/>
          <w:color w:val="auto"/>
        </w:rPr>
      </w:pPr>
    </w:p>
    <w:p>
      <w:pPr>
        <w:jc w:val="both"/>
        <w:ind w:firstLine="1755"/>
        <w:spacing w:after="0" w:line="251" w:lineRule="auto"/>
        <w:rPr>
          <w:sz w:val="20"/>
          <w:szCs w:val="20"/>
          <w:color w:val="auto"/>
        </w:rPr>
      </w:pPr>
      <w:r>
        <w:rPr>
          <w:rFonts w:ascii="Arial" w:cs="Arial" w:eastAsia="Arial" w:hAnsi="Arial"/>
          <w:sz w:val="21"/>
          <w:szCs w:val="21"/>
          <w:b w:val="1"/>
          <w:bCs w:val="1"/>
          <w:color w:val="auto"/>
        </w:rPr>
        <w:t xml:space="preserve">9.1 Pharmacovigilance. </w:t>
      </w:r>
      <w:r>
        <w:rPr>
          <w:rFonts w:ascii="Arial" w:cs="Arial" w:eastAsia="Arial" w:hAnsi="Arial"/>
          <w:sz w:val="21"/>
          <w:szCs w:val="21"/>
          <w:color w:val="auto"/>
        </w:rPr>
        <w:t>On an Accepted Target-by-Accepted Target basis, no later than the filing of an</w:t>
      </w:r>
      <w:r>
        <w:rPr>
          <w:rFonts w:ascii="Arial" w:cs="Arial" w:eastAsia="Arial" w:hAnsi="Arial"/>
          <w:sz w:val="21"/>
          <w:szCs w:val="21"/>
          <w:b w:val="1"/>
          <w:bCs w:val="1"/>
          <w:color w:val="auto"/>
        </w:rPr>
        <w:t xml:space="preserve"> </w:t>
      </w:r>
      <w:r>
        <w:rPr>
          <w:rFonts w:ascii="Arial" w:cs="Arial" w:eastAsia="Arial" w:hAnsi="Arial"/>
          <w:sz w:val="21"/>
          <w:szCs w:val="21"/>
          <w:color w:val="auto"/>
        </w:rPr>
        <w:t>IND for an AbbVie Probody, Discovery PDC or Licensed Product, the Parties shall, unless otherwise agreed, enter into an agreement to initiate a process for the exchange of safety data (including post-marketing spontaneous reports received by each Party and its Affiliates) in a mutually agreed format in order to monitor the safety of the AbbVie Probodies, Discovery PDCs or Licensed Products and to meet reporting requirements with any applicable Regulatory Authority.</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30" w:name="page131"/>
    <w:bookmarkEnd w:id="130"/>
    <w:p>
      <w:pPr>
        <w:jc w:val="both"/>
        <w:ind w:firstLine="1755"/>
        <w:spacing w:after="0" w:line="248" w:lineRule="auto"/>
        <w:rPr>
          <w:sz w:val="20"/>
          <w:szCs w:val="20"/>
          <w:color w:val="auto"/>
        </w:rPr>
      </w:pPr>
      <w:r>
        <w:rPr>
          <w:rFonts w:ascii="Arial" w:cs="Arial" w:eastAsia="Arial" w:hAnsi="Arial"/>
          <w:sz w:val="21"/>
          <w:szCs w:val="21"/>
          <w:b w:val="1"/>
          <w:bCs w:val="1"/>
          <w:color w:val="auto"/>
        </w:rPr>
        <w:t xml:space="preserve">9.2 Global Safety Database. </w:t>
      </w:r>
      <w:r>
        <w:rPr>
          <w:rFonts w:ascii="Arial" w:cs="Arial" w:eastAsia="Arial" w:hAnsi="Arial"/>
          <w:sz w:val="21"/>
          <w:szCs w:val="21"/>
          <w:color w:val="auto"/>
        </w:rPr>
        <w:t>On an Accepted Target-by-Accepted Target basis, no later than the filing</w:t>
      </w:r>
      <w:r>
        <w:rPr>
          <w:rFonts w:ascii="Arial" w:cs="Arial" w:eastAsia="Arial" w:hAnsi="Arial"/>
          <w:sz w:val="21"/>
          <w:szCs w:val="21"/>
          <w:b w:val="1"/>
          <w:bCs w:val="1"/>
          <w:color w:val="auto"/>
        </w:rPr>
        <w:t xml:space="preserve"> </w:t>
      </w:r>
      <w:r>
        <w:rPr>
          <w:rFonts w:ascii="Arial" w:cs="Arial" w:eastAsia="Arial" w:hAnsi="Arial"/>
          <w:sz w:val="21"/>
          <w:szCs w:val="21"/>
          <w:color w:val="auto"/>
        </w:rPr>
        <w:t>of an IND for an AbbVie Probody, Discovery PDC or Licensed Product, AbbVie shall set up, hold, and maintain (at AbbVie’s sole cost and expense) the global safety database for AbbVie Probodies, Discovery PDCs or Licensed Products. Licensor shall provide AbbVie with all information necessary or desirable for AbbVie to comply with its pharmacovigilance responsibilities in the Territory, including, as applicable, any adverse drug experiences, from pre-clinical or clinical laboratory, animal toxicology and pharmacology studies, Clinical Studies, and commercial experiences with an AbbVie Probody, Discovery PDC or Licensed Product, in each case in the form reasonably requested by AbbVie.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NON-DISCLOSURE</w:t>
      </w:r>
    </w:p>
    <w:p>
      <w:pPr>
        <w:spacing w:after="0" w:line="182" w:lineRule="exact"/>
        <w:rPr>
          <w:sz w:val="20"/>
          <w:szCs w:val="20"/>
          <w:color w:val="auto"/>
        </w:rPr>
      </w:pPr>
    </w:p>
    <w:p>
      <w:pPr>
        <w:jc w:val="both"/>
        <w:ind w:firstLine="1755"/>
        <w:spacing w:after="0" w:line="270" w:lineRule="auto"/>
        <w:rPr>
          <w:sz w:val="20"/>
          <w:szCs w:val="20"/>
          <w:color w:val="auto"/>
        </w:rPr>
      </w:pPr>
      <w:r>
        <w:rPr>
          <w:rFonts w:ascii="Arial" w:cs="Arial" w:eastAsia="Arial" w:hAnsi="Arial"/>
          <w:sz w:val="19"/>
          <w:szCs w:val="19"/>
          <w:b w:val="1"/>
          <w:bCs w:val="1"/>
          <w:color w:val="auto"/>
        </w:rPr>
        <w:t xml:space="preserve">10.1 Product Information. </w:t>
      </w:r>
      <w:r>
        <w:rPr>
          <w:rFonts w:ascii="Arial" w:cs="Arial" w:eastAsia="Arial" w:hAnsi="Arial"/>
          <w:sz w:val="19"/>
          <w:szCs w:val="19"/>
          <w:color w:val="auto"/>
        </w:rPr>
        <w:t>Licensor recognizes that by reason of, inter alia, AbbVie’s status as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exclusive licensee pursuant to the grants under </w:t>
      </w:r>
      <w:r>
        <w:rPr>
          <w:rFonts w:ascii="Arial" w:cs="Arial" w:eastAsia="Arial" w:hAnsi="Arial"/>
          <w:sz w:val="19"/>
          <w:szCs w:val="19"/>
          <w:u w:val="single" w:color="auto"/>
          <w:color w:val="auto"/>
        </w:rPr>
        <w:t>Section 6.1</w:t>
      </w:r>
      <w:r>
        <w:rPr>
          <w:rFonts w:ascii="Arial" w:cs="Arial" w:eastAsia="Arial" w:hAnsi="Arial"/>
          <w:sz w:val="19"/>
          <w:szCs w:val="19"/>
          <w:color w:val="auto"/>
        </w:rPr>
        <w:t>, AbbVie has an interest in Licensor’s maintaining the confidentiality of certain information of Licensor. Accordingly, on an Accepted Target-by-Accepted Target basis, from the applicable Target Acceptance Date and for the remainder of the Term, Licensor shall, and shall cause its Affiliates and its and their respective officers, directors, employees, and agents to, keep completely confidential, and not publish or otherwise disclose, and not use directly or indirectly for any purpose other than to fulfill Licensor’s obligations hereunder any Information owned or Controlled by Licensor or any of its Affiliates solely relating to any AbbVie Probody, Discovery PDC or Licensed Product, or the Exploitation of any of the foregoing (the “</w:t>
      </w:r>
      <w:r>
        <w:rPr>
          <w:rFonts w:ascii="Arial" w:cs="Arial" w:eastAsia="Arial" w:hAnsi="Arial"/>
          <w:sz w:val="19"/>
          <w:szCs w:val="19"/>
          <w:b w:val="1"/>
          <w:bCs w:val="1"/>
          <w:color w:val="auto"/>
        </w:rPr>
        <w:t>Product Information</w:t>
      </w:r>
      <w:r>
        <w:rPr>
          <w:rFonts w:ascii="Arial" w:cs="Arial" w:eastAsia="Arial" w:hAnsi="Arial"/>
          <w:sz w:val="19"/>
          <w:szCs w:val="19"/>
          <w:color w:val="auto"/>
        </w:rPr>
        <w:t xml:space="preserve">”); except to the extent (a) the Product Information is in the public domain through no fault of Licensor, its Affiliates or any of its or their respective officers, directors, employees, or agents; (b) such disclosure or use is expressly permitted under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(c) such disclosure or use is otherwise expressly permitted by the terms of this Agreement, or (d) such disclosure or use is reasonably necessary for Licensor to perform its obligations or exercise its rights under this Agreement and is subject to confidentiality and non-use provisions consistent with those contained in this Agreement. For purposes of clarity, Licensor may use general learnings that are broadly applicable to the Licensor Platform for its products, including Probodies, other than Discovery Probodies and Discovery PDCs to the extent reasonably necessary to Develop, Manufacture or Exploit such products, and, in connection with such activities may disclose such general learnings to outside consultants, contractors, advisory boards, managed care organizations, and non-clinical and clinical investigators, under reasonable obligations of confidentiality; provided that such general learnings expressly exclude Product Information, any results or data generated in connection with Development Activities and the Confidential Information of AbbVie. For purposes of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AbbVie shall be deemed to be the disclosing Party with respect to Product Information under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and Licensor shall be deemed to be the receiving Party with respect thereto. For further clarification, (i) without limiting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to the extent Product Information is disclosed by Licensor to AbbVie pursuant to this Agreement, such information shall, subject to the other terms and conditions of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also constitute Confidential Information of Licensor with respect to the use and disclosure of such Information by AbbVie, but (ii) the disclosure by Licensor to AbbVie of Product Information shall not cause such information to cease to be subject to the provisions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with respect to the use and disclosure of such</w:t>
      </w:r>
    </w:p>
    <w:p>
      <w:pPr>
        <w:spacing w:after="0" w:line="37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31" w:name="page132"/>
    <w:bookmarkEnd w:id="131"/>
    <w:p>
      <w:pPr>
        <w:jc w:val="both"/>
        <w:spacing w:after="0" w:line="279" w:lineRule="auto"/>
        <w:rPr>
          <w:sz w:val="20"/>
          <w:szCs w:val="20"/>
          <w:color w:val="auto"/>
        </w:rPr>
      </w:pPr>
      <w:r>
        <w:rPr>
          <w:rFonts w:ascii="Arial" w:cs="Arial" w:eastAsia="Arial" w:hAnsi="Arial"/>
          <w:sz w:val="19"/>
          <w:szCs w:val="19"/>
          <w:color w:val="auto"/>
        </w:rPr>
        <w:t xml:space="preserve">Confidential Information by Licensor. In the event this Agreement is terminated in its entirety or with respect to the Terminated Territory or Terminated Target,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shall have no continuing force or effect with respect to the use or disclosure of such information solely in connection with the Exploitation of the AbbVie Probody, Discovery PDC or Licensed Product for the benefit of the Terminated Territory or Terminated Target, as applicable, but the Product Information, to the extent Controlled and disclosed by AbbVie to Licensor hereunder, shall continue to be Confidential Information of AbbVie, subject to the terms of </w:t>
      </w:r>
      <w:r>
        <w:rPr>
          <w:rFonts w:ascii="Arial" w:cs="Arial" w:eastAsia="Arial" w:hAnsi="Arial"/>
          <w:sz w:val="19"/>
          <w:szCs w:val="19"/>
          <w:u w:val="single" w:color="auto"/>
          <w:color w:val="auto"/>
        </w:rPr>
        <w:t>Sections 10.2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for purposes of the surviving provisions of this Agreement.</w:t>
      </w:r>
    </w:p>
    <w:p>
      <w:pPr>
        <w:spacing w:after="0" w:line="37" w:lineRule="exact"/>
        <w:rPr>
          <w:sz w:val="20"/>
          <w:szCs w:val="20"/>
          <w:color w:val="auto"/>
        </w:rPr>
      </w:pPr>
    </w:p>
    <w:p>
      <w:pPr>
        <w:jc w:val="both"/>
        <w:ind w:firstLine="1755"/>
        <w:spacing w:after="0" w:line="269" w:lineRule="auto"/>
        <w:rPr>
          <w:sz w:val="20"/>
          <w:szCs w:val="20"/>
          <w:color w:val="auto"/>
        </w:rPr>
      </w:pPr>
      <w:r>
        <w:rPr>
          <w:rFonts w:ascii="Arial" w:cs="Arial" w:eastAsia="Arial" w:hAnsi="Arial"/>
          <w:sz w:val="19"/>
          <w:szCs w:val="19"/>
          <w:b w:val="1"/>
          <w:bCs w:val="1"/>
          <w:color w:val="auto"/>
        </w:rPr>
        <w:t xml:space="preserve">10.2 Confidentiality Obligations. </w:t>
      </w:r>
      <w:r>
        <w:rPr>
          <w:rFonts w:ascii="Arial" w:cs="Arial" w:eastAsia="Arial" w:hAnsi="Arial"/>
          <w:sz w:val="19"/>
          <w:szCs w:val="19"/>
          <w:color w:val="auto"/>
        </w:rPr>
        <w:t>At all times during the Term and for a period of [***]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termination or expiration hereof in its entirety, each Party shall, and shall cause its officers, directors, employees and agents to, keep confidential and not publish or otherwise disclose to a Third Party and not use, directly or indirectly, for any purpose, any Confidential Information furnished or otherwise made known to it, directly or indirectly, by the other Party, except to the extent such disclosure or use is expressly permitted by the terms of this Agreement or is reasonably necessary or useful for the performance of, or the exercise of such Party’s rights under, this Agreement. Notwithstanding the foregoing, the Parties acknowledge the practical difficulty of policing the use of information in the unaided memory of the receiving Party or its Affiliates and its and their officers, directors, employees, and agents, and as such each Party agrees that the receiving Party shall not be liable for the use by any of its or its Affiliates’ officers, directors, employees, or agents of specific Confidential Information of the disclosing Party that is retained in the unaided memory of such officer, director, employee or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officer, director, employee, or agent is not aware that such Confidential Information is the confidential information of the disclosing Party at the time of such use; (b) the foregoing is not intended to grant, and shall not be deemed to grant, the receiving Party, its Affiliates, or its officers, directors, employees, and agents (i) a right to disclose the disclosing Party’s Confidential Information, or</w:t>
      </w:r>
    </w:p>
    <w:p>
      <w:pPr>
        <w:spacing w:after="0" w:line="1" w:lineRule="exact"/>
        <w:rPr>
          <w:sz w:val="20"/>
          <w:szCs w:val="20"/>
          <w:color w:val="auto"/>
        </w:rPr>
      </w:pPr>
    </w:p>
    <w:p>
      <w:pPr>
        <w:jc w:val="both"/>
        <w:ind w:firstLine="8"/>
        <w:spacing w:after="0" w:line="280" w:lineRule="auto"/>
        <w:tabs>
          <w:tab w:leader="none" w:pos="328"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a license under any Patents or other intellectual property right of the disclosing Party; and (c) such officer, director, employee, or agent has not intentionally memorized such Confidential Information for use outside this Agreement. Notwithstanding the foregoing, to the extent the receiving Party can demonstrate by documentation or other competent proof, the confidentiality and non-use obligations under this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with respect to any Confidential Information shall not include any information that:</w:t>
      </w:r>
    </w:p>
    <w:p>
      <w:pPr>
        <w:spacing w:after="0" w:line="37"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10.2.1 </w:t>
      </w:r>
      <w:r>
        <w:rPr>
          <w:rFonts w:ascii="Arial" w:cs="Arial" w:eastAsia="Arial" w:hAnsi="Arial"/>
          <w:sz w:val="22"/>
          <w:szCs w:val="22"/>
          <w:color w:val="auto"/>
        </w:rPr>
        <w:t>has been published by a Third Party or otherwise is or hereafter becomes part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public domain by public use, publication, general knowledge or the like through no wrongful act, fault or negligence on the part of the receiving Party;</w:t>
      </w:r>
    </w:p>
    <w:p>
      <w:pPr>
        <w:spacing w:after="0" w:line="69"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10.2.2 </w:t>
      </w:r>
      <w:r>
        <w:rPr>
          <w:rFonts w:ascii="Arial" w:cs="Arial" w:eastAsia="Arial" w:hAnsi="Arial"/>
          <w:sz w:val="22"/>
          <w:szCs w:val="22"/>
          <w:color w:val="auto"/>
        </w:rPr>
        <w:t>have been in the receiving Party’s possession prior to disclosure by the disclosing Party</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any obligation of confidentiality with respect to such information;</w:t>
      </w:r>
    </w:p>
    <w:p>
      <w:pPr>
        <w:spacing w:after="0" w:line="55"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10.2.3 </w:t>
      </w:r>
      <w:r>
        <w:rPr>
          <w:rFonts w:ascii="Arial" w:cs="Arial" w:eastAsia="Arial" w:hAnsi="Arial"/>
          <w:sz w:val="22"/>
          <w:szCs w:val="22"/>
          <w:color w:val="auto"/>
        </w:rPr>
        <w:t>is subsequently received by the receiving Party from a Third Party without restriction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without breach of any agreement between such Third Party and the disclosing Party;</w:t>
      </w:r>
    </w:p>
    <w:p>
      <w:pPr>
        <w:spacing w:after="0" w:line="55"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10.2.4</w:t>
      </w:r>
      <w:r>
        <w:rPr>
          <w:sz w:val="20"/>
          <w:szCs w:val="20"/>
          <w:color w:val="auto"/>
        </w:rPr>
        <w:tab/>
      </w:r>
      <w:r>
        <w:rPr>
          <w:rFonts w:ascii="Arial" w:cs="Arial" w:eastAsia="Arial" w:hAnsi="Arial"/>
          <w:sz w:val="21"/>
          <w:szCs w:val="21"/>
          <w:color w:val="auto"/>
        </w:rPr>
        <w:t>that is generally made available to Third Parties by the Disclosing Party without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restriction on disclosure; or</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32" w:name="page133"/>
    <w:bookmarkEnd w:id="132"/>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10.2.5 </w:t>
      </w:r>
      <w:r>
        <w:rPr>
          <w:rFonts w:ascii="Arial" w:cs="Arial" w:eastAsia="Arial" w:hAnsi="Arial"/>
          <w:sz w:val="22"/>
          <w:szCs w:val="22"/>
          <w:color w:val="auto"/>
        </w:rPr>
        <w:t>have been independently developed by or for the receiving Party without reference to,</w:t>
      </w:r>
      <w:r>
        <w:rPr>
          <w:rFonts w:ascii="Arial" w:cs="Arial" w:eastAsia="Arial" w:hAnsi="Arial"/>
          <w:sz w:val="22"/>
          <w:szCs w:val="22"/>
          <w:b w:val="1"/>
          <w:bCs w:val="1"/>
          <w:color w:val="auto"/>
        </w:rPr>
        <w:t xml:space="preserve"> </w:t>
      </w:r>
      <w:r>
        <w:rPr>
          <w:rFonts w:ascii="Arial" w:cs="Arial" w:eastAsia="Arial" w:hAnsi="Arial"/>
          <w:sz w:val="22"/>
          <w:szCs w:val="22"/>
          <w:color w:val="auto"/>
        </w:rPr>
        <w:t>or use or disclosure of, the disclosing Party’s Confidential Information;</w:t>
      </w:r>
    </w:p>
    <w:p>
      <w:pPr>
        <w:spacing w:after="0" w:line="61" w:lineRule="exact"/>
        <w:rPr>
          <w:sz w:val="20"/>
          <w:szCs w:val="20"/>
          <w:color w:val="auto"/>
        </w:rPr>
      </w:pPr>
    </w:p>
    <w:p>
      <w:pPr>
        <w:jc w:val="both"/>
        <w:ind w:firstLine="877"/>
        <w:spacing w:after="0" w:line="235" w:lineRule="auto"/>
        <w:rPr>
          <w:sz w:val="20"/>
          <w:szCs w:val="20"/>
          <w:color w:val="auto"/>
        </w:rPr>
      </w:pPr>
      <w:r>
        <w:rPr>
          <w:rFonts w:ascii="Arial" w:cs="Arial" w:eastAsia="Arial" w:hAnsi="Arial"/>
          <w:sz w:val="22"/>
          <w:szCs w:val="22"/>
          <w:color w:val="auto"/>
        </w:rPr>
        <w:t>Specific aspects or details of Confidential Information shall not be deemed to be within the public domain or in the possession of the receiving Party merely because the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and its principles are in the public domain or in the possession of the receiving Party.</w:t>
      </w:r>
    </w:p>
    <w:p>
      <w:pPr>
        <w:spacing w:after="0" w:line="182"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 xml:space="preserve">Permitted Disclosures. </w:t>
      </w:r>
      <w:r>
        <w:rPr>
          <w:rFonts w:ascii="Arial" w:cs="Arial" w:eastAsia="Arial" w:hAnsi="Arial"/>
          <w:sz w:val="19"/>
          <w:szCs w:val="19"/>
          <w:color w:val="auto"/>
        </w:rPr>
        <w:t>Each Party may disclose Confidential Information to the extent that such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disclosure is:</w:t>
      </w:r>
    </w:p>
    <w:p>
      <w:pPr>
        <w:spacing w:after="0" w:line="74"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b w:val="1"/>
          <w:bCs w:val="1"/>
          <w:color w:val="auto"/>
        </w:rPr>
        <w:t xml:space="preserve">10.3.1 </w:t>
      </w:r>
      <w:r>
        <w:rPr>
          <w:rFonts w:ascii="Arial" w:cs="Arial" w:eastAsia="Arial" w:hAnsi="Arial"/>
          <w:sz w:val="21"/>
          <w:szCs w:val="21"/>
          <w:color w:val="auto"/>
        </w:rPr>
        <w:t>in the reasonable opinion of the receiving Party’s legal counsel, required to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disclosed pursuant to law, regulation or a valid order of a court of competent jurisdiction or other supra-national, federal, national, regional, state, provincial and local governmental body of competent jurisdiction, (including by reason of filing with securities regulators, but subject to </w:t>
      </w:r>
      <w:r>
        <w:rPr>
          <w:rFonts w:ascii="Arial" w:cs="Arial" w:eastAsia="Arial" w:hAnsi="Arial"/>
          <w:sz w:val="21"/>
          <w:szCs w:val="21"/>
          <w:u w:val="single" w:color="auto"/>
          <w:color w:val="auto"/>
        </w:rPr>
        <w:t>Section 10.4</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the receiving Party shall first have given prompt written notice (and to the extent possible, at least [***] notice) to the disclosing Party and given the disclosing Party a reasonable opportunity to take whatever action it deems necessary to protect its Confidential Information (for example, quash such order or to obtain a protective order requiring that the Confidential Information and documents that are the subject of such order be held in confidence by such court or governmental body or, if disclosed, be used only for the purposes for which the order was issued) and in any case the receiving Party shall use Commercially Reasonable Efforts to obtain confidential treatment of such Confidential Information. In the event that no protective order or other remedy is obtained, or the disclosing Party waives compliance with the terms of this Agreement, the receiving Party shall furnish only that portion of Confidential Information which the receiving Party is advised by counsel is legally required to be disclosed;</w:t>
      </w:r>
    </w:p>
    <w:p>
      <w:pPr>
        <w:spacing w:after="0" w:line="67"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10.3.2 </w:t>
      </w:r>
      <w:r>
        <w:rPr>
          <w:rFonts w:ascii="Arial" w:cs="Arial" w:eastAsia="Arial" w:hAnsi="Arial"/>
          <w:sz w:val="22"/>
          <w:szCs w:val="22"/>
          <w:color w:val="auto"/>
        </w:rPr>
        <w:t>made by or on behalf of the receiving Party to the Regulatory Authorities as required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connection with any filing, application or request for Regulatory Approval in accordance with the terms of this Agreement; </w:t>
      </w:r>
      <w:r>
        <w:rPr>
          <w:rFonts w:ascii="Arial" w:cs="Arial" w:eastAsia="Arial" w:hAnsi="Arial"/>
          <w:sz w:val="22"/>
          <w:szCs w:val="22"/>
          <w:i w:val="1"/>
          <w:iCs w:val="1"/>
          <w:color w:val="auto"/>
        </w:rPr>
        <w:t>provided</w:t>
      </w:r>
      <w:r>
        <w:rPr>
          <w:rFonts w:ascii="Arial" w:cs="Arial" w:eastAsia="Arial" w:hAnsi="Arial"/>
          <w:sz w:val="22"/>
          <w:szCs w:val="22"/>
          <w:color w:val="auto"/>
        </w:rPr>
        <w:t>, that reasonable measures shall be taken to assure confidential treatment of such Confidential Information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practicable and consistent with Applicable Law;</w:t>
      </w:r>
    </w:p>
    <w:p>
      <w:pPr>
        <w:spacing w:after="0" w:line="73"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10.3.3 </w:t>
      </w:r>
      <w:r>
        <w:rPr>
          <w:rFonts w:ascii="Arial" w:cs="Arial" w:eastAsia="Arial" w:hAnsi="Arial"/>
          <w:sz w:val="22"/>
          <w:szCs w:val="22"/>
          <w:color w:val="auto"/>
        </w:rPr>
        <w:t>made by or on behalf of the receiving Party to a patent authority as may be reasonably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necessary or useful for purposes of obtaining, defending or enforcing a Patent in accordance with the terms of this Agreement; </w:t>
      </w:r>
      <w:r>
        <w:rPr>
          <w:rFonts w:ascii="Arial" w:cs="Arial" w:eastAsia="Arial" w:hAnsi="Arial"/>
          <w:sz w:val="22"/>
          <w:szCs w:val="22"/>
          <w:i w:val="1"/>
          <w:iCs w:val="1"/>
          <w:color w:val="auto"/>
        </w:rPr>
        <w:t>provided</w:t>
      </w:r>
      <w:r>
        <w:rPr>
          <w:rFonts w:ascii="Arial" w:cs="Arial" w:eastAsia="Arial" w:hAnsi="Arial"/>
          <w:sz w:val="22"/>
          <w:szCs w:val="22"/>
          <w:color w:val="auto"/>
        </w:rPr>
        <w:t>, that reasonable measures shall be taken to assure confidential treatment of such Confidential Information,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such protection is available;</w:t>
      </w:r>
    </w:p>
    <w:p>
      <w:pPr>
        <w:spacing w:after="0" w:line="73"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10.3.4 </w:t>
      </w:r>
      <w:r>
        <w:rPr>
          <w:rFonts w:ascii="Arial" w:cs="Arial" w:eastAsia="Arial" w:hAnsi="Arial"/>
          <w:sz w:val="22"/>
          <w:szCs w:val="22"/>
          <w:color w:val="auto"/>
        </w:rPr>
        <w:t>made to its or its Affiliates’ financial and legal advisors who have a need to know such</w:t>
      </w:r>
      <w:r>
        <w:rPr>
          <w:rFonts w:ascii="Arial" w:cs="Arial" w:eastAsia="Arial" w:hAnsi="Arial"/>
          <w:sz w:val="22"/>
          <w:szCs w:val="22"/>
          <w:b w:val="1"/>
          <w:bCs w:val="1"/>
          <w:color w:val="auto"/>
        </w:rPr>
        <w:t xml:space="preserve"> </w:t>
      </w:r>
      <w:r>
        <w:rPr>
          <w:rFonts w:ascii="Arial" w:cs="Arial" w:eastAsia="Arial" w:hAnsi="Arial"/>
          <w:sz w:val="22"/>
          <w:szCs w:val="22"/>
          <w:color w:val="auto"/>
        </w:rPr>
        <w:t>disclosing Party’s Confidential Information and are either under professional codes of conduct giving rise to expectations of confidentiality and non-use or under written agreements of confidentiality and non-use, in each case, at least as restrictive as those set forth in</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33" w:name="page134"/>
    <w:bookmarkEnd w:id="133"/>
    <w:p>
      <w:pPr>
        <w:jc w:val="both"/>
        <w:spacing w:after="0" w:line="251" w:lineRule="auto"/>
        <w:rPr>
          <w:sz w:val="20"/>
          <w:szCs w:val="20"/>
          <w:color w:val="auto"/>
        </w:rPr>
      </w:pPr>
      <w:r>
        <w:rPr>
          <w:rFonts w:ascii="Arial" w:cs="Arial" w:eastAsia="Arial" w:hAnsi="Arial"/>
          <w:sz w:val="22"/>
          <w:szCs w:val="22"/>
          <w:color w:val="auto"/>
        </w:rPr>
        <w:t xml:space="preserve">this Agreement;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the receiving Party shall remain responsible for any failure by such financial and legal advisors, to treat such Confidential Information as required under this Article;</w:t>
      </w:r>
    </w:p>
    <w:p>
      <w:pPr>
        <w:spacing w:after="0" w:line="59"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10.3.5 </w:t>
      </w:r>
      <w:r>
        <w:rPr>
          <w:rFonts w:ascii="Arial" w:cs="Arial" w:eastAsia="Arial" w:hAnsi="Arial"/>
          <w:sz w:val="22"/>
          <w:szCs w:val="22"/>
          <w:color w:val="auto"/>
        </w:rPr>
        <w:t>made by the receiving Party or its Affiliates to potential or actual investors, financers,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acquirers as may be necessary in connection with their evaluation of such potential or actual investment, financing, or acquisition;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Persons shall be subject to obligations of confidentiality and non-use with respect to such Confidential Information substantially similar to the obligations of confidentiality and non-use of the receiving Party pursuant to this </w:t>
      </w:r>
      <w:r>
        <w:rPr>
          <w:rFonts w:ascii="Arial" w:cs="Arial" w:eastAsia="Arial" w:hAnsi="Arial"/>
          <w:sz w:val="22"/>
          <w:szCs w:val="22"/>
          <w:u w:val="single" w:color="auto"/>
          <w:color w:val="auto"/>
        </w:rPr>
        <w:t>ARTICLE 10</w:t>
      </w:r>
      <w:r>
        <w:rPr>
          <w:rFonts w:ascii="Arial" w:cs="Arial" w:eastAsia="Arial" w:hAnsi="Arial"/>
          <w:sz w:val="22"/>
          <w:szCs w:val="22"/>
          <w:color w:val="auto"/>
        </w:rPr>
        <w:t>;</w:t>
      </w:r>
    </w:p>
    <w:p>
      <w:pPr>
        <w:spacing w:after="0" w:line="74"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10.3.6 </w:t>
      </w:r>
      <w:r>
        <w:rPr>
          <w:rFonts w:ascii="Arial" w:cs="Arial" w:eastAsia="Arial" w:hAnsi="Arial"/>
          <w:sz w:val="22"/>
          <w:szCs w:val="22"/>
          <w:color w:val="auto"/>
        </w:rPr>
        <w:t>made by AbbVie or its Affiliates or Sublicensees to its or their advisors, consultants,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clinicians, vendors, service providers, contractors, existing or prospective collaboration partners, licensees, sublicensees, or other Third Parties as may be necessary or useful in connection with the Exploitation of the AbbVie Probodies, the Discovery PDCs, the Licensed Products, or otherwise in connection with the performance of its obligations or exercise of its rights as contemplated by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Persons shall be subject to obligations of confidentiality and non-use with respect to such Confidential Information substantially similar to the obligations of confidentiality and non-use of the receiving Party pursuant to this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(with a duration of confidentiality and non-use obligations as appropriate that is no less than [***] from the date of disclosure); or</w:t>
      </w:r>
    </w:p>
    <w:p>
      <w:pPr>
        <w:spacing w:after="0" w:line="71" w:lineRule="exact"/>
        <w:rPr>
          <w:sz w:val="20"/>
          <w:szCs w:val="20"/>
          <w:color w:val="auto"/>
        </w:rPr>
      </w:pPr>
    </w:p>
    <w:p>
      <w:pPr>
        <w:jc w:val="both"/>
        <w:ind w:firstLine="2634"/>
        <w:spacing w:after="0" w:line="236" w:lineRule="auto"/>
        <w:rPr>
          <w:sz w:val="20"/>
          <w:szCs w:val="20"/>
          <w:color w:val="auto"/>
        </w:rPr>
      </w:pPr>
      <w:r>
        <w:rPr>
          <w:rFonts w:ascii="Arial" w:cs="Arial" w:eastAsia="Arial" w:hAnsi="Arial"/>
          <w:sz w:val="22"/>
          <w:szCs w:val="22"/>
          <w:b w:val="1"/>
          <w:bCs w:val="1"/>
          <w:color w:val="auto"/>
        </w:rPr>
        <w:t xml:space="preserve">10.3.7 </w:t>
      </w:r>
      <w:r>
        <w:rPr>
          <w:rFonts w:ascii="Arial" w:cs="Arial" w:eastAsia="Arial" w:hAnsi="Arial"/>
          <w:sz w:val="22"/>
          <w:szCs w:val="22"/>
          <w:color w:val="auto"/>
        </w:rPr>
        <w:t>made by Licensor or its Affiliates, to its or their advisors, consultants, clinicians,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vendors, service providers, contractors, and the like to the extent necessary in assisting with Licensor’s activities contemplated by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Persons shall be subject to obligations of confidentiality and non-use with respect to such Confidential Information of AbbVie substantially similar to the obligations of confidentiality and non-use of Licensor pursuant to this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(with a duration of confidentiality and non-use obligations as appropriate that is no less than [***] from the date of disclosure).</w:t>
      </w:r>
    </w:p>
    <w:p>
      <w:pPr>
        <w:spacing w:after="0" w:line="74"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b w:val="1"/>
          <w:bCs w:val="1"/>
          <w:color w:val="auto"/>
        </w:rPr>
        <w:t xml:space="preserve">10.3.8 Use of Name. </w:t>
      </w:r>
      <w:r>
        <w:rPr>
          <w:rFonts w:ascii="Arial" w:cs="Arial" w:eastAsia="Arial" w:hAnsi="Arial"/>
          <w:sz w:val="21"/>
          <w:szCs w:val="21"/>
          <w:color w:val="auto"/>
        </w:rPr>
        <w:t>Except as expressly provided herein, neither Party shall mention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otherwise use the name, logo, or Trademark of the other Party or any of its Affiliates (or any abbreviation or adaptation thereof) in any publication, press release, marketing and promotional material, or other form of publicity without the prior written approval of such other Party in each instance. The restrictions imposed by this </w:t>
      </w:r>
      <w:r>
        <w:rPr>
          <w:rFonts w:ascii="Arial" w:cs="Arial" w:eastAsia="Arial" w:hAnsi="Arial"/>
          <w:sz w:val="21"/>
          <w:szCs w:val="21"/>
          <w:u w:val="single" w:color="auto"/>
          <w:color w:val="auto"/>
        </w:rPr>
        <w:t>Section 10.3.8</w:t>
      </w:r>
      <w:r>
        <w:rPr>
          <w:rFonts w:ascii="Arial" w:cs="Arial" w:eastAsia="Arial" w:hAnsi="Arial"/>
          <w:sz w:val="21"/>
          <w:szCs w:val="21"/>
          <w:color w:val="auto"/>
        </w:rPr>
        <w:t xml:space="preserve"> shall not prohibit either Party from making any disclosure identifying the other Party that, in the opinion of the disclosing Party’s counsel, is required by Applicable Law; </w:t>
      </w:r>
      <w:r>
        <w:rPr>
          <w:rFonts w:ascii="Arial" w:cs="Arial" w:eastAsia="Arial" w:hAnsi="Arial"/>
          <w:sz w:val="21"/>
          <w:szCs w:val="21"/>
          <w:i w:val="1"/>
          <w:iCs w:val="1"/>
          <w:color w:val="auto"/>
        </w:rPr>
        <w:t>provided</w:t>
      </w:r>
      <w:r>
        <w:rPr>
          <w:rFonts w:ascii="Arial" w:cs="Arial" w:eastAsia="Arial" w:hAnsi="Arial"/>
          <w:sz w:val="21"/>
          <w:szCs w:val="21"/>
          <w:color w:val="auto"/>
        </w:rPr>
        <w:t>, that such Party shall submit the proposed disclosure identifying the other Party in writing to the other Party as far in advance as reasonably practicable (and in no event less than [***] prior to the anticipated date of disclosure, to the extent practicable) so as to provide a reasonable opportunity to comment thereon.</w:t>
      </w:r>
    </w:p>
    <w:p>
      <w:pPr>
        <w:spacing w:after="0" w:line="65" w:lineRule="exact"/>
        <w:rPr>
          <w:sz w:val="20"/>
          <w:szCs w:val="20"/>
          <w:color w:val="auto"/>
        </w:rPr>
      </w:pPr>
    </w:p>
    <w:p>
      <w:pPr>
        <w:jc w:val="both"/>
        <w:ind w:firstLine="1755"/>
        <w:spacing w:after="0" w:line="280" w:lineRule="auto"/>
        <w:rPr>
          <w:sz w:val="20"/>
          <w:szCs w:val="20"/>
          <w:color w:val="auto"/>
        </w:rPr>
      </w:pPr>
      <w:r>
        <w:rPr>
          <w:rFonts w:ascii="Arial" w:cs="Arial" w:eastAsia="Arial" w:hAnsi="Arial"/>
          <w:sz w:val="19"/>
          <w:szCs w:val="19"/>
          <w:b w:val="1"/>
          <w:bCs w:val="1"/>
          <w:color w:val="auto"/>
        </w:rPr>
        <w:t xml:space="preserve">10.4 Public Announcements. </w:t>
      </w:r>
      <w:r>
        <w:rPr>
          <w:rFonts w:ascii="Arial" w:cs="Arial" w:eastAsia="Arial" w:hAnsi="Arial"/>
          <w:sz w:val="19"/>
          <w:szCs w:val="19"/>
          <w:color w:val="auto"/>
        </w:rPr>
        <w:t>The Parties have agreed upon the content of a press release which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issued substantially in the form attached hereto as </w:t>
      </w:r>
      <w:r>
        <w:rPr>
          <w:rFonts w:ascii="Arial" w:cs="Arial" w:eastAsia="Arial" w:hAnsi="Arial"/>
          <w:sz w:val="19"/>
          <w:szCs w:val="19"/>
          <w:u w:val="single" w:color="auto"/>
          <w:color w:val="auto"/>
        </w:rPr>
        <w:t>Schedule 10.4</w:t>
      </w:r>
      <w:r>
        <w:rPr>
          <w:rFonts w:ascii="Arial" w:cs="Arial" w:eastAsia="Arial" w:hAnsi="Arial"/>
          <w:sz w:val="19"/>
          <w:szCs w:val="19"/>
          <w:color w:val="auto"/>
        </w:rPr>
        <w:t>, upon execution of this Agreement; thereafter Licensor and AbbVie may each disclose to Third Parties the information contained in such press release without the need for further approval by the other Party. Except for the press release attached hereto, neither Party shall issue any other public announcement, press release, or other public disclosure regarding this Agreement or its subject matter without the other Party’s prior written consent, except for any such disclosure that is, in the opinion of the disclosing Party’s counsel, required by Applicable Law or the rules of a stock</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34" w:name="page135"/>
    <w:bookmarkEnd w:id="134"/>
    <w:p>
      <w:pPr>
        <w:jc w:val="both"/>
        <w:spacing w:after="0" w:line="273" w:lineRule="auto"/>
        <w:rPr>
          <w:sz w:val="20"/>
          <w:szCs w:val="20"/>
          <w:color w:val="auto"/>
        </w:rPr>
      </w:pPr>
      <w:r>
        <w:rPr>
          <w:rFonts w:ascii="Arial" w:cs="Arial" w:eastAsia="Arial" w:hAnsi="Arial"/>
          <w:sz w:val="19"/>
          <w:szCs w:val="19"/>
          <w:color w:val="auto"/>
        </w:rPr>
        <w:t>exchange on which the securities of the disclosing Party are listed. In the event a Party is, in the opinion of its counsel, required by Applicable Law or the rules of a stock exchange on which its securities are listed to make such a public disclosure, such Party shall submit the proposed disclosure in writing to the other Party as far in advance as reasonably practicable (and in no event less than</w:t>
      </w:r>
    </w:p>
    <w:p>
      <w:pPr>
        <w:spacing w:after="0" w:line="2" w:lineRule="exact"/>
        <w:rPr>
          <w:sz w:val="20"/>
          <w:szCs w:val="20"/>
          <w:color w:val="auto"/>
        </w:rPr>
      </w:pPr>
    </w:p>
    <w:p>
      <w:pPr>
        <w:jc w:val="both"/>
        <w:ind w:firstLine="8"/>
        <w:spacing w:after="0" w:line="272" w:lineRule="auto"/>
        <w:tabs>
          <w:tab w:leader="none" w:pos="536"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prior to the anticipated date of disclosure) so as to provide a reasonable opportunity to comment thereon. Notwithstanding the foregoing, AbbVie, its Sublicensees and its and their respective Affiliates shall have the right to publicly disclose research, development and commercial information (including with respect to regulatory matters) regarding the AbbVie Probodies, Discovery PDCs and Licensed Products;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research, development or commercial information is materially adverse to the Exploitation of a Discovery Probody, Discovery PDC or a Licensed Product, AbbVie shall submit the proposed disclosure in writing to Licensor as far in advance as reasonably practicable (and in no event less than [***] prior to the anticipated date of disclosure); and </w:t>
      </w:r>
      <w:r>
        <w:rPr>
          <w:rFonts w:ascii="Arial" w:cs="Arial" w:eastAsia="Arial" w:hAnsi="Arial"/>
          <w:sz w:val="19"/>
          <w:szCs w:val="19"/>
          <w:i w:val="1"/>
          <w:iCs w:val="1"/>
          <w:color w:val="auto"/>
        </w:rPr>
        <w:t>further provided</w:t>
      </w:r>
      <w:r>
        <w:rPr>
          <w:rFonts w:ascii="Arial" w:cs="Arial" w:eastAsia="Arial" w:hAnsi="Arial"/>
          <w:sz w:val="19"/>
          <w:szCs w:val="19"/>
          <w:color w:val="auto"/>
        </w:rPr>
        <w:t xml:space="preserve">, that (a) such disclosure is subject to the provisions of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with respect to Licensor’s Confidential Information and (b) AbbVie shall not use the name of Licensor (or insignia, or any contraction, abbreviation or adaptation thereof) without Licensor’s prior written permission.</w:t>
      </w:r>
    </w:p>
    <w:p>
      <w:pPr>
        <w:spacing w:after="0" w:line="43"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10.5</w:t>
      </w:r>
      <w:r>
        <w:rPr>
          <w:sz w:val="20"/>
          <w:szCs w:val="20"/>
          <w:color w:val="auto"/>
        </w:rPr>
        <w:tab/>
      </w:r>
      <w:r>
        <w:rPr>
          <w:rFonts w:ascii="Arial" w:cs="Arial" w:eastAsia="Arial" w:hAnsi="Arial"/>
          <w:sz w:val="19"/>
          <w:szCs w:val="19"/>
          <w:b w:val="1"/>
          <w:bCs w:val="1"/>
          <w:color w:val="auto"/>
        </w:rPr>
        <w:t>Publications.</w:t>
      </w:r>
    </w:p>
    <w:p>
      <w:pPr>
        <w:spacing w:after="0" w:line="98"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b w:val="1"/>
          <w:bCs w:val="1"/>
          <w:color w:val="auto"/>
        </w:rPr>
        <w:t xml:space="preserve">10.5.1 </w:t>
      </w:r>
      <w:r>
        <w:rPr>
          <w:rFonts w:ascii="Arial" w:cs="Arial" w:eastAsia="Arial" w:hAnsi="Arial"/>
          <w:sz w:val="21"/>
          <w:szCs w:val="21"/>
          <w:color w:val="auto"/>
        </w:rPr>
        <w:t>Licensor shall not publish, present, or otherwise disclose, and shall cause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and Third Party Providers and its and their employees and agents not to disclose any material containing AbbVie Confidential Information or related to the Exploitation of the Discovery Probodies, Discovery PDCs or Licensed Products, including any materials that contain Clinical Data or pertain to results of Clinical Studies, or other studies with respect to the Discovery Probodies, Discovery PDCs or Licensed Products, without the prior written consent of AbbVie. Licensor shall submit any proposed publication or presentation to AbbVie in accordance with </w:t>
      </w:r>
      <w:r>
        <w:rPr>
          <w:rFonts w:ascii="Arial" w:cs="Arial" w:eastAsia="Arial" w:hAnsi="Arial"/>
          <w:sz w:val="21"/>
          <w:szCs w:val="21"/>
          <w:u w:val="single" w:color="auto"/>
          <w:color w:val="auto"/>
        </w:rPr>
        <w:t>Section 10.5.3</w:t>
      </w:r>
      <w:r>
        <w:rPr>
          <w:rFonts w:ascii="Arial" w:cs="Arial" w:eastAsia="Arial" w:hAnsi="Arial"/>
          <w:sz w:val="21"/>
          <w:szCs w:val="21"/>
          <w:color w:val="auto"/>
        </w:rPr>
        <w:t xml:space="preserve"> (unless Licensor is required by Applicable Law to publish such information sooner). For clarity, Licensor may, without AbbVie’s prior approval, make publications or presentations related to the Licensor Platform provided that such publications and presentations do not to disclose any AbbVie Confidential Information or Information specifically related to the Exploitation of the Discovery Probodies, Discovery PDCs or Licensed Products, or Clinical Data, non-clinical data or results of any Clinical Study or other study results with respect to the Discovery Probodies, Discovery PDCs or Licensed Products.</w:t>
      </w:r>
    </w:p>
    <w:p>
      <w:pPr>
        <w:spacing w:after="0" w:line="70"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b w:val="1"/>
          <w:bCs w:val="1"/>
          <w:color w:val="auto"/>
        </w:rPr>
        <w:t xml:space="preserve">10.5.2 </w:t>
      </w:r>
      <w:r>
        <w:rPr>
          <w:rFonts w:ascii="Arial" w:cs="Arial" w:eastAsia="Arial" w:hAnsi="Arial"/>
          <w:sz w:val="21"/>
          <w:szCs w:val="21"/>
          <w:color w:val="auto"/>
        </w:rPr>
        <w:t>AbbVie, its Sublicensees and its and their respective Affiliates shall have the right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publish, present or otherwise disclose research, development and commercial information (including with respect to regulatory matters) regarding the AbbVie Probodies, Discovery PDCs and Licensed Products;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such disclosure is subject to the provisions of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with respect to Licensor’s Confidential Information, (b) AbbVie shall not use the name of Licensor (or insignia, or any contraction, abbreviation or adaptation thereof) without Licensor’s prior written permission and (c) AbbVie has provided Licensor with the opportunity to review pursuant to </w:t>
      </w:r>
      <w:r>
        <w:rPr>
          <w:rFonts w:ascii="Arial" w:cs="Arial" w:eastAsia="Arial" w:hAnsi="Arial"/>
          <w:sz w:val="21"/>
          <w:szCs w:val="21"/>
          <w:u w:val="single" w:color="auto"/>
          <w:color w:val="auto"/>
        </w:rPr>
        <w:t>Section 10.5.3</w:t>
      </w:r>
      <w:r>
        <w:rPr>
          <w:rFonts w:ascii="Arial" w:cs="Arial" w:eastAsia="Arial" w:hAnsi="Arial"/>
          <w:sz w:val="21"/>
          <w:szCs w:val="21"/>
          <w:color w:val="auto"/>
        </w:rPr>
        <w:t>.</w:t>
      </w:r>
    </w:p>
    <w:p>
      <w:pPr>
        <w:spacing w:after="0" w:line="63"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10.5.3 </w:t>
      </w:r>
      <w:r>
        <w:rPr>
          <w:rFonts w:ascii="Arial" w:cs="Arial" w:eastAsia="Arial" w:hAnsi="Arial"/>
          <w:sz w:val="22"/>
          <w:szCs w:val="22"/>
          <w:color w:val="auto"/>
        </w:rPr>
        <w:t>Each Party shall have the right to review any paper or other publication relating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Discovery Probodies, Discovery PDCs or Licensed Products or that includes Confidential Information of the other Party that is proposed for publication by the other Party, including any oral presentation or abstract, that contains Clinical Data or pertains to results</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35" w:name="page136"/>
    <w:bookmarkEnd w:id="135"/>
    <w:p>
      <w:pPr>
        <w:jc w:val="both"/>
        <w:spacing w:after="0" w:line="272" w:lineRule="auto"/>
        <w:rPr>
          <w:sz w:val="20"/>
          <w:szCs w:val="20"/>
          <w:color w:val="auto"/>
        </w:rPr>
      </w:pPr>
      <w:r>
        <w:rPr>
          <w:rFonts w:ascii="Arial" w:cs="Arial" w:eastAsia="Arial" w:hAnsi="Arial"/>
          <w:sz w:val="19"/>
          <w:szCs w:val="19"/>
          <w:color w:val="auto"/>
        </w:rPr>
        <w:t xml:space="preserve">of Clinical Studies, or other studies. Before any such proposed publication is submitted for publication or an oral presentation is made, the publishing or presenting Party shall deliver a then-current copy of the paper or materials for oral presentation to the other Party at least [***] prior to submitting the paper to a publisher or making the presentation. The other Party shall review any such paper and give its comments to the publishing Party within [***] of the delivery of such paper to the other Party. With respect to oral presentation materials and abstracts, the other Party shall make reasonable efforts to expedite review of such materials and abstracts, and shall return such items as soon as practicable to the publishing or presenting Party with appropriate comments, if any, but in no event later than [***] from the date of delivery to the other Party. Notwithstanding the foregoing, the publishing or presenting Party shall comply with AbbVie’s consent rights under </w:t>
      </w:r>
      <w:r>
        <w:rPr>
          <w:rFonts w:ascii="Arial" w:cs="Arial" w:eastAsia="Arial" w:hAnsi="Arial"/>
          <w:sz w:val="19"/>
          <w:szCs w:val="19"/>
          <w:u w:val="single" w:color="auto"/>
          <w:color w:val="auto"/>
        </w:rPr>
        <w:t>Section 10.5.1</w:t>
      </w:r>
      <w:r>
        <w:rPr>
          <w:rFonts w:ascii="Arial" w:cs="Arial" w:eastAsia="Arial" w:hAnsi="Arial"/>
          <w:sz w:val="19"/>
          <w:szCs w:val="19"/>
          <w:color w:val="auto"/>
        </w:rPr>
        <w:t xml:space="preserve"> and the other Party’s request to delete references to such other Party’s Confidential Information in any such paper and will withhold publication of any such paper or any presentation of same for an additional [***] in order to permit the Parties to obtain Patent protection if either Party deems it necessary. Any publication shall include recognition of the contributions of the other Party according to standard practice for assigning scientific credit, either through authorship or acknowledgement, as may be appropriate.</w:t>
      </w:r>
    </w:p>
    <w:p>
      <w:pPr>
        <w:spacing w:after="0" w:line="48"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9"/>
          <w:szCs w:val="19"/>
          <w:b w:val="1"/>
          <w:bCs w:val="1"/>
          <w:color w:val="auto"/>
        </w:rPr>
        <w:t xml:space="preserve">10.6 Return of Confidential Information. </w:t>
      </w:r>
      <w:r>
        <w:rPr>
          <w:rFonts w:ascii="Arial" w:cs="Arial" w:eastAsia="Arial" w:hAnsi="Arial"/>
          <w:sz w:val="19"/>
          <w:szCs w:val="19"/>
          <w:color w:val="auto"/>
        </w:rPr>
        <w:t>Upon the effective date of the termination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any reason, either Party may request in writing, and the other Party shall either, with respect to Confidential Information (in the event of termination of this Agreement with respect to one (1) or more Terminated Territories or Terminated Targets but not in its entirety, solely to the extent relating specifically and exclusively to such Terminated Territories or Terminated Targets, as applicable) to which such first Party does not retain rights under the surviving provisions of this Agreement: (a) as soon as reasonably practicable, destroy all copies of such Confidential Information in the possession of the other Party and confirm such destruction in writing to the requesting Party; or (b) as soon as reasonably practicable, deliver to the requesting Party, at the other Party’s expense, all copies of such Confidential Information in the possession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that the other Party shall be permitted to retain one (1) copy of such Confidential Information for the sole purpose of performing any continuing obligations hereunder, as required by Applicable Law, or for archival purposes. Notwithstanding the foregoing, such other Party also shall be permitted to retain such additional copies of or any computer records or files containing such Confidential Information that have been created solely by such Party’s automatic archiving and back-up procedures, to the extent created and retained in a manner consistent with such other Party’s standard archiving and back-up procedures, but not for any other use or purpose.</w:t>
      </w:r>
    </w:p>
    <w:p>
      <w:pPr>
        <w:spacing w:after="0" w:line="49"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 xml:space="preserve">10.7 Survival. All Confidential Information shall continue to be subject to the terms of this Agreement for the period set forth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2"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11.1 Mutual Representations and Warranties. </w:t>
      </w:r>
      <w:r>
        <w:rPr>
          <w:rFonts w:ascii="Arial" w:cs="Arial" w:eastAsia="Arial" w:hAnsi="Arial"/>
          <w:sz w:val="22"/>
          <w:szCs w:val="22"/>
          <w:color w:val="auto"/>
        </w:rPr>
        <w:t>Licensor and AbbVie each represents and warrants to</w:t>
      </w:r>
      <w:r>
        <w:rPr>
          <w:rFonts w:ascii="Arial" w:cs="Arial" w:eastAsia="Arial" w:hAnsi="Arial"/>
          <w:sz w:val="22"/>
          <w:szCs w:val="22"/>
          <w:b w:val="1"/>
          <w:bCs w:val="1"/>
          <w:color w:val="auto"/>
        </w:rPr>
        <w:t xml:space="preserve"> </w:t>
      </w:r>
      <w:r>
        <w:rPr>
          <w:rFonts w:ascii="Arial" w:cs="Arial" w:eastAsia="Arial" w:hAnsi="Arial"/>
          <w:sz w:val="22"/>
          <w:szCs w:val="22"/>
          <w:color w:val="auto"/>
        </w:rPr>
        <w:t>the other, as of the Effective Date, as follows: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36" w:name="page137"/>
    <w:bookmarkEnd w:id="136"/>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11.1.1 Organization. </w:t>
      </w:r>
      <w:r>
        <w:rPr>
          <w:rFonts w:ascii="Arial" w:cs="Arial" w:eastAsia="Arial" w:hAnsi="Arial"/>
          <w:sz w:val="22"/>
          <w:szCs w:val="22"/>
          <w:color w:val="auto"/>
        </w:rPr>
        <w:t>It is a corporation duly organized, validly existing, and in good standing</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laws of the jurisdiction of its organization, and has all requisite power and authority, corporate or otherwise, to execute, deliver, and perform this Agreement.</w:t>
      </w:r>
    </w:p>
    <w:p>
      <w:pPr>
        <w:spacing w:after="0" w:line="69" w:lineRule="exact"/>
        <w:rPr>
          <w:sz w:val="20"/>
          <w:szCs w:val="20"/>
          <w:color w:val="auto"/>
        </w:rPr>
      </w:pPr>
    </w:p>
    <w:p>
      <w:pPr>
        <w:jc w:val="both"/>
        <w:ind w:firstLine="2634"/>
        <w:spacing w:after="0" w:line="284" w:lineRule="auto"/>
        <w:rPr>
          <w:sz w:val="20"/>
          <w:szCs w:val="20"/>
          <w:color w:val="auto"/>
        </w:rPr>
      </w:pPr>
      <w:r>
        <w:rPr>
          <w:rFonts w:ascii="Arial" w:cs="Arial" w:eastAsia="Arial" w:hAnsi="Arial"/>
          <w:sz w:val="19"/>
          <w:szCs w:val="19"/>
          <w:b w:val="1"/>
          <w:bCs w:val="1"/>
          <w:color w:val="auto"/>
        </w:rPr>
        <w:t xml:space="preserve">11.1.2 Authorization. </w:t>
      </w:r>
      <w:r>
        <w:rPr>
          <w:rFonts w:ascii="Arial" w:cs="Arial" w:eastAsia="Arial" w:hAnsi="Arial"/>
          <w:sz w:val="19"/>
          <w:szCs w:val="19"/>
          <w:color w:val="auto"/>
        </w:rPr>
        <w:t>The execution and delivery of this Agreement and the performance by</w:t>
      </w:r>
      <w:r>
        <w:rPr>
          <w:rFonts w:ascii="Arial" w:cs="Arial" w:eastAsia="Arial" w:hAnsi="Arial"/>
          <w:sz w:val="19"/>
          <w:szCs w:val="19"/>
          <w:b w:val="1"/>
          <w:bCs w:val="1"/>
          <w:color w:val="auto"/>
        </w:rPr>
        <w:t xml:space="preserve"> </w:t>
      </w:r>
      <w:r>
        <w:rPr>
          <w:rFonts w:ascii="Arial" w:cs="Arial" w:eastAsia="Arial" w:hAnsi="Arial"/>
          <w:sz w:val="19"/>
          <w:szCs w:val="19"/>
          <w:color w:val="auto"/>
        </w:rPr>
        <w:t>it of the transactions contemplated hereby have been duly authorized by all necessary corporate action, and do not violate (a) such Party’s charter documents, bylaws, or other organizational documents, (b) in any material respect, any agreement, instrument, or contractual obligation to which such Party is bound, (c) any requirement of any Applicable Law, or (d) any order, writ, judgment, injunction, decree, determination, or award of any court or governmental agency presently in effect applicable to such Party.</w:t>
      </w:r>
    </w:p>
    <w:p>
      <w:pPr>
        <w:spacing w:after="0" w:line="31"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b w:val="1"/>
          <w:bCs w:val="1"/>
          <w:color w:val="auto"/>
        </w:rPr>
        <w:t xml:space="preserve">11.1.3 Binding Agreement. </w:t>
      </w:r>
      <w:r>
        <w:rPr>
          <w:rFonts w:ascii="Arial" w:cs="Arial" w:eastAsia="Arial" w:hAnsi="Arial"/>
          <w:sz w:val="21"/>
          <w:szCs w:val="21"/>
          <w:color w:val="auto"/>
        </w:rPr>
        <w:t>This Agreement is a legal, valid, and binding obligation of such</w:t>
      </w:r>
      <w:r>
        <w:rPr>
          <w:rFonts w:ascii="Arial" w:cs="Arial" w:eastAsia="Arial" w:hAnsi="Arial"/>
          <w:sz w:val="21"/>
          <w:szCs w:val="21"/>
          <w:b w:val="1"/>
          <w:bCs w:val="1"/>
          <w:color w:val="auto"/>
        </w:rPr>
        <w:t xml:space="preserve"> </w:t>
      </w:r>
      <w:r>
        <w:rPr>
          <w:rFonts w:ascii="Arial" w:cs="Arial" w:eastAsia="Arial" w:hAnsi="Arial"/>
          <w:sz w:val="21"/>
          <w:szCs w:val="21"/>
          <w:color w:val="auto"/>
        </w:rPr>
        <w:t>Party enforceable against it in accordance with its terms and conditions,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58"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11.1.4 No Inconsistent Obligation. </w:t>
      </w:r>
      <w:r>
        <w:rPr>
          <w:rFonts w:ascii="Arial" w:cs="Arial" w:eastAsia="Arial" w:hAnsi="Arial"/>
          <w:sz w:val="22"/>
          <w:szCs w:val="22"/>
          <w:color w:val="auto"/>
        </w:rPr>
        <w:t>It is not under any obligation, contractual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to any Person that conflicts with or is inconsistent in any material respect with the terms of this Agreement, or that would impede the diligent and complete fulfillment of its obligations hereunder.</w:t>
      </w:r>
    </w:p>
    <w:p>
      <w:pPr>
        <w:spacing w:after="0" w:line="69"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2"/>
          <w:szCs w:val="22"/>
          <w:b w:val="1"/>
          <w:bCs w:val="1"/>
          <w:color w:val="auto"/>
        </w:rPr>
        <w:t xml:space="preserve">11.2 Additional Representations, Warranties and Covenants of Licensor. </w:t>
      </w:r>
      <w:r>
        <w:rPr>
          <w:rFonts w:ascii="Arial" w:cs="Arial" w:eastAsia="Arial" w:hAnsi="Arial"/>
          <w:sz w:val="22"/>
          <w:szCs w:val="22"/>
          <w:color w:val="auto"/>
        </w:rPr>
        <w:t>Licensor further</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AbbVie, as of the Effective Date, and covenants as follows:</w:t>
      </w:r>
    </w:p>
    <w:p>
      <w:pPr>
        <w:sectPr>
          <w:pgSz w:w="11900" w:h="16838" w:orient="portrait"/>
          <w:cols w:equalWidth="0" w:num="1">
            <w:col w:w="11420"/>
          </w:cols>
          <w:pgMar w:left="240" w:top="679" w:right="239" w:bottom="1440" w:gutter="0" w:footer="0" w:header="0"/>
        </w:sectPr>
      </w:pPr>
    </w:p>
    <w:p>
      <w:pPr>
        <w:spacing w:after="0" w:line="55"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11.2.1</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Schedule 11.2.1</w:t>
      </w:r>
      <w:r>
        <w:rPr>
          <w:rFonts w:ascii="Arial" w:cs="Arial" w:eastAsia="Arial" w:hAnsi="Arial"/>
          <w:sz w:val="19"/>
          <w:szCs w:val="19"/>
          <w:color w:val="auto"/>
        </w:rPr>
        <w:t xml:space="preserve"> (the “</w:t>
      </w:r>
      <w:r>
        <w:rPr>
          <w:rFonts w:ascii="Arial" w:cs="Arial" w:eastAsia="Arial" w:hAnsi="Arial"/>
          <w:sz w:val="19"/>
          <w:szCs w:val="19"/>
          <w:b w:val="1"/>
          <w:bCs w:val="1"/>
          <w:color w:val="auto"/>
        </w:rPr>
        <w:t>Existing Patents</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unenforceable, in whole or in part.</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firstLine="45"/>
        <w:spacing w:after="0" w:line="328" w:lineRule="auto"/>
        <w:rPr>
          <w:sz w:val="20"/>
          <w:szCs w:val="20"/>
          <w:color w:val="auto"/>
        </w:rPr>
      </w:pPr>
      <w:r>
        <w:rPr>
          <w:rFonts w:ascii="Arial" w:cs="Arial" w:eastAsia="Arial" w:hAnsi="Arial"/>
          <w:sz w:val="19"/>
          <w:szCs w:val="19"/>
          <w:color w:val="auto"/>
        </w:rPr>
        <w:t>All Licensor Background Patents existing as of the Effective Date are listed on To the Knowledge of Licensor, all Existing Patents are subsisting and are not invalid or</w:t>
      </w:r>
    </w:p>
    <w:p>
      <w:pPr>
        <w:spacing w:after="0" w:line="233" w:lineRule="exact"/>
        <w:rPr>
          <w:sz w:val="20"/>
          <w:szCs w:val="20"/>
          <w:color w:val="auto"/>
        </w:rPr>
      </w:pPr>
    </w:p>
    <w:p>
      <w:pPr>
        <w:sectPr>
          <w:pgSz w:w="11900" w:h="16838" w:orient="portrait"/>
          <w:cols w:equalWidth="0" w:num="2">
            <w:col w:w="3660" w:space="120"/>
            <w:col w:w="7640"/>
          </w:cols>
          <w:pgMar w:left="240" w:top="679" w:right="239" w:bottom="1440" w:gutter="0" w:footer="0" w:header="0"/>
          <w:type w:val="continuous"/>
        </w:sect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11.2.2 </w:t>
      </w:r>
      <w:r>
        <w:rPr>
          <w:rFonts w:ascii="Arial" w:cs="Arial" w:eastAsia="Arial" w:hAnsi="Arial"/>
          <w:sz w:val="22"/>
          <w:szCs w:val="22"/>
          <w:color w:val="auto"/>
        </w:rPr>
        <w:t>There are no claims, judgments, or settlements against, or amounts with respect thereto,</w:t>
      </w:r>
      <w:r>
        <w:rPr>
          <w:rFonts w:ascii="Arial" w:cs="Arial" w:eastAsia="Arial" w:hAnsi="Arial"/>
          <w:sz w:val="22"/>
          <w:szCs w:val="22"/>
          <w:b w:val="1"/>
          <w:bCs w:val="1"/>
          <w:color w:val="auto"/>
        </w:rPr>
        <w:t xml:space="preserve"> </w:t>
      </w:r>
      <w:r>
        <w:rPr>
          <w:rFonts w:ascii="Arial" w:cs="Arial" w:eastAsia="Arial" w:hAnsi="Arial"/>
          <w:sz w:val="22"/>
          <w:szCs w:val="22"/>
          <w:color w:val="auto"/>
        </w:rPr>
        <w:t>owed by Licensor or any of its Affiliates relating to the Existing Patents, or the Licensor Background Know-How. No claim or litigation has been brought or threatened by any Person alleging, and Licensor has no Knowledge of any claim, whether or not asserted that (a) the Existing Patents or the Licensor Background Know-How are invalid or unenforceable, or (b) the Development, Manufacturing or Commercialization of the Discovery Probodies as contemplated herein, in each case as a result of such Discovery PDCs or Licensed Products containing a Discovery Probody (other than the Discovery Antibody portion thereof), does or will violate, infringe, misappropriate or otherwise conflict or interfere with, any Patent or other intellectual property or proprietary right of any Person.</w:t>
      </w:r>
    </w:p>
    <w:p>
      <w:pPr>
        <w:spacing w:after="0" w:line="71" w:lineRule="exact"/>
        <w:rPr>
          <w:sz w:val="20"/>
          <w:szCs w:val="20"/>
          <w:color w:val="auto"/>
        </w:rPr>
      </w:pPr>
    </w:p>
    <w:p>
      <w:pPr>
        <w:jc w:val="both"/>
        <w:ind w:firstLine="2634"/>
        <w:spacing w:after="0" w:line="289" w:lineRule="auto"/>
        <w:rPr>
          <w:sz w:val="20"/>
          <w:szCs w:val="20"/>
          <w:color w:val="auto"/>
        </w:rPr>
      </w:pPr>
      <w:r>
        <w:rPr>
          <w:rFonts w:ascii="Arial" w:cs="Arial" w:eastAsia="Arial" w:hAnsi="Arial"/>
          <w:sz w:val="19"/>
          <w:szCs w:val="19"/>
          <w:b w:val="1"/>
          <w:bCs w:val="1"/>
          <w:color w:val="auto"/>
        </w:rPr>
        <w:t xml:space="preserve">11.2.3 </w:t>
      </w:r>
      <w:r>
        <w:rPr>
          <w:rFonts w:ascii="Arial" w:cs="Arial" w:eastAsia="Arial" w:hAnsi="Arial"/>
          <w:sz w:val="19"/>
          <w:szCs w:val="19"/>
          <w:color w:val="auto"/>
        </w:rPr>
        <w:t>Licensor is (a) the sole and exclusive owner or, where noted, co-owner of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right, title and interest in the Existing Patents listed on </w:t>
      </w:r>
      <w:r>
        <w:rPr>
          <w:rFonts w:ascii="Arial" w:cs="Arial" w:eastAsia="Arial" w:hAnsi="Arial"/>
          <w:sz w:val="19"/>
          <w:szCs w:val="19"/>
          <w:u w:val="single" w:color="auto"/>
          <w:color w:val="auto"/>
        </w:rPr>
        <w:t>Schedule 11.2.1</w:t>
      </w:r>
      <w:r>
        <w:rPr>
          <w:rFonts w:ascii="Arial" w:cs="Arial" w:eastAsia="Arial" w:hAnsi="Arial"/>
          <w:sz w:val="19"/>
          <w:szCs w:val="19"/>
          <w:color w:val="auto"/>
        </w:rPr>
        <w:t>, Part A (the “</w:t>
      </w:r>
      <w:r>
        <w:rPr>
          <w:rFonts w:ascii="Arial" w:cs="Arial" w:eastAsia="Arial" w:hAnsi="Arial"/>
          <w:sz w:val="19"/>
          <w:szCs w:val="19"/>
          <w:b w:val="1"/>
          <w:bCs w:val="1"/>
          <w:color w:val="auto"/>
        </w:rPr>
        <w:t>Owned Patents</w:t>
      </w:r>
      <w:r>
        <w:rPr>
          <w:rFonts w:ascii="Arial" w:cs="Arial" w:eastAsia="Arial" w:hAnsi="Arial"/>
          <w:sz w:val="19"/>
          <w:szCs w:val="19"/>
          <w:color w:val="auto"/>
        </w:rPr>
        <w:t xml:space="preserve">”) and the Licensor Background Know-How and (b) the sole and exclusive licensee of the Existing Patents listed on </w:t>
      </w:r>
      <w:r>
        <w:rPr>
          <w:rFonts w:ascii="Arial" w:cs="Arial" w:eastAsia="Arial" w:hAnsi="Arial"/>
          <w:sz w:val="19"/>
          <w:szCs w:val="19"/>
          <w:u w:val="single" w:color="auto"/>
          <w:color w:val="auto"/>
        </w:rPr>
        <w:t>Schedule 11.2.1</w:t>
      </w:r>
      <w:r>
        <w:rPr>
          <w:rFonts w:ascii="Arial" w:cs="Arial" w:eastAsia="Arial" w:hAnsi="Arial"/>
          <w:sz w:val="19"/>
          <w:szCs w:val="19"/>
          <w:color w:val="auto"/>
        </w:rPr>
        <w:t>, Part B (the “</w:t>
      </w:r>
      <w:r>
        <w:rPr>
          <w:rFonts w:ascii="Arial" w:cs="Arial" w:eastAsia="Arial" w:hAnsi="Arial"/>
          <w:sz w:val="19"/>
          <w:szCs w:val="19"/>
          <w:b w:val="1"/>
          <w:bCs w:val="1"/>
          <w:color w:val="auto"/>
        </w:rPr>
        <w:t>In-Licensed Patents</w:t>
      </w:r>
      <w:r>
        <w:rPr>
          <w:rFonts w:ascii="Arial" w:cs="Arial" w:eastAsia="Arial" w:hAnsi="Arial"/>
          <w:sz w:val="19"/>
          <w:szCs w:val="19"/>
          <w:color w:val="auto"/>
        </w:rPr>
        <w:t>”), in each case (a) and (b) free of any encumbrance, lien, or claim of ownership by any Third Party.</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37" w:name="page138"/>
    <w:bookmarkEnd w:id="137"/>
    <w:p>
      <w:pPr>
        <w:jc w:val="both"/>
        <w:ind w:right="20"/>
        <w:spacing w:after="0" w:line="251" w:lineRule="auto"/>
        <w:rPr>
          <w:sz w:val="20"/>
          <w:szCs w:val="20"/>
          <w:color w:val="auto"/>
        </w:rPr>
      </w:pPr>
      <w:r>
        <w:rPr>
          <w:rFonts w:ascii="Arial" w:cs="Arial" w:eastAsia="Arial" w:hAnsi="Arial"/>
          <w:sz w:val="22"/>
          <w:szCs w:val="22"/>
          <w:color w:val="auto"/>
        </w:rPr>
        <w:t>Licensor is entitled to grant the licenses specified herein. The Owned Patents and In-Licensed Patents constitute all of the Existing Patents.</w:t>
      </w:r>
    </w:p>
    <w:p>
      <w:pPr>
        <w:spacing w:after="0" w:line="59"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11.2.4 </w:t>
      </w:r>
      <w:r>
        <w:rPr>
          <w:rFonts w:ascii="Arial" w:cs="Arial" w:eastAsia="Arial" w:hAnsi="Arial"/>
          <w:sz w:val="22"/>
          <w:szCs w:val="22"/>
          <w:color w:val="auto"/>
        </w:rPr>
        <w:t>To Licensor’s Knowledge, Licensor has the right to (a) use all Information, and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to conduct the Discovery Research Plan, and (b) permit AbbVie to use all such Information and Patents to conduct its Development activities under this Agreement.</w:t>
      </w:r>
    </w:p>
    <w:p>
      <w:pPr>
        <w:spacing w:after="0" w:line="69" w:lineRule="exact"/>
        <w:rPr>
          <w:sz w:val="20"/>
          <w:szCs w:val="20"/>
          <w:color w:val="auto"/>
        </w:rPr>
      </w:pPr>
    </w:p>
    <w:p>
      <w:pPr>
        <w:jc w:val="both"/>
        <w:ind w:firstLine="2634"/>
        <w:spacing w:after="0" w:line="245" w:lineRule="auto"/>
        <w:rPr>
          <w:sz w:val="20"/>
          <w:szCs w:val="20"/>
          <w:color w:val="auto"/>
        </w:rPr>
      </w:pPr>
      <w:r>
        <w:rPr>
          <w:rFonts w:ascii="Arial" w:cs="Arial" w:eastAsia="Arial" w:hAnsi="Arial"/>
          <w:sz w:val="21"/>
          <w:szCs w:val="21"/>
          <w:b w:val="1"/>
          <w:bCs w:val="1"/>
          <w:color w:val="auto"/>
        </w:rPr>
        <w:t xml:space="preserve">11.2.5 </w:t>
      </w:r>
      <w:r>
        <w:rPr>
          <w:rFonts w:ascii="Arial" w:cs="Arial" w:eastAsia="Arial" w:hAnsi="Arial"/>
          <w:sz w:val="21"/>
          <w:szCs w:val="21"/>
          <w:color w:val="auto"/>
        </w:rPr>
        <w:t>Except as expressly allowed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2</w:t>
      </w:r>
      <w:r>
        <w:rPr>
          <w:rFonts w:ascii="Arial" w:cs="Arial" w:eastAsia="Arial" w:hAnsi="Arial"/>
          <w:sz w:val="21"/>
          <w:szCs w:val="21"/>
          <w:color w:val="auto"/>
        </w:rPr>
        <w:t>, neither Licensor nor any of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have encumbered or diminished, and during the Term, neither Licensor nor any of its Affiliates shall, encumber or diminish, the rights granted to AbbVie hereunder with respect to the Licensor Background Patents or Licensor Program Patents, including by (a) committing any acts or permitting the occurrence of any omissions that would cause the breach or termination of any Licensor In-License Agreement, or (b) amending or otherwise modifying or permitting to be amended or modified, any Licensor In-License Agreement, where such amendment or modification would adversely affect the rights granted to AbbVie hereunder. Licensor shall promptly provide AbbVie with notice of any alleged, threatened, or actual material breach of any Licensor In-License Agreement. As of the Effective Date, none of Licensor, its Affiliates and, to Licensor’s Knowledge, none of the counterparties thereto is in breach of any Licensor In-License Agreement. No party to any Licensor In-License Agreement has threatened to terminate, or has otherwise alleged any material breach under, such agreement. Each Licensor In-License Agreement is in full force and effect in accordance with its terms.</w:t>
      </w:r>
    </w:p>
    <w:p>
      <w:pPr>
        <w:spacing w:after="0" w:line="70"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11.2.6 </w:t>
      </w:r>
      <w:r>
        <w:rPr>
          <w:rFonts w:ascii="Arial" w:cs="Arial" w:eastAsia="Arial" w:hAnsi="Arial"/>
          <w:sz w:val="22"/>
          <w:szCs w:val="22"/>
          <w:color w:val="auto"/>
        </w:rPr>
        <w:t>The Existing Patents are being diligently prosecuted in the respective patent offices in</w:t>
      </w:r>
      <w:r>
        <w:rPr>
          <w:rFonts w:ascii="Arial" w:cs="Arial" w:eastAsia="Arial" w:hAnsi="Arial"/>
          <w:sz w:val="22"/>
          <w:szCs w:val="22"/>
          <w:b w:val="1"/>
          <w:bCs w:val="1"/>
          <w:color w:val="auto"/>
        </w:rPr>
        <w:t xml:space="preserve"> </w:t>
      </w:r>
      <w:r>
        <w:rPr>
          <w:rFonts w:ascii="Arial" w:cs="Arial" w:eastAsia="Arial" w:hAnsi="Arial"/>
          <w:sz w:val="22"/>
          <w:szCs w:val="22"/>
          <w:color w:val="auto"/>
        </w:rPr>
        <w:t>the Territory in accordance with Applicable Law. The Existing Patents have been filed and maintained properly and correctly and all applicable fees have been paid on or before the due date for payment.</w:t>
      </w:r>
    </w:p>
    <w:p>
      <w:pPr>
        <w:spacing w:after="0" w:line="69" w:lineRule="exact"/>
        <w:rPr>
          <w:sz w:val="20"/>
          <w:szCs w:val="20"/>
          <w:color w:val="auto"/>
        </w:rPr>
      </w:pPr>
    </w:p>
    <w:p>
      <w:pPr>
        <w:jc w:val="both"/>
        <w:ind w:right="20" w:firstLine="2634"/>
        <w:spacing w:after="0" w:line="243" w:lineRule="auto"/>
        <w:rPr>
          <w:sz w:val="20"/>
          <w:szCs w:val="20"/>
          <w:color w:val="auto"/>
        </w:rPr>
      </w:pPr>
      <w:r>
        <w:rPr>
          <w:rFonts w:ascii="Arial" w:cs="Arial" w:eastAsia="Arial" w:hAnsi="Arial"/>
          <w:sz w:val="22"/>
          <w:szCs w:val="22"/>
          <w:b w:val="1"/>
          <w:bCs w:val="1"/>
          <w:color w:val="auto"/>
        </w:rPr>
        <w:t xml:space="preserve">11.2.7 </w:t>
      </w:r>
      <w:r>
        <w:rPr>
          <w:rFonts w:ascii="Arial" w:cs="Arial" w:eastAsia="Arial" w:hAnsi="Arial"/>
          <w:sz w:val="22"/>
          <w:szCs w:val="22"/>
          <w:color w:val="auto"/>
        </w:rPr>
        <w:t>Neither Licensor nor its Affiliates has, and neither will during the Term, enter into any</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or grant any right, title, or interest to any Person that is inconsistent with the rights and licenses granted to AbbVie under this Agreement.</w:t>
      </w:r>
    </w:p>
    <w:p>
      <w:pPr>
        <w:spacing w:after="0" w:line="69"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11.2.8 </w:t>
      </w:r>
      <w:r>
        <w:rPr>
          <w:rFonts w:ascii="Arial" w:cs="Arial" w:eastAsia="Arial" w:hAnsi="Arial"/>
          <w:sz w:val="22"/>
          <w:szCs w:val="22"/>
          <w:color w:val="auto"/>
        </w:rPr>
        <w:t>True, complete, and correct copies of all existing Licensor In-License Agreements have</w:t>
      </w:r>
      <w:r>
        <w:rPr>
          <w:rFonts w:ascii="Arial" w:cs="Arial" w:eastAsia="Arial" w:hAnsi="Arial"/>
          <w:sz w:val="22"/>
          <w:szCs w:val="22"/>
          <w:b w:val="1"/>
          <w:bCs w:val="1"/>
          <w:color w:val="auto"/>
        </w:rPr>
        <w:t xml:space="preserve"> </w:t>
      </w:r>
      <w:r>
        <w:rPr>
          <w:rFonts w:ascii="Arial" w:cs="Arial" w:eastAsia="Arial" w:hAnsi="Arial"/>
          <w:sz w:val="22"/>
          <w:szCs w:val="22"/>
          <w:color w:val="auto"/>
        </w:rPr>
        <w:t>been provided or made available to AbbVie prior to the Effective Date. Except for the UCSB Agreement, there is no other agreement pursuant to which Licensor in-licenses any other Existing Patent.</w:t>
      </w:r>
    </w:p>
    <w:p>
      <w:pPr>
        <w:spacing w:after="0" w:line="69"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11.2.9 </w:t>
      </w:r>
      <w:r>
        <w:rPr>
          <w:rFonts w:ascii="Arial" w:cs="Arial" w:eastAsia="Arial" w:hAnsi="Arial"/>
          <w:sz w:val="22"/>
          <w:szCs w:val="22"/>
          <w:color w:val="auto"/>
        </w:rPr>
        <w:t>To Licensor’s Knowledge, no Person is infringing or threatening to infringe or</w:t>
      </w:r>
      <w:r>
        <w:rPr>
          <w:rFonts w:ascii="Arial" w:cs="Arial" w:eastAsia="Arial" w:hAnsi="Arial"/>
          <w:sz w:val="22"/>
          <w:szCs w:val="22"/>
          <w:b w:val="1"/>
          <w:bCs w:val="1"/>
          <w:color w:val="auto"/>
        </w:rPr>
        <w:t xml:space="preserve"> </w:t>
      </w:r>
      <w:r>
        <w:rPr>
          <w:rFonts w:ascii="Arial" w:cs="Arial" w:eastAsia="Arial" w:hAnsi="Arial"/>
          <w:sz w:val="22"/>
          <w:szCs w:val="22"/>
          <w:color w:val="auto"/>
        </w:rPr>
        <w:t>misappropriating or threatening to misappropriate the Existing Patents or the Licensor Background Know-How.</w:t>
      </w:r>
    </w:p>
    <w:p>
      <w:pPr>
        <w:spacing w:after="0" w:line="55"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11.2.10 </w:t>
      </w:r>
      <w:r>
        <w:rPr>
          <w:rFonts w:ascii="Arial" w:cs="Arial" w:eastAsia="Arial" w:hAnsi="Arial"/>
          <w:sz w:val="22"/>
          <w:szCs w:val="22"/>
          <w:color w:val="auto"/>
        </w:rPr>
        <w:t>In respect of the pending patent applications included in the Existing Patents, Licensor</w:t>
      </w:r>
      <w:r>
        <w:rPr>
          <w:rFonts w:ascii="Arial" w:cs="Arial" w:eastAsia="Arial" w:hAnsi="Arial"/>
          <w:sz w:val="22"/>
          <w:szCs w:val="22"/>
          <w:b w:val="1"/>
          <w:bCs w:val="1"/>
          <w:color w:val="auto"/>
        </w:rPr>
        <w:t xml:space="preserve"> </w:t>
      </w:r>
      <w:r>
        <w:rPr>
          <w:rFonts w:ascii="Arial" w:cs="Arial" w:eastAsia="Arial" w:hAnsi="Arial"/>
          <w:sz w:val="22"/>
          <w:szCs w:val="22"/>
          <w:color w:val="auto"/>
        </w:rPr>
        <w:t>and its Affiliates have presented all references, documents, or information of which it and the inventors are aware and is otherwise material to patentability to the relevant patent examiner at the relevant patent office.</w:t>
      </w:r>
    </w:p>
    <w:p>
      <w:pPr>
        <w:spacing w:after="0" w:line="69"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11.2.11 </w:t>
      </w:r>
      <w:r>
        <w:rPr>
          <w:rFonts w:ascii="Arial" w:cs="Arial" w:eastAsia="Arial" w:hAnsi="Arial"/>
          <w:sz w:val="22"/>
          <w:szCs w:val="22"/>
          <w:color w:val="auto"/>
        </w:rPr>
        <w:t>To Licensor’s Knowledge, the conduct of the Discovery Research Plan and AbbVie’s</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Manufacture and Commercialization of the Licensed Products as contemplated herein will not infringe any Patent or other intellectual property or</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38" w:name="page139"/>
    <w:bookmarkEnd w:id="138"/>
    <w:p>
      <w:pPr>
        <w:jc w:val="both"/>
        <w:spacing w:after="0" w:line="251" w:lineRule="auto"/>
        <w:rPr>
          <w:sz w:val="20"/>
          <w:szCs w:val="20"/>
          <w:color w:val="auto"/>
        </w:rPr>
      </w:pPr>
      <w:r>
        <w:rPr>
          <w:rFonts w:ascii="Arial" w:cs="Arial" w:eastAsia="Arial" w:hAnsi="Arial"/>
          <w:sz w:val="22"/>
          <w:szCs w:val="22"/>
          <w:color w:val="auto"/>
        </w:rPr>
        <w:t>proprietary right of any Person, in each case as a result of such Licensed Product containing a Discovery Probody (other than the Discovery Antibody portion thereof).</w:t>
      </w:r>
    </w:p>
    <w:p>
      <w:pPr>
        <w:spacing w:after="0" w:line="59" w:lineRule="exact"/>
        <w:rPr>
          <w:sz w:val="20"/>
          <w:szCs w:val="20"/>
          <w:color w:val="auto"/>
        </w:rPr>
      </w:pPr>
    </w:p>
    <w:p>
      <w:pPr>
        <w:jc w:val="both"/>
        <w:ind w:right="20" w:firstLine="2634"/>
        <w:spacing w:after="0" w:line="243" w:lineRule="auto"/>
        <w:rPr>
          <w:sz w:val="20"/>
          <w:szCs w:val="20"/>
          <w:color w:val="auto"/>
        </w:rPr>
      </w:pPr>
      <w:r>
        <w:rPr>
          <w:rFonts w:ascii="Arial" w:cs="Arial" w:eastAsia="Arial" w:hAnsi="Arial"/>
          <w:sz w:val="22"/>
          <w:szCs w:val="22"/>
          <w:b w:val="1"/>
          <w:bCs w:val="1"/>
          <w:color w:val="auto"/>
        </w:rPr>
        <w:t xml:space="preserve">11.2.12 </w:t>
      </w:r>
      <w:r>
        <w:rPr>
          <w:rFonts w:ascii="Arial" w:cs="Arial" w:eastAsia="Arial" w:hAnsi="Arial"/>
          <w:sz w:val="22"/>
          <w:szCs w:val="22"/>
          <w:color w:val="auto"/>
        </w:rPr>
        <w:t>To Licensor’s Knowledge, the conception, development, and reduction to practice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Existing Patents, and Licensor Background Know-How existing as of the Effective Date have not constituted or involved the misappropriation of trade secrets or other rights or property of any Person.</w:t>
      </w:r>
    </w:p>
    <w:p>
      <w:pPr>
        <w:spacing w:after="0" w:line="69" w:lineRule="exact"/>
        <w:rPr>
          <w:sz w:val="20"/>
          <w:szCs w:val="20"/>
          <w:color w:val="auto"/>
        </w:rPr>
      </w:pPr>
    </w:p>
    <w:p>
      <w:pPr>
        <w:jc w:val="both"/>
        <w:ind w:firstLine="2634"/>
        <w:spacing w:after="0" w:line="280" w:lineRule="auto"/>
        <w:rPr>
          <w:sz w:val="20"/>
          <w:szCs w:val="20"/>
          <w:color w:val="auto"/>
        </w:rPr>
      </w:pPr>
      <w:r>
        <w:rPr>
          <w:rFonts w:ascii="Arial" w:cs="Arial" w:eastAsia="Arial" w:hAnsi="Arial"/>
          <w:sz w:val="21"/>
          <w:szCs w:val="21"/>
          <w:b w:val="1"/>
          <w:bCs w:val="1"/>
          <w:color w:val="auto"/>
        </w:rPr>
        <w:t xml:space="preserve">11.2.13 </w:t>
      </w:r>
      <w:r>
        <w:rPr>
          <w:rFonts w:ascii="Arial" w:cs="Arial" w:eastAsia="Arial" w:hAnsi="Arial"/>
          <w:sz w:val="21"/>
          <w:szCs w:val="21"/>
          <w:color w:val="auto"/>
        </w:rPr>
        <w:t>The Existing Patents represent all Patents within Licensor’s or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ownership or Control relating to the Discovery PDCs or the Licensed Products, or the Exploitation thereof, as of the Effective Date.</w:t>
      </w:r>
    </w:p>
    <w:p>
      <w:pPr>
        <w:spacing w:after="0" w:line="31"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11.2.14 </w:t>
      </w:r>
      <w:r>
        <w:rPr>
          <w:rFonts w:ascii="Arial" w:cs="Arial" w:eastAsia="Arial" w:hAnsi="Arial"/>
          <w:sz w:val="22"/>
          <w:szCs w:val="22"/>
          <w:color w:val="auto"/>
        </w:rPr>
        <w:t>To Licensor’s Knowledge, each of the Existing Patents properly identifies each and</w:t>
      </w:r>
      <w:r>
        <w:rPr>
          <w:rFonts w:ascii="Arial" w:cs="Arial" w:eastAsia="Arial" w:hAnsi="Arial"/>
          <w:sz w:val="22"/>
          <w:szCs w:val="22"/>
          <w:b w:val="1"/>
          <w:bCs w:val="1"/>
          <w:color w:val="auto"/>
        </w:rPr>
        <w:t xml:space="preserve"> </w:t>
      </w:r>
      <w:r>
        <w:rPr>
          <w:rFonts w:ascii="Arial" w:cs="Arial" w:eastAsia="Arial" w:hAnsi="Arial"/>
          <w:sz w:val="22"/>
          <w:szCs w:val="22"/>
          <w:color w:val="auto"/>
        </w:rPr>
        <w:t>every inventor of the claims thereof as determined in accordance with the laws of the jurisdiction in which such Existing Patent is issued or such application is pending.</w:t>
      </w:r>
    </w:p>
    <w:p>
      <w:pPr>
        <w:spacing w:after="0" w:line="69" w:lineRule="exact"/>
        <w:rPr>
          <w:sz w:val="20"/>
          <w:szCs w:val="20"/>
          <w:color w:val="auto"/>
        </w:rPr>
      </w:pPr>
    </w:p>
    <w:p>
      <w:pPr>
        <w:jc w:val="both"/>
        <w:ind w:firstLine="2634"/>
        <w:spacing w:after="0" w:line="278" w:lineRule="auto"/>
        <w:rPr>
          <w:sz w:val="20"/>
          <w:szCs w:val="20"/>
          <w:color w:val="auto"/>
        </w:rPr>
      </w:pPr>
      <w:r>
        <w:rPr>
          <w:rFonts w:ascii="Arial" w:cs="Arial" w:eastAsia="Arial" w:hAnsi="Arial"/>
          <w:sz w:val="19"/>
          <w:szCs w:val="19"/>
          <w:b w:val="1"/>
          <w:bCs w:val="1"/>
          <w:color w:val="auto"/>
        </w:rPr>
        <w:t xml:space="preserve">11.2.15 </w:t>
      </w:r>
      <w:r>
        <w:rPr>
          <w:rFonts w:ascii="Arial" w:cs="Arial" w:eastAsia="Arial" w:hAnsi="Arial"/>
          <w:sz w:val="19"/>
          <w:szCs w:val="19"/>
          <w:color w:val="auto"/>
        </w:rPr>
        <w:t>Each Person who has or has had any rights in or to any Existing Patents or any</w:t>
      </w:r>
      <w:r>
        <w:rPr>
          <w:rFonts w:ascii="Arial" w:cs="Arial" w:eastAsia="Arial" w:hAnsi="Arial"/>
          <w:sz w:val="19"/>
          <w:szCs w:val="19"/>
          <w:b w:val="1"/>
          <w:bCs w:val="1"/>
          <w:color w:val="auto"/>
        </w:rPr>
        <w:t xml:space="preserve"> </w:t>
      </w:r>
      <w:r>
        <w:rPr>
          <w:rFonts w:ascii="Arial" w:cs="Arial" w:eastAsia="Arial" w:hAnsi="Arial"/>
          <w:sz w:val="19"/>
          <w:szCs w:val="19"/>
          <w:color w:val="auto"/>
        </w:rPr>
        <w:t>Licensor Background Know-How, has assigned and has executed an agreement assigning its entire right, title, and interest in and to such Existing Patents and Licensor Background Know-How to Licensor or to Licensor’s Knowledge, to the licensor under existing Licensor In-License Agreements, as applicable. To Licensor’s Knowledge, no current officer, employee, agent, or consultant of Licensor or any of its Affiliates is in violation of any term of any assignment or other agreement regarding the protection of Patents or other intellectual property or proprietary information of Licensor or such Affiliate or of any employment contract or any other contractual obligation relating to the relationship of any such Person with Licensor.</w:t>
      </w:r>
    </w:p>
    <w:p>
      <w:pPr>
        <w:spacing w:after="0" w:line="38"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11.2.16 </w:t>
      </w:r>
      <w:r>
        <w:rPr>
          <w:rFonts w:ascii="Arial" w:cs="Arial" w:eastAsia="Arial" w:hAnsi="Arial"/>
          <w:sz w:val="22"/>
          <w:szCs w:val="22"/>
          <w:color w:val="auto"/>
        </w:rPr>
        <w:t>No rights or licenses are required under the Existing Patents or Licensor Background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Know-How for the conduct of the Discovery Research Plan or for AbbVie to Develop and Commercialize the Discovery PDCs and the Licensed Products as contemplated herein other than those granted under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69"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11.2.17 </w:t>
      </w:r>
      <w:r>
        <w:rPr>
          <w:rFonts w:ascii="Arial" w:cs="Arial" w:eastAsia="Arial" w:hAnsi="Arial"/>
          <w:sz w:val="22"/>
          <w:szCs w:val="22"/>
          <w:color w:val="auto"/>
        </w:rPr>
        <w:t>The Licensor Background Know-How that constitutes a trade secret has been kept</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or has been disclosed to Third Parties only under terms of confidentiality. To the Knowledge of Licensor, no material breach of a confidentiality obligation to Licensor with respect to any Licensor Background Know-How has been committed by any Third Party.</w:t>
      </w:r>
    </w:p>
    <w:p>
      <w:pPr>
        <w:spacing w:after="0" w:line="73"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11.2.18 </w:t>
      </w:r>
      <w:r>
        <w:rPr>
          <w:rFonts w:ascii="Arial" w:cs="Arial" w:eastAsia="Arial" w:hAnsi="Arial"/>
          <w:sz w:val="22"/>
          <w:szCs w:val="22"/>
          <w:color w:val="auto"/>
        </w:rPr>
        <w:t>Licensor has made available to AbbVie all Licensor Background Know-How and</w:t>
      </w:r>
      <w:r>
        <w:rPr>
          <w:rFonts w:ascii="Arial" w:cs="Arial" w:eastAsia="Arial" w:hAnsi="Arial"/>
          <w:sz w:val="22"/>
          <w:szCs w:val="22"/>
          <w:b w:val="1"/>
          <w:bCs w:val="1"/>
          <w:color w:val="auto"/>
        </w:rPr>
        <w:t xml:space="preserve"> </w:t>
      </w:r>
      <w:r>
        <w:rPr>
          <w:rFonts w:ascii="Arial" w:cs="Arial" w:eastAsia="Arial" w:hAnsi="Arial"/>
          <w:sz w:val="22"/>
          <w:szCs w:val="22"/>
          <w:color w:val="auto"/>
        </w:rPr>
        <w:t>other Information in its possession or Control regarding or related to the Discovery Probodies, Discovery PDCs or the Licensed Products that has been requested by AbbVie, and all such Licensor Background Know-How and other Information are true, complete, and correct.</w:t>
      </w:r>
    </w:p>
    <w:p>
      <w:pPr>
        <w:spacing w:after="0" w:line="73"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11.2.19 </w:t>
      </w:r>
      <w:r>
        <w:rPr>
          <w:rFonts w:ascii="Arial" w:cs="Arial" w:eastAsia="Arial" w:hAnsi="Arial"/>
          <w:sz w:val="22"/>
          <w:szCs w:val="22"/>
          <w:color w:val="auto"/>
        </w:rPr>
        <w:t>Other than the existing Licensor In-License Agreements, to Licensor’s Knowledge,</w:t>
      </w:r>
      <w:r>
        <w:rPr>
          <w:rFonts w:ascii="Arial" w:cs="Arial" w:eastAsia="Arial" w:hAnsi="Arial"/>
          <w:sz w:val="22"/>
          <w:szCs w:val="22"/>
          <w:b w:val="1"/>
          <w:bCs w:val="1"/>
          <w:color w:val="auto"/>
        </w:rPr>
        <w:t xml:space="preserve"> </w:t>
      </w:r>
      <w:r>
        <w:rPr>
          <w:rFonts w:ascii="Arial" w:cs="Arial" w:eastAsia="Arial" w:hAnsi="Arial"/>
          <w:sz w:val="22"/>
          <w:szCs w:val="22"/>
          <w:color w:val="auto"/>
        </w:rPr>
        <w:t>there are no amounts that will be required to be paid to a Third Party as a result of the Development, Manufacture or Commercialization of the Discovery PDCs or Licensed Products that arise out of any agreement to which Licensor or any of its Affiliates is a party.</w:t>
      </w:r>
    </w:p>
    <w:p>
      <w:pPr>
        <w:spacing w:after="0" w:line="73"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11.2.20 </w:t>
      </w:r>
      <w:r>
        <w:rPr>
          <w:rFonts w:ascii="Arial" w:cs="Arial" w:eastAsia="Arial" w:hAnsi="Arial"/>
          <w:sz w:val="22"/>
          <w:szCs w:val="22"/>
          <w:color w:val="auto"/>
        </w:rPr>
        <w:t>Except as listed 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Schedule 11.2.1</w:t>
      </w:r>
      <w:r>
        <w:rPr>
          <w:rFonts w:ascii="Arial" w:cs="Arial" w:eastAsia="Arial" w:hAnsi="Arial"/>
          <w:sz w:val="22"/>
          <w:szCs w:val="22"/>
          <w:color w:val="auto"/>
        </w:rPr>
        <w:t>, the inventions claimed or covered by the Existing</w:t>
      </w:r>
      <w:r>
        <w:rPr>
          <w:rFonts w:ascii="Arial" w:cs="Arial" w:eastAsia="Arial" w:hAnsi="Arial"/>
          <w:sz w:val="22"/>
          <w:szCs w:val="22"/>
          <w:b w:val="1"/>
          <w:bCs w:val="1"/>
          <w:color w:val="auto"/>
        </w:rPr>
        <w:t xml:space="preserve"> </w:t>
      </w:r>
      <w:r>
        <w:rPr>
          <w:rFonts w:ascii="Arial" w:cs="Arial" w:eastAsia="Arial" w:hAnsi="Arial"/>
          <w:sz w:val="22"/>
          <w:szCs w:val="22"/>
          <w:color w:val="auto"/>
        </w:rPr>
        <w:t>Patents (a) were not conceived, discovered, developed, or otherwise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39" w:name="page140"/>
    <w:bookmarkEnd w:id="139"/>
    <w:p>
      <w:pPr>
        <w:jc w:val="both"/>
        <w:spacing w:after="0"/>
        <w:rPr>
          <w:sz w:val="20"/>
          <w:szCs w:val="20"/>
          <w:color w:val="auto"/>
        </w:rPr>
      </w:pPr>
      <w:r>
        <w:rPr>
          <w:rFonts w:ascii="Arial" w:cs="Arial" w:eastAsia="Arial" w:hAnsi="Arial"/>
          <w:sz w:val="22"/>
          <w:szCs w:val="22"/>
          <w:color w:val="auto"/>
        </w:rPr>
        <w:t>made in connection with any research activities funded, in whole or in part, by the federal government of the United States or any agency thereof, (b) are not a “subject invention” as that term is described in 35 U.S.C. Section 201(f), and (c) are not otherwise subject to the provisions of the Bayh-Dole Act.</w:t>
      </w:r>
    </w:p>
    <w:p>
      <w:pPr>
        <w:spacing w:after="0" w:line="72"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b w:val="1"/>
          <w:bCs w:val="1"/>
          <w:color w:val="auto"/>
        </w:rPr>
        <w:t>11.3 Debarment</w:t>
      </w:r>
      <w:r>
        <w:rPr>
          <w:rFonts w:ascii="Arial" w:cs="Arial" w:eastAsia="Arial" w:hAnsi="Arial"/>
          <w:sz w:val="21"/>
          <w:szCs w:val="21"/>
          <w:color w:val="auto"/>
        </w:rPr>
        <w:t>. Neither Party nor any of its employees nor agents performing hereunder, have ever</w:t>
      </w:r>
      <w:r>
        <w:rPr>
          <w:rFonts w:ascii="Arial" w:cs="Arial" w:eastAsia="Arial" w:hAnsi="Arial"/>
          <w:sz w:val="21"/>
          <w:szCs w:val="21"/>
          <w:b w:val="1"/>
          <w:bCs w:val="1"/>
          <w:color w:val="auto"/>
        </w:rPr>
        <w:t xml:space="preserve"> </w:t>
      </w:r>
      <w:r>
        <w:rPr>
          <w:rFonts w:ascii="Arial" w:cs="Arial" w:eastAsia="Arial" w:hAnsi="Arial"/>
          <w:sz w:val="21"/>
          <w:szCs w:val="21"/>
          <w:color w:val="auto"/>
        </w:rPr>
        <w:t>been, are currently, or are the subject of a proceeding that could lead to it or such employees or agents becoming, as applicable, a Debarred Entity or Debarred Individual, an Excluded Entity or Excluded Individual or a Convicted Entity or Convicted Individual or added to the FDA’s Disqualified/Restricted List. If, during the Term, either Party, or any of its employees or agents performing hereunder, become or are the subject of a proceeding that could lead to a Person becoming, as applicable, a Debarred Entity or Debarred Individual, an Excluded Entity or Excluded Individual or a Convicted Entity or Convicted Individual or added to the FDA’s Disqualified/Restricted List, such Party shall immediately notify the other Party, and if Licensor is the notified Party, Licensor shall have the right to prohibit such Person from performing work under this Agreement, and if AbbVie is the notified Party AbbVie shall have the option, at its sole discretion, to either: (a) prohibit such Person from performing work under this Agreement or (b) terminate all work being performed or to be performed by the notifying Party pursuant to this Agreement. This provision shall survive termination or expiration of this Agreement. For purposes of this provision, the following definitions shall apply:</w:t>
      </w:r>
    </w:p>
    <w:p>
      <w:pPr>
        <w:spacing w:after="0" w:line="67"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11.3.1 </w:t>
      </w:r>
      <w:r>
        <w:rPr>
          <w:rFonts w:ascii="Arial" w:cs="Arial" w:eastAsia="Arial" w:hAnsi="Arial"/>
          <w:sz w:val="22"/>
          <w:szCs w:val="22"/>
          <w:color w:val="auto"/>
        </w:rPr>
        <w:t>A “Debarred Individual” is an individual who has been debarred by the FDA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21 U.S.C. §335a (a) or (b) from providing services in any capacity to a Person that has an approved or pending drug or biological product application.</w:t>
      </w:r>
    </w:p>
    <w:p>
      <w:pPr>
        <w:spacing w:after="0" w:line="69"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11.3.2 </w:t>
      </w:r>
      <w:r>
        <w:rPr>
          <w:rFonts w:ascii="Arial" w:cs="Arial" w:eastAsia="Arial" w:hAnsi="Arial"/>
          <w:sz w:val="22"/>
          <w:szCs w:val="22"/>
          <w:color w:val="auto"/>
        </w:rPr>
        <w:t>A “Debarred Entity” is a corporation, partnership or association that has been debarred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FDA pursuant to 21 U.S.C. §335a (a) or (b) from submitting or assisting in the submission of any abbreviated drug application, or a subsidiary or affiliate of a Debarred Entity.</w:t>
      </w:r>
    </w:p>
    <w:p>
      <w:pPr>
        <w:spacing w:after="0" w:line="69" w:lineRule="exact"/>
        <w:rPr>
          <w:sz w:val="20"/>
          <w:szCs w:val="20"/>
          <w:color w:val="auto"/>
        </w:rPr>
      </w:pPr>
    </w:p>
    <w:p>
      <w:pPr>
        <w:jc w:val="both"/>
        <w:ind w:firstLine="2634"/>
        <w:spacing w:after="0" w:line="236" w:lineRule="auto"/>
        <w:rPr>
          <w:sz w:val="20"/>
          <w:szCs w:val="20"/>
          <w:color w:val="auto"/>
        </w:rPr>
      </w:pPr>
      <w:r>
        <w:rPr>
          <w:rFonts w:ascii="Arial" w:cs="Arial" w:eastAsia="Arial" w:hAnsi="Arial"/>
          <w:sz w:val="22"/>
          <w:szCs w:val="22"/>
          <w:b w:val="1"/>
          <w:bCs w:val="1"/>
          <w:color w:val="auto"/>
        </w:rPr>
        <w:t xml:space="preserve">11.3.3 </w:t>
      </w:r>
      <w:r>
        <w:rPr>
          <w:rFonts w:ascii="Arial" w:cs="Arial" w:eastAsia="Arial" w:hAnsi="Arial"/>
          <w:sz w:val="22"/>
          <w:szCs w:val="22"/>
          <w:color w:val="auto"/>
        </w:rPr>
        <w:t>An “Excluded Individual” or “Excluded Entity” is (A) an individual or entity,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who has been excluded, debarred, suspended or is otherwise ineligible to participate in federal health care programs such as Medicare or Medicaid by the Office of the Inspector General (OIG/HHS) of the U.S. Department of Health and Human Services, or (B) is an individual or entity, as applicable, who has been excluded, debarred, suspended or is otherwise ineligible to participate in federal procurement and non-procurement programs, including those produced by the U.S. General Services Administration (GSA).</w:t>
      </w:r>
    </w:p>
    <w:p>
      <w:pPr>
        <w:spacing w:after="0" w:line="74"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11.3.4 </w:t>
      </w:r>
      <w:r>
        <w:rPr>
          <w:rFonts w:ascii="Arial" w:cs="Arial" w:eastAsia="Arial" w:hAnsi="Arial"/>
          <w:sz w:val="22"/>
          <w:szCs w:val="22"/>
          <w:color w:val="auto"/>
        </w:rPr>
        <w:t>A “Convicted Individual” or “Convicted Entity” is an individual or entity, as</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who has been convicted of a criminal offense that falls within the ambit of 21 U.S.C. §335a (a) or 42 U.S.C. §1320a - 7(a), but has not yet been excluded, debarred, suspended or otherwise declared ineligible.</w:t>
      </w:r>
    </w:p>
    <w:p>
      <w:pPr>
        <w:spacing w:after="0" w:line="69"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11.3.5 </w:t>
      </w:r>
      <w:r>
        <w:rPr>
          <w:rFonts w:ascii="Arial" w:cs="Arial" w:eastAsia="Arial" w:hAnsi="Arial"/>
          <w:sz w:val="22"/>
          <w:szCs w:val="22"/>
          <w:color w:val="auto"/>
        </w:rPr>
        <w:t>“</w:t>
      </w:r>
      <w:r>
        <w:rPr>
          <w:rFonts w:ascii="Arial" w:cs="Arial" w:eastAsia="Arial" w:hAnsi="Arial"/>
          <w:sz w:val="22"/>
          <w:szCs w:val="22"/>
          <w:b w:val="1"/>
          <w:bCs w:val="1"/>
          <w:color w:val="auto"/>
        </w:rPr>
        <w:t>FDA’s Disqualified/Restricted List</w:t>
      </w:r>
      <w:r>
        <w:rPr>
          <w:rFonts w:ascii="Arial" w:cs="Arial" w:eastAsia="Arial" w:hAnsi="Arial"/>
          <w:sz w:val="22"/>
          <w:szCs w:val="22"/>
          <w:color w:val="auto"/>
        </w:rPr>
        <w:t>” is the list of clinical investigators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from receiving investigational drugs, biologics, or devices if the FDA has determined that the investigators have repeatedly or deliberately failed to comply with regulatory requirements for studies or have submitted false Information to the study sponsor or the FDA.</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0" w:name="page141"/>
    <w:bookmarkEnd w:id="140"/>
    <w:p>
      <w:pPr>
        <w:jc w:val="both"/>
        <w:ind w:firstLine="1755"/>
        <w:spacing w:after="0" w:line="235" w:lineRule="auto"/>
        <w:rPr>
          <w:sz w:val="20"/>
          <w:szCs w:val="20"/>
          <w:color w:val="auto"/>
        </w:rPr>
      </w:pPr>
      <w:r>
        <w:rPr>
          <w:rFonts w:ascii="Arial" w:cs="Arial" w:eastAsia="Arial" w:hAnsi="Arial"/>
          <w:sz w:val="22"/>
          <w:szCs w:val="22"/>
          <w:b w:val="1"/>
          <w:bCs w:val="1"/>
          <w:color w:val="auto"/>
        </w:rPr>
        <w:t xml:space="preserve">11.4 Obtainment of Rights. </w:t>
      </w:r>
      <w:r>
        <w:rPr>
          <w:rFonts w:ascii="Arial" w:cs="Arial" w:eastAsia="Arial" w:hAnsi="Arial"/>
          <w:sz w:val="22"/>
          <w:szCs w:val="22"/>
          <w:color w:val="auto"/>
        </w:rPr>
        <w:t>Each Party has or will obtain from each of its Affiliates, sublicensees,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employees and agents, and from the employees and agents of its Affiliates, sublicensees and agents, who are performing tests or studies, or are otherwise participating in the Exploitation of the AbbVie Probodies, Discovery PDCs or Licensed Products or who otherwise have access to any the other Party’s Information or other Confidential Information of the other Party, and shall obtain from such Persons during the Term, the licenses and other rights necessary for such Party to grant to the other Party the rights and licenses provided herein and for the other Party to perform its obligations hereunder, without payments beyond those required by </w:t>
      </w:r>
      <w:r>
        <w:rPr>
          <w:rFonts w:ascii="Arial" w:cs="Arial" w:eastAsia="Arial" w:hAnsi="Arial"/>
          <w:sz w:val="22"/>
          <w:szCs w:val="22"/>
          <w:u w:val="single" w:color="auto"/>
          <w:color w:val="auto"/>
        </w:rPr>
        <w:t>ARTICLE 7.</w:t>
      </w:r>
    </w:p>
    <w:p>
      <w:pPr>
        <w:spacing w:after="0" w:line="76"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b w:val="1"/>
          <w:bCs w:val="1"/>
          <w:color w:val="auto"/>
        </w:rPr>
        <w:t xml:space="preserve">11.5 DISCLAIMER OF WARRANTIES. </w:t>
      </w:r>
      <w:r>
        <w:rPr>
          <w:rFonts w:ascii="Arial" w:cs="Arial" w:eastAsia="Arial" w:hAnsi="Arial"/>
          <w:sz w:val="22"/>
          <w:szCs w:val="22"/>
          <w:color w:val="auto"/>
        </w:rPr>
        <w:t>EXCEPT FOR THE EXPRESS WARRANTIES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HEREIN, NEITHER PARTY MAKES ANY REPRESENTATIONS OR GRANTS ANY WARRANTIES, EXPRESS OR IMPLIED, EITHER IN FACT OR BY OPERATION OF LAW, BY STATUTE OR OTHERWISE, AND EACH PARTY SPECIFICALLY DISCLAIMS ANY OTHER WARRANTIES, WHETHER WRITTEN OR ORAL, OR EXPRESS OR IMPLIED, INCLUDING ANY WARRANTY OF QUALITY, MERCHANTABILITY, OR FITNESS FOR A PARTICULAR USE OR PURPOSE OR ANY WARRANTY AS TO THE VALIDITY OF ANY PATENTS OR THE NON-INFRINGEMENT OF ANY INTELLECTUAL PROPERTY RIGHTS OF THIRD PARTIES.</w:t>
      </w:r>
    </w:p>
    <w:p>
      <w:pPr>
        <w:spacing w:after="0" w:line="18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INDEMNITY</w:t>
      </w:r>
    </w:p>
    <w:p>
      <w:pPr>
        <w:spacing w:after="0" w:line="182"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12.1 Indemnification of Licensor. </w:t>
      </w:r>
      <w:r>
        <w:rPr>
          <w:rFonts w:ascii="Arial" w:cs="Arial" w:eastAsia="Arial" w:hAnsi="Arial"/>
          <w:sz w:val="22"/>
          <w:szCs w:val="22"/>
          <w:color w:val="auto"/>
        </w:rPr>
        <w:t>AbbVie shall indemnify Licensor, its Affiliates and its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directors, officers, employees, and agents (the “</w:t>
      </w:r>
      <w:r>
        <w:rPr>
          <w:rFonts w:ascii="Arial" w:cs="Arial" w:eastAsia="Arial" w:hAnsi="Arial"/>
          <w:sz w:val="22"/>
          <w:szCs w:val="22"/>
          <w:b w:val="1"/>
          <w:bCs w:val="1"/>
          <w:color w:val="auto"/>
        </w:rPr>
        <w:t>Licensor Indemnitees</w:t>
      </w:r>
      <w:r>
        <w:rPr>
          <w:rFonts w:ascii="Arial" w:cs="Arial" w:eastAsia="Arial" w:hAnsi="Arial"/>
          <w:sz w:val="22"/>
          <w:szCs w:val="22"/>
          <w:color w:val="auto"/>
        </w:rPr>
        <w:t>”) and defend and save each of them harmless, from and against any and all losses, damages, liabilities, penalties, costs, and expenses (including reasonable attorneys’ fees and expenses) (collectively, “</w:t>
      </w:r>
      <w:r>
        <w:rPr>
          <w:rFonts w:ascii="Arial" w:cs="Arial" w:eastAsia="Arial" w:hAnsi="Arial"/>
          <w:sz w:val="22"/>
          <w:szCs w:val="22"/>
          <w:b w:val="1"/>
          <w:bCs w:val="1"/>
          <w:color w:val="auto"/>
        </w:rPr>
        <w:t>Losses</w:t>
      </w:r>
      <w:r>
        <w:rPr>
          <w:rFonts w:ascii="Arial" w:cs="Arial" w:eastAsia="Arial" w:hAnsi="Arial"/>
          <w:sz w:val="22"/>
          <w:szCs w:val="22"/>
          <w:color w:val="auto"/>
        </w:rPr>
        <w:t>”) in connection with any and all suits, investigations, claims, or demands of Third Parties (collectively, “</w:t>
      </w:r>
      <w:r>
        <w:rPr>
          <w:rFonts w:ascii="Arial" w:cs="Arial" w:eastAsia="Arial" w:hAnsi="Arial"/>
          <w:sz w:val="22"/>
          <w:szCs w:val="22"/>
          <w:b w:val="1"/>
          <w:bCs w:val="1"/>
          <w:color w:val="auto"/>
        </w:rPr>
        <w:t>Third Party Claims</w:t>
      </w:r>
      <w:r>
        <w:rPr>
          <w:rFonts w:ascii="Arial" w:cs="Arial" w:eastAsia="Arial" w:hAnsi="Arial"/>
          <w:sz w:val="22"/>
          <w:szCs w:val="22"/>
          <w:color w:val="auto"/>
        </w:rPr>
        <w:t>”) incurred by or rendered against the Licensor Indemnitees arising from or occurring as a result of: [***].</w:t>
      </w:r>
    </w:p>
    <w:p>
      <w:pPr>
        <w:spacing w:after="0" w:line="74" w:lineRule="exact"/>
        <w:rPr>
          <w:sz w:val="20"/>
          <w:szCs w:val="20"/>
          <w:color w:val="auto"/>
        </w:rPr>
      </w:pPr>
    </w:p>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12.2 Indemnification of AbbVie. </w:t>
      </w:r>
      <w:r>
        <w:rPr>
          <w:rFonts w:ascii="Arial" w:cs="Arial" w:eastAsia="Arial" w:hAnsi="Arial"/>
          <w:sz w:val="22"/>
          <w:szCs w:val="22"/>
          <w:color w:val="auto"/>
        </w:rPr>
        <w:t>Licensor shall indemnify AbbVie, its Affiliates and its and their</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directors, officers, employees, and agents (the “</w:t>
      </w:r>
      <w:r>
        <w:rPr>
          <w:rFonts w:ascii="Arial" w:cs="Arial" w:eastAsia="Arial" w:hAnsi="Arial"/>
          <w:sz w:val="22"/>
          <w:szCs w:val="22"/>
          <w:b w:val="1"/>
          <w:bCs w:val="1"/>
          <w:color w:val="auto"/>
        </w:rPr>
        <w:t>AbbVie Indemnitees</w:t>
      </w:r>
      <w:r>
        <w:rPr>
          <w:rFonts w:ascii="Arial" w:cs="Arial" w:eastAsia="Arial" w:hAnsi="Arial"/>
          <w:sz w:val="22"/>
          <w:szCs w:val="22"/>
          <w:color w:val="auto"/>
        </w:rPr>
        <w:t>”), and defend and save each of them harmless, from and against any and all Losses in connection with any and all Third Party Claims incurred by or rendered against the AbbVie Indemnitees arising from or occurring as a result of: [***].</w:t>
      </w:r>
    </w:p>
    <w:p>
      <w:pPr>
        <w:spacing w:after="0" w:line="73" w:lineRule="exact"/>
        <w:rPr>
          <w:sz w:val="20"/>
          <w:szCs w:val="20"/>
          <w:color w:val="auto"/>
        </w:rPr>
      </w:pPr>
    </w:p>
    <w:p>
      <w:pPr>
        <w:jc w:val="both"/>
        <w:ind w:firstLine="1755"/>
        <w:spacing w:after="0" w:line="278" w:lineRule="auto"/>
        <w:rPr>
          <w:sz w:val="20"/>
          <w:szCs w:val="20"/>
          <w:color w:val="auto"/>
        </w:rPr>
      </w:pPr>
      <w:r>
        <w:rPr>
          <w:rFonts w:ascii="Arial" w:cs="Arial" w:eastAsia="Arial" w:hAnsi="Arial"/>
          <w:sz w:val="19"/>
          <w:szCs w:val="19"/>
          <w:b w:val="1"/>
          <w:bCs w:val="1"/>
          <w:color w:val="auto"/>
        </w:rPr>
        <w:t xml:space="preserve">12.3 Notice of Claim. </w:t>
      </w:r>
      <w:r>
        <w:rPr>
          <w:rFonts w:ascii="Arial" w:cs="Arial" w:eastAsia="Arial" w:hAnsi="Arial"/>
          <w:sz w:val="19"/>
          <w:szCs w:val="19"/>
          <w:color w:val="auto"/>
        </w:rPr>
        <w:t>All indemnification claims in respect of a Party, its Affiliates, or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officers, employees and agents shall be made solely by such Party to this Agreement (the “</w:t>
      </w:r>
      <w:r>
        <w:rPr>
          <w:rFonts w:ascii="Arial" w:cs="Arial" w:eastAsia="Arial" w:hAnsi="Arial"/>
          <w:sz w:val="19"/>
          <w:szCs w:val="19"/>
          <w:b w:val="1"/>
          <w:bCs w:val="1"/>
          <w:color w:val="auto"/>
        </w:rPr>
        <w:t>Indemnified Party</w:t>
      </w:r>
      <w:r>
        <w:rPr>
          <w:rFonts w:ascii="Arial" w:cs="Arial" w:eastAsia="Arial" w:hAnsi="Arial"/>
          <w:sz w:val="19"/>
          <w:szCs w:val="19"/>
          <w:color w:val="auto"/>
        </w:rPr>
        <w:t>”). The Indemnified Party shall give the indemnifying Party prompt written notice (an “</w:t>
      </w:r>
      <w:r>
        <w:rPr>
          <w:rFonts w:ascii="Arial" w:cs="Arial" w:eastAsia="Arial" w:hAnsi="Arial"/>
          <w:sz w:val="19"/>
          <w:szCs w:val="19"/>
          <w:b w:val="1"/>
          <w:bCs w:val="1"/>
          <w:color w:val="auto"/>
        </w:rPr>
        <w:t>Indemnification Claim Notice</w:t>
      </w:r>
      <w:r>
        <w:rPr>
          <w:rFonts w:ascii="Arial" w:cs="Arial" w:eastAsia="Arial" w:hAnsi="Arial"/>
          <w:sz w:val="19"/>
          <w:szCs w:val="19"/>
          <w:color w:val="auto"/>
        </w:rPr>
        <w:t xml:space="preserve">”) of any Losses or discovery of fact upon which such Indemnified Party intends to base a request for indemnification under this </w:t>
      </w:r>
      <w:r>
        <w:rPr>
          <w:rFonts w:ascii="Arial" w:cs="Arial" w:eastAsia="Arial" w:hAnsi="Arial"/>
          <w:sz w:val="19"/>
          <w:szCs w:val="19"/>
          <w:u w:val="single" w:color="auto"/>
          <w:color w:val="auto"/>
        </w:rPr>
        <w:t>ARTICLE 12</w:t>
      </w:r>
      <w:r>
        <w:rPr>
          <w:rFonts w:ascii="Arial" w:cs="Arial" w:eastAsia="Arial" w:hAnsi="Arial"/>
          <w:sz w:val="19"/>
          <w:szCs w:val="19"/>
          <w:color w:val="auto"/>
        </w:rPr>
        <w:t>, but in no event shall the indemnifying Party be liable for any Losses that result from any delay in providing such notice. Each Indemnification Claim Notice must contain a description of the claim and the nature and amount of such Loss (to the extent that the nature and amount of such Loss is known at such time). The Indemnified Party shall furnish promptly to the</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41" w:name="page142"/>
    <w:bookmarkEnd w:id="141"/>
    <w:p>
      <w:pPr>
        <w:spacing w:after="0"/>
        <w:rPr>
          <w:sz w:val="20"/>
          <w:szCs w:val="20"/>
          <w:color w:val="auto"/>
        </w:rPr>
      </w:pPr>
      <w:r>
        <w:rPr>
          <w:rFonts w:ascii="Arial" w:cs="Arial" w:eastAsia="Arial" w:hAnsi="Arial"/>
          <w:sz w:val="21"/>
          <w:szCs w:val="21"/>
          <w:color w:val="auto"/>
        </w:rPr>
        <w:t>indemnifying Party copies of all papers and official documents received in respect of any Losses and Third Party Claims.</w:t>
      </w:r>
    </w:p>
    <w:p>
      <w:pPr>
        <w:spacing w:after="0" w:line="104"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Control of Defense.</w:t>
      </w:r>
    </w:p>
    <w:p>
      <w:pPr>
        <w:spacing w:after="0" w:line="98" w:lineRule="exact"/>
        <w:rPr>
          <w:sz w:val="20"/>
          <w:szCs w:val="20"/>
          <w:color w:val="auto"/>
        </w:rPr>
      </w:pPr>
    </w:p>
    <w:p>
      <w:pPr>
        <w:ind w:firstLine="2634"/>
        <w:spacing w:after="0" w:line="280" w:lineRule="auto"/>
        <w:rPr>
          <w:sz w:val="20"/>
          <w:szCs w:val="20"/>
          <w:color w:val="auto"/>
        </w:rPr>
      </w:pPr>
      <w:r>
        <w:rPr>
          <w:rFonts w:ascii="Arial" w:cs="Arial" w:eastAsia="Arial" w:hAnsi="Arial"/>
          <w:sz w:val="19"/>
          <w:szCs w:val="19"/>
          <w:b w:val="1"/>
          <w:bCs w:val="1"/>
          <w:color w:val="auto"/>
        </w:rPr>
        <w:t xml:space="preserve">12.4.1 In General. </w:t>
      </w:r>
      <w:r>
        <w:rPr>
          <w:rFonts w:ascii="Arial" w:cs="Arial" w:eastAsia="Arial" w:hAnsi="Arial"/>
          <w:sz w:val="19"/>
          <w:szCs w:val="19"/>
          <w:color w:val="auto"/>
        </w:rPr>
        <w:t>Subject to the provisions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Sections 8.4</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8.5</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8.7</w:t>
      </w:r>
      <w:r>
        <w:rPr>
          <w:rFonts w:ascii="Arial" w:cs="Arial" w:eastAsia="Arial" w:hAnsi="Arial"/>
          <w:sz w:val="19"/>
          <w:szCs w:val="19"/>
          <w:color w:val="auto"/>
        </w:rPr>
        <w:t>, at its option,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indemnifying Party may assume the defense of any Third Party Claim by giving written notice to the Indemnified Party within</w:t>
      </w:r>
    </w:p>
    <w:p>
      <w:pPr>
        <w:jc w:val="both"/>
        <w:ind w:firstLine="8"/>
        <w:spacing w:after="0" w:line="270" w:lineRule="auto"/>
        <w:tabs>
          <w:tab w:leader="none" w:pos="5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after the indemnifying Party’s receipt of an Indemnification Claim Notice. The assumption of the defense of a Third Party Claim by the indemnifying Party shall not be 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which shall be reasonably acceptable to the Indemnified Party. In the event the indemnifying Party assumes the defense of a Third Party Claim, the Indemnified Party shall immediately deliver to the indemnifying Party all original notices and documents (including court papers) received by the Indemnified Party in connection with the Third Party Claim. Should the indemnifying Party assume the defense of a Third Party Claim, except as provided in </w:t>
      </w:r>
      <w:r>
        <w:rPr>
          <w:rFonts w:ascii="Arial" w:cs="Arial" w:eastAsia="Arial" w:hAnsi="Arial"/>
          <w:sz w:val="19"/>
          <w:szCs w:val="19"/>
          <w:u w:val="single" w:color="auto"/>
          <w:color w:val="auto"/>
        </w:rPr>
        <w:t>Section 12.4.2</w:t>
      </w:r>
      <w:r>
        <w:rPr>
          <w:rFonts w:ascii="Arial" w:cs="Arial" w:eastAsia="Arial" w:hAnsi="Arial"/>
          <w:sz w:val="19"/>
          <w:szCs w:val="19"/>
          <w:color w:val="auto"/>
        </w:rPr>
        <w:t>, the indemnifying Party shall not be liable to the Indemnified Party for any legal expenses subsequently incurred by such Indemnified Party in connection with the analysis, defense or settlement of the Third Party Claim unless specifically requested in writing by the indemnifying Party. In the event that it is ultimately determined that the indemnifying Party is not obligated to indemnify, defend or hold harmless the Indemnified Party from and against the Third Party Claim, the Indemnified Party shall reimburse the indemnifying Party for any Losses incurred by the indemnifying Party in its defense of the Third Party Claim.</w:t>
      </w:r>
    </w:p>
    <w:p>
      <w:pPr>
        <w:spacing w:after="0" w:line="46"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b w:val="1"/>
          <w:bCs w:val="1"/>
          <w:color w:val="auto"/>
        </w:rPr>
        <w:t xml:space="preserve">12.4.2 Right to Participate in Defense. </w:t>
      </w:r>
      <w:r>
        <w:rPr>
          <w:rFonts w:ascii="Arial" w:cs="Arial" w:eastAsia="Arial" w:hAnsi="Arial"/>
          <w:sz w:val="21"/>
          <w:szCs w:val="21"/>
          <w:color w:val="auto"/>
        </w:rPr>
        <w:t>Without limiting</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12.4.1</w:t>
      </w:r>
      <w:r>
        <w:rPr>
          <w:rFonts w:ascii="Arial" w:cs="Arial" w:eastAsia="Arial" w:hAnsi="Arial"/>
          <w:sz w:val="21"/>
          <w:szCs w:val="21"/>
          <w:color w:val="auto"/>
        </w:rPr>
        <w:t>, any Indemnified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Party shall be entitled to participate in, but not control, the defense of such Third Party Claim and to employ counsel of its choice for such purpose;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employment shall be at the Indemnified Party’s own expense unless (a) the employment thereof, and the assumption by the indemnifying Party of such expense, has been specifically authorized by the indemnifying Party in writing, (b) the indemnifying Party has failed to assume the defense and employ counsel in accordance with </w:t>
      </w:r>
      <w:r>
        <w:rPr>
          <w:rFonts w:ascii="Arial" w:cs="Arial" w:eastAsia="Arial" w:hAnsi="Arial"/>
          <w:sz w:val="21"/>
          <w:szCs w:val="21"/>
          <w:u w:val="single" w:color="auto"/>
          <w:color w:val="auto"/>
        </w:rPr>
        <w:t>Section 12.4.1</w:t>
      </w:r>
      <w:r>
        <w:rPr>
          <w:rFonts w:ascii="Arial" w:cs="Arial" w:eastAsia="Arial" w:hAnsi="Arial"/>
          <w:sz w:val="21"/>
          <w:szCs w:val="21"/>
          <w:color w:val="auto"/>
        </w:rPr>
        <w:t xml:space="preserve"> (in which case the Indemnified Party shall control the defense), or (c) the interests of the Indemnified Party and the indemnifying Party with respect to such Third Party Claim are sufficiently adverse to prohibit the representation by the same counsel of both Parties under Applicable Law, ethical rules or equitable principles.</w:t>
      </w:r>
    </w:p>
    <w:p>
      <w:pPr>
        <w:spacing w:after="0" w:line="65" w:lineRule="exact"/>
        <w:rPr>
          <w:sz w:val="20"/>
          <w:szCs w:val="20"/>
          <w:color w:val="auto"/>
        </w:rPr>
      </w:pPr>
    </w:p>
    <w:p>
      <w:pPr>
        <w:jc w:val="both"/>
        <w:ind w:firstLine="2634"/>
        <w:spacing w:after="0" w:line="278" w:lineRule="auto"/>
        <w:rPr>
          <w:sz w:val="20"/>
          <w:szCs w:val="20"/>
          <w:color w:val="auto"/>
        </w:rPr>
      </w:pPr>
      <w:r>
        <w:rPr>
          <w:rFonts w:ascii="Arial" w:cs="Arial" w:eastAsia="Arial" w:hAnsi="Arial"/>
          <w:sz w:val="19"/>
          <w:szCs w:val="19"/>
          <w:b w:val="1"/>
          <w:bCs w:val="1"/>
          <w:color w:val="auto"/>
        </w:rPr>
        <w:t xml:space="preserve">12.4.3 Settlement. </w:t>
      </w:r>
      <w:r>
        <w:rPr>
          <w:rFonts w:ascii="Arial" w:cs="Arial" w:eastAsia="Arial" w:hAnsi="Arial"/>
          <w:sz w:val="19"/>
          <w:szCs w:val="19"/>
          <w:color w:val="auto"/>
        </w:rPr>
        <w:t>With respect to any Losses relating solely to the payment of money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damages in connection with a Third Party Claim and that shall not result in the Indemnified Party’s becoming subject to injunctive or other relief, and as to which the indemnifying Party shall have acknowledged in writing the obligation to indemnify the Indemnified Party hereunder, the indemnifying Party shall have the sole right to consent to the entry of any judgment, enter into any settlement or otherwise dispose of such Loss, on such terms as the indemnifying Party, in its sole discretion, shall deem appropriate. With respect to all other Losses in connection with Third Party Claims, where the indemnifying Party has assumed the defense of the Third Party Claim in accordance with </w:t>
      </w:r>
      <w:r>
        <w:rPr>
          <w:rFonts w:ascii="Arial" w:cs="Arial" w:eastAsia="Arial" w:hAnsi="Arial"/>
          <w:sz w:val="19"/>
          <w:szCs w:val="19"/>
          <w:u w:val="single" w:color="auto"/>
          <w:color w:val="auto"/>
        </w:rPr>
        <w:t>Section 12.4.1</w:t>
      </w:r>
      <w:r>
        <w:rPr>
          <w:rFonts w:ascii="Arial" w:cs="Arial" w:eastAsia="Arial" w:hAnsi="Arial"/>
          <w:sz w:val="19"/>
          <w:szCs w:val="19"/>
          <w:color w:val="auto"/>
        </w:rPr>
        <w:t>, the indemnifying Party shall</w:t>
      </w:r>
    </w:p>
    <w:p>
      <w:pPr>
        <w:spacing w:after="0" w:line="12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2" w:name="page143"/>
    <w:bookmarkEnd w:id="142"/>
    <w:p>
      <w:pPr>
        <w:jc w:val="both"/>
        <w:spacing w:after="0" w:line="234" w:lineRule="auto"/>
        <w:rPr>
          <w:sz w:val="20"/>
          <w:szCs w:val="20"/>
          <w:color w:val="auto"/>
        </w:rPr>
      </w:pPr>
      <w:r>
        <w:rPr>
          <w:rFonts w:ascii="Arial" w:cs="Arial" w:eastAsia="Arial" w:hAnsi="Arial"/>
          <w:sz w:val="22"/>
          <w:szCs w:val="22"/>
          <w:color w:val="auto"/>
        </w:rPr>
        <w:t>have authority to consent to the entry of any judgment, enter into any settlement or otherwise dispose of such Loss. If the indemnifying Party does not assume and conduct the defense of a Third Party Claim as provided above, the Indemnified Party may defend against such Third Party Claim. Regardless of whether the indemnifying Party chooses to defend or prosecute any Third Party Claim, no Indemnified Party shall admit any liability with respect to, or settle, compromise or dispose of, any Third Party Claim without the prior written consent of the indemnifying Party. The indemnifying Party shall not be liable for any settlement, compromise or other disposition of a Loss by an Indemnified Party that is reached without the written consent of the indemnifying Party.</w:t>
      </w:r>
    </w:p>
    <w:p>
      <w:pPr>
        <w:spacing w:after="0" w:line="77" w:lineRule="exact"/>
        <w:rPr>
          <w:sz w:val="20"/>
          <w:szCs w:val="20"/>
          <w:color w:val="auto"/>
        </w:rPr>
      </w:pPr>
    </w:p>
    <w:p>
      <w:pPr>
        <w:jc w:val="both"/>
        <w:ind w:firstLine="2634"/>
        <w:spacing w:after="0" w:line="276" w:lineRule="auto"/>
        <w:rPr>
          <w:sz w:val="20"/>
          <w:szCs w:val="20"/>
          <w:color w:val="auto"/>
        </w:rPr>
      </w:pPr>
      <w:r>
        <w:rPr>
          <w:rFonts w:ascii="Arial" w:cs="Arial" w:eastAsia="Arial" w:hAnsi="Arial"/>
          <w:sz w:val="19"/>
          <w:szCs w:val="19"/>
          <w:b w:val="1"/>
          <w:bCs w:val="1"/>
          <w:color w:val="auto"/>
        </w:rPr>
        <w:t xml:space="preserve">12.4.4 Cooperation. </w:t>
      </w:r>
      <w:r>
        <w:rPr>
          <w:rFonts w:ascii="Arial" w:cs="Arial" w:eastAsia="Arial" w:hAnsi="Arial"/>
          <w:sz w:val="19"/>
          <w:szCs w:val="19"/>
          <w:color w:val="auto"/>
        </w:rPr>
        <w:t>Regardless of whether the indemnifying Party chooses to defend or</w:t>
      </w:r>
      <w:r>
        <w:rPr>
          <w:rFonts w:ascii="Arial" w:cs="Arial" w:eastAsia="Arial" w:hAnsi="Arial"/>
          <w:sz w:val="19"/>
          <w:szCs w:val="19"/>
          <w:b w:val="1"/>
          <w:bCs w:val="1"/>
          <w:color w:val="auto"/>
        </w:rPr>
        <w:t xml:space="preserve"> </w:t>
      </w:r>
      <w:r>
        <w:rPr>
          <w:rFonts w:ascii="Arial" w:cs="Arial" w:eastAsia="Arial" w:hAnsi="Arial"/>
          <w:sz w:val="19"/>
          <w:szCs w:val="19"/>
          <w:color w:val="auto"/>
        </w:rPr>
        <w:t>prosecute any Third Party Claim,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Third Party Claim, and making Indemnified Parties and other employees and agents available on a mutually convenient basis to provide additional information and explanation of any material provided hereunder, and the indemnifying Party shall reimburse the Indemnified Party for all its reasonable out-of-pocket expenses in connection therewith.</w:t>
      </w:r>
    </w:p>
    <w:p>
      <w:pPr>
        <w:spacing w:after="0" w:line="286"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12.4.5 Expenses. </w:t>
      </w:r>
      <w:r>
        <w:rPr>
          <w:rFonts w:ascii="Arial" w:cs="Arial" w:eastAsia="Arial" w:hAnsi="Arial"/>
          <w:sz w:val="22"/>
          <w:szCs w:val="22"/>
          <w:color w:val="auto"/>
        </w:rPr>
        <w:t>Except as provided above, the reasonable and verifiable costs and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fees and disbursements of counsel, incurred by the Indemnified Party in connection with any Third Party Claim shall be reimbursed on a Calendar Quarter basis in arrears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74" w:lineRule="exact"/>
        <w:rPr>
          <w:sz w:val="20"/>
          <w:szCs w:val="20"/>
          <w:color w:val="auto"/>
        </w:rPr>
      </w:pPr>
    </w:p>
    <w:p>
      <w:pPr>
        <w:jc w:val="both"/>
        <w:ind w:firstLine="1755"/>
        <w:spacing w:after="0" w:line="233" w:lineRule="auto"/>
        <w:rPr>
          <w:sz w:val="20"/>
          <w:szCs w:val="20"/>
          <w:color w:val="auto"/>
        </w:rPr>
      </w:pPr>
      <w:r>
        <w:rPr>
          <w:rFonts w:ascii="Arial" w:cs="Arial" w:eastAsia="Arial" w:hAnsi="Arial"/>
          <w:sz w:val="22"/>
          <w:szCs w:val="22"/>
          <w:b w:val="1"/>
          <w:bCs w:val="1"/>
          <w:color w:val="auto"/>
        </w:rPr>
        <w:t xml:space="preserve">12.5 Special, Indirect, and Other Losses. </w:t>
      </w:r>
      <w:r>
        <w:rPr>
          <w:rFonts w:ascii="Arial" w:cs="Arial" w:eastAsia="Arial" w:hAnsi="Arial"/>
          <w:sz w:val="22"/>
          <w:szCs w:val="22"/>
          <w:color w:val="auto"/>
        </w:rPr>
        <w:t>EXCEPT (A) FOR WILLFUL MISCONDUCT, (B) FOR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PARTY’S BREACH OF ITS OBLIGATIONS UNDER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(C) AS PROVIDED UNDER </w:t>
      </w:r>
      <w:r>
        <w:rPr>
          <w:rFonts w:ascii="Arial" w:cs="Arial" w:eastAsia="Arial" w:hAnsi="Arial"/>
          <w:sz w:val="22"/>
          <w:szCs w:val="22"/>
          <w:u w:val="single" w:color="auto"/>
          <w:color w:val="auto"/>
        </w:rPr>
        <w:t>SECTION 14.7.7</w:t>
      </w:r>
      <w:r>
        <w:rPr>
          <w:rFonts w:ascii="Arial" w:cs="Arial" w:eastAsia="Arial" w:hAnsi="Arial"/>
          <w:sz w:val="22"/>
          <w:szCs w:val="22"/>
          <w:color w:val="auto"/>
        </w:rPr>
        <w:t xml:space="preserve">, AND (D) TO THE EXTENT ANY SUCH DAMAGES ARE REQUIRED TO BE PAID TO A THIRD PARTY AS PART OF A CLAIM FOR WHICH A PARTY PROVIDES INDEMNIFICATION UNDER THIS </w:t>
      </w:r>
      <w:r>
        <w:rPr>
          <w:rFonts w:ascii="Arial" w:cs="Arial" w:eastAsia="Arial" w:hAnsi="Arial"/>
          <w:sz w:val="22"/>
          <w:szCs w:val="22"/>
          <w:u w:val="single" w:color="auto"/>
          <w:color w:val="auto"/>
        </w:rPr>
        <w:t>ARTICLE 12</w:t>
      </w:r>
      <w:r>
        <w:rPr>
          <w:rFonts w:ascii="Arial" w:cs="Arial" w:eastAsia="Arial" w:hAnsi="Arial"/>
          <w:sz w:val="22"/>
          <w:szCs w:val="22"/>
          <w:color w:val="auto"/>
        </w:rPr>
        <w:t>, NEITHER PARTY NOR ANY OF ITS AFFILIATES SHALL BE LIABLE FOR INDIRECT, INCIDENTAL, SPECIAL, EXEMPLARY, PUNITIVE OR CONSEQUENTIAL DAMAGES, INCLUDING LOSS OF PROFITS OR BUSINESS INTERRUPTION, HOWEVER CAUSED AND ON ANY THEORY OF LIABILITY, WHETHER IN CONTRACT, TORT, NEGLIGENCE, BREACH OF STATUTORY DUTY OR OTHERWISE IN CONNECTION WITH OR ARISING IN ANY WAY OUT OF THE TERMS OF THIS AGREEMENT OR THE TRANSACTIONS CONTEMPLATED HEREBY OR THE USE OF THE ABBVIE PROBODY, DISCOVERY PDC OR LICENSED PRODUCT, EVEN IF ADVISED OF THE POSSIBILITY OF SUCH DAMAGE.</w:t>
      </w:r>
    </w:p>
    <w:p>
      <w:pPr>
        <w:spacing w:after="0" w:line="81" w:lineRule="exact"/>
        <w:rPr>
          <w:sz w:val="20"/>
          <w:szCs w:val="20"/>
          <w:color w:val="auto"/>
        </w:rPr>
      </w:pPr>
    </w:p>
    <w:p>
      <w:pPr>
        <w:jc w:val="both"/>
        <w:ind w:right="20" w:firstLine="1755"/>
        <w:spacing w:after="0" w:line="243" w:lineRule="auto"/>
        <w:rPr>
          <w:sz w:val="20"/>
          <w:szCs w:val="20"/>
          <w:color w:val="auto"/>
        </w:rPr>
      </w:pPr>
      <w:r>
        <w:rPr>
          <w:rFonts w:ascii="Arial" w:cs="Arial" w:eastAsia="Arial" w:hAnsi="Arial"/>
          <w:sz w:val="22"/>
          <w:szCs w:val="22"/>
          <w:b w:val="1"/>
          <w:bCs w:val="1"/>
          <w:color w:val="auto"/>
        </w:rPr>
        <w:t xml:space="preserve">12.6 Insurance. </w:t>
      </w:r>
      <w:r>
        <w:rPr>
          <w:rFonts w:ascii="Arial" w:cs="Arial" w:eastAsia="Arial" w:hAnsi="Arial"/>
          <w:sz w:val="22"/>
          <w:szCs w:val="22"/>
          <w:color w:val="auto"/>
        </w:rPr>
        <w:t>Each Party shall obtain and carry in full force and effect the minimum insurance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set forth herein. Such insurance (a) shall be primary insurance with respect to AbbVie’s own participation under this Agreement, (b) shall be issued by a</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3" w:name="page144"/>
    <w:bookmarkEnd w:id="143"/>
    <w:p>
      <w:pPr>
        <w:spacing w:after="0" w:line="274" w:lineRule="auto"/>
        <w:rPr>
          <w:sz w:val="20"/>
          <w:szCs w:val="20"/>
          <w:color w:val="auto"/>
        </w:rPr>
      </w:pPr>
      <w:r>
        <w:rPr>
          <w:rFonts w:ascii="Arial" w:cs="Arial" w:eastAsia="Arial" w:hAnsi="Arial"/>
          <w:sz w:val="21"/>
          <w:szCs w:val="21"/>
          <w:color w:val="auto"/>
        </w:rPr>
        <w:t>recognized insurer rated by [***] (or its equivalent) or better, or an insurer pre-approved in writing by Licensor and (c) shall require [***] written notice to be given to the other Party prior to any cancellation, non-renewal or material change thereof.</w:t>
      </w:r>
    </w:p>
    <w:p>
      <w:pPr>
        <w:spacing w:after="0" w:line="37"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12.6.1</w:t>
      </w:r>
      <w:r>
        <w:rPr>
          <w:sz w:val="20"/>
          <w:szCs w:val="20"/>
          <w:color w:val="auto"/>
        </w:rPr>
        <w:tab/>
      </w:r>
      <w:r>
        <w:rPr>
          <w:rFonts w:ascii="Arial" w:cs="Arial" w:eastAsia="Arial" w:hAnsi="Arial"/>
          <w:sz w:val="19"/>
          <w:szCs w:val="19"/>
          <w:b w:val="1"/>
          <w:bCs w:val="1"/>
          <w:color w:val="auto"/>
        </w:rPr>
        <w:t xml:space="preserve">Types and Minimum Limits. </w:t>
      </w:r>
      <w:r>
        <w:rPr>
          <w:rFonts w:ascii="Arial" w:cs="Arial" w:eastAsia="Arial" w:hAnsi="Arial"/>
          <w:sz w:val="19"/>
          <w:szCs w:val="19"/>
          <w:color w:val="auto"/>
        </w:rPr>
        <w:t>The types of insurance, and minimum limits shall be:</w:t>
      </w:r>
    </w:p>
    <w:p>
      <w:pPr>
        <w:spacing w:after="0" w:line="104" w:lineRule="exact"/>
        <w:rPr>
          <w:sz w:val="20"/>
          <w:szCs w:val="20"/>
          <w:color w:val="auto"/>
        </w:rPr>
      </w:pPr>
    </w:p>
    <w:p>
      <w:pPr>
        <w:ind w:left="5280" w:hanging="883"/>
        <w:spacing w:after="0"/>
        <w:tabs>
          <w:tab w:leader="none" w:pos="52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Worker’s Compensation with statutory limits in compliance with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Worker’s Compensation laws of the state or states in which the Party has employees in the United States (excluding Puerto Rico).</w:t>
      </w:r>
    </w:p>
    <w:p>
      <w:pPr>
        <w:spacing w:after="0" w:line="114" w:lineRule="exact"/>
        <w:rPr>
          <w:rFonts w:ascii="Arial" w:cs="Arial" w:eastAsia="Arial" w:hAnsi="Arial"/>
          <w:sz w:val="19"/>
          <w:szCs w:val="19"/>
          <w:color w:val="auto"/>
        </w:rPr>
      </w:pPr>
    </w:p>
    <w:p>
      <w:pPr>
        <w:ind w:left="5300" w:hanging="903"/>
        <w:spacing w:after="0"/>
        <w:tabs>
          <w:tab w:leader="none" w:pos="53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Employer’s Liability coverage with a minimum limit of [***] per</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occurrence; </w:t>
      </w:r>
      <w:r>
        <w:rPr>
          <w:rFonts w:ascii="Arial" w:cs="Arial" w:eastAsia="Arial" w:hAnsi="Arial"/>
          <w:sz w:val="22"/>
          <w:szCs w:val="22"/>
          <w:i w:val="1"/>
          <w:iCs w:val="1"/>
          <w:color w:val="auto"/>
        </w:rPr>
        <w:t>provided</w:t>
      </w:r>
      <w:r>
        <w:rPr>
          <w:rFonts w:ascii="Arial" w:cs="Arial" w:eastAsia="Arial" w:hAnsi="Arial"/>
          <w:sz w:val="22"/>
          <w:szCs w:val="22"/>
          <w:color w:val="auto"/>
        </w:rPr>
        <w:t>, that a Party has employees in the United States (excluding Puerto Rico).</w:t>
      </w:r>
    </w:p>
    <w:p>
      <w:pPr>
        <w:spacing w:after="0" w:line="80" w:lineRule="exact"/>
        <w:rPr>
          <w:rFonts w:ascii="Arial" w:cs="Arial" w:eastAsia="Arial" w:hAnsi="Arial"/>
          <w:sz w:val="22"/>
          <w:szCs w:val="22"/>
          <w:color w:val="auto"/>
        </w:rPr>
      </w:pPr>
    </w:p>
    <w:p>
      <w:pPr>
        <w:jc w:val="both"/>
        <w:ind w:firstLine="4397"/>
        <w:spacing w:after="0" w:line="238" w:lineRule="auto"/>
        <w:tabs>
          <w:tab w:leader="none" w:pos="5277" w:val="left"/>
        </w:tabs>
        <w:numPr>
          <w:ilvl w:val="0"/>
          <w:numId w:val="77"/>
        </w:numPr>
        <w:rPr>
          <w:rFonts w:ascii="Arial" w:cs="Arial" w:eastAsia="Arial" w:hAnsi="Arial"/>
          <w:sz w:val="22"/>
          <w:szCs w:val="22"/>
          <w:color w:val="auto"/>
        </w:rPr>
      </w:pPr>
      <w:r>
        <w:rPr>
          <w:rFonts w:ascii="Arial" w:cs="Arial" w:eastAsia="Arial" w:hAnsi="Arial"/>
          <w:sz w:val="22"/>
          <w:szCs w:val="22"/>
          <w:color w:val="auto"/>
        </w:rPr>
        <w:t>General Liability Insurance with a minimum limit of [***] per occurrence and [***] in the aggregate. General Liability Insurance shall include, at a minimum, Professional Liability, and, solely with respect to AbbVie (i) Clinical Trial Insurance and, (ii) beginning at least [***] prior to First Commercial Sale of a Licensed Product, product liability insurance.</w:t>
      </w:r>
    </w:p>
    <w:p>
      <w:pPr>
        <w:spacing w:after="0" w:line="71"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b w:val="1"/>
          <w:bCs w:val="1"/>
          <w:color w:val="auto"/>
        </w:rPr>
        <w:t xml:space="preserve">12.6.2 Certificates of Insurance. </w:t>
      </w:r>
      <w:r>
        <w:rPr>
          <w:rFonts w:ascii="Arial" w:cs="Arial" w:eastAsia="Arial" w:hAnsi="Arial"/>
          <w:sz w:val="21"/>
          <w:szCs w:val="21"/>
          <w:color w:val="auto"/>
        </w:rPr>
        <w:t>Upon request by a Party, the other Party shall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Certificates of Insurance evidencing compliance with this Section. The insurance policies shall be under an occurrence form, but if only a claims-made form is available to a Party, then such Party shall continue to maintain such insurance after the expiration or termination of this Agreement for the longer of (a) a period of [***] following termination or expiration of this Agreement in its entirety, or (b) with respect to a particular Party, last sale of a Licensed Product (or but for expiration or termination, would be considered a Licensed Product) sold under this Agreement by a Party.</w:t>
      </w:r>
    </w:p>
    <w:p>
      <w:pPr>
        <w:spacing w:after="0" w:line="63"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12.6.3 Self-Insurance. </w:t>
      </w:r>
      <w:r>
        <w:rPr>
          <w:rFonts w:ascii="Arial" w:cs="Arial" w:eastAsia="Arial" w:hAnsi="Arial"/>
          <w:sz w:val="22"/>
          <w:szCs w:val="22"/>
          <w:color w:val="auto"/>
        </w:rPr>
        <w:t>Notwithstanding the foregoing, AbbVie may self-insure, in whole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part, the insurance requirements described above; </w:t>
      </w:r>
      <w:r>
        <w:rPr>
          <w:rFonts w:ascii="Arial" w:cs="Arial" w:eastAsia="Arial" w:hAnsi="Arial"/>
          <w:sz w:val="22"/>
          <w:szCs w:val="22"/>
          <w:i w:val="1"/>
          <w:iCs w:val="1"/>
          <w:color w:val="auto"/>
        </w:rPr>
        <w:t>provided</w:t>
      </w:r>
      <w:r>
        <w:rPr>
          <w:rFonts w:ascii="Arial" w:cs="Arial" w:eastAsia="Arial" w:hAnsi="Arial"/>
          <w:sz w:val="22"/>
          <w:szCs w:val="22"/>
          <w:color w:val="auto"/>
        </w:rPr>
        <w:t>, that AbbVie continues to be investment grade determined by reputable and accepted financial rating agencies.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19"/>
          <w:szCs w:val="19"/>
          <w:b w:val="1"/>
          <w:bCs w:val="1"/>
          <w:color w:val="auto"/>
        </w:rPr>
        <w:t>Term.</w:t>
      </w:r>
    </w:p>
    <w:p>
      <w:pPr>
        <w:spacing w:after="0" w:line="98"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13.1.1 Term. </w:t>
      </w:r>
      <w:r>
        <w:rPr>
          <w:rFonts w:ascii="Arial" w:cs="Arial" w:eastAsia="Arial" w:hAnsi="Arial"/>
          <w:sz w:val="22"/>
          <w:szCs w:val="22"/>
          <w:color w:val="auto"/>
        </w:rPr>
        <w:t>This Agreement shall commence on the Effective Date and, unless earlier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terminated in accordance herewith, shall continue in force and effect until the date of expiration of the last Royalty Term for the last Licensed Product (such period,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69" w:lineRule="exact"/>
        <w:rPr>
          <w:sz w:val="20"/>
          <w:szCs w:val="20"/>
          <w:color w:val="auto"/>
        </w:rPr>
      </w:pPr>
    </w:p>
    <w:p>
      <w:pPr>
        <w:jc w:val="both"/>
        <w:ind w:right="20" w:firstLine="2634"/>
        <w:spacing w:after="0" w:line="256" w:lineRule="auto"/>
        <w:rPr>
          <w:sz w:val="20"/>
          <w:szCs w:val="20"/>
          <w:color w:val="auto"/>
        </w:rPr>
      </w:pPr>
      <w:r>
        <w:rPr>
          <w:rFonts w:ascii="Arial" w:cs="Arial" w:eastAsia="Arial" w:hAnsi="Arial"/>
          <w:sz w:val="22"/>
          <w:szCs w:val="22"/>
          <w:b w:val="1"/>
          <w:bCs w:val="1"/>
          <w:color w:val="auto"/>
        </w:rPr>
        <w:t xml:space="preserve">13.1.2 Effect of Expiration of the Term. </w:t>
      </w:r>
      <w:r>
        <w:rPr>
          <w:rFonts w:ascii="Arial" w:cs="Arial" w:eastAsia="Arial" w:hAnsi="Arial"/>
          <w:sz w:val="22"/>
          <w:szCs w:val="22"/>
          <w:color w:val="auto"/>
        </w:rPr>
        <w:t>Following the expiration of the Term, the grants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shall become exclusive, fully-paid, royalty-free and irrevocable.</w:t>
      </w:r>
    </w:p>
    <w:p>
      <w:pPr>
        <w:spacing w:after="0" w:line="55"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b w:val="1"/>
          <w:bCs w:val="1"/>
          <w:color w:val="auto"/>
        </w:rPr>
        <w:t>Termination for Material Breach.</w:t>
      </w:r>
    </w:p>
    <w:p>
      <w:pPr>
        <w:spacing w:after="0" w:line="98"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13.2.1 Material Breach. </w:t>
      </w:r>
      <w:r>
        <w:rPr>
          <w:rFonts w:ascii="Arial" w:cs="Arial" w:eastAsia="Arial" w:hAnsi="Arial"/>
          <w:sz w:val="22"/>
          <w:szCs w:val="22"/>
          <w:color w:val="auto"/>
        </w:rPr>
        <w:t>If either Party (the “</w:t>
      </w:r>
      <w:r>
        <w:rPr>
          <w:rFonts w:ascii="Arial" w:cs="Arial" w:eastAsia="Arial" w:hAnsi="Arial"/>
          <w:sz w:val="22"/>
          <w:szCs w:val="22"/>
          <w:b w:val="1"/>
          <w:bCs w:val="1"/>
          <w:color w:val="auto"/>
        </w:rPr>
        <w:t>Non-Breaching Party</w:t>
      </w:r>
      <w:r>
        <w:rPr>
          <w:rFonts w:ascii="Arial" w:cs="Arial" w:eastAsia="Arial" w:hAnsi="Arial"/>
          <w:sz w:val="22"/>
          <w:szCs w:val="22"/>
          <w:color w:val="auto"/>
        </w:rPr>
        <w:t>”) believes that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(the “</w:t>
      </w:r>
      <w:r>
        <w:rPr>
          <w:rFonts w:ascii="Arial" w:cs="Arial" w:eastAsia="Arial" w:hAnsi="Arial"/>
          <w:sz w:val="22"/>
          <w:szCs w:val="22"/>
          <w:b w:val="1"/>
          <w:bCs w:val="1"/>
          <w:color w:val="auto"/>
        </w:rPr>
        <w:t>Breaching Party</w:t>
      </w:r>
      <w:r>
        <w:rPr>
          <w:rFonts w:ascii="Arial" w:cs="Arial" w:eastAsia="Arial" w:hAnsi="Arial"/>
          <w:sz w:val="22"/>
          <w:szCs w:val="22"/>
          <w:color w:val="auto"/>
        </w:rPr>
        <w:t>”) has materially breached one (1) or more of its material obligations under this Agreement, then the Non-Breaching Party may deliver notice of</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4" w:name="page145"/>
    <w:bookmarkEnd w:id="144"/>
    <w:p>
      <w:pPr>
        <w:jc w:val="both"/>
        <w:spacing w:after="0" w:line="272" w:lineRule="auto"/>
        <w:rPr>
          <w:sz w:val="20"/>
          <w:szCs w:val="20"/>
          <w:color w:val="auto"/>
        </w:rPr>
      </w:pPr>
      <w:r>
        <w:rPr>
          <w:rFonts w:ascii="Arial" w:cs="Arial" w:eastAsia="Arial" w:hAnsi="Arial"/>
          <w:sz w:val="19"/>
          <w:szCs w:val="19"/>
          <w:color w:val="auto"/>
        </w:rPr>
        <w:t xml:space="preserve">such material breach to the Breaching Party (a “Default Notice”). If the Breaching Party does not dispute that it has committed a material breach of one (1) or more of its material obligations under this Agreement, then if the Breaching Party fails to cure such breach, or fails to take steps as would be considered reasonable to effectively cure such breach, within [***] after receipt of the Default Notice, or if such compliance cannot be fully achieved within such [***] period and the Breaching Party has failed to commence compliance or has failed to use diligent efforts to achieve full compliance as soon thereafter as is reasonably possible, the Non-Breaching Party may terminate this Agreement upon written notice to the Breaching Party. If the Breaching Party disputes that it has materially breached one (1) of its material obligations under this Agreement, the dispute shall be resolved pursuant to </w:t>
      </w:r>
      <w:r>
        <w:rPr>
          <w:rFonts w:ascii="Arial" w:cs="Arial" w:eastAsia="Arial" w:hAnsi="Arial"/>
          <w:sz w:val="19"/>
          <w:szCs w:val="19"/>
          <w:u w:val="single" w:color="auto"/>
          <w:color w:val="auto"/>
        </w:rPr>
        <w:t>Section 14.7</w:t>
      </w:r>
      <w:r>
        <w:rPr>
          <w:rFonts w:ascii="Arial" w:cs="Arial" w:eastAsia="Arial" w:hAnsi="Arial"/>
          <w:sz w:val="19"/>
          <w:szCs w:val="19"/>
          <w:color w:val="auto"/>
        </w:rPr>
        <w:t>. If, as a result of the application of such dispute resolution procedures, the Breaching Party is determined to be in material breach of one (1) or more of its material obligations under this Agreement (an “</w:t>
      </w:r>
      <w:r>
        <w:rPr>
          <w:rFonts w:ascii="Arial" w:cs="Arial" w:eastAsia="Arial" w:hAnsi="Arial"/>
          <w:sz w:val="19"/>
          <w:szCs w:val="19"/>
          <w:b w:val="1"/>
          <w:bCs w:val="1"/>
          <w:color w:val="auto"/>
        </w:rPr>
        <w:t>Adverse Ruling</w:t>
      </w:r>
      <w:r>
        <w:rPr>
          <w:rFonts w:ascii="Arial" w:cs="Arial" w:eastAsia="Arial" w:hAnsi="Arial"/>
          <w:sz w:val="19"/>
          <w:szCs w:val="19"/>
          <w:color w:val="auto"/>
        </w:rPr>
        <w:t>”), then if the Breaching Party fails to complete the actions specified by the Adverse Ruling to cure such material breach within [***] after such ruling, or if such compliance cannot be fully achieved within such [***] period and the Breaching Party has failed to commence compliance or has failed to use diligent efforts to achieve full compliance as soon thereafter as is reasonably possible, then the Non-Breaching Party may terminate this Agreement upon written notice to the Breaching Party.</w:t>
      </w:r>
    </w:p>
    <w:p>
      <w:pPr>
        <w:spacing w:after="0" w:line="43" w:lineRule="exact"/>
        <w:rPr>
          <w:sz w:val="20"/>
          <w:szCs w:val="20"/>
          <w:color w:val="auto"/>
        </w:rPr>
      </w:pPr>
    </w:p>
    <w:p>
      <w:pPr>
        <w:jc w:val="both"/>
        <w:ind w:firstLine="2634"/>
        <w:spacing w:after="0" w:line="289" w:lineRule="auto"/>
        <w:rPr>
          <w:sz w:val="20"/>
          <w:szCs w:val="20"/>
          <w:color w:val="auto"/>
        </w:rPr>
      </w:pPr>
      <w:r>
        <w:rPr>
          <w:rFonts w:ascii="Arial" w:cs="Arial" w:eastAsia="Arial" w:hAnsi="Arial"/>
          <w:sz w:val="19"/>
          <w:szCs w:val="19"/>
          <w:b w:val="1"/>
          <w:bCs w:val="1"/>
          <w:color w:val="auto"/>
        </w:rPr>
        <w:t>13.2.2 Material Breach Related to Diligence in a Major Market</w:t>
      </w:r>
      <w:r>
        <w:rPr>
          <w:rFonts w:ascii="Arial" w:cs="Arial" w:eastAsia="Arial" w:hAnsi="Arial"/>
          <w:sz w:val="19"/>
          <w:szCs w:val="19"/>
          <w:color w:val="auto"/>
        </w:rPr>
        <w:t>. Notwithstanding</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13.2.1</w:t>
      </w:r>
      <w:r>
        <w:rPr>
          <w:rFonts w:ascii="Arial" w:cs="Arial" w:eastAsia="Arial" w:hAnsi="Arial"/>
          <w:sz w:val="19"/>
          <w:szCs w:val="19"/>
          <w:color w:val="auto"/>
        </w:rPr>
        <w:t xml:space="preserve">, if the material breach and failure to cure contemplated by </w:t>
      </w:r>
      <w:r>
        <w:rPr>
          <w:rFonts w:ascii="Arial" w:cs="Arial" w:eastAsia="Arial" w:hAnsi="Arial"/>
          <w:sz w:val="19"/>
          <w:szCs w:val="19"/>
          <w:u w:val="single" w:color="auto"/>
          <w:color w:val="auto"/>
        </w:rPr>
        <w:t>Section 13.2.1</w:t>
      </w:r>
      <w:r>
        <w:rPr>
          <w:rFonts w:ascii="Arial" w:cs="Arial" w:eastAsia="Arial" w:hAnsi="Arial"/>
          <w:sz w:val="19"/>
          <w:szCs w:val="19"/>
          <w:color w:val="auto"/>
        </w:rPr>
        <w:t xml:space="preserve"> is with respect to AbbVie’s Commercialization diligence obligations under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with respect to any Major Market, Licensor shall not have the right to terminate this Agreement in its entirety, but shall have the right to terminate this Agreement solely with respect to such Major Market.</w:t>
      </w:r>
    </w:p>
    <w:p>
      <w:pPr>
        <w:spacing w:after="0" w:line="28"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b w:val="1"/>
          <w:bCs w:val="1"/>
          <w:color w:val="auto"/>
        </w:rPr>
        <w:t xml:space="preserve">13.2.3 Material Breach Related to an Accepted Target. </w:t>
      </w:r>
      <w:r>
        <w:rPr>
          <w:rFonts w:ascii="Arial" w:cs="Arial" w:eastAsia="Arial" w:hAnsi="Arial"/>
          <w:sz w:val="21"/>
          <w:szCs w:val="21"/>
          <w:color w:val="auto"/>
        </w:rPr>
        <w:t>Notwithstanding</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13.2.1</w:t>
      </w:r>
      <w:r>
        <w:rPr>
          <w:rFonts w:ascii="Arial" w:cs="Arial" w:eastAsia="Arial" w:hAnsi="Arial"/>
          <w:sz w:val="21"/>
          <w:szCs w:val="21"/>
          <w:color w:val="auto"/>
        </w:rPr>
        <w:t>, if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material breach and failure to cure contemplated by </w:t>
      </w:r>
      <w:r>
        <w:rPr>
          <w:rFonts w:ascii="Arial" w:cs="Arial" w:eastAsia="Arial" w:hAnsi="Arial"/>
          <w:sz w:val="21"/>
          <w:szCs w:val="21"/>
          <w:u w:val="single" w:color="auto"/>
          <w:color w:val="auto"/>
        </w:rPr>
        <w:t>Section 13.2.1</w:t>
      </w:r>
      <w:r>
        <w:rPr>
          <w:rFonts w:ascii="Arial" w:cs="Arial" w:eastAsia="Arial" w:hAnsi="Arial"/>
          <w:sz w:val="21"/>
          <w:szCs w:val="21"/>
          <w:color w:val="auto"/>
        </w:rPr>
        <w:t xml:space="preserve"> is primarily with respect to AbbVie’s obligations under this Agreement with respect to any particular Accepted Target, Licensor shall not have the right to terminate this Agreement in its entirety, but shall have the right to terminate this Agreement solely with respect to such Accepted Target.</w:t>
      </w:r>
    </w:p>
    <w:p>
      <w:pPr>
        <w:spacing w:after="0" w:line="5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Additional Termination Rights by AbbVie.</w:t>
      </w:r>
    </w:p>
    <w:p>
      <w:pPr>
        <w:spacing w:after="0" w:line="98" w:lineRule="exact"/>
        <w:rPr>
          <w:sz w:val="20"/>
          <w:szCs w:val="20"/>
          <w:color w:val="auto"/>
        </w:rPr>
      </w:pPr>
    </w:p>
    <w:p>
      <w:pPr>
        <w:jc w:val="both"/>
        <w:ind w:firstLine="2634"/>
        <w:spacing w:after="0" w:line="237" w:lineRule="auto"/>
        <w:rPr>
          <w:sz w:val="20"/>
          <w:szCs w:val="20"/>
          <w:color w:val="auto"/>
        </w:rPr>
      </w:pPr>
      <w:r>
        <w:rPr>
          <w:rFonts w:ascii="Arial" w:cs="Arial" w:eastAsia="Arial" w:hAnsi="Arial"/>
          <w:sz w:val="22"/>
          <w:szCs w:val="22"/>
          <w:b w:val="1"/>
          <w:bCs w:val="1"/>
          <w:color w:val="auto"/>
        </w:rPr>
        <w:t xml:space="preserve">13.3.1 For Cause. </w:t>
      </w:r>
      <w:r>
        <w:rPr>
          <w:rFonts w:ascii="Arial" w:cs="Arial" w:eastAsia="Arial" w:hAnsi="Arial"/>
          <w:sz w:val="22"/>
          <w:szCs w:val="22"/>
          <w:color w:val="auto"/>
        </w:rPr>
        <w:t>AbbVie may terminate this Agreement in its entirety or on an Accepted</w:t>
      </w:r>
      <w:r>
        <w:rPr>
          <w:rFonts w:ascii="Arial" w:cs="Arial" w:eastAsia="Arial" w:hAnsi="Arial"/>
          <w:sz w:val="22"/>
          <w:szCs w:val="22"/>
          <w:b w:val="1"/>
          <w:bCs w:val="1"/>
          <w:color w:val="auto"/>
        </w:rPr>
        <w:t xml:space="preserve"> </w:t>
      </w:r>
      <w:r>
        <w:rPr>
          <w:rFonts w:ascii="Arial" w:cs="Arial" w:eastAsia="Arial" w:hAnsi="Arial"/>
          <w:sz w:val="22"/>
          <w:szCs w:val="22"/>
          <w:color w:val="auto"/>
        </w:rPr>
        <w:t>Target-by-Accepted Target basis effective immediately upon written notice to Licensor in the event that AbbVie in good faith believes (a) a Discovery PDC or AbbVie Probody Failure has occurred or (b) it is not advisable for AbbVie to continue to Develop or Commercialize the AbbVie Probodies, Discovery PDCs or Licensed Products as a result of a perceived serious safety issue regarding the use of any Licensed Product.</w:t>
      </w:r>
    </w:p>
    <w:p>
      <w:pPr>
        <w:spacing w:after="0" w:line="74"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13.3.2 Termination for Convenience by AbbVie. </w:t>
      </w:r>
      <w:r>
        <w:rPr>
          <w:rFonts w:ascii="Arial" w:cs="Arial" w:eastAsia="Arial" w:hAnsi="Arial"/>
          <w:sz w:val="22"/>
          <w:szCs w:val="22"/>
          <w:color w:val="auto"/>
        </w:rPr>
        <w:t>At any time after the [***]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AbbVie may terminate this Agreement in its entirety, or on a country or other jurisdiction -by-country or other jurisdiction basis, or on an Accepted Target-by-Accepted Target basis for any or no reason, upon [***] prior written notice to Licensor.</w:t>
      </w:r>
    </w:p>
    <w:p>
      <w:pPr>
        <w:spacing w:after="0" w:line="73" w:lineRule="exact"/>
        <w:rPr>
          <w:sz w:val="20"/>
          <w:szCs w:val="20"/>
          <w:color w:val="auto"/>
        </w:rPr>
      </w:pPr>
    </w:p>
    <w:p>
      <w:pPr>
        <w:jc w:val="both"/>
        <w:ind w:right="20" w:firstLine="1755"/>
        <w:spacing w:after="0" w:line="256" w:lineRule="auto"/>
        <w:rPr>
          <w:sz w:val="20"/>
          <w:szCs w:val="20"/>
          <w:color w:val="auto"/>
        </w:rPr>
      </w:pPr>
      <w:r>
        <w:rPr>
          <w:rFonts w:ascii="Arial" w:cs="Arial" w:eastAsia="Arial" w:hAnsi="Arial"/>
          <w:sz w:val="22"/>
          <w:szCs w:val="22"/>
          <w:b w:val="1"/>
          <w:bCs w:val="1"/>
          <w:color w:val="auto"/>
        </w:rPr>
        <w:t xml:space="preserve">13.4 Termination for Insolvency. </w:t>
      </w:r>
      <w:r>
        <w:rPr>
          <w:rFonts w:ascii="Arial" w:cs="Arial" w:eastAsia="Arial" w:hAnsi="Arial"/>
          <w:sz w:val="22"/>
          <w:szCs w:val="22"/>
          <w:color w:val="auto"/>
        </w:rPr>
        <w:t>In the event that either Party (a) files for protection under</w:t>
      </w:r>
      <w:r>
        <w:rPr>
          <w:rFonts w:ascii="Arial" w:cs="Arial" w:eastAsia="Arial" w:hAnsi="Arial"/>
          <w:sz w:val="22"/>
          <w:szCs w:val="22"/>
          <w:b w:val="1"/>
          <w:bCs w:val="1"/>
          <w:color w:val="auto"/>
        </w:rPr>
        <w:t xml:space="preserve"> </w:t>
      </w:r>
      <w:r>
        <w:rPr>
          <w:rFonts w:ascii="Arial" w:cs="Arial" w:eastAsia="Arial" w:hAnsi="Arial"/>
          <w:sz w:val="22"/>
          <w:szCs w:val="22"/>
          <w:color w:val="auto"/>
        </w:rPr>
        <w:t>bankruptcy or insolvency laws, (b) makes an assignment of substantially all of its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5" w:name="page146"/>
    <w:bookmarkEnd w:id="145"/>
    <w:p>
      <w:pPr>
        <w:jc w:val="both"/>
        <w:spacing w:after="0" w:line="282" w:lineRule="auto"/>
        <w:rPr>
          <w:sz w:val="20"/>
          <w:szCs w:val="20"/>
          <w:color w:val="auto"/>
        </w:rPr>
      </w:pPr>
      <w:r>
        <w:rPr>
          <w:rFonts w:ascii="Arial" w:cs="Arial" w:eastAsia="Arial" w:hAnsi="Arial"/>
          <w:sz w:val="19"/>
          <w:szCs w:val="19"/>
          <w:color w:val="auto"/>
        </w:rPr>
        <w:t>assets for the benefit of creditors, (c) appoints or suffers appointment of a receiver or trustee over substantially all of its property that is not discharged within [***] after such filing, (d) proposes or is a party to any dissolution or liquidation, (e) files a petition under any bankruptcy or insolvency act or has any such petition filed against that is not discharged within [***] of the filing thereof, or (f) admits in writing its inability generally to meet its obligations as they fall due in the general course, then the other Party may terminate this Agreement in its entirety effective immediately upon written notice to such Party.</w:t>
      </w:r>
    </w:p>
    <w:p>
      <w:pPr>
        <w:spacing w:after="0" w:line="34"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b w:val="1"/>
          <w:bCs w:val="1"/>
          <w:color w:val="auto"/>
        </w:rPr>
        <w:t>Rights in Bankruptcy.</w:t>
      </w:r>
    </w:p>
    <w:p>
      <w:pPr>
        <w:spacing w:after="0" w:line="98" w:lineRule="exact"/>
        <w:rPr>
          <w:sz w:val="20"/>
          <w:szCs w:val="20"/>
          <w:color w:val="auto"/>
        </w:rPr>
      </w:pPr>
    </w:p>
    <w:p>
      <w:pPr>
        <w:jc w:val="both"/>
        <w:ind w:firstLine="2634"/>
        <w:spacing w:after="0" w:line="275" w:lineRule="auto"/>
        <w:rPr>
          <w:sz w:val="20"/>
          <w:szCs w:val="20"/>
          <w:color w:val="auto"/>
        </w:rPr>
      </w:pPr>
      <w:r>
        <w:rPr>
          <w:rFonts w:ascii="Arial" w:cs="Arial" w:eastAsia="Arial" w:hAnsi="Arial"/>
          <w:sz w:val="19"/>
          <w:szCs w:val="19"/>
          <w:b w:val="1"/>
          <w:bCs w:val="1"/>
          <w:color w:val="auto"/>
        </w:rPr>
        <w:t xml:space="preserve">13.5.1 Applicability of 11 U.S.C. § 365(n). </w:t>
      </w:r>
      <w:r>
        <w:rPr>
          <w:rFonts w:ascii="Arial" w:cs="Arial" w:eastAsia="Arial" w:hAnsi="Arial"/>
          <w:sz w:val="19"/>
          <w:szCs w:val="19"/>
          <w:color w:val="auto"/>
        </w:rPr>
        <w:t>All rights and licenses (collectively,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granted under or pursuant to this Agreement, including all rights and licenses to use improvements or enhancements developed during the Term, are intended to be, and shall otherwise be deemed to be, for purposes of Section 365(n) of the United States Bankruptcy Code (the “</w:t>
      </w:r>
      <w:r>
        <w:rPr>
          <w:rFonts w:ascii="Arial" w:cs="Arial" w:eastAsia="Arial" w:hAnsi="Arial"/>
          <w:sz w:val="19"/>
          <w:szCs w:val="19"/>
          <w:b w:val="1"/>
          <w:bCs w:val="1"/>
          <w:color w:val="auto"/>
        </w:rPr>
        <w:t>Bankruptcy Code</w:t>
      </w:r>
      <w:r>
        <w:rPr>
          <w:rFonts w:ascii="Arial" w:cs="Arial" w:eastAsia="Arial" w:hAnsi="Arial"/>
          <w:sz w:val="19"/>
          <w:szCs w:val="19"/>
          <w:color w:val="auto"/>
        </w:rPr>
        <w:t>”) or any analogous provisions in any other country or jurisdiction, licenses of rights to “intellectual property” as defined under Section 101(35A) of the Bankruptcy Code. The Parties agree that the licensee of such Intellectual Property under this Agreement shall retain and may fully exercise all of its rights and elections under the Bankruptcy Code, including Section 365(n) of the Bankruptcy Code, or any analogous provisions in any other country or jurisdiction. All of the rights granted to either Party under this Agreement shall be deemed to exist immediately before the occurrence of any bankruptcy case in which the other Party is the debtor.</w:t>
      </w:r>
    </w:p>
    <w:p>
      <w:pPr>
        <w:spacing w:after="0" w:line="43" w:lineRule="exact"/>
        <w:rPr>
          <w:sz w:val="20"/>
          <w:szCs w:val="20"/>
          <w:color w:val="auto"/>
        </w:rPr>
      </w:pPr>
    </w:p>
    <w:p>
      <w:pPr>
        <w:jc w:val="both"/>
        <w:ind w:firstLine="2634"/>
        <w:spacing w:after="0" w:line="278" w:lineRule="auto"/>
        <w:rPr>
          <w:sz w:val="20"/>
          <w:szCs w:val="20"/>
          <w:color w:val="auto"/>
        </w:rPr>
      </w:pPr>
      <w:r>
        <w:rPr>
          <w:rFonts w:ascii="Arial" w:cs="Arial" w:eastAsia="Arial" w:hAnsi="Arial"/>
          <w:sz w:val="19"/>
          <w:szCs w:val="19"/>
          <w:b w:val="1"/>
          <w:bCs w:val="1"/>
          <w:color w:val="auto"/>
        </w:rPr>
        <w:t xml:space="preserve">13.5.2 Rights of non-Debtor Party in Bankruptcy. </w:t>
      </w:r>
      <w:r>
        <w:rPr>
          <w:rFonts w:ascii="Arial" w:cs="Arial" w:eastAsia="Arial" w:hAnsi="Arial"/>
          <w:sz w:val="19"/>
          <w:szCs w:val="19"/>
          <w:color w:val="auto"/>
        </w:rPr>
        <w:t>If a bankruptcy proceeding 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commenced by or against either Party under the Bankruptcy Code or any analogous provisions in any other country or jurisdiction, the non-debtor Party shall be entitled to a complete duplicate of (or complete access to, as appropriate) any Intellectual Property and all embodiments of such Intellectual Property, which, if not already in the non-debtor Party’s possession, shall be delivered to the non-debtor Party within [***] of such request; </w:t>
      </w:r>
      <w:r>
        <w:rPr>
          <w:rFonts w:ascii="Arial" w:cs="Arial" w:eastAsia="Arial" w:hAnsi="Arial"/>
          <w:sz w:val="19"/>
          <w:szCs w:val="19"/>
          <w:i w:val="1"/>
          <w:iCs w:val="1"/>
          <w:color w:val="auto"/>
        </w:rPr>
        <w:t>provided</w:t>
      </w:r>
      <w:r>
        <w:rPr>
          <w:rFonts w:ascii="Arial" w:cs="Arial" w:eastAsia="Arial" w:hAnsi="Arial"/>
          <w:sz w:val="19"/>
          <w:szCs w:val="19"/>
          <w:color w:val="auto"/>
        </w:rPr>
        <w:t>, that the debtor Party is excused from its obligation to deliver the Intellectual Property to the extent the debtor Party continues to perform all of its obligations under this Agreement and the Agreement has not been rejected pursuant to the Bankruptcy Code or any analogous provision in any other country or jurisdiction.</w:t>
      </w:r>
    </w:p>
    <w:p>
      <w:pPr>
        <w:spacing w:after="0" w:line="3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b w:val="1"/>
          <w:bCs w:val="1"/>
          <w:color w:val="auto"/>
        </w:rPr>
        <w:t>Termination in Entirety.</w:t>
      </w:r>
    </w:p>
    <w:p>
      <w:pPr>
        <w:spacing w:after="0" w:line="98"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13.6.1</w:t>
      </w:r>
      <w:r>
        <w:rPr>
          <w:sz w:val="20"/>
          <w:szCs w:val="20"/>
          <w:color w:val="auto"/>
        </w:rPr>
        <w:tab/>
      </w:r>
      <w:r>
        <w:rPr>
          <w:rFonts w:ascii="Arial" w:cs="Arial" w:eastAsia="Arial" w:hAnsi="Arial"/>
          <w:sz w:val="19"/>
          <w:szCs w:val="19"/>
          <w:color w:val="auto"/>
        </w:rPr>
        <w:t>In the event of a termination of this Agreement in its entirety by AbbVie pursuant to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13.3</w:t>
      </w:r>
      <w:r>
        <w:rPr>
          <w:rFonts w:ascii="Arial" w:cs="Arial" w:eastAsia="Arial" w:hAnsi="Arial"/>
          <w:sz w:val="22"/>
          <w:szCs w:val="22"/>
          <w:color w:val="auto"/>
        </w:rPr>
        <w:t xml:space="preserve"> or by Licensor pursuant to </w:t>
      </w:r>
      <w:r>
        <w:rPr>
          <w:rFonts w:ascii="Arial" w:cs="Arial" w:eastAsia="Arial" w:hAnsi="Arial"/>
          <w:sz w:val="22"/>
          <w:szCs w:val="22"/>
          <w:u w:val="single" w:color="auto"/>
          <w:color w:val="auto"/>
        </w:rPr>
        <w:t>Section 13.2.1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13.4</w:t>
      </w:r>
      <w:r>
        <w:rPr>
          <w:rFonts w:ascii="Arial" w:cs="Arial" w:eastAsia="Arial" w:hAnsi="Arial"/>
          <w:sz w:val="22"/>
          <w:szCs w:val="22"/>
          <w:color w:val="auto"/>
        </w:rPr>
        <w:t>:</w:t>
      </w:r>
    </w:p>
    <w:p>
      <w:pPr>
        <w:spacing w:after="0" w:line="80" w:lineRule="exact"/>
        <w:rPr>
          <w:sz w:val="20"/>
          <w:szCs w:val="20"/>
          <w:color w:val="auto"/>
        </w:rPr>
      </w:pPr>
    </w:p>
    <w:p>
      <w:pPr>
        <w:ind w:left="4400"/>
        <w:spacing w:after="0"/>
        <w:tabs>
          <w:tab w:leader="none" w:pos="5260" w:val="left"/>
          <w:tab w:leader="none" w:pos="5680" w:val="left"/>
          <w:tab w:leader="none" w:pos="6360" w:val="left"/>
          <w:tab w:leader="none" w:pos="6860" w:val="left"/>
          <w:tab w:leader="none" w:pos="7740" w:val="left"/>
          <w:tab w:leader="none" w:pos="8580" w:val="left"/>
          <w:tab w:leader="none" w:pos="8980" w:val="left"/>
          <w:tab w:leader="none" w:pos="9920" w:val="left"/>
          <w:tab w:leader="none" w:pos="109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all</w:t>
        <w:tab/>
        <w:t>rights</w:t>
        <w:tab/>
        <w:t>and</w:t>
        <w:tab/>
        <w:t>licenses</w:t>
        <w:tab/>
        <w:t>granted</w:t>
        <w:tab/>
        <w:t>by</w:t>
        <w:tab/>
        <w:t>Licensor</w:t>
        <w:tab/>
        <w:t>hereunder</w:t>
      </w:r>
      <w:r>
        <w:rPr>
          <w:sz w:val="20"/>
          <w:szCs w:val="20"/>
          <w:color w:val="auto"/>
        </w:rPr>
        <w:tab/>
      </w:r>
      <w:r>
        <w:rPr>
          <w:rFonts w:ascii="Arial" w:cs="Arial" w:eastAsia="Arial" w:hAnsi="Arial"/>
          <w:sz w:val="19"/>
          <w:szCs w:val="19"/>
          <w:color w:val="auto"/>
        </w:rPr>
        <w:t>shall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immediately terminate;</w:t>
      </w:r>
    </w:p>
    <w:p>
      <w:pPr>
        <w:spacing w:after="0" w:line="80" w:lineRule="exact"/>
        <w:rPr>
          <w:sz w:val="20"/>
          <w:szCs w:val="20"/>
          <w:color w:val="auto"/>
        </w:rPr>
      </w:pPr>
    </w:p>
    <w:p>
      <w:pPr>
        <w:ind w:left="5300" w:hanging="903"/>
        <w:spacing w:after="0"/>
        <w:tabs>
          <w:tab w:leader="none" w:pos="5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all rights and licenses granted by AbbVie hereunder shall immediately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terminate;</w:t>
      </w:r>
    </w:p>
    <w:p>
      <w:pPr>
        <w:spacing w:after="0" w:line="80" w:lineRule="exact"/>
        <w:rPr>
          <w:sz w:val="20"/>
          <w:szCs w:val="20"/>
          <w:color w:val="auto"/>
        </w:rPr>
      </w:pPr>
    </w:p>
    <w:p>
      <w:pPr>
        <w:ind w:left="5280" w:hanging="883"/>
        <w:spacing w:after="0"/>
        <w:tabs>
          <w:tab w:leader="none" w:pos="52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AbbVie shall grant Licensor [***], effective as of the effective date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such termination; and</w:t>
      </w:r>
    </w:p>
    <w:p>
      <w:pPr>
        <w:spacing w:after="0" w:line="80" w:lineRule="exact"/>
        <w:rPr>
          <w:sz w:val="20"/>
          <w:szCs w:val="20"/>
          <w:color w:val="auto"/>
        </w:rPr>
      </w:pPr>
    </w:p>
    <w:p>
      <w:pPr>
        <w:ind w:left="5300" w:hanging="903"/>
        <w:spacing w:after="0"/>
        <w:tabs>
          <w:tab w:leader="none" w:pos="5300" w:val="left"/>
        </w:tabs>
        <w:numPr>
          <w:ilvl w:val="1"/>
          <w:numId w:val="80"/>
        </w:numPr>
        <w:rPr>
          <w:rFonts w:ascii="Arial" w:cs="Arial" w:eastAsia="Arial" w:hAnsi="Arial"/>
          <w:sz w:val="19"/>
          <w:szCs w:val="19"/>
          <w:color w:val="auto"/>
        </w:rPr>
      </w:pPr>
      <w:r>
        <w:rPr>
          <w:rFonts w:ascii="Arial" w:cs="Arial" w:eastAsia="Arial" w:hAnsi="Arial"/>
          <w:sz w:val="19"/>
          <w:szCs w:val="19"/>
          <w:color w:val="auto"/>
        </w:rPr>
        <w:t xml:space="preserve">solely in the case of termination pursuant to </w:t>
      </w:r>
      <w:r>
        <w:rPr>
          <w:rFonts w:ascii="Arial" w:cs="Arial" w:eastAsia="Arial" w:hAnsi="Arial"/>
          <w:sz w:val="19"/>
          <w:szCs w:val="19"/>
          <w:u w:val="single" w:color="auto"/>
          <w:color w:val="auto"/>
        </w:rPr>
        <w:t>Section 13.3.2</w:t>
      </w:r>
      <w:r>
        <w:rPr>
          <w:rFonts w:ascii="Arial" w:cs="Arial" w:eastAsia="Arial" w:hAnsi="Arial"/>
          <w:sz w:val="19"/>
          <w:szCs w:val="19"/>
          <w:color w:val="auto"/>
        </w:rPr>
        <w:t>, upon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effective date of AbbVie’s notice of termination (i) AbbVie will have no further</w:t>
      </w:r>
    </w:p>
    <w:p>
      <w:pPr>
        <w:spacing w:after="0" w:line="161" w:lineRule="exact"/>
        <w:rPr>
          <w:rFonts w:ascii="Arial" w:cs="Arial" w:eastAsia="Arial" w:hAnsi="Arial"/>
          <w:sz w:val="19"/>
          <w:szCs w:val="19"/>
          <w:color w:val="auto"/>
        </w:rPr>
      </w:pPr>
    </w:p>
    <w:p>
      <w:pPr>
        <w:ind w:left="1020" w:hanging="135"/>
        <w:spacing w:after="0"/>
        <w:tabs>
          <w:tab w:leader="none" w:pos="1020" w:val="left"/>
        </w:tabs>
        <w:numPr>
          <w:ilvl w:val="0"/>
          <w:numId w:val="80"/>
        </w:numPr>
        <w:rPr>
          <w:rFonts w:ascii="Arial" w:cs="Arial" w:eastAsia="Arial" w:hAnsi="Arial"/>
          <w:sz w:val="22"/>
          <w:szCs w:val="22"/>
          <w:color w:val="auto"/>
        </w:rPr>
      </w:pPr>
      <w:r>
        <w:rPr>
          <w:rFonts w:ascii="Arial" w:cs="Arial" w:eastAsia="Arial" w:hAnsi="Arial"/>
          <w:sz w:val="22"/>
          <w:szCs w:val="22"/>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6" w:name="page147"/>
    <w:bookmarkEnd w:id="146"/>
    <w:p>
      <w:pPr>
        <w:jc w:val="both"/>
        <w:spacing w:after="0"/>
        <w:rPr>
          <w:sz w:val="20"/>
          <w:szCs w:val="20"/>
          <w:color w:val="auto"/>
        </w:rPr>
      </w:pPr>
      <w:r>
        <w:rPr>
          <w:rFonts w:ascii="Arial" w:cs="Arial" w:eastAsia="Arial" w:hAnsi="Arial"/>
          <w:sz w:val="22"/>
          <w:szCs w:val="22"/>
          <w:color w:val="auto"/>
        </w:rPr>
        <w:t xml:space="preserve">diligence obligations under this Agreement and (ii) AbbVie will not be required to make any milestone payments to Licensor under this Agreement for milestones achieved during the period between the notice of termination by AbbVie under </w:t>
      </w:r>
      <w:r>
        <w:rPr>
          <w:rFonts w:ascii="Arial" w:cs="Arial" w:eastAsia="Arial" w:hAnsi="Arial"/>
          <w:sz w:val="22"/>
          <w:szCs w:val="22"/>
          <w:u w:val="single" w:color="auto"/>
          <w:color w:val="auto"/>
        </w:rPr>
        <w:t>Section 13.3.2</w:t>
      </w:r>
      <w:r>
        <w:rPr>
          <w:rFonts w:ascii="Arial" w:cs="Arial" w:eastAsia="Arial" w:hAnsi="Arial"/>
          <w:sz w:val="22"/>
          <w:szCs w:val="22"/>
          <w:color w:val="auto"/>
        </w:rPr>
        <w:t xml:space="preserve"> and the effective date of termination or thereafter.</w:t>
      </w:r>
    </w:p>
    <w:p>
      <w:pPr>
        <w:spacing w:after="0" w:line="72" w:lineRule="exact"/>
        <w:rPr>
          <w:sz w:val="20"/>
          <w:szCs w:val="20"/>
          <w:color w:val="auto"/>
        </w:rPr>
      </w:pPr>
    </w:p>
    <w:p>
      <w:pPr>
        <w:jc w:val="right"/>
        <w:spacing w:after="0"/>
        <w:tabs>
          <w:tab w:leader="none" w:pos="7560" w:val="left"/>
        </w:tabs>
        <w:rPr>
          <w:sz w:val="20"/>
          <w:szCs w:val="20"/>
          <w:color w:val="auto"/>
        </w:rPr>
      </w:pPr>
      <w:r>
        <w:rPr>
          <w:rFonts w:ascii="Arial" w:cs="Arial" w:eastAsia="Arial" w:hAnsi="Arial"/>
          <w:sz w:val="22"/>
          <w:szCs w:val="22"/>
          <w:b w:val="1"/>
          <w:bCs w:val="1"/>
          <w:color w:val="auto"/>
        </w:rPr>
        <w:t>13.6.2</w:t>
      </w:r>
      <w:r>
        <w:rPr>
          <w:sz w:val="20"/>
          <w:szCs w:val="20"/>
          <w:color w:val="auto"/>
        </w:rPr>
        <w:tab/>
      </w:r>
      <w:r>
        <w:rPr>
          <w:rFonts w:ascii="Arial" w:cs="Arial" w:eastAsia="Arial" w:hAnsi="Arial"/>
          <w:sz w:val="19"/>
          <w:szCs w:val="19"/>
          <w:color w:val="auto"/>
        </w:rPr>
        <w:t>In the event of a termination of this Agreement in its entirety by AbbVie pursuant to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13.2.1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13.4</w:t>
      </w:r>
      <w:r>
        <w:rPr>
          <w:rFonts w:ascii="Arial" w:cs="Arial" w:eastAsia="Arial" w:hAnsi="Arial"/>
          <w:sz w:val="22"/>
          <w:szCs w:val="22"/>
          <w:color w:val="auto"/>
        </w:rPr>
        <w:t>:</w:t>
      </w:r>
    </w:p>
    <w:p>
      <w:pPr>
        <w:spacing w:after="0" w:line="80" w:lineRule="exact"/>
        <w:rPr>
          <w:sz w:val="20"/>
          <w:szCs w:val="20"/>
          <w:color w:val="auto"/>
        </w:rPr>
      </w:pPr>
    </w:p>
    <w:p>
      <w:pPr>
        <w:ind w:left="5280" w:hanging="883"/>
        <w:spacing w:after="0"/>
        <w:tabs>
          <w:tab w:leader="none" w:pos="528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all rights and licenses granted by AbbVie hereunder shall immediately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terminate; and</w:t>
      </w:r>
    </w:p>
    <w:p>
      <w:pPr>
        <w:spacing w:after="0" w:line="80" w:lineRule="exact"/>
        <w:rPr>
          <w:sz w:val="20"/>
          <w:szCs w:val="20"/>
          <w:color w:val="auto"/>
        </w:rPr>
      </w:pPr>
    </w:p>
    <w:p>
      <w:pPr>
        <w:jc w:val="both"/>
        <w:ind w:firstLine="4397"/>
        <w:spacing w:after="0" w:line="247" w:lineRule="auto"/>
        <w:tabs>
          <w:tab w:leader="none" w:pos="5289"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all rights and licenses granted to AbbVie hereunder shall become exclusive or non-exclusive (at AbbVie’s sole option), irrevocable, and perpetual rights and licenses and the Parties shall mutually agree, in good faith, in writing the consideration Licensor shall receive for the aforementioned license, taking into consideration: (i) lost time in the Development and/or Commercialization of an AbbVie Probody, Discovery PDC or Licensed Product due to termination; (ii) AbbVie’s contributions made in Exploitation of an AbbVie Probody, Discovery PDC or Licensed Product; and (iii) the reasons why the termination occurred. If, despite good faith discussions, the Parties are unable to agree on the consideration, then the dispute shall be resolved pursuant to </w:t>
      </w:r>
      <w:r>
        <w:rPr>
          <w:rFonts w:ascii="Arial" w:cs="Arial" w:eastAsia="Arial" w:hAnsi="Arial"/>
          <w:sz w:val="21"/>
          <w:szCs w:val="21"/>
          <w:u w:val="single" w:color="auto"/>
          <w:color w:val="auto"/>
        </w:rPr>
        <w:t>Section 14.7</w:t>
      </w:r>
      <w:r>
        <w:rPr>
          <w:rFonts w:ascii="Arial" w:cs="Arial" w:eastAsia="Arial" w:hAnsi="Arial"/>
          <w:sz w:val="21"/>
          <w:szCs w:val="21"/>
          <w:color w:val="auto"/>
        </w:rPr>
        <w:t>.</w:t>
      </w:r>
    </w:p>
    <w:p>
      <w:pPr>
        <w:spacing w:after="0" w:line="64"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9"/>
          <w:szCs w:val="19"/>
          <w:b w:val="1"/>
          <w:bCs w:val="1"/>
          <w:color w:val="auto"/>
        </w:rPr>
        <w:t xml:space="preserve">13.7 Termination of Terminated Territory. </w:t>
      </w:r>
      <w:r>
        <w:rPr>
          <w:rFonts w:ascii="Arial" w:cs="Arial" w:eastAsia="Arial" w:hAnsi="Arial"/>
          <w:sz w:val="19"/>
          <w:szCs w:val="19"/>
          <w:color w:val="auto"/>
        </w:rPr>
        <w:t>In the event of a termination of this Agreement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respect to a country or other jurisdiction by AbbVie pursuant to </w:t>
      </w:r>
      <w:r>
        <w:rPr>
          <w:rFonts w:ascii="Arial" w:cs="Arial" w:eastAsia="Arial" w:hAnsi="Arial"/>
          <w:sz w:val="19"/>
          <w:szCs w:val="19"/>
          <w:u w:val="single" w:color="auto"/>
          <w:color w:val="auto"/>
        </w:rPr>
        <w:t>Section 13.3.2</w:t>
      </w:r>
      <w:r>
        <w:rPr>
          <w:rFonts w:ascii="Arial" w:cs="Arial" w:eastAsia="Arial" w:hAnsi="Arial"/>
          <w:sz w:val="19"/>
          <w:szCs w:val="19"/>
          <w:color w:val="auto"/>
        </w:rPr>
        <w:t xml:space="preserve"> or with respect to a Terminated Territory by Licensor pursuant to </w:t>
      </w:r>
      <w:r>
        <w:rPr>
          <w:rFonts w:ascii="Arial" w:cs="Arial" w:eastAsia="Arial" w:hAnsi="Arial"/>
          <w:sz w:val="19"/>
          <w:szCs w:val="19"/>
          <w:u w:val="single" w:color="auto"/>
          <w:color w:val="auto"/>
        </w:rPr>
        <w:t>Section 13.2.2</w:t>
      </w:r>
      <w:r>
        <w:rPr>
          <w:rFonts w:ascii="Arial" w:cs="Arial" w:eastAsia="Arial" w:hAnsi="Arial"/>
          <w:sz w:val="19"/>
          <w:szCs w:val="19"/>
          <w:color w:val="auto"/>
        </w:rPr>
        <w:t xml:space="preserve"> (but not in the case of any termination of this Agreement in its entirety) all rights and licenses granted by Licensor hereunder (a) shall automatically be deemed to be amended to exclude, if applicable, the right to market, promote, detail, distribute, import, sell, offer for sale, file any Drug Approval Application for, or seek any Regulatory Approval for AbbVie Probodies, Discovery PDCs or Licensed Products in such Terminated Territory, and (b) shall otherwise survive and continue in effect in such Terminated Territory solely for the purpose of furthering any Commercialization of the AbbVie Probodies, Discovery PDCs or Licensed Products in the Territory or any Development or Manufacturing in support thereof.</w:t>
      </w:r>
    </w:p>
    <w:p>
      <w:pPr>
        <w:spacing w:after="0" w:line="43"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13.8 Termination of Accepted Target. </w:t>
      </w:r>
      <w:r>
        <w:rPr>
          <w:rFonts w:ascii="Arial" w:cs="Arial" w:eastAsia="Arial" w:hAnsi="Arial"/>
          <w:sz w:val="22"/>
          <w:szCs w:val="22"/>
          <w:color w:val="auto"/>
        </w:rPr>
        <w:t>In the event of a termination of this Agreement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one Accepted Target (the “</w:t>
      </w:r>
      <w:r>
        <w:rPr>
          <w:rFonts w:ascii="Arial" w:cs="Arial" w:eastAsia="Arial" w:hAnsi="Arial"/>
          <w:sz w:val="22"/>
          <w:szCs w:val="22"/>
          <w:b w:val="1"/>
          <w:bCs w:val="1"/>
          <w:color w:val="auto"/>
        </w:rPr>
        <w:t>Terminated Target</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13.2.3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13.3</w:t>
      </w:r>
      <w:r>
        <w:rPr>
          <w:rFonts w:ascii="Arial" w:cs="Arial" w:eastAsia="Arial" w:hAnsi="Arial"/>
          <w:sz w:val="22"/>
          <w:szCs w:val="22"/>
          <w:color w:val="auto"/>
        </w:rPr>
        <w:t xml:space="preserve"> (but not in the case of any termination of this Agreement in its entirety) then:</w:t>
      </w:r>
    </w:p>
    <w:p>
      <w:pPr>
        <w:spacing w:after="0" w:line="69" w:lineRule="exact"/>
        <w:rPr>
          <w:sz w:val="20"/>
          <w:szCs w:val="20"/>
          <w:color w:val="auto"/>
        </w:rPr>
      </w:pPr>
    </w:p>
    <w:p>
      <w:pPr>
        <w:jc w:val="both"/>
        <w:ind w:firstLine="2634"/>
        <w:spacing w:after="0" w:line="326" w:lineRule="auto"/>
        <w:rPr>
          <w:sz w:val="20"/>
          <w:szCs w:val="20"/>
          <w:color w:val="auto"/>
        </w:rPr>
      </w:pPr>
      <w:r>
        <w:rPr>
          <w:rFonts w:ascii="Arial" w:cs="Arial" w:eastAsia="Arial" w:hAnsi="Arial"/>
          <w:sz w:val="19"/>
          <w:szCs w:val="19"/>
          <w:b w:val="1"/>
          <w:bCs w:val="1"/>
          <w:color w:val="auto"/>
        </w:rPr>
        <w:t xml:space="preserve">13.8.1 </w:t>
      </w:r>
      <w:r>
        <w:rPr>
          <w:rFonts w:ascii="Arial" w:cs="Arial" w:eastAsia="Arial" w:hAnsi="Arial"/>
          <w:sz w:val="19"/>
          <w:szCs w:val="19"/>
          <w:color w:val="auto"/>
        </w:rPr>
        <w:t>all rights and licenses granted by Licensor hereunder shall automatically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amended to exclude the Terminated Target but shall otherwise survive and continue in effect for any remaining Accepted Target;</w:t>
      </w:r>
    </w:p>
    <w:p>
      <w:pPr>
        <w:spacing w:after="0" w:line="1" w:lineRule="exact"/>
        <w:rPr>
          <w:sz w:val="20"/>
          <w:szCs w:val="20"/>
          <w:color w:val="auto"/>
        </w:rPr>
      </w:pPr>
    </w:p>
    <w:p>
      <w:pPr>
        <w:jc w:val="both"/>
        <w:ind w:firstLine="2634"/>
        <w:spacing w:after="0" w:line="326" w:lineRule="auto"/>
        <w:rPr>
          <w:sz w:val="20"/>
          <w:szCs w:val="20"/>
          <w:color w:val="auto"/>
        </w:rPr>
      </w:pPr>
      <w:r>
        <w:rPr>
          <w:rFonts w:ascii="Arial" w:cs="Arial" w:eastAsia="Arial" w:hAnsi="Arial"/>
          <w:sz w:val="19"/>
          <w:szCs w:val="19"/>
          <w:b w:val="1"/>
          <w:bCs w:val="1"/>
          <w:color w:val="auto"/>
        </w:rPr>
        <w:t xml:space="preserve">13.8.2 </w:t>
      </w:r>
      <w:r>
        <w:rPr>
          <w:rFonts w:ascii="Arial" w:cs="Arial" w:eastAsia="Arial" w:hAnsi="Arial"/>
          <w:sz w:val="19"/>
          <w:szCs w:val="19"/>
          <w:color w:val="auto"/>
        </w:rPr>
        <w:t>all rights and licenses granted by AbbVie hereunder shall automatically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be amended to exclude the Terminated Target but shall otherwise survive and continue in effect for any remaining Accepted Target;</w:t>
      </w:r>
    </w:p>
    <w:p>
      <w:pPr>
        <w:spacing w:after="0" w:line="1"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13.8.3</w:t>
      </w:r>
      <w:r>
        <w:rPr>
          <w:sz w:val="20"/>
          <w:szCs w:val="20"/>
          <w:color w:val="auto"/>
        </w:rPr>
        <w:tab/>
      </w:r>
      <w:r>
        <w:rPr>
          <w:rFonts w:ascii="Arial" w:cs="Arial" w:eastAsia="Arial" w:hAnsi="Arial"/>
          <w:sz w:val="21"/>
          <w:szCs w:val="21"/>
          <w:color w:val="auto"/>
        </w:rPr>
        <w:t>AbbVie  shall  grant  Licensor  [***],  effective  as  of  the  effective  date  of  such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termination; and</w:t>
      </w:r>
    </w:p>
    <w:p>
      <w:pPr>
        <w:spacing w:after="0" w:line="74"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13.8.4 </w:t>
      </w:r>
      <w:r>
        <w:rPr>
          <w:rFonts w:ascii="Arial" w:cs="Arial" w:eastAsia="Arial" w:hAnsi="Arial"/>
          <w:sz w:val="22"/>
          <w:szCs w:val="22"/>
          <w:color w:val="auto"/>
        </w:rPr>
        <w:t>solely in the case of termination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13.3.2</w:t>
      </w:r>
      <w:r>
        <w:rPr>
          <w:rFonts w:ascii="Arial" w:cs="Arial" w:eastAsia="Arial" w:hAnsi="Arial"/>
          <w:sz w:val="22"/>
          <w:szCs w:val="22"/>
          <w:color w:val="auto"/>
        </w:rPr>
        <w:t>, upon the effective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AbbVie’s notice of termination (i) AbbVie will have no further diligence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7" w:name="page148"/>
    <w:bookmarkEnd w:id="147"/>
    <w:p>
      <w:pPr>
        <w:jc w:val="both"/>
        <w:spacing w:after="0" w:line="297" w:lineRule="auto"/>
        <w:rPr>
          <w:sz w:val="20"/>
          <w:szCs w:val="20"/>
          <w:color w:val="auto"/>
        </w:rPr>
      </w:pPr>
      <w:r>
        <w:rPr>
          <w:rFonts w:ascii="Arial" w:cs="Arial" w:eastAsia="Arial" w:hAnsi="Arial"/>
          <w:sz w:val="19"/>
          <w:szCs w:val="19"/>
          <w:color w:val="auto"/>
        </w:rPr>
        <w:t xml:space="preserve">obligations under this Agreement with respect to the Terminated Target and (ii) AbbVie will not be required to make any milestone payments to Licensor under this Agreement for milestones achieved with respect to the Terminated Target during the period between the notice of termination by AbbVie under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and the effective date of termination and thereafter.</w:t>
      </w:r>
    </w:p>
    <w:p>
      <w:pPr>
        <w:spacing w:after="0" w:line="20" w:lineRule="exact"/>
        <w:rPr>
          <w:sz w:val="20"/>
          <w:szCs w:val="20"/>
          <w:color w:val="auto"/>
        </w:rPr>
      </w:pPr>
    </w:p>
    <w:p>
      <w:pPr>
        <w:jc w:val="both"/>
        <w:ind w:firstLine="1755"/>
        <w:spacing w:after="0" w:line="261" w:lineRule="auto"/>
        <w:rPr>
          <w:sz w:val="20"/>
          <w:szCs w:val="20"/>
          <w:color w:val="auto"/>
        </w:rPr>
      </w:pPr>
      <w:r>
        <w:rPr>
          <w:rFonts w:ascii="Arial" w:cs="Arial" w:eastAsia="Arial" w:hAnsi="Arial"/>
          <w:sz w:val="21"/>
          <w:szCs w:val="21"/>
          <w:b w:val="1"/>
          <w:bCs w:val="1"/>
          <w:color w:val="auto"/>
        </w:rPr>
        <w:t xml:space="preserve">13.9 Remedies. </w:t>
      </w:r>
      <w:r>
        <w:rPr>
          <w:rFonts w:ascii="Arial" w:cs="Arial" w:eastAsia="Arial" w:hAnsi="Arial"/>
          <w:sz w:val="21"/>
          <w:szCs w:val="21"/>
          <w:color w:val="auto"/>
        </w:rPr>
        <w:t>Except as otherwise expressly provided herein, termination of this Agreement (either in</w:t>
      </w:r>
      <w:r>
        <w:rPr>
          <w:rFonts w:ascii="Arial" w:cs="Arial" w:eastAsia="Arial" w:hAnsi="Arial"/>
          <w:sz w:val="21"/>
          <w:szCs w:val="21"/>
          <w:b w:val="1"/>
          <w:bCs w:val="1"/>
          <w:color w:val="auto"/>
        </w:rPr>
        <w:t xml:space="preserve"> </w:t>
      </w:r>
      <w:r>
        <w:rPr>
          <w:rFonts w:ascii="Arial" w:cs="Arial" w:eastAsia="Arial" w:hAnsi="Arial"/>
          <w:sz w:val="21"/>
          <w:szCs w:val="21"/>
          <w:color w:val="auto"/>
        </w:rPr>
        <w:t>its entirety or with respect to one (1) or more country(ies) or other jurisdiction(s) or with respect to a Terminated Target) in accordance with the provisions hereof shall not limit remedies that may otherwise be available in law or equity.</w:t>
      </w:r>
    </w:p>
    <w:p>
      <w:pPr>
        <w:spacing w:after="0" w:line="49"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b w:val="1"/>
          <w:bCs w:val="1"/>
          <w:color w:val="auto"/>
        </w:rPr>
        <w:t>13.10</w:t>
      </w:r>
      <w:r>
        <w:rPr>
          <w:sz w:val="20"/>
          <w:szCs w:val="20"/>
          <w:color w:val="auto"/>
        </w:rPr>
        <w:tab/>
      </w:r>
      <w:r>
        <w:rPr>
          <w:rFonts w:ascii="Arial" w:cs="Arial" w:eastAsia="Arial" w:hAnsi="Arial"/>
          <w:sz w:val="19"/>
          <w:szCs w:val="19"/>
          <w:b w:val="1"/>
          <w:bCs w:val="1"/>
          <w:color w:val="auto"/>
        </w:rPr>
        <w:t>Accrued Rights; Surviving Obligations.</w:t>
      </w:r>
    </w:p>
    <w:p>
      <w:pPr>
        <w:spacing w:after="0" w:line="98" w:lineRule="exact"/>
        <w:rPr>
          <w:sz w:val="20"/>
          <w:szCs w:val="20"/>
          <w:color w:val="auto"/>
        </w:rPr>
      </w:pPr>
    </w:p>
    <w:p>
      <w:pPr>
        <w:jc w:val="both"/>
        <w:ind w:firstLine="2634"/>
        <w:spacing w:after="0" w:line="271" w:lineRule="auto"/>
        <w:rPr>
          <w:sz w:val="20"/>
          <w:szCs w:val="20"/>
          <w:color w:val="auto"/>
        </w:rPr>
      </w:pPr>
      <w:r>
        <w:rPr>
          <w:rFonts w:ascii="Arial" w:cs="Arial" w:eastAsia="Arial" w:hAnsi="Arial"/>
          <w:sz w:val="19"/>
          <w:szCs w:val="19"/>
          <w:b w:val="1"/>
          <w:bCs w:val="1"/>
          <w:color w:val="auto"/>
        </w:rPr>
        <w:t xml:space="preserve">13.10.1 </w:t>
      </w:r>
      <w:r>
        <w:rPr>
          <w:rFonts w:ascii="Arial" w:cs="Arial" w:eastAsia="Arial" w:hAnsi="Arial"/>
          <w:sz w:val="19"/>
          <w:szCs w:val="19"/>
          <w:color w:val="auto"/>
        </w:rPr>
        <w:t>Termination or expiration of this Agreement (either in its entirety or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one (1) or more country(ies) or other jurisdiction(s) or with respect to a Terminated Target) for any reason shall be without prejudice to any rights that shall have accrued to the benefit of a Party prior to such termination or expiration. Such termination or expiration shall not relieve a Party from obligations that are expressly indicated to survive the termination or expiration of this Agreement. Without limiting the foregoing, the last sentence of Section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 2.3.2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4.6</w:t>
      </w:r>
      <w:r>
        <w:rPr>
          <w:rFonts w:ascii="Arial" w:cs="Arial" w:eastAsia="Arial" w:hAnsi="Arial"/>
          <w:sz w:val="19"/>
          <w:szCs w:val="19"/>
          <w:color w:val="auto"/>
        </w:rPr>
        <w:t xml:space="preserve">, </w:t>
      </w:r>
      <w:r>
        <w:rPr>
          <w:rFonts w:ascii="Arial" w:cs="Arial" w:eastAsia="Arial" w:hAnsi="Arial"/>
          <w:sz w:val="19"/>
          <w:szCs w:val="19"/>
          <w:u w:val="single" w:color="auto"/>
          <w:color w:val="auto"/>
        </w:rPr>
        <w:t>4.8.1(b)</w:t>
      </w:r>
      <w:r>
        <w:rPr>
          <w:rFonts w:ascii="Arial" w:cs="Arial" w:eastAsia="Arial" w:hAnsi="Arial"/>
          <w:sz w:val="19"/>
          <w:szCs w:val="19"/>
          <w:color w:val="auto"/>
        </w:rPr>
        <w:t xml:space="preserve">, </w:t>
      </w:r>
      <w:r>
        <w:rPr>
          <w:rFonts w:ascii="Arial" w:cs="Arial" w:eastAsia="Arial" w:hAnsi="Arial"/>
          <w:sz w:val="19"/>
          <w:szCs w:val="19"/>
          <w:u w:val="single" w:color="auto"/>
          <w:color w:val="auto"/>
        </w:rPr>
        <w:t>4.8.2</w:t>
      </w:r>
      <w:r>
        <w:rPr>
          <w:rFonts w:ascii="Arial" w:cs="Arial" w:eastAsia="Arial" w:hAnsi="Arial"/>
          <w:sz w:val="19"/>
          <w:szCs w:val="19"/>
          <w:color w:val="auto"/>
        </w:rPr>
        <w:t xml:space="preserve">, and Sections </w:t>
      </w:r>
      <w:r>
        <w:rPr>
          <w:rFonts w:ascii="Arial" w:cs="Arial" w:eastAsia="Arial" w:hAnsi="Arial"/>
          <w:sz w:val="19"/>
          <w:szCs w:val="19"/>
          <w:u w:val="single" w:color="auto"/>
          <w:color w:val="auto"/>
        </w:rPr>
        <w:t>4.10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(in accordance with the time periods set forth therein), Sections </w:t>
      </w:r>
      <w:r>
        <w:rPr>
          <w:rFonts w:ascii="Arial" w:cs="Arial" w:eastAsia="Arial" w:hAnsi="Arial"/>
          <w:sz w:val="19"/>
          <w:szCs w:val="19"/>
          <w:u w:val="single" w:color="auto"/>
          <w:color w:val="auto"/>
        </w:rPr>
        <w:t>7.8</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7.15</w:t>
      </w:r>
      <w:r>
        <w:rPr>
          <w:rFonts w:ascii="Arial" w:cs="Arial" w:eastAsia="Arial" w:hAnsi="Arial"/>
          <w:sz w:val="19"/>
          <w:szCs w:val="19"/>
          <w:color w:val="auto"/>
        </w:rPr>
        <w:t xml:space="preserve">, Sections </w:t>
      </w:r>
      <w:r>
        <w:rPr>
          <w:rFonts w:ascii="Arial" w:cs="Arial" w:eastAsia="Arial" w:hAnsi="Arial"/>
          <w:sz w:val="19"/>
          <w:szCs w:val="19"/>
          <w:u w:val="single" w:color="auto"/>
          <w:color w:val="auto"/>
        </w:rPr>
        <w:t>8.1.1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8.1.4</w:t>
      </w:r>
      <w:r>
        <w:rPr>
          <w:rFonts w:ascii="Arial" w:cs="Arial" w:eastAsia="Arial" w:hAnsi="Arial"/>
          <w:sz w:val="19"/>
          <w:szCs w:val="19"/>
          <w:color w:val="auto"/>
        </w:rPr>
        <w:t xml:space="preserve"> (with respect to any writing, conception, discovery, development or making that occurred prior to expiration or termination of this Agreement), </w:t>
      </w:r>
      <w:r>
        <w:rPr>
          <w:rFonts w:ascii="Arial" w:cs="Arial" w:eastAsia="Arial" w:hAnsi="Arial"/>
          <w:sz w:val="19"/>
          <w:szCs w:val="19"/>
          <w:u w:val="single" w:color="auto"/>
          <w:color w:val="auto"/>
        </w:rPr>
        <w:t>Sections 12.1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12.5, Sections 13.5</w:t>
      </w:r>
      <w:r>
        <w:rPr>
          <w:rFonts w:ascii="Arial" w:cs="Arial" w:eastAsia="Arial" w:hAnsi="Arial"/>
          <w:sz w:val="19"/>
          <w:szCs w:val="19"/>
          <w:color w:val="auto"/>
        </w:rPr>
        <w:t xml:space="preserve"> and 13.10, </w:t>
      </w:r>
      <w:r>
        <w:rPr>
          <w:rFonts w:ascii="Arial" w:cs="Arial" w:eastAsia="Arial" w:hAnsi="Arial"/>
          <w:sz w:val="19"/>
          <w:szCs w:val="19"/>
          <w:u w:val="single" w:color="auto"/>
          <w:color w:val="auto"/>
        </w:rPr>
        <w:t>subparagraph (iii) of Section 14.2.2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Sections 14.3</w:t>
      </w:r>
      <w:r>
        <w:rPr>
          <w:rFonts w:ascii="Arial" w:cs="Arial" w:eastAsia="Arial" w:hAnsi="Arial"/>
          <w:sz w:val="19"/>
          <w:szCs w:val="19"/>
          <w:color w:val="auto"/>
        </w:rPr>
        <w:t xml:space="preserve">, </w:t>
      </w:r>
      <w:r>
        <w:rPr>
          <w:rFonts w:ascii="Arial" w:cs="Arial" w:eastAsia="Arial" w:hAnsi="Arial"/>
          <w:sz w:val="19"/>
          <w:szCs w:val="19"/>
          <w:u w:val="single" w:color="auto"/>
          <w:color w:val="auto"/>
        </w:rPr>
        <w:t>14.5</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14.12</w:t>
      </w:r>
      <w:r>
        <w:rPr>
          <w:rFonts w:ascii="Arial" w:cs="Arial" w:eastAsia="Arial" w:hAnsi="Arial"/>
          <w:sz w:val="19"/>
          <w:szCs w:val="19"/>
          <w:color w:val="auto"/>
        </w:rPr>
        <w:t xml:space="preserve">, </w:t>
      </w:r>
      <w:r>
        <w:rPr>
          <w:rFonts w:ascii="Arial" w:cs="Arial" w:eastAsia="Arial" w:hAnsi="Arial"/>
          <w:sz w:val="19"/>
          <w:szCs w:val="19"/>
          <w:u w:val="single" w:color="auto"/>
          <w:color w:val="auto"/>
        </w:rPr>
        <w:t>14.14</w:t>
      </w:r>
      <w:r>
        <w:rPr>
          <w:rFonts w:ascii="Arial" w:cs="Arial" w:eastAsia="Arial" w:hAnsi="Arial"/>
          <w:sz w:val="19"/>
          <w:szCs w:val="19"/>
          <w:color w:val="auto"/>
        </w:rPr>
        <w:t xml:space="preserve">, </w:t>
      </w:r>
      <w:r>
        <w:rPr>
          <w:rFonts w:ascii="Arial" w:cs="Arial" w:eastAsia="Arial" w:hAnsi="Arial"/>
          <w:sz w:val="19"/>
          <w:szCs w:val="19"/>
          <w:u w:val="single" w:color="auto"/>
          <w:color w:val="auto"/>
        </w:rPr>
        <w:t>14.17</w:t>
      </w:r>
      <w:r>
        <w:rPr>
          <w:rFonts w:ascii="Arial" w:cs="Arial" w:eastAsia="Arial" w:hAnsi="Arial"/>
          <w:sz w:val="19"/>
          <w:szCs w:val="19"/>
          <w:color w:val="auto"/>
        </w:rPr>
        <w:t xml:space="preserve"> and 14.18 and </w:t>
      </w:r>
      <w:r>
        <w:rPr>
          <w:rFonts w:ascii="Arial" w:cs="Arial" w:eastAsia="Arial" w:hAnsi="Arial"/>
          <w:sz w:val="19"/>
          <w:szCs w:val="19"/>
          <w:u w:val="single" w:color="auto"/>
          <w:color w:val="auto"/>
        </w:rPr>
        <w:t>ARTICLE 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(other than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shall survive the termination or expiration of this Agreement for any reason, </w:t>
      </w:r>
      <w:r>
        <w:rPr>
          <w:rFonts w:ascii="Arial" w:cs="Arial" w:eastAsia="Arial" w:hAnsi="Arial"/>
          <w:sz w:val="19"/>
          <w:szCs w:val="19"/>
          <w:u w:val="single" w:color="auto"/>
          <w:color w:val="auto"/>
        </w:rPr>
        <w:t>Sections 13.6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13.9</w:t>
      </w:r>
      <w:r>
        <w:rPr>
          <w:rFonts w:ascii="Arial" w:cs="Arial" w:eastAsia="Arial" w:hAnsi="Arial"/>
          <w:sz w:val="19"/>
          <w:szCs w:val="19"/>
          <w:color w:val="auto"/>
        </w:rPr>
        <w:t xml:space="preserve"> shall survive termination of this Agreement but not expiration, and </w:t>
      </w:r>
      <w:r>
        <w:rPr>
          <w:rFonts w:ascii="Arial" w:cs="Arial" w:eastAsia="Arial" w:hAnsi="Arial"/>
          <w:sz w:val="19"/>
          <w:szCs w:val="19"/>
          <w:u w:val="single" w:color="auto"/>
          <w:color w:val="auto"/>
        </w:rPr>
        <w:t>Sections 13.1.1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6.3</w:t>
      </w:r>
      <w:r>
        <w:rPr>
          <w:rFonts w:ascii="Arial" w:cs="Arial" w:eastAsia="Arial" w:hAnsi="Arial"/>
          <w:sz w:val="19"/>
          <w:szCs w:val="19"/>
          <w:color w:val="auto"/>
        </w:rPr>
        <w:t xml:space="preserve"> shall survive expiration of this Agreement but not termination. If this Agreement is terminated with respect to the Terminated Territory or a Terminated Target but not in its entirety, then following such termination the foregoing provisions of this Agreement shall remain in effect with respect to the Terminated Territory or Terminated Target, as applicable (to the extent they would survive and apply in the event the Agreement expires or is terminated in its entirety), and all provisions not surviving in accordance with the foregoing shall terminate upon termination of this Agreement with respect to the Terminated Territory or Terminated Target, as applicable, and be of no further force and effect (and, for purposes of clarity, all provisions of this Agreement shall remain in effect with respect to all countries in the Territory other than the Terminated Territory or with respect to the Accepted Target other than the Terminated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3278505</wp:posOffset>
            </wp:positionH>
            <wp:positionV relativeFrom="paragraph">
              <wp:posOffset>-1435735</wp:posOffset>
            </wp:positionV>
            <wp:extent cx="3429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1377950</wp:posOffset>
            </wp:positionH>
            <wp:positionV relativeFrom="paragraph">
              <wp:posOffset>-1281430</wp:posOffset>
            </wp:positionV>
            <wp:extent cx="3689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70"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b w:val="1"/>
          <w:bCs w:val="1"/>
          <w:color w:val="auto"/>
        </w:rPr>
        <w:t xml:space="preserve">13.10.2 </w:t>
      </w:r>
      <w:r>
        <w:rPr>
          <w:rFonts w:ascii="Arial" w:cs="Arial" w:eastAsia="Arial" w:hAnsi="Arial"/>
          <w:sz w:val="21"/>
          <w:szCs w:val="21"/>
          <w:color w:val="auto"/>
        </w:rPr>
        <w:t>Notwithstanding the termination of AbbVie’s licenses and other rights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or with respect to a particular Major Market or country or other jurisdiction or with respect to a Terminated Target, as the case may be, AbbVie shall have the right for [***] after the effective date of such termination with respect to each Major Market or country or other jurisdiction or Terminated Target with respect to which such termination applies to sell or otherwise dispose of all AbbVie Probodies, Discovery PDCs or Licensed Product then in its inventory and any in-progress inventory, in each case that is intended for sale or disposition in such Major Market or country or other jurisdiction or, in the case of a Terminated Target, in the Territory, as though this Agreement had not terminated with respect to such Major Market or country or other jurisdiction or Terminated Target, as applicable, and such sale or disposition shall</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8" w:name="page149"/>
    <w:bookmarkEnd w:id="148"/>
    <w:p>
      <w:pPr>
        <w:jc w:val="both"/>
        <w:spacing w:after="0" w:line="258" w:lineRule="auto"/>
        <w:rPr>
          <w:sz w:val="20"/>
          <w:szCs w:val="20"/>
          <w:color w:val="auto"/>
        </w:rPr>
      </w:pPr>
      <w:r>
        <w:rPr>
          <w:rFonts w:ascii="Arial" w:cs="Arial" w:eastAsia="Arial" w:hAnsi="Arial"/>
          <w:sz w:val="21"/>
          <w:szCs w:val="21"/>
          <w:color w:val="auto"/>
        </w:rPr>
        <w:t xml:space="preserve">not constitute infringement of Licensor’s or its Affiliates’ Patent or other intellectual property or other proprietary rights. For purposes of clarity, AbbVie shall continue to make payments thereon as provided in </w:t>
      </w:r>
      <w:r>
        <w:rPr>
          <w:rFonts w:ascii="Arial" w:cs="Arial" w:eastAsia="Arial" w:hAnsi="Arial"/>
          <w:sz w:val="21"/>
          <w:szCs w:val="21"/>
          <w:u w:val="single" w:color="auto"/>
          <w:color w:val="auto"/>
        </w:rPr>
        <w:t>ARTICLE 7</w:t>
      </w:r>
      <w:r>
        <w:rPr>
          <w:rFonts w:ascii="Arial" w:cs="Arial" w:eastAsia="Arial" w:hAnsi="Arial"/>
          <w:sz w:val="21"/>
          <w:szCs w:val="21"/>
          <w:color w:val="auto"/>
        </w:rPr>
        <w:t xml:space="preserve"> (as if this Agreement had not terminated with respect to such Major Market or country or other jurisdiction or Terminated Target, as applicable).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firstLine="1755"/>
        <w:spacing w:after="0" w:line="273" w:lineRule="auto"/>
        <w:rPr>
          <w:sz w:val="20"/>
          <w:szCs w:val="20"/>
          <w:color w:val="auto"/>
        </w:rPr>
      </w:pPr>
      <w:r>
        <w:rPr>
          <w:rFonts w:ascii="Arial" w:cs="Arial" w:eastAsia="Arial" w:hAnsi="Arial"/>
          <w:sz w:val="19"/>
          <w:szCs w:val="19"/>
          <w:b w:val="1"/>
          <w:bCs w:val="1"/>
          <w:color w:val="auto"/>
        </w:rPr>
        <w:t xml:space="preserve">14.1 Force Majeure. </w:t>
      </w:r>
      <w:r>
        <w:rPr>
          <w:rFonts w:ascii="Arial" w:cs="Arial" w:eastAsia="Arial" w:hAnsi="Arial"/>
          <w:sz w:val="19"/>
          <w:szCs w:val="19"/>
          <w:color w:val="auto"/>
        </w:rPr>
        <w:t>Neither Party shall be held liable or responsible to the other Party or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have defaulted under or breached this Agreement for failure or delay in fulfilling or performing any term of this Agreement when such failure or delay is caused by or results from events beyond the reasonable control of the non-performing Party, including fires, floods, earthquakes, hurricanes, embargoes, shortages, epidemics, quarantines, war, acts of war (whether war be declared or not), terrorist acts, insurrections, riots, civil commotion, strikes, lockouts, or other labor disturbances (whether involving the workforce of the non-performing Party or of any other Person), acts of God or acts, omissions or delays in acting by any governmental authority (except to the extent such delay results from the breach by the non-performing Party or any of its Affiliates of any term or condition of this Agreement). The non-performing Party shall notify the other Party of such force majeure within [***]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4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b w:val="1"/>
          <w:bCs w:val="1"/>
          <w:color w:val="auto"/>
        </w:rPr>
        <w:t>Change in Control of Licensor.</w:t>
      </w:r>
    </w:p>
    <w:p>
      <w:pPr>
        <w:spacing w:after="0" w:line="98"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14.2.1</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14.2.2</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jc w:val="both"/>
        <w:ind w:firstLine="1755"/>
        <w:spacing w:after="0" w:line="236" w:lineRule="auto"/>
        <w:rPr>
          <w:sz w:val="20"/>
          <w:szCs w:val="20"/>
          <w:color w:val="auto"/>
        </w:rPr>
      </w:pPr>
      <w:r>
        <w:rPr>
          <w:rFonts w:ascii="Arial" w:cs="Arial" w:eastAsia="Arial" w:hAnsi="Arial"/>
          <w:sz w:val="22"/>
          <w:szCs w:val="22"/>
          <w:b w:val="1"/>
          <w:bCs w:val="1"/>
          <w:color w:val="auto"/>
        </w:rPr>
        <w:t xml:space="preserve">14.3 Export Control. </w:t>
      </w:r>
      <w:r>
        <w:rPr>
          <w:rFonts w:ascii="Arial" w:cs="Arial" w:eastAsia="Arial" w:hAnsi="Arial"/>
          <w:sz w:val="22"/>
          <w:szCs w:val="22"/>
          <w:color w:val="auto"/>
        </w:rPr>
        <w:t>This Agreement is made subject to any restrictions concerning the export of</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74"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8"/>
          <w:szCs w:val="18"/>
          <w:b w:val="1"/>
          <w:bCs w:val="1"/>
          <w:color w:val="auto"/>
        </w:rPr>
        <w:t>Assignment.</w:t>
      </w:r>
    </w:p>
    <w:p>
      <w:pPr>
        <w:spacing w:after="0" w:line="98"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14.4.1 </w:t>
      </w:r>
      <w:r>
        <w:rPr>
          <w:rFonts w:ascii="Arial" w:cs="Arial" w:eastAsia="Arial" w:hAnsi="Arial"/>
          <w:sz w:val="22"/>
          <w:szCs w:val="22"/>
          <w:color w:val="auto"/>
        </w:rPr>
        <w:t>Without the prior written consent of the other Party, neither Party shall sell,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assign, delegate, pledge, or otherwise dispose of, whether voluntarily, involuntarily, by operation of law or otherwise, this Agreement or any of its rights or duties hereunder; </w:t>
      </w:r>
      <w:r>
        <w:rPr>
          <w:rFonts w:ascii="Arial" w:cs="Arial" w:eastAsia="Arial" w:hAnsi="Arial"/>
          <w:sz w:val="22"/>
          <w:szCs w:val="22"/>
          <w:i w:val="1"/>
          <w:iCs w:val="1"/>
          <w:color w:val="auto"/>
        </w:rPr>
        <w:t>provided</w:t>
      </w:r>
      <w:r>
        <w:rPr>
          <w:rFonts w:ascii="Arial" w:cs="Arial" w:eastAsia="Arial" w:hAnsi="Arial"/>
          <w:sz w:val="22"/>
          <w:szCs w:val="22"/>
          <w:color w:val="auto"/>
        </w:rPr>
        <w:t>, that (i) either Party may make such an assignment without the other Party’s consent to its Affiliate or to a successor, whether in a merger, sale of stock, sale of assets or any other transaction, of all or substantially all of the business to which this Agreement relates; and [***]. With respect to an assignment to an Affiliate, the assigning Party shall remain responsible for the performance by such Affiliate of the rights and obligations hereunder. Any attempted</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49" w:name="page150"/>
    <w:bookmarkEnd w:id="149"/>
    <w:p>
      <w:pPr>
        <w:jc w:val="both"/>
        <w:spacing w:after="0" w:line="279" w:lineRule="auto"/>
        <w:rPr>
          <w:sz w:val="20"/>
          <w:szCs w:val="20"/>
          <w:color w:val="auto"/>
        </w:rPr>
      </w:pPr>
      <w:r>
        <w:rPr>
          <w:rFonts w:ascii="Arial" w:cs="Arial" w:eastAsia="Arial" w:hAnsi="Arial"/>
          <w:sz w:val="19"/>
          <w:szCs w:val="19"/>
          <w:color w:val="auto"/>
        </w:rPr>
        <w:t xml:space="preserve">assignment or delegation in violation of this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shall be void and of no effect. All validly assigned and delegated rights and obligations of the Parties hereunder shall be binding upon and inure to the benefit of and be enforceable by and against the successors and permitted assigns of Licensor or AbbVie, as the case may be. The permitted assignee or transferee shall assume all obligations of its assignor or transferor under this Agreement. Without limiting the foregoing, the grant of rights set forth in this Agreement shall be binding upon any successor or permitted assignee of Licensor, and the obligations of AbbVie, including the payment obligations, shall run in favor of any such successor or permitted assignee of Licensor’s benefits under this Agreement.</w:t>
      </w:r>
    </w:p>
    <w:p>
      <w:pPr>
        <w:spacing w:after="0" w:line="37"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14.4.2</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ind w:left="2640"/>
        <w:spacing w:after="0"/>
        <w:tabs>
          <w:tab w:leader="none" w:pos="3820" w:val="left"/>
        </w:tabs>
        <w:rPr>
          <w:sz w:val="20"/>
          <w:szCs w:val="20"/>
          <w:color w:val="auto"/>
        </w:rPr>
      </w:pPr>
      <w:r>
        <w:rPr>
          <w:rFonts w:ascii="Arial" w:cs="Arial" w:eastAsia="Arial" w:hAnsi="Arial"/>
          <w:sz w:val="22"/>
          <w:szCs w:val="22"/>
          <w:b w:val="1"/>
          <w:bCs w:val="1"/>
          <w:color w:val="auto"/>
        </w:rPr>
        <w:t>14.4.3</w:t>
      </w:r>
      <w:r>
        <w:rPr>
          <w:sz w:val="20"/>
          <w:szCs w:val="20"/>
          <w:color w:val="auto"/>
        </w:rPr>
        <w:tab/>
      </w:r>
      <w:r>
        <w:rPr>
          <w:rFonts w:ascii="Arial" w:cs="Arial" w:eastAsia="Arial" w:hAnsi="Arial"/>
          <w:sz w:val="22"/>
          <w:szCs w:val="22"/>
          <w:color w:val="auto"/>
        </w:rPr>
        <w:t>[***]</w:t>
      </w:r>
    </w:p>
    <w:p>
      <w:pPr>
        <w:spacing w:after="0" w:line="98"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14.4.4 </w:t>
      </w:r>
      <w:r>
        <w:rPr>
          <w:rFonts w:ascii="Arial" w:cs="Arial" w:eastAsia="Arial" w:hAnsi="Arial"/>
          <w:sz w:val="22"/>
          <w:szCs w:val="22"/>
          <w:color w:val="auto"/>
        </w:rPr>
        <w:t>As used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14.4</w:t>
      </w:r>
      <w:r>
        <w:rPr>
          <w:rFonts w:ascii="Arial" w:cs="Arial" w:eastAsia="Arial" w:hAnsi="Arial"/>
          <w:sz w:val="22"/>
          <w:szCs w:val="22"/>
          <w:color w:val="auto"/>
        </w:rPr>
        <w:t>, “assignee” means the Third Party involved in the Change</w:t>
      </w:r>
      <w:r>
        <w:rPr>
          <w:rFonts w:ascii="Arial" w:cs="Arial" w:eastAsia="Arial" w:hAnsi="Arial"/>
          <w:sz w:val="22"/>
          <w:szCs w:val="22"/>
          <w:b w:val="1"/>
          <w:bCs w:val="1"/>
          <w:color w:val="auto"/>
        </w:rPr>
        <w:t xml:space="preserve"> </w:t>
      </w:r>
      <w:r>
        <w:rPr>
          <w:rFonts w:ascii="Arial" w:cs="Arial" w:eastAsia="Arial" w:hAnsi="Arial"/>
          <w:sz w:val="22"/>
          <w:szCs w:val="22"/>
          <w:color w:val="auto"/>
        </w:rPr>
        <w:t>in Control transaction, and any Affiliate of such Third Party that was not an Affiliate of the Acquired Party immediately prior to the Change in Control; and “Acquired Party” means the Party that was the subject of such Change in Control, together with any entity that was its Affiliate immediately prior to the Change in Control.</w:t>
      </w:r>
    </w:p>
    <w:p>
      <w:pPr>
        <w:spacing w:after="0" w:line="73"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9"/>
          <w:szCs w:val="19"/>
          <w:b w:val="1"/>
          <w:bCs w:val="1"/>
          <w:color w:val="auto"/>
        </w:rPr>
        <w:t xml:space="preserve">14.5 Severability. </w:t>
      </w:r>
      <w:r>
        <w:rPr>
          <w:rFonts w:ascii="Arial" w:cs="Arial" w:eastAsia="Arial" w:hAnsi="Arial"/>
          <w:sz w:val="19"/>
          <w:szCs w:val="19"/>
          <w:color w:val="auto"/>
        </w:rPr>
        <w:t>If any provision of this Agreement is held to be illegal, invalid, or unenforceable</w:t>
      </w:r>
      <w:r>
        <w:rPr>
          <w:rFonts w:ascii="Arial" w:cs="Arial" w:eastAsia="Arial" w:hAnsi="Arial"/>
          <w:sz w:val="19"/>
          <w:szCs w:val="19"/>
          <w:b w:val="1"/>
          <w:bCs w:val="1"/>
          <w:color w:val="auto"/>
        </w:rPr>
        <w:t xml:space="preserve"> </w:t>
      </w:r>
      <w:r>
        <w:rPr>
          <w:rFonts w:ascii="Arial" w:cs="Arial" w:eastAsia="Arial" w:hAnsi="Arial"/>
          <w:sz w:val="19"/>
          <w:szCs w:val="19"/>
          <w:color w:val="auto"/>
        </w:rPr>
        <w:t>under any present or future law, and 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43"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14.6</w:t>
      </w:r>
      <w:r>
        <w:rPr>
          <w:sz w:val="20"/>
          <w:szCs w:val="20"/>
          <w:color w:val="auto"/>
        </w:rPr>
        <w:tab/>
      </w:r>
      <w:r>
        <w:rPr>
          <w:rFonts w:ascii="Arial" w:cs="Arial" w:eastAsia="Arial" w:hAnsi="Arial"/>
          <w:sz w:val="19"/>
          <w:szCs w:val="19"/>
          <w:b w:val="1"/>
          <w:bCs w:val="1"/>
          <w:color w:val="auto"/>
        </w:rPr>
        <w:t>Governing Law, Jurisdiction and Service.</w:t>
      </w:r>
    </w:p>
    <w:p>
      <w:pPr>
        <w:spacing w:after="0" w:line="98" w:lineRule="exact"/>
        <w:rPr>
          <w:sz w:val="20"/>
          <w:szCs w:val="20"/>
          <w:color w:val="auto"/>
        </w:rPr>
      </w:pPr>
    </w:p>
    <w:p>
      <w:pPr>
        <w:jc w:val="both"/>
        <w:ind w:firstLine="2634"/>
        <w:spacing w:after="0" w:line="247" w:lineRule="auto"/>
        <w:rPr>
          <w:sz w:val="20"/>
          <w:szCs w:val="20"/>
          <w:color w:val="auto"/>
        </w:rPr>
      </w:pPr>
      <w:r>
        <w:rPr>
          <w:rFonts w:ascii="Arial" w:cs="Arial" w:eastAsia="Arial" w:hAnsi="Arial"/>
          <w:sz w:val="21"/>
          <w:szCs w:val="21"/>
          <w:b w:val="1"/>
          <w:bCs w:val="1"/>
          <w:color w:val="auto"/>
        </w:rPr>
        <w:t xml:space="preserve">14.6.1 Governing Law. </w:t>
      </w:r>
      <w:r>
        <w:rPr>
          <w:rFonts w:ascii="Arial" w:cs="Arial" w:eastAsia="Arial" w:hAnsi="Arial"/>
          <w:sz w:val="21"/>
          <w:szCs w:val="21"/>
          <w:color w:val="auto"/>
        </w:rPr>
        <w:t>This Agreement or the performance, enforcement, breach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termination hereof shall be interpreted, governed by and construed in accordance with the laws of the State of Delaware, United States, excluding any conflicts or choice of law rule or principle that might otherwise refer construction or interpretation of this Agreement to the substantive law of another jurisdiction;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all questions concerning (a) inventorship of Patents under this Agreement shall be determined in accordance with </w:t>
      </w:r>
      <w:r>
        <w:rPr>
          <w:rFonts w:ascii="Arial" w:cs="Arial" w:eastAsia="Arial" w:hAnsi="Arial"/>
          <w:sz w:val="21"/>
          <w:szCs w:val="21"/>
          <w:u w:val="single" w:color="auto"/>
          <w:color w:val="auto"/>
        </w:rPr>
        <w:t>Section 8.1.4</w:t>
      </w:r>
      <w:r>
        <w:rPr>
          <w:rFonts w:ascii="Arial" w:cs="Arial" w:eastAsia="Arial" w:hAnsi="Arial"/>
          <w:sz w:val="21"/>
          <w:szCs w:val="21"/>
          <w:color w:val="auto"/>
        </w:rPr>
        <w:t xml:space="preserve"> and (b) the construction or effect of Patents shall be determined in accordance with the laws of the country or other jurisdiction in which the particular Patent has been filed or granted, as the case may be. The Parties agree to exclude the application to this Agreement of the United Nations Convention on Contracts for the International Sale of Goods.</w:t>
      </w:r>
    </w:p>
    <w:p>
      <w:pPr>
        <w:spacing w:after="0" w:line="65"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14.6.2 Service. </w:t>
      </w:r>
      <w:r>
        <w:rPr>
          <w:rFonts w:ascii="Arial" w:cs="Arial" w:eastAsia="Arial" w:hAnsi="Arial"/>
          <w:sz w:val="22"/>
          <w:szCs w:val="22"/>
          <w:color w:val="auto"/>
        </w:rPr>
        <w:t>Each Party further agrees that service of any process, summons, notice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document by registered mail to its address set forth in </w:t>
      </w:r>
      <w:r>
        <w:rPr>
          <w:rFonts w:ascii="Arial" w:cs="Arial" w:eastAsia="Arial" w:hAnsi="Arial"/>
          <w:sz w:val="22"/>
          <w:szCs w:val="22"/>
          <w:u w:val="single" w:color="auto"/>
          <w:color w:val="auto"/>
        </w:rPr>
        <w:t>Section 14.8.2</w:t>
      </w:r>
      <w:r>
        <w:rPr>
          <w:rFonts w:ascii="Arial" w:cs="Arial" w:eastAsia="Arial" w:hAnsi="Arial"/>
          <w:sz w:val="22"/>
          <w:szCs w:val="22"/>
          <w:color w:val="auto"/>
        </w:rPr>
        <w:t xml:space="preserve"> shall be effective service of process for any action, suit, or proceeding brought against it under this Agreement in any such court.</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50" w:name="page151"/>
    <w:bookmarkEnd w:id="150"/>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14.7 Dispute Resolution. </w:t>
      </w:r>
      <w:r>
        <w:rPr>
          <w:rFonts w:ascii="Arial" w:cs="Arial" w:eastAsia="Arial" w:hAnsi="Arial"/>
          <w:sz w:val="22"/>
          <w:szCs w:val="22"/>
          <w:color w:val="auto"/>
        </w:rPr>
        <w:t>Except for disputes resolved by the procedures set forth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3.2.3</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7.14</w:t>
      </w:r>
      <w:r>
        <w:rPr>
          <w:rFonts w:ascii="Arial" w:cs="Arial" w:eastAsia="Arial" w:hAnsi="Arial"/>
          <w:sz w:val="22"/>
          <w:szCs w:val="22"/>
          <w:color w:val="auto"/>
        </w:rPr>
        <w:t>, if a dispute arises between the Parties in connection with or relating to this Agreement or any document or instrument delivered in connection herewith (a “</w:t>
      </w:r>
      <w:r>
        <w:rPr>
          <w:rFonts w:ascii="Arial" w:cs="Arial" w:eastAsia="Arial" w:hAnsi="Arial"/>
          <w:sz w:val="22"/>
          <w:szCs w:val="22"/>
          <w:b w:val="1"/>
          <w:bCs w:val="1"/>
          <w:color w:val="auto"/>
        </w:rPr>
        <w:t>Dispute</w:t>
      </w:r>
      <w:r>
        <w:rPr>
          <w:rFonts w:ascii="Arial" w:cs="Arial" w:eastAsia="Arial" w:hAnsi="Arial"/>
          <w:sz w:val="22"/>
          <w:szCs w:val="22"/>
          <w:color w:val="auto"/>
        </w:rPr>
        <w:t xml:space="preserve">”), it shall be resolved pursuant to this </w:t>
      </w:r>
      <w:r>
        <w:rPr>
          <w:rFonts w:ascii="Arial" w:cs="Arial" w:eastAsia="Arial" w:hAnsi="Arial"/>
          <w:sz w:val="22"/>
          <w:szCs w:val="22"/>
          <w:u w:val="single" w:color="auto"/>
          <w:color w:val="auto"/>
        </w:rPr>
        <w:t>Section 14.7</w:t>
      </w:r>
      <w:r>
        <w:rPr>
          <w:rFonts w:ascii="Arial" w:cs="Arial" w:eastAsia="Arial" w:hAnsi="Arial"/>
          <w:sz w:val="22"/>
          <w:szCs w:val="22"/>
          <w:color w:val="auto"/>
        </w:rPr>
        <w:t>.</w:t>
      </w:r>
    </w:p>
    <w:p>
      <w:pPr>
        <w:spacing w:after="0" w:line="69" w:lineRule="exact"/>
        <w:rPr>
          <w:sz w:val="20"/>
          <w:szCs w:val="20"/>
          <w:color w:val="auto"/>
        </w:rPr>
      </w:pPr>
    </w:p>
    <w:p>
      <w:pPr>
        <w:jc w:val="both"/>
        <w:ind w:firstLine="2634"/>
        <w:spacing w:after="0" w:line="235" w:lineRule="auto"/>
        <w:rPr>
          <w:sz w:val="20"/>
          <w:szCs w:val="20"/>
          <w:color w:val="auto"/>
        </w:rPr>
      </w:pPr>
      <w:r>
        <w:rPr>
          <w:rFonts w:ascii="Arial" w:cs="Arial" w:eastAsia="Arial" w:hAnsi="Arial"/>
          <w:sz w:val="22"/>
          <w:szCs w:val="22"/>
          <w:b w:val="1"/>
          <w:bCs w:val="1"/>
          <w:color w:val="auto"/>
        </w:rPr>
        <w:t xml:space="preserve">14.7.1 General. </w:t>
      </w:r>
      <w:r>
        <w:rPr>
          <w:rFonts w:ascii="Arial" w:cs="Arial" w:eastAsia="Arial" w:hAnsi="Arial"/>
          <w:sz w:val="22"/>
          <w:szCs w:val="22"/>
          <w:color w:val="auto"/>
        </w:rPr>
        <w:t>Any Dispute shall first be referred to the Senior Officers of the Parties, who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shall confer in good faith on the resolution of the issue. Any final decision mutually agreed to by the Senior Officers and documented in a written agreement shall be conclusive and binding on the Parties. If the Senior Officers are not able to agree on the resolution of any such issue within [***] (or such other period of time as mutually agreed by the Senior Officers) after such issue was first referred to them, then, except as otherwise set forth in </w:t>
      </w:r>
      <w:r>
        <w:rPr>
          <w:rFonts w:ascii="Arial" w:cs="Arial" w:eastAsia="Arial" w:hAnsi="Arial"/>
          <w:sz w:val="22"/>
          <w:szCs w:val="22"/>
          <w:u w:val="single" w:color="auto"/>
          <w:color w:val="auto"/>
        </w:rPr>
        <w:t>Section 14.7.2</w:t>
      </w:r>
      <w:r>
        <w:rPr>
          <w:rFonts w:ascii="Arial" w:cs="Arial" w:eastAsia="Arial" w:hAnsi="Arial"/>
          <w:sz w:val="22"/>
          <w:szCs w:val="22"/>
          <w:color w:val="auto"/>
        </w:rPr>
        <w:t>, either Party may, by written notice to the other Party, elect to initiate an alternative dispute resolution (“</w:t>
      </w:r>
      <w:r>
        <w:rPr>
          <w:rFonts w:ascii="Arial" w:cs="Arial" w:eastAsia="Arial" w:hAnsi="Arial"/>
          <w:sz w:val="22"/>
          <w:szCs w:val="22"/>
          <w:b w:val="1"/>
          <w:bCs w:val="1"/>
          <w:color w:val="auto"/>
        </w:rPr>
        <w:t>ADR</w:t>
      </w:r>
      <w:r>
        <w:rPr>
          <w:rFonts w:ascii="Arial" w:cs="Arial" w:eastAsia="Arial" w:hAnsi="Arial"/>
          <w:sz w:val="22"/>
          <w:szCs w:val="22"/>
          <w:color w:val="auto"/>
        </w:rPr>
        <w:t xml:space="preserve">”) proceeding pursuant to the procedures set forth in </w:t>
      </w:r>
      <w:r>
        <w:rPr>
          <w:rFonts w:ascii="Arial" w:cs="Arial" w:eastAsia="Arial" w:hAnsi="Arial"/>
          <w:sz w:val="22"/>
          <w:szCs w:val="22"/>
          <w:u w:val="single" w:color="auto"/>
          <w:color w:val="auto"/>
        </w:rPr>
        <w:t>Section 14.7.3</w:t>
      </w:r>
      <w:r>
        <w:rPr>
          <w:rFonts w:ascii="Arial" w:cs="Arial" w:eastAsia="Arial" w:hAnsi="Arial"/>
          <w:sz w:val="22"/>
          <w:szCs w:val="22"/>
          <w:color w:val="auto"/>
        </w:rPr>
        <w:t xml:space="preserve"> for purposes of having the matter settled.</w:t>
      </w:r>
    </w:p>
    <w:p>
      <w:pPr>
        <w:spacing w:after="0" w:line="76" w:lineRule="exact"/>
        <w:rPr>
          <w:sz w:val="20"/>
          <w:szCs w:val="20"/>
          <w:color w:val="auto"/>
        </w:rPr>
      </w:pPr>
    </w:p>
    <w:p>
      <w:pPr>
        <w:jc w:val="both"/>
        <w:ind w:firstLine="2634"/>
        <w:spacing w:after="0" w:line="251" w:lineRule="auto"/>
        <w:rPr>
          <w:sz w:val="20"/>
          <w:szCs w:val="20"/>
          <w:color w:val="auto"/>
        </w:rPr>
      </w:pPr>
      <w:r>
        <w:rPr>
          <w:rFonts w:ascii="Arial" w:cs="Arial" w:eastAsia="Arial" w:hAnsi="Arial"/>
          <w:sz w:val="21"/>
          <w:szCs w:val="21"/>
          <w:b w:val="1"/>
          <w:bCs w:val="1"/>
          <w:color w:val="auto"/>
        </w:rPr>
        <w:t xml:space="preserve">14.7.2 Intellectual Property Disputes. </w:t>
      </w:r>
      <w:r>
        <w:rPr>
          <w:rFonts w:ascii="Arial" w:cs="Arial" w:eastAsia="Arial" w:hAnsi="Arial"/>
          <w:sz w:val="21"/>
          <w:szCs w:val="21"/>
          <w:color w:val="auto"/>
        </w:rPr>
        <w:t>In the event that a Dispute arises with respect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validity, scope, enforceability, inventorship or ownership of any Patent, Trademark or other intellectual property rights, and such Dispute cannot be resolved in accordance with </w:t>
      </w:r>
      <w:r>
        <w:rPr>
          <w:rFonts w:ascii="Arial" w:cs="Arial" w:eastAsia="Arial" w:hAnsi="Arial"/>
          <w:sz w:val="21"/>
          <w:szCs w:val="21"/>
          <w:u w:val="single" w:color="auto"/>
          <w:color w:val="auto"/>
        </w:rPr>
        <w:t>Section 14.7.1</w:t>
      </w:r>
      <w:r>
        <w:rPr>
          <w:rFonts w:ascii="Arial" w:cs="Arial" w:eastAsia="Arial" w:hAnsi="Arial"/>
          <w:sz w:val="21"/>
          <w:szCs w:val="21"/>
          <w:color w:val="auto"/>
        </w:rPr>
        <w:t xml:space="preserve">, unless otherwise agreed by the Parties in writing, such Dispute shall not be submitted to an ADR proceeding in accordance with </w:t>
      </w:r>
      <w:r>
        <w:rPr>
          <w:rFonts w:ascii="Arial" w:cs="Arial" w:eastAsia="Arial" w:hAnsi="Arial"/>
          <w:sz w:val="21"/>
          <w:szCs w:val="21"/>
          <w:u w:val="single" w:color="auto"/>
          <w:color w:val="auto"/>
        </w:rPr>
        <w:t>Section 14.7.3</w:t>
      </w:r>
      <w:r>
        <w:rPr>
          <w:rFonts w:ascii="Arial" w:cs="Arial" w:eastAsia="Arial" w:hAnsi="Arial"/>
          <w:sz w:val="21"/>
          <w:szCs w:val="21"/>
          <w:color w:val="auto"/>
        </w:rPr>
        <w:t xml:space="preserve"> and instead, either Party may initiate litigation in a court of competent jurisdiction, in any country or other jurisdiction in which such rights apply.</w:t>
      </w:r>
    </w:p>
    <w:p>
      <w:pPr>
        <w:spacing w:after="0" w:line="61"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2"/>
          <w:szCs w:val="22"/>
          <w:b w:val="1"/>
          <w:bCs w:val="1"/>
          <w:color w:val="auto"/>
        </w:rPr>
        <w:t xml:space="preserve">14.7.3 ADR. </w:t>
      </w:r>
      <w:r>
        <w:rPr>
          <w:rFonts w:ascii="Arial" w:cs="Arial" w:eastAsia="Arial" w:hAnsi="Arial"/>
          <w:sz w:val="22"/>
          <w:szCs w:val="22"/>
          <w:color w:val="auto"/>
        </w:rPr>
        <w:t>Any ADR proceeding under this Agreement shall take place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procedures set forth in </w:t>
      </w:r>
      <w:r>
        <w:rPr>
          <w:rFonts w:ascii="Arial" w:cs="Arial" w:eastAsia="Arial" w:hAnsi="Arial"/>
          <w:sz w:val="22"/>
          <w:szCs w:val="22"/>
          <w:u w:val="single" w:color="auto"/>
          <w:color w:val="auto"/>
        </w:rPr>
        <w:t>Schedule 14.7.3</w:t>
      </w:r>
      <w:r>
        <w:rPr>
          <w:rFonts w:ascii="Arial" w:cs="Arial" w:eastAsia="Arial" w:hAnsi="Arial"/>
          <w:sz w:val="22"/>
          <w:szCs w:val="22"/>
          <w:color w:val="auto"/>
        </w:rPr>
        <w:t>.</w:t>
      </w:r>
    </w:p>
    <w:p>
      <w:pPr>
        <w:spacing w:after="0" w:line="55" w:lineRule="exact"/>
        <w:rPr>
          <w:sz w:val="20"/>
          <w:szCs w:val="20"/>
          <w:color w:val="auto"/>
        </w:rPr>
      </w:pPr>
    </w:p>
    <w:p>
      <w:pPr>
        <w:jc w:val="both"/>
        <w:ind w:right="20" w:firstLine="2634"/>
        <w:spacing w:after="0" w:line="256" w:lineRule="auto"/>
        <w:rPr>
          <w:sz w:val="20"/>
          <w:szCs w:val="20"/>
          <w:color w:val="auto"/>
        </w:rPr>
      </w:pPr>
      <w:r>
        <w:rPr>
          <w:rFonts w:ascii="Arial" w:cs="Arial" w:eastAsia="Arial" w:hAnsi="Arial"/>
          <w:sz w:val="22"/>
          <w:szCs w:val="22"/>
          <w:b w:val="1"/>
          <w:bCs w:val="1"/>
          <w:color w:val="auto"/>
        </w:rPr>
        <w:t>14.7.4 Expert Arbitration</w:t>
      </w:r>
      <w:r>
        <w:rPr>
          <w:rFonts w:ascii="Arial" w:cs="Arial" w:eastAsia="Arial" w:hAnsi="Arial"/>
          <w:sz w:val="22"/>
          <w:szCs w:val="22"/>
          <w:color w:val="auto"/>
        </w:rPr>
        <w:t>. Any dispute expressly stated in this Agreement to be resolved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pursuant to this </w:t>
      </w:r>
      <w:r>
        <w:rPr>
          <w:rFonts w:ascii="Arial" w:cs="Arial" w:eastAsia="Arial" w:hAnsi="Arial"/>
          <w:sz w:val="22"/>
          <w:szCs w:val="22"/>
          <w:u w:val="single" w:color="auto"/>
          <w:color w:val="auto"/>
        </w:rPr>
        <w:t>Section 14.7.4</w:t>
      </w:r>
      <w:r>
        <w:rPr>
          <w:rFonts w:ascii="Arial" w:cs="Arial" w:eastAsia="Arial" w:hAnsi="Arial"/>
          <w:sz w:val="22"/>
          <w:szCs w:val="22"/>
          <w:color w:val="auto"/>
        </w:rPr>
        <w:t xml:space="preserve"> shall take place pursuant to the following procedures:</w:t>
      </w:r>
    </w:p>
    <w:p>
      <w:pPr>
        <w:spacing w:after="0" w:line="61" w:lineRule="exact"/>
        <w:rPr>
          <w:sz w:val="20"/>
          <w:szCs w:val="20"/>
          <w:color w:val="auto"/>
        </w:rPr>
      </w:pPr>
    </w:p>
    <w:p>
      <w:pPr>
        <w:jc w:val="both"/>
        <w:ind w:firstLine="4397"/>
        <w:spacing w:after="0" w:line="277" w:lineRule="auto"/>
        <w:tabs>
          <w:tab w:leader="none" w:pos="5345"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Arbitration Supervision</w:t>
      </w:r>
      <w:r>
        <w:rPr>
          <w:rFonts w:ascii="Arial" w:cs="Arial" w:eastAsia="Arial" w:hAnsi="Arial"/>
          <w:sz w:val="19"/>
          <w:szCs w:val="19"/>
          <w:color w:val="auto"/>
        </w:rPr>
        <w:t xml:space="preserve">. The expert arbitration shall be overseen by and conducted as a binding arbitration by a single arbitrator agreed to by both parties in accordance with the procedure set forth in </w:t>
      </w:r>
      <w:r>
        <w:rPr>
          <w:rFonts w:ascii="Arial" w:cs="Arial" w:eastAsia="Arial" w:hAnsi="Arial"/>
          <w:sz w:val="19"/>
          <w:szCs w:val="19"/>
          <w:u w:val="single" w:color="auto"/>
          <w:color w:val="auto"/>
        </w:rPr>
        <w:t>Schedule 14.7.3</w:t>
      </w:r>
      <w:r>
        <w:rPr>
          <w:rFonts w:ascii="Arial" w:cs="Arial" w:eastAsia="Arial" w:hAnsi="Arial"/>
          <w:sz w:val="19"/>
          <w:szCs w:val="19"/>
          <w:color w:val="auto"/>
        </w:rPr>
        <w:t xml:space="preserve">(2) for the selection of a Neutral, and conducted pursuant to </w:t>
      </w:r>
      <w:r>
        <w:rPr>
          <w:rFonts w:ascii="Arial" w:cs="Arial" w:eastAsia="Arial" w:hAnsi="Arial"/>
          <w:sz w:val="19"/>
          <w:szCs w:val="19"/>
          <w:u w:val="single" w:color="auto"/>
          <w:color w:val="auto"/>
        </w:rPr>
        <w:t>Schedule 14.7.3</w:t>
      </w:r>
      <w:r>
        <w:rPr>
          <w:rFonts w:ascii="Arial" w:cs="Arial" w:eastAsia="Arial" w:hAnsi="Arial"/>
          <w:sz w:val="19"/>
          <w:szCs w:val="19"/>
          <w:color w:val="auto"/>
        </w:rPr>
        <w:t xml:space="preserve">, sections 3 to 12, except as modified under this </w:t>
      </w:r>
      <w:r>
        <w:rPr>
          <w:rFonts w:ascii="Arial" w:cs="Arial" w:eastAsia="Arial" w:hAnsi="Arial"/>
          <w:sz w:val="19"/>
          <w:szCs w:val="19"/>
          <w:u w:val="single" w:color="auto"/>
          <w:color w:val="auto"/>
        </w:rPr>
        <w:t>Section 14.7.4</w:t>
      </w:r>
      <w:r>
        <w:rPr>
          <w:rFonts w:ascii="Arial" w:cs="Arial" w:eastAsia="Arial" w:hAnsi="Arial"/>
          <w:sz w:val="19"/>
          <w:szCs w:val="19"/>
          <w:color w:val="auto"/>
        </w:rPr>
        <w:t xml:space="preserve"> The arbitrator may, upon agreement by the Parties, modify the procedures under </w:t>
      </w:r>
      <w:r>
        <w:rPr>
          <w:rFonts w:ascii="Arial" w:cs="Arial" w:eastAsia="Arial" w:hAnsi="Arial"/>
          <w:sz w:val="19"/>
          <w:szCs w:val="19"/>
          <w:u w:val="single" w:color="auto"/>
          <w:color w:val="auto"/>
        </w:rPr>
        <w:t>Schedule 14.7.3</w:t>
      </w:r>
      <w:r>
        <w:rPr>
          <w:rFonts w:ascii="Arial" w:cs="Arial" w:eastAsia="Arial" w:hAnsi="Arial"/>
          <w:sz w:val="19"/>
          <w:szCs w:val="19"/>
          <w:color w:val="auto"/>
        </w:rPr>
        <w:t xml:space="preserve">, sections 3-12 as appropriate solely to expedite a “baseball” arbitration. The hearing to resolve each of the issues identified by the parties in the Parties shall be had no later than [***] after selection of the expert panel described in </w:t>
      </w:r>
      <w:r>
        <w:rPr>
          <w:rFonts w:ascii="Arial" w:cs="Arial" w:eastAsia="Arial" w:hAnsi="Arial"/>
          <w:sz w:val="19"/>
          <w:szCs w:val="19"/>
          <w:u w:val="single" w:color="auto"/>
          <w:color w:val="auto"/>
        </w:rPr>
        <w:t>Section 14.7.4(b)</w:t>
      </w:r>
      <w:r>
        <w:rPr>
          <w:rFonts w:ascii="Arial" w:cs="Arial" w:eastAsia="Arial" w:hAnsi="Arial"/>
          <w:sz w:val="19"/>
          <w:szCs w:val="19"/>
          <w:color w:val="auto"/>
        </w:rPr>
        <w:t xml:space="preserve">. All references to the Neutral in </w:t>
      </w:r>
      <w:r>
        <w:rPr>
          <w:rFonts w:ascii="Arial" w:cs="Arial" w:eastAsia="Arial" w:hAnsi="Arial"/>
          <w:sz w:val="19"/>
          <w:szCs w:val="19"/>
          <w:u w:val="single" w:color="auto"/>
          <w:color w:val="auto"/>
        </w:rPr>
        <w:t>Schedule 14.7.3</w:t>
      </w:r>
      <w:r>
        <w:rPr>
          <w:rFonts w:ascii="Arial" w:cs="Arial" w:eastAsia="Arial" w:hAnsi="Arial"/>
          <w:sz w:val="19"/>
          <w:szCs w:val="19"/>
          <w:color w:val="auto"/>
        </w:rPr>
        <w:t xml:space="preserve"> shall refer to the expert panel described in </w:t>
      </w:r>
      <w:r>
        <w:rPr>
          <w:rFonts w:ascii="Arial" w:cs="Arial" w:eastAsia="Arial" w:hAnsi="Arial"/>
          <w:sz w:val="19"/>
          <w:szCs w:val="19"/>
          <w:u w:val="single" w:color="auto"/>
          <w:color w:val="auto"/>
        </w:rPr>
        <w:t>Section 14.7.4(b)</w:t>
      </w:r>
      <w:r>
        <w:rPr>
          <w:rFonts w:ascii="Arial" w:cs="Arial" w:eastAsia="Arial" w:hAnsi="Arial"/>
          <w:sz w:val="19"/>
          <w:szCs w:val="19"/>
          <w:color w:val="auto"/>
        </w:rPr>
        <w:t>.</w:t>
      </w:r>
    </w:p>
    <w:p>
      <w:pPr>
        <w:spacing w:after="0" w:line="44" w:lineRule="exact"/>
        <w:rPr>
          <w:rFonts w:ascii="Arial" w:cs="Arial" w:eastAsia="Arial" w:hAnsi="Arial"/>
          <w:sz w:val="19"/>
          <w:szCs w:val="19"/>
          <w:color w:val="auto"/>
        </w:rPr>
      </w:pPr>
    </w:p>
    <w:p>
      <w:pPr>
        <w:jc w:val="both"/>
        <w:ind w:firstLine="4397"/>
        <w:spacing w:after="0" w:line="234" w:lineRule="auto"/>
        <w:tabs>
          <w:tab w:leader="none" w:pos="5289" w:val="left"/>
        </w:tabs>
        <w:numPr>
          <w:ilvl w:val="1"/>
          <w:numId w:val="83"/>
        </w:numPr>
        <w:rPr>
          <w:rFonts w:ascii="Arial" w:cs="Arial" w:eastAsia="Arial" w:hAnsi="Arial"/>
          <w:sz w:val="22"/>
          <w:szCs w:val="22"/>
          <w:color w:val="auto"/>
        </w:rPr>
      </w:pPr>
      <w:r>
        <w:rPr>
          <w:rFonts w:ascii="Arial" w:cs="Arial" w:eastAsia="Arial" w:hAnsi="Arial"/>
          <w:sz w:val="22"/>
          <w:szCs w:val="22"/>
          <w:color w:val="auto"/>
        </w:rPr>
        <w:t xml:space="preserve">promptly following receipt of any notice requiring dispute resolution pursuant to this </w:t>
      </w:r>
      <w:r>
        <w:rPr>
          <w:rFonts w:ascii="Arial" w:cs="Arial" w:eastAsia="Arial" w:hAnsi="Arial"/>
          <w:sz w:val="22"/>
          <w:szCs w:val="22"/>
          <w:u w:val="single" w:color="auto"/>
          <w:color w:val="auto"/>
        </w:rPr>
        <w:t>Section 14.7.4</w:t>
      </w:r>
      <w:r>
        <w:rPr>
          <w:rFonts w:ascii="Arial" w:cs="Arial" w:eastAsia="Arial" w:hAnsi="Arial"/>
          <w:sz w:val="22"/>
          <w:szCs w:val="22"/>
          <w:color w:val="auto"/>
        </w:rPr>
        <w:t xml:space="preserve">, the Parties shall meet and discuss in good faith and agree on an expert panel to resolve the issue under the supervision of an arbitrator as provided in </w:t>
      </w:r>
      <w:r>
        <w:rPr>
          <w:rFonts w:ascii="Arial" w:cs="Arial" w:eastAsia="Arial" w:hAnsi="Arial"/>
          <w:sz w:val="22"/>
          <w:szCs w:val="22"/>
          <w:u w:val="single" w:color="auto"/>
          <w:color w:val="auto"/>
        </w:rPr>
        <w:t>Section 14.7.4(a)</w:t>
      </w:r>
      <w:r>
        <w:rPr>
          <w:rFonts w:ascii="Arial" w:cs="Arial" w:eastAsia="Arial" w:hAnsi="Arial"/>
          <w:sz w:val="22"/>
          <w:szCs w:val="22"/>
          <w:color w:val="auto"/>
        </w:rPr>
        <w:t>, which expert panel shall consist of three (3) members and shall be neutral and independent of both Parties and all of their respective Affiliates, shall have significant experience and expertise in the substantive area in question, and shall have some experience in mediating or arbitrating issues relating to such agreements. If the Parties cannot agree on such expert panel within [***] of request by a Party for arbitration, then each Party shall select one (1) expert for</w:t>
      </w:r>
    </w:p>
    <w:p>
      <w:pPr>
        <w:spacing w:after="0" w:line="164" w:lineRule="exact"/>
        <w:rPr>
          <w:rFonts w:ascii="Arial" w:cs="Arial" w:eastAsia="Arial" w:hAnsi="Arial"/>
          <w:sz w:val="22"/>
          <w:szCs w:val="22"/>
          <w:color w:val="auto"/>
        </w:rPr>
      </w:pPr>
    </w:p>
    <w:p>
      <w:pPr>
        <w:ind w:left="1020" w:hanging="135"/>
        <w:spacing w:after="0"/>
        <w:tabs>
          <w:tab w:leader="none" w:pos="10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51" w:name="page152"/>
    <w:bookmarkEnd w:id="151"/>
    <w:p>
      <w:pPr>
        <w:jc w:val="both"/>
        <w:spacing w:after="0" w:line="249" w:lineRule="auto"/>
        <w:rPr>
          <w:sz w:val="20"/>
          <w:szCs w:val="20"/>
          <w:color w:val="auto"/>
        </w:rPr>
      </w:pPr>
      <w:r>
        <w:rPr>
          <w:rFonts w:ascii="Arial" w:cs="Arial" w:eastAsia="Arial" w:hAnsi="Arial"/>
          <w:sz w:val="21"/>
          <w:szCs w:val="21"/>
          <w:color w:val="auto"/>
        </w:rPr>
        <w:t xml:space="preserve">such panel within [***] as from the expiration of the aforementioned [***] period and the two (2) experts selected by the Parties shall select a third expert for the panel within [***] as from the appointment of the second expert; provided, that all such three (3) experts must meet the foregoing criteria, and further provided that if the Parties’ experts cannot agree as to a third expert, the arbitrator (as described in </w:t>
      </w:r>
      <w:r>
        <w:rPr>
          <w:rFonts w:ascii="Arial" w:cs="Arial" w:eastAsia="Arial" w:hAnsi="Arial"/>
          <w:sz w:val="21"/>
          <w:szCs w:val="21"/>
          <w:u w:val="single" w:color="auto"/>
          <w:color w:val="auto"/>
        </w:rPr>
        <w:t>Section 14.7.4(a)</w:t>
      </w:r>
      <w:r>
        <w:rPr>
          <w:rFonts w:ascii="Arial" w:cs="Arial" w:eastAsia="Arial" w:hAnsi="Arial"/>
          <w:sz w:val="21"/>
          <w:szCs w:val="21"/>
          <w:color w:val="auto"/>
        </w:rPr>
        <w:t>) shall appoint the third expert panel member. Any legal questions referred to the expert panel or raised by the expert panel shall be resolved by the arbitrator.</w:t>
      </w:r>
    </w:p>
    <w:p>
      <w:pPr>
        <w:spacing w:after="0" w:line="65"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2"/>
          <w:szCs w:val="22"/>
          <w:b w:val="1"/>
          <w:bCs w:val="1"/>
          <w:color w:val="auto"/>
        </w:rPr>
        <w:t xml:space="preserve">14.7.5 Adverse Ruling. </w:t>
      </w:r>
      <w:r>
        <w:rPr>
          <w:rFonts w:ascii="Arial" w:cs="Arial" w:eastAsia="Arial" w:hAnsi="Arial"/>
          <w:sz w:val="22"/>
          <w:szCs w:val="22"/>
          <w:color w:val="auto"/>
        </w:rPr>
        <w:t>Any determination pursuant to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14.7</w:t>
      </w:r>
      <w:r>
        <w:rPr>
          <w:rFonts w:ascii="Arial" w:cs="Arial" w:eastAsia="Arial" w:hAnsi="Arial"/>
          <w:sz w:val="22"/>
          <w:szCs w:val="22"/>
          <w:b w:val="1"/>
          <w:bCs w:val="1"/>
          <w:color w:val="auto"/>
        </w:rPr>
        <w:t xml:space="preserve"> </w:t>
      </w:r>
      <w:r>
        <w:rPr>
          <w:rFonts w:ascii="Arial" w:cs="Arial" w:eastAsia="Arial" w:hAnsi="Arial"/>
          <w:sz w:val="22"/>
          <w:szCs w:val="22"/>
          <w:color w:val="auto"/>
        </w:rPr>
        <w:t>that a Party is in</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breach of its material obligations hereunder shall specify a (nonexclusive) set of actions to be taken to cure such material breach, if feasible.</w:t>
      </w:r>
    </w:p>
    <w:p>
      <w:pPr>
        <w:spacing w:after="0" w:line="69" w:lineRule="exact"/>
        <w:rPr>
          <w:sz w:val="20"/>
          <w:szCs w:val="20"/>
          <w:color w:val="auto"/>
        </w:rPr>
      </w:pPr>
    </w:p>
    <w:p>
      <w:pPr>
        <w:jc w:val="both"/>
        <w:ind w:firstLine="2634"/>
        <w:spacing w:after="0" w:line="239" w:lineRule="auto"/>
        <w:rPr>
          <w:sz w:val="20"/>
          <w:szCs w:val="20"/>
          <w:color w:val="auto"/>
        </w:rPr>
      </w:pPr>
      <w:r>
        <w:rPr>
          <w:rFonts w:ascii="Arial" w:cs="Arial" w:eastAsia="Arial" w:hAnsi="Arial"/>
          <w:sz w:val="22"/>
          <w:szCs w:val="22"/>
          <w:b w:val="1"/>
          <w:bCs w:val="1"/>
          <w:color w:val="auto"/>
        </w:rPr>
        <w:t xml:space="preserve">14.7.6 Interim Relief. </w:t>
      </w:r>
      <w:r>
        <w:rPr>
          <w:rFonts w:ascii="Arial" w:cs="Arial" w:eastAsia="Arial" w:hAnsi="Arial"/>
          <w:sz w:val="22"/>
          <w:szCs w:val="22"/>
          <w:color w:val="auto"/>
        </w:rPr>
        <w:t>Notwithstanding anything herein to the contrary, nothing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14.7</w:t>
      </w:r>
      <w:r>
        <w:rPr>
          <w:rFonts w:ascii="Arial" w:cs="Arial" w:eastAsia="Arial" w:hAnsi="Arial"/>
          <w:sz w:val="22"/>
          <w:szCs w:val="22"/>
          <w:color w:val="auto"/>
        </w:rPr>
        <w:t xml:space="preserve"> shall preclude either Party from seeking interim or provisional relief, including a temporary restraining order, preliminary injunction or other interim equitable relief concerning a Dispute, if necessary to protect the interests of such Party. This Section shall be specifically enforceable.</w:t>
      </w:r>
    </w:p>
    <w:p>
      <w:pPr>
        <w:spacing w:after="0" w:line="73" w:lineRule="exact"/>
        <w:rPr>
          <w:sz w:val="20"/>
          <w:szCs w:val="20"/>
          <w:color w:val="auto"/>
        </w:rPr>
      </w:pPr>
    </w:p>
    <w:p>
      <w:pPr>
        <w:jc w:val="both"/>
        <w:ind w:firstLine="2634"/>
        <w:spacing w:after="0" w:line="273" w:lineRule="auto"/>
        <w:rPr>
          <w:sz w:val="20"/>
          <w:szCs w:val="20"/>
          <w:color w:val="auto"/>
        </w:rPr>
      </w:pPr>
      <w:r>
        <w:rPr>
          <w:rFonts w:ascii="Arial" w:cs="Arial" w:eastAsia="Arial" w:hAnsi="Arial"/>
          <w:sz w:val="19"/>
          <w:szCs w:val="19"/>
          <w:b w:val="1"/>
          <w:bCs w:val="1"/>
          <w:color w:val="auto"/>
        </w:rPr>
        <w:t xml:space="preserve">14.7.7 Equitable Relief. </w:t>
      </w:r>
      <w:r>
        <w:rPr>
          <w:rFonts w:ascii="Arial" w:cs="Arial" w:eastAsia="Arial" w:hAnsi="Arial"/>
          <w:sz w:val="19"/>
          <w:szCs w:val="19"/>
          <w:color w:val="auto"/>
        </w:rPr>
        <w:t>Each Party acknowledges and agrees that the restrictions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are reasonable and necessary to protect the legitimate interests of the other Party and that such other Party would not have entered into this Agreement in the absence of such restrictions, and that any breach or threatened breach of any provision of such Section or Articles may result in irreparable injury to such other Party for which there will be no adequate remedy at law. In the event of a breach or threatened breach of any provision of such Section or Articles, the non-breaching Party shall be authorized and entitled to seek from any court of competent jurisdiction injunctive relief, whether preliminary or permanent, specific performance, and an equitable accounting of all earnings, profits, and other benefits arising from such breach, which rights shall be cumulative and in addition to any other rights or remedies to which such non-breaching Party may be entitled in law or equity. Both Parties agree to waive any requirement that the other (a) post a bond or other security as a condition for obtaining any such relief, and (b) show irreparable harm, balancing of harms, consideration of the public interest, or inadequacy of monetary damages as a remedy.</w:t>
      </w:r>
    </w:p>
    <w:p>
      <w:pPr>
        <w:spacing w:after="0" w:line="48" w:lineRule="exact"/>
        <w:rPr>
          <w:sz w:val="20"/>
          <w:szCs w:val="20"/>
          <w:color w:val="auto"/>
        </w:rPr>
      </w:pPr>
    </w:p>
    <w:p>
      <w:pPr>
        <w:ind w:left="1760"/>
        <w:spacing w:after="0"/>
        <w:tabs>
          <w:tab w:leader="none" w:pos="276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b w:val="1"/>
          <w:bCs w:val="1"/>
          <w:color w:val="auto"/>
        </w:rPr>
        <w:t>Notices.</w:t>
      </w:r>
    </w:p>
    <w:p>
      <w:pPr>
        <w:spacing w:after="0" w:line="98" w:lineRule="exact"/>
        <w:rPr>
          <w:sz w:val="20"/>
          <w:szCs w:val="20"/>
          <w:color w:val="auto"/>
        </w:rPr>
      </w:pPr>
    </w:p>
    <w:p>
      <w:pPr>
        <w:jc w:val="both"/>
        <w:ind w:firstLine="2634"/>
        <w:spacing w:after="0" w:line="274" w:lineRule="auto"/>
        <w:rPr>
          <w:sz w:val="20"/>
          <w:szCs w:val="20"/>
          <w:color w:val="auto"/>
        </w:rPr>
      </w:pPr>
      <w:r>
        <w:rPr>
          <w:rFonts w:ascii="Arial" w:cs="Arial" w:eastAsia="Arial" w:hAnsi="Arial"/>
          <w:sz w:val="19"/>
          <w:szCs w:val="19"/>
          <w:b w:val="1"/>
          <w:bCs w:val="1"/>
          <w:color w:val="auto"/>
        </w:rPr>
        <w:t xml:space="preserve">14.8.1 Notice Requirements. </w:t>
      </w:r>
      <w:r>
        <w:rPr>
          <w:rFonts w:ascii="Arial" w:cs="Arial" w:eastAsia="Arial" w:hAnsi="Arial"/>
          <w:sz w:val="19"/>
          <w:szCs w:val="19"/>
          <w:color w:val="auto"/>
        </w:rPr>
        <w:t>Any notice, request, demand, waiver, consent, approval,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communication permitted or required under this Agreement shall be in writing, shall refer specifically to this Agreement and shall be deemed given only if (a) delivered by hand, (b) sent by facsimile transmission (with transmission confirmed), or (c) by internationally recognized overnight delivery service that maintains records of delivery, addressed to the Parties at their respective addresses specified in </w:t>
      </w:r>
      <w:r>
        <w:rPr>
          <w:rFonts w:ascii="Arial" w:cs="Arial" w:eastAsia="Arial" w:hAnsi="Arial"/>
          <w:sz w:val="19"/>
          <w:szCs w:val="19"/>
          <w:u w:val="single" w:color="auto"/>
          <w:color w:val="auto"/>
        </w:rPr>
        <w:t>Section 14.8.2</w:t>
      </w:r>
      <w:r>
        <w:rPr>
          <w:rFonts w:ascii="Arial" w:cs="Arial" w:eastAsia="Arial" w:hAnsi="Arial"/>
          <w:sz w:val="19"/>
          <w:szCs w:val="19"/>
          <w:color w:val="auto"/>
        </w:rPr>
        <w:t xml:space="preserve"> or to such other address as the Party to whom notice is to be given may have provided to the other Party in accordance with this </w:t>
      </w:r>
      <w:r>
        <w:rPr>
          <w:rFonts w:ascii="Arial" w:cs="Arial" w:eastAsia="Arial" w:hAnsi="Arial"/>
          <w:sz w:val="19"/>
          <w:szCs w:val="19"/>
          <w:u w:val="single" w:color="auto"/>
          <w:color w:val="auto"/>
        </w:rPr>
        <w:t>Section 14.8.1</w:t>
      </w:r>
      <w:r>
        <w:rPr>
          <w:rFonts w:ascii="Arial" w:cs="Arial" w:eastAsia="Arial" w:hAnsi="Arial"/>
          <w:sz w:val="19"/>
          <w:szCs w:val="19"/>
          <w:color w:val="auto"/>
        </w:rPr>
        <w:t xml:space="preserve">. Such notice shall be deemed to have been given as of the date delivered by hand or transmitted by facsimile (with transmission confirmed) or on the second Business Day (at the place of delivery) after deposit with an internationally recognized overnight delivery service. Any notice delivered by facsimile shall be confirmed by a hard copy delivered as soon as practicable thereafter. This </w:t>
      </w:r>
      <w:r>
        <w:rPr>
          <w:rFonts w:ascii="Arial" w:cs="Arial" w:eastAsia="Arial" w:hAnsi="Arial"/>
          <w:sz w:val="19"/>
          <w:szCs w:val="19"/>
          <w:u w:val="single" w:color="auto"/>
          <w:color w:val="auto"/>
        </w:rPr>
        <w:t>Section 14.8.1</w:t>
      </w:r>
      <w:r>
        <w:rPr>
          <w:rFonts w:ascii="Arial" w:cs="Arial" w:eastAsia="Arial" w:hAnsi="Arial"/>
          <w:sz w:val="19"/>
          <w:szCs w:val="19"/>
          <w:color w:val="auto"/>
        </w:rPr>
        <w:t xml:space="preserve"> is not intended to govern the day-to-day business communications necessary between the Parties in performing their obligations under the terms of this Agreement.</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52" w:name="page153"/>
    <w:bookmarkEnd w:id="152"/>
    <w:p>
      <w:pPr>
        <w:ind w:left="2640"/>
        <w:spacing w:after="0"/>
        <w:tabs>
          <w:tab w:leader="none" w:pos="3820" w:val="left"/>
        </w:tabs>
        <w:rPr>
          <w:sz w:val="20"/>
          <w:szCs w:val="20"/>
          <w:color w:val="auto"/>
        </w:rPr>
      </w:pPr>
      <w:r>
        <w:rPr>
          <w:rFonts w:ascii="Arial" w:cs="Arial" w:eastAsia="Arial" w:hAnsi="Arial"/>
          <w:sz w:val="22"/>
          <w:szCs w:val="22"/>
          <w:b w:val="1"/>
          <w:bCs w:val="1"/>
          <w:color w:val="auto"/>
        </w:rPr>
        <w:t>14.8.2</w:t>
      </w:r>
      <w:r>
        <w:rPr>
          <w:sz w:val="20"/>
          <w:szCs w:val="20"/>
          <w:color w:val="auto"/>
        </w:rPr>
        <w:tab/>
      </w:r>
      <w:r>
        <w:rPr>
          <w:rFonts w:ascii="Arial" w:cs="Arial" w:eastAsia="Arial" w:hAnsi="Arial"/>
          <w:sz w:val="19"/>
          <w:szCs w:val="19"/>
          <w:b w:val="1"/>
          <w:bCs w:val="1"/>
          <w:color w:val="auto"/>
        </w:rPr>
        <w:t>Address for Notice.</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If to AbbVie, to:</w:t>
      </w:r>
    </w:p>
    <w:p>
      <w:pPr>
        <w:spacing w:after="0" w:line="9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AbbVie Ireland Unlimited Company</w:t>
      </w:r>
    </w:p>
    <w:p>
      <w:pPr>
        <w:ind w:left="2640"/>
        <w:spacing w:after="0" w:line="238" w:lineRule="auto"/>
        <w:rPr>
          <w:sz w:val="20"/>
          <w:szCs w:val="20"/>
          <w:color w:val="auto"/>
        </w:rPr>
      </w:pPr>
      <w:r>
        <w:rPr>
          <w:rFonts w:ascii="Arial" w:cs="Arial" w:eastAsia="Arial" w:hAnsi="Arial"/>
          <w:sz w:val="22"/>
          <w:szCs w:val="22"/>
          <w:color w:val="auto"/>
        </w:rPr>
        <w:t>Clarendon House</w:t>
      </w:r>
    </w:p>
    <w:p>
      <w:pPr>
        <w:ind w:left="2640"/>
        <w:spacing w:after="0" w:line="230" w:lineRule="auto"/>
        <w:rPr>
          <w:sz w:val="20"/>
          <w:szCs w:val="20"/>
          <w:color w:val="auto"/>
        </w:rPr>
      </w:pPr>
      <w:r>
        <w:rPr>
          <w:rFonts w:ascii="Arial" w:cs="Arial" w:eastAsia="Arial" w:hAnsi="Arial"/>
          <w:sz w:val="22"/>
          <w:szCs w:val="22"/>
          <w:color w:val="auto"/>
        </w:rPr>
        <w:t>2 Church Street</w:t>
      </w:r>
    </w:p>
    <w:p>
      <w:pPr>
        <w:ind w:left="2640"/>
        <w:spacing w:after="0" w:line="231" w:lineRule="auto"/>
        <w:rPr>
          <w:sz w:val="20"/>
          <w:szCs w:val="20"/>
          <w:color w:val="auto"/>
        </w:rPr>
      </w:pPr>
      <w:r>
        <w:rPr>
          <w:rFonts w:ascii="Arial" w:cs="Arial" w:eastAsia="Arial" w:hAnsi="Arial"/>
          <w:sz w:val="22"/>
          <w:szCs w:val="22"/>
          <w:color w:val="auto"/>
        </w:rPr>
        <w:t>Hamilton, HM11</w:t>
      </w:r>
    </w:p>
    <w:p>
      <w:pPr>
        <w:ind w:left="2640"/>
        <w:spacing w:after="0" w:line="231" w:lineRule="auto"/>
        <w:rPr>
          <w:sz w:val="20"/>
          <w:szCs w:val="20"/>
          <w:color w:val="auto"/>
        </w:rPr>
      </w:pPr>
      <w:r>
        <w:rPr>
          <w:rFonts w:ascii="Arial" w:cs="Arial" w:eastAsia="Arial" w:hAnsi="Arial"/>
          <w:sz w:val="22"/>
          <w:szCs w:val="22"/>
          <w:color w:val="auto"/>
        </w:rPr>
        <w:t>Bermuda</w:t>
      </w:r>
    </w:p>
    <w:p>
      <w:pPr>
        <w:ind w:left="2640"/>
        <w:spacing w:after="0" w:line="230" w:lineRule="auto"/>
        <w:rPr>
          <w:sz w:val="20"/>
          <w:szCs w:val="20"/>
          <w:color w:val="auto"/>
        </w:rPr>
      </w:pPr>
      <w:r>
        <w:rPr>
          <w:rFonts w:ascii="Arial" w:cs="Arial" w:eastAsia="Arial" w:hAnsi="Arial"/>
          <w:sz w:val="22"/>
          <w:szCs w:val="22"/>
          <w:color w:val="auto"/>
        </w:rPr>
        <w:t>Attention: Codan Services Limited</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with a copy (which shall not constitute notice) to:</w:t>
      </w:r>
    </w:p>
    <w:p>
      <w:pPr>
        <w:spacing w:after="0" w:line="9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AbbVie Inc.</w:t>
      </w:r>
    </w:p>
    <w:p>
      <w:pPr>
        <w:ind w:left="2640"/>
        <w:spacing w:after="0" w:line="238" w:lineRule="auto"/>
        <w:rPr>
          <w:sz w:val="20"/>
          <w:szCs w:val="20"/>
          <w:color w:val="auto"/>
        </w:rPr>
      </w:pPr>
      <w:r>
        <w:rPr>
          <w:rFonts w:ascii="Arial" w:cs="Arial" w:eastAsia="Arial" w:hAnsi="Arial"/>
          <w:sz w:val="22"/>
          <w:szCs w:val="22"/>
          <w:color w:val="auto"/>
        </w:rPr>
        <w:t>1 North Waukegan Road</w:t>
      </w:r>
    </w:p>
    <w:p>
      <w:pPr>
        <w:ind w:left="2640"/>
        <w:spacing w:after="0" w:line="230" w:lineRule="auto"/>
        <w:rPr>
          <w:sz w:val="20"/>
          <w:szCs w:val="20"/>
          <w:color w:val="auto"/>
        </w:rPr>
      </w:pPr>
      <w:r>
        <w:rPr>
          <w:rFonts w:ascii="Arial" w:cs="Arial" w:eastAsia="Arial" w:hAnsi="Arial"/>
          <w:sz w:val="22"/>
          <w:szCs w:val="22"/>
          <w:color w:val="auto"/>
        </w:rPr>
        <w:t>North Chicago, Illinois 60064 U.S.</w:t>
      </w:r>
    </w:p>
    <w:p>
      <w:pPr>
        <w:ind w:left="2640"/>
        <w:spacing w:after="0" w:line="231" w:lineRule="auto"/>
        <w:rPr>
          <w:sz w:val="20"/>
          <w:szCs w:val="20"/>
          <w:color w:val="auto"/>
        </w:rPr>
      </w:pPr>
      <w:r>
        <w:rPr>
          <w:rFonts w:ascii="Arial" w:cs="Arial" w:eastAsia="Arial" w:hAnsi="Arial"/>
          <w:sz w:val="22"/>
          <w:szCs w:val="22"/>
          <w:color w:val="auto"/>
        </w:rPr>
        <w:t>Attention: Executive Vice President, External</w:t>
      </w:r>
    </w:p>
    <w:p>
      <w:pPr>
        <w:ind w:left="2640"/>
        <w:spacing w:after="0" w:line="231" w:lineRule="auto"/>
        <w:rPr>
          <w:sz w:val="20"/>
          <w:szCs w:val="20"/>
          <w:color w:val="auto"/>
        </w:rPr>
      </w:pPr>
      <w:r>
        <w:rPr>
          <w:rFonts w:ascii="Arial" w:cs="Arial" w:eastAsia="Arial" w:hAnsi="Arial"/>
          <w:sz w:val="22"/>
          <w:szCs w:val="22"/>
          <w:color w:val="auto"/>
        </w:rPr>
        <w:t>Affairs and General Counsel</w:t>
      </w:r>
    </w:p>
    <w:p>
      <w:pPr>
        <w:ind w:left="2640"/>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If to Licensor, to:</w:t>
      </w:r>
    </w:p>
    <w:p>
      <w:pPr>
        <w:spacing w:after="0" w:line="220"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CytomX Therapeutics, Inc.</w:t>
      </w:r>
    </w:p>
    <w:p>
      <w:pPr>
        <w:ind w:left="2640"/>
        <w:spacing w:after="0" w:line="238" w:lineRule="auto"/>
        <w:rPr>
          <w:sz w:val="20"/>
          <w:szCs w:val="20"/>
          <w:color w:val="auto"/>
        </w:rPr>
      </w:pPr>
      <w:r>
        <w:rPr>
          <w:rFonts w:ascii="Arial" w:cs="Arial" w:eastAsia="Arial" w:hAnsi="Arial"/>
          <w:sz w:val="22"/>
          <w:szCs w:val="22"/>
          <w:color w:val="auto"/>
        </w:rPr>
        <w:t>151 Oyster Point Blvd., #400</w:t>
      </w:r>
    </w:p>
    <w:p>
      <w:pPr>
        <w:ind w:left="2640"/>
        <w:spacing w:after="0" w:line="230" w:lineRule="auto"/>
        <w:rPr>
          <w:sz w:val="20"/>
          <w:szCs w:val="20"/>
          <w:color w:val="auto"/>
        </w:rPr>
      </w:pPr>
      <w:r>
        <w:rPr>
          <w:rFonts w:ascii="Arial" w:cs="Arial" w:eastAsia="Arial" w:hAnsi="Arial"/>
          <w:sz w:val="22"/>
          <w:szCs w:val="22"/>
          <w:color w:val="auto"/>
        </w:rPr>
        <w:t>South San Francisco, CA, 94080</w:t>
      </w:r>
    </w:p>
    <w:p>
      <w:pPr>
        <w:ind w:left="2640"/>
        <w:spacing w:after="0" w:line="231" w:lineRule="auto"/>
        <w:rPr>
          <w:sz w:val="20"/>
          <w:szCs w:val="20"/>
          <w:color w:val="auto"/>
        </w:rPr>
      </w:pPr>
      <w:r>
        <w:rPr>
          <w:rFonts w:ascii="Arial" w:cs="Arial" w:eastAsia="Arial" w:hAnsi="Arial"/>
          <w:sz w:val="22"/>
          <w:szCs w:val="22"/>
          <w:color w:val="auto"/>
        </w:rPr>
        <w:t>Attention: General Counsel</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with a copy (which shall not constitute notice) to:</w:t>
      </w:r>
    </w:p>
    <w:p>
      <w:pPr>
        <w:spacing w:after="0" w:line="9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Mark Roeder and Judith Hasko</w:t>
      </w:r>
    </w:p>
    <w:p>
      <w:pPr>
        <w:ind w:left="2640"/>
        <w:spacing w:after="0" w:line="238" w:lineRule="auto"/>
        <w:rPr>
          <w:sz w:val="20"/>
          <w:szCs w:val="20"/>
          <w:color w:val="auto"/>
        </w:rPr>
      </w:pPr>
      <w:r>
        <w:rPr>
          <w:rFonts w:ascii="Arial" w:cs="Arial" w:eastAsia="Arial" w:hAnsi="Arial"/>
          <w:sz w:val="22"/>
          <w:szCs w:val="22"/>
          <w:color w:val="auto"/>
        </w:rPr>
        <w:t>Latham &amp; Watkins</w:t>
      </w:r>
    </w:p>
    <w:p>
      <w:pPr>
        <w:ind w:left="2640"/>
        <w:spacing w:after="0" w:line="230" w:lineRule="auto"/>
        <w:rPr>
          <w:sz w:val="20"/>
          <w:szCs w:val="20"/>
          <w:color w:val="auto"/>
        </w:rPr>
      </w:pPr>
      <w:r>
        <w:rPr>
          <w:rFonts w:ascii="Arial" w:cs="Arial" w:eastAsia="Arial" w:hAnsi="Arial"/>
          <w:sz w:val="22"/>
          <w:szCs w:val="22"/>
          <w:color w:val="auto"/>
        </w:rPr>
        <w:t>140 Scott Drive</w:t>
      </w:r>
    </w:p>
    <w:p>
      <w:pPr>
        <w:ind w:left="2640"/>
        <w:spacing w:after="0" w:line="231" w:lineRule="auto"/>
        <w:rPr>
          <w:sz w:val="20"/>
          <w:szCs w:val="20"/>
          <w:color w:val="auto"/>
        </w:rPr>
      </w:pPr>
      <w:r>
        <w:rPr>
          <w:rFonts w:ascii="Arial" w:cs="Arial" w:eastAsia="Arial" w:hAnsi="Arial"/>
          <w:sz w:val="22"/>
          <w:szCs w:val="22"/>
          <w:color w:val="auto"/>
        </w:rPr>
        <w:t>Menlo Park 94025</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t>
      </w:r>
    </w:p>
    <w:p>
      <w:pPr>
        <w:spacing w:after="0" w:line="317" w:lineRule="exact"/>
        <w:rPr>
          <w:sz w:val="20"/>
          <w:szCs w:val="20"/>
          <w:color w:val="auto"/>
        </w:rPr>
      </w:pPr>
    </w:p>
    <w:p>
      <w:pPr>
        <w:jc w:val="both"/>
        <w:ind w:firstLine="1755"/>
        <w:spacing w:after="0" w:line="247" w:lineRule="auto"/>
        <w:rPr>
          <w:sz w:val="20"/>
          <w:szCs w:val="20"/>
          <w:color w:val="auto"/>
        </w:rPr>
      </w:pPr>
      <w:r>
        <w:rPr>
          <w:rFonts w:ascii="Arial" w:cs="Arial" w:eastAsia="Arial" w:hAnsi="Arial"/>
          <w:sz w:val="21"/>
          <w:szCs w:val="21"/>
          <w:b w:val="1"/>
          <w:bCs w:val="1"/>
          <w:color w:val="auto"/>
        </w:rPr>
        <w:t xml:space="preserve">14.9 Entire Agreement; Amendments. </w:t>
      </w:r>
      <w:r>
        <w:rPr>
          <w:rFonts w:ascii="Arial" w:cs="Arial" w:eastAsia="Arial" w:hAnsi="Arial"/>
          <w:sz w:val="21"/>
          <w:szCs w:val="21"/>
          <w:color w:val="auto"/>
        </w:rPr>
        <w:t>This Agreement, together with the Schedules attached hereto,</w:t>
      </w:r>
      <w:r>
        <w:rPr>
          <w:rFonts w:ascii="Arial" w:cs="Arial" w:eastAsia="Arial" w:hAnsi="Arial"/>
          <w:sz w:val="21"/>
          <w:szCs w:val="21"/>
          <w:b w:val="1"/>
          <w:bCs w:val="1"/>
          <w:color w:val="auto"/>
        </w:rPr>
        <w:t xml:space="preserve"> </w:t>
      </w:r>
      <w:r>
        <w:rPr>
          <w:rFonts w:ascii="Arial" w:cs="Arial" w:eastAsia="Arial" w:hAnsi="Arial"/>
          <w:sz w:val="21"/>
          <w:szCs w:val="21"/>
          <w:color w:val="auto"/>
        </w:rPr>
        <w:t>and the Services Agreement among the Parties and [***], set forth and constitute the entire agreement and understanding between the Parties with respect to the subject matter hereof and all prior agreements, understandings, promises, and representations, whether written or oral, with respect thereto are superseded hereby (including that certain Confidential Disclosure Agreement between the Parties or their respective Affiliates dated November 25, 2013, as amended (the “</w:t>
      </w:r>
      <w:r>
        <w:rPr>
          <w:rFonts w:ascii="Arial" w:cs="Arial" w:eastAsia="Arial" w:hAnsi="Arial"/>
          <w:sz w:val="21"/>
          <w:szCs w:val="21"/>
          <w:b w:val="1"/>
          <w:bCs w:val="1"/>
          <w:color w:val="auto"/>
        </w:rPr>
        <w:t>Prior CDA</w:t>
      </w:r>
      <w:r>
        <w:rPr>
          <w:rFonts w:ascii="Arial" w:cs="Arial" w:eastAsia="Arial" w:hAnsi="Arial"/>
          <w:sz w:val="21"/>
          <w:szCs w:val="21"/>
          <w:color w:val="auto"/>
        </w:rPr>
        <w:t>”)). Each Party confirms that it is not relying on any representations or warranties of the other Party except as specifically set forth in this Agreement. No amendment, modification, release, or discharge shall be binding upon the Parties unless in writing and duly executed by authorized representatives of both Parties.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53" w:name="page154"/>
    <w:bookmarkEnd w:id="153"/>
    <w:p>
      <w:pPr>
        <w:jc w:val="both"/>
        <w:ind w:firstLine="1755"/>
        <w:spacing w:after="0" w:line="239" w:lineRule="auto"/>
        <w:rPr>
          <w:sz w:val="20"/>
          <w:szCs w:val="20"/>
          <w:color w:val="auto"/>
        </w:rPr>
      </w:pPr>
      <w:r>
        <w:rPr>
          <w:rFonts w:ascii="Arial" w:cs="Arial" w:eastAsia="Arial" w:hAnsi="Arial"/>
          <w:sz w:val="22"/>
          <w:szCs w:val="22"/>
          <w:b w:val="1"/>
          <w:bCs w:val="1"/>
          <w:color w:val="auto"/>
        </w:rPr>
        <w:t xml:space="preserve">14.10 English Language. </w:t>
      </w:r>
      <w:r>
        <w:rPr>
          <w:rFonts w:ascii="Arial" w:cs="Arial" w:eastAsia="Arial" w:hAnsi="Arial"/>
          <w:sz w:val="22"/>
          <w:szCs w:val="22"/>
          <w:color w:val="auto"/>
        </w:rPr>
        <w:t>This Agreement shall be written and executed in,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73"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b w:val="1"/>
          <w:bCs w:val="1"/>
          <w:color w:val="auto"/>
        </w:rPr>
        <w:t xml:space="preserve">14.11 Waiver and Non-Exclusion of Remedies. </w:t>
      </w:r>
      <w:r>
        <w:rPr>
          <w:rFonts w:ascii="Arial" w:cs="Arial" w:eastAsia="Arial" w:hAnsi="Arial"/>
          <w:sz w:val="22"/>
          <w:szCs w:val="22"/>
          <w:color w:val="auto"/>
        </w:rPr>
        <w:t>Any term or condition of this Agreement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waived at any time by the Party that is entitled to the benefit thereof, but no such 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such other Party whether of a similar nature or otherwise. The rights and remedies provided herein are cumulative and do not exclude any other right or remedy provided by Applicable Law or otherwise available except as expressly set forth herein.</w:t>
      </w:r>
    </w:p>
    <w:p>
      <w:pPr>
        <w:spacing w:after="0" w:line="76"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14.12 No Benefit to Third Parties. </w:t>
      </w:r>
      <w:r>
        <w:rPr>
          <w:rFonts w:ascii="Arial" w:cs="Arial" w:eastAsia="Arial" w:hAnsi="Arial"/>
          <w:sz w:val="22"/>
          <w:szCs w:val="22"/>
          <w:color w:val="auto"/>
        </w:rPr>
        <w:t>Except as provided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12</w:t>
      </w:r>
      <w:r>
        <w:rPr>
          <w:rFonts w:ascii="Arial" w:cs="Arial" w:eastAsia="Arial" w:hAnsi="Arial"/>
          <w:sz w:val="22"/>
          <w:szCs w:val="22"/>
          <w:color w:val="auto"/>
        </w:rPr>
        <w:t>, covenants and agreements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this Agreement are for the sole benefit of the Parties hereto and their successors and permitted assigns, and they shall not be construed as conferring any rights on any other Persons.</w:t>
      </w:r>
    </w:p>
    <w:p>
      <w:pPr>
        <w:spacing w:after="0" w:line="69"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14.13 Further Assurance. </w:t>
      </w:r>
      <w:r>
        <w:rPr>
          <w:rFonts w:ascii="Arial" w:cs="Arial" w:eastAsia="Arial" w:hAnsi="Arial"/>
          <w:sz w:val="22"/>
          <w:szCs w:val="22"/>
          <w:color w:val="auto"/>
        </w:rPr>
        <w:t>Each Party shall duly execute and deliver, or cause to be duly executed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74" w:lineRule="exact"/>
        <w:rPr>
          <w:sz w:val="20"/>
          <w:szCs w:val="20"/>
          <w:color w:val="auto"/>
        </w:rPr>
      </w:pPr>
    </w:p>
    <w:p>
      <w:pPr>
        <w:jc w:val="both"/>
        <w:ind w:firstLine="1755"/>
        <w:spacing w:after="0" w:line="235" w:lineRule="auto"/>
        <w:rPr>
          <w:sz w:val="20"/>
          <w:szCs w:val="20"/>
          <w:color w:val="auto"/>
        </w:rPr>
      </w:pPr>
      <w:r>
        <w:rPr>
          <w:rFonts w:ascii="Arial" w:cs="Arial" w:eastAsia="Arial" w:hAnsi="Arial"/>
          <w:sz w:val="22"/>
          <w:szCs w:val="22"/>
          <w:b w:val="1"/>
          <w:bCs w:val="1"/>
          <w:color w:val="auto"/>
        </w:rPr>
        <w:t xml:space="preserve">14.14 Relationship of the Parties. </w:t>
      </w:r>
      <w:r>
        <w:rPr>
          <w:rFonts w:ascii="Arial" w:cs="Arial" w:eastAsia="Arial" w:hAnsi="Arial"/>
          <w:sz w:val="22"/>
          <w:szCs w:val="22"/>
          <w:color w:val="auto"/>
        </w:rPr>
        <w:t>It is expressly agreed that Licensor, on the one hand, and AbbVie,</w:t>
      </w:r>
      <w:r>
        <w:rPr>
          <w:rFonts w:ascii="Arial" w:cs="Arial" w:eastAsia="Arial" w:hAnsi="Arial"/>
          <w:sz w:val="22"/>
          <w:szCs w:val="22"/>
          <w:b w:val="1"/>
          <w:bCs w:val="1"/>
          <w:color w:val="auto"/>
        </w:rPr>
        <w:t xml:space="preserve"> </w:t>
      </w:r>
      <w:r>
        <w:rPr>
          <w:rFonts w:ascii="Arial" w:cs="Arial" w:eastAsia="Arial" w:hAnsi="Arial"/>
          <w:sz w:val="22"/>
          <w:szCs w:val="22"/>
          <w:color w:val="auto"/>
        </w:rPr>
        <w:t>on the other hand, shall be independent contractors and that the relationship between the Parties shall not constitute a partnership, joint venture, or agency including for all tax purposes. Neither Licensor, on the one hand, nor AbbVie,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76" w:lineRule="exact"/>
        <w:rPr>
          <w:sz w:val="20"/>
          <w:szCs w:val="20"/>
          <w:color w:val="auto"/>
        </w:rPr>
      </w:pPr>
    </w:p>
    <w:p>
      <w:pPr>
        <w:jc w:val="both"/>
        <w:ind w:firstLine="1755"/>
        <w:spacing w:after="0" w:line="237" w:lineRule="auto"/>
        <w:rPr>
          <w:sz w:val="20"/>
          <w:szCs w:val="20"/>
          <w:color w:val="auto"/>
        </w:rPr>
      </w:pPr>
      <w:r>
        <w:rPr>
          <w:rFonts w:ascii="Arial" w:cs="Arial" w:eastAsia="Arial" w:hAnsi="Arial"/>
          <w:sz w:val="22"/>
          <w:szCs w:val="22"/>
          <w:b w:val="1"/>
          <w:bCs w:val="1"/>
          <w:color w:val="auto"/>
        </w:rPr>
        <w:t xml:space="preserve">14.15 Performance by Affiliates. </w:t>
      </w:r>
      <w:r>
        <w:rPr>
          <w:rFonts w:ascii="Arial" w:cs="Arial" w:eastAsia="Arial" w:hAnsi="Arial"/>
          <w:sz w:val="22"/>
          <w:szCs w:val="22"/>
          <w:color w:val="auto"/>
        </w:rPr>
        <w:t>AbbVie may use one (1) or more of its Affiliates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obligations and duties hereunder and such AbbVie Affiliates are expressly granted certain rights herein; provided that each such Affiliate shall be bound by the corresponding obligations of AbbVie and, subject to an assignment to such Affiliate pursuant to </w:t>
      </w:r>
      <w:r>
        <w:rPr>
          <w:rFonts w:ascii="Arial" w:cs="Arial" w:eastAsia="Arial" w:hAnsi="Arial"/>
          <w:sz w:val="22"/>
          <w:szCs w:val="22"/>
          <w:u w:val="single" w:color="auto"/>
          <w:color w:val="auto"/>
        </w:rPr>
        <w:t>Section 14.4</w:t>
      </w:r>
      <w:r>
        <w:rPr>
          <w:rFonts w:ascii="Arial" w:cs="Arial" w:eastAsia="Arial" w:hAnsi="Arial"/>
          <w:sz w:val="22"/>
          <w:szCs w:val="22"/>
          <w:color w:val="auto"/>
        </w:rPr>
        <w:t>, AbbVie shall remain liable hereunder for the prompt payment and performance of all their respective obligations hereunder.</w:t>
      </w:r>
    </w:p>
    <w:p>
      <w:pPr>
        <w:spacing w:after="0" w:line="74"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2"/>
          <w:szCs w:val="22"/>
          <w:b w:val="1"/>
          <w:bCs w:val="1"/>
          <w:color w:val="auto"/>
        </w:rPr>
        <w:t xml:space="preserve">14.16 Counterparts; Facsimile Execution. </w:t>
      </w:r>
      <w:r>
        <w:rPr>
          <w:rFonts w:ascii="Arial" w:cs="Arial" w:eastAsia="Arial" w:hAnsi="Arial"/>
          <w:sz w:val="22"/>
          <w:szCs w:val="22"/>
          <w:color w:val="auto"/>
        </w:rPr>
        <w:t>This Agreement may be executed in two (2) or more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shall be deemed an original, but all of which together shall constitute one (1) and the same instrument. This Agreement may be executed by facsimile</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0" w:right="239" w:bottom="1440" w:gutter="0" w:footer="0" w:header="0"/>
        </w:sectPr>
      </w:pPr>
    </w:p>
    <w:bookmarkStart w:id="154" w:name="page155"/>
    <w:bookmarkEnd w:id="154"/>
    <w:p>
      <w:pPr>
        <w:jc w:val="both"/>
        <w:ind w:right="20"/>
        <w:spacing w:after="0" w:line="251" w:lineRule="auto"/>
        <w:rPr>
          <w:sz w:val="20"/>
          <w:szCs w:val="20"/>
          <w:color w:val="auto"/>
        </w:rPr>
      </w:pPr>
      <w:r>
        <w:rPr>
          <w:rFonts w:ascii="Arial" w:cs="Arial" w:eastAsia="Arial" w:hAnsi="Arial"/>
          <w:sz w:val="22"/>
          <w:szCs w:val="22"/>
          <w:color w:val="auto"/>
        </w:rPr>
        <w:t>or electronically transmitted signatures and such signatures shall be deemed to bind each Party hereto as if they were original signatures.</w:t>
      </w:r>
    </w:p>
    <w:p>
      <w:pPr>
        <w:spacing w:after="0" w:line="59" w:lineRule="exact"/>
        <w:rPr>
          <w:sz w:val="20"/>
          <w:szCs w:val="20"/>
          <w:color w:val="auto"/>
        </w:rPr>
      </w:pPr>
    </w:p>
    <w:p>
      <w:pPr>
        <w:jc w:val="both"/>
        <w:ind w:firstLine="1755"/>
        <w:spacing w:after="0" w:line="284" w:lineRule="auto"/>
        <w:rPr>
          <w:sz w:val="20"/>
          <w:szCs w:val="20"/>
          <w:color w:val="auto"/>
        </w:rPr>
      </w:pPr>
      <w:r>
        <w:rPr>
          <w:rFonts w:ascii="Arial" w:cs="Arial" w:eastAsia="Arial" w:hAnsi="Arial"/>
          <w:sz w:val="19"/>
          <w:szCs w:val="19"/>
          <w:b w:val="1"/>
          <w:bCs w:val="1"/>
          <w:color w:val="auto"/>
        </w:rPr>
        <w:t xml:space="preserve">14.17 References. </w:t>
      </w:r>
      <w:r>
        <w:rPr>
          <w:rFonts w:ascii="Arial" w:cs="Arial" w:eastAsia="Arial" w:hAnsi="Arial"/>
          <w:sz w:val="19"/>
          <w:szCs w:val="19"/>
          <w:color w:val="auto"/>
        </w:rPr>
        <w:t>Unless otherwise specified, (a) references in this Agreement to any Article,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or Schedule shall mean references to such Article, Section or Schedule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amended, replaced, or supplemented from time to time, as so amended, replaced, or supplemented and in effect at the relevant time of reference thereto.</w:t>
      </w:r>
    </w:p>
    <w:p>
      <w:pPr>
        <w:spacing w:after="0" w:line="31"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1"/>
          <w:szCs w:val="21"/>
          <w:b w:val="1"/>
          <w:bCs w:val="1"/>
          <w:color w:val="auto"/>
        </w:rPr>
        <w:t xml:space="preserve">14.18 Construction. </w:t>
      </w:r>
      <w:r>
        <w:rPr>
          <w:rFonts w:ascii="Arial" w:cs="Arial" w:eastAsia="Arial" w:hAnsi="Arial"/>
          <w:sz w:val="21"/>
          <w:szCs w:val="21"/>
          <w:color w:val="auto"/>
        </w:rPr>
        <w:t>Except where the context otherwise requires, wherever used, the singular shall</w:t>
      </w:r>
      <w:r>
        <w:rPr>
          <w:rFonts w:ascii="Arial" w:cs="Arial" w:eastAsia="Arial" w:hAnsi="Arial"/>
          <w:sz w:val="21"/>
          <w:szCs w:val="21"/>
          <w:b w:val="1"/>
          <w:bCs w:val="1"/>
          <w:color w:val="auto"/>
        </w:rPr>
        <w:t xml:space="preserve"> </w:t>
      </w:r>
      <w:r>
        <w:rPr>
          <w:rFonts w:ascii="Arial" w:cs="Arial" w:eastAsia="Arial" w:hAnsi="Arial"/>
          <w:sz w:val="21"/>
          <w:szCs w:val="21"/>
          <w:color w:val="auto"/>
        </w:rPr>
        <w:t>include the plural, the plural the singular, the use of any gender shall be applicable to all genders and the word “or” is used in the inclusive sense (and/or). Whenever this Agreement refers to a number of days, unless otherwise specified, such number refers to calendar days. The captions of this Agreement are for convenience of reference only and in no way define, describe, extend, or limit the scope or intent of this Agreement or the intent of any provision contained in this Agreement. The term “including,” “include,” or “includes” as used herein shall mean “including, but not limited to,” and shall not limit the generality of any description preceding such term. The language of this Agreement shall be deemed to be the language mutually chosen by the Parties and no rule of strict construction shall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SIGNATURE PAGE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THIS AGREEMENT IS EXECUTED by the authorized representatives of the Parties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4380" w:type="dxa"/>
            <w:vAlign w:val="bottom"/>
            <w:gridSpan w:val="3"/>
          </w:tcPr>
          <w:p>
            <w:pPr>
              <w:spacing w:after="0"/>
              <w:rPr>
                <w:sz w:val="20"/>
                <w:szCs w:val="20"/>
                <w:color w:val="auto"/>
              </w:rPr>
            </w:pPr>
            <w:r>
              <w:rPr>
                <w:rFonts w:ascii="Arial" w:cs="Arial" w:eastAsia="Arial" w:hAnsi="Arial"/>
                <w:sz w:val="20"/>
                <w:szCs w:val="20"/>
                <w:b w:val="1"/>
                <w:bCs w:val="1"/>
                <w:color w:val="auto"/>
              </w:rPr>
              <w:t>CYTOMX THERAPEUTICS, INC.</w:t>
            </w:r>
          </w:p>
        </w:tc>
        <w:tc>
          <w:tcPr>
            <w:tcW w:w="5360" w:type="dxa"/>
            <w:vAlign w:val="bottom"/>
            <w:gridSpan w:val="3"/>
          </w:tcPr>
          <w:p>
            <w:pPr>
              <w:ind w:left="1360"/>
              <w:spacing w:after="0"/>
              <w:rPr>
                <w:sz w:val="20"/>
                <w:szCs w:val="20"/>
                <w:color w:val="auto"/>
              </w:rPr>
            </w:pPr>
            <w:r>
              <w:rPr>
                <w:rFonts w:ascii="Arial" w:cs="Arial" w:eastAsia="Arial" w:hAnsi="Arial"/>
                <w:sz w:val="20"/>
                <w:szCs w:val="20"/>
                <w:b w:val="1"/>
                <w:bCs w:val="1"/>
                <w:color w:val="auto"/>
              </w:rPr>
              <w:t>ABBVIE IRELAND UNLIMITED COMPANY</w:t>
            </w:r>
          </w:p>
        </w:tc>
      </w:tr>
      <w:tr>
        <w:trPr>
          <w:trHeight w:val="644"/>
        </w:trPr>
        <w:tc>
          <w:tcPr>
            <w:tcW w:w="4380" w:type="dxa"/>
            <w:vAlign w:val="bottom"/>
            <w:gridSpan w:val="3"/>
          </w:tcPr>
          <w:p>
            <w:pPr>
              <w:spacing w:after="0"/>
              <w:rPr>
                <w:sz w:val="20"/>
                <w:szCs w:val="20"/>
                <w:color w:val="auto"/>
              </w:rPr>
            </w:pPr>
            <w:r>
              <w:rPr>
                <w:rFonts w:ascii="Arial" w:cs="Arial" w:eastAsia="Arial" w:hAnsi="Arial"/>
                <w:sz w:val="20"/>
                <w:szCs w:val="20"/>
                <w:color w:val="auto"/>
              </w:rPr>
              <w:t>By: /s/ Lloyd Rowland</w:t>
            </w:r>
          </w:p>
        </w:tc>
        <w:tc>
          <w:tcPr>
            <w:tcW w:w="5360" w:type="dxa"/>
            <w:vAlign w:val="bottom"/>
            <w:gridSpan w:val="3"/>
          </w:tcPr>
          <w:p>
            <w:pPr>
              <w:ind w:left="1360"/>
              <w:spacing w:after="0"/>
              <w:rPr>
                <w:sz w:val="20"/>
                <w:szCs w:val="20"/>
                <w:color w:val="auto"/>
              </w:rPr>
            </w:pPr>
            <w:r>
              <w:rPr>
                <w:rFonts w:ascii="Arial" w:cs="Arial" w:eastAsia="Arial" w:hAnsi="Arial"/>
                <w:sz w:val="20"/>
                <w:szCs w:val="20"/>
                <w:color w:val="auto"/>
              </w:rPr>
              <w:t>By: /s/ Ronald Robison</w:t>
            </w:r>
          </w:p>
        </w:tc>
      </w:tr>
      <w:tr>
        <w:trPr>
          <w:trHeight w:val="20"/>
        </w:trPr>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84"/>
        </w:trPr>
        <w:tc>
          <w:tcPr>
            <w:tcW w:w="4380" w:type="dxa"/>
            <w:vAlign w:val="bottom"/>
            <w:gridSpan w:val="3"/>
          </w:tcPr>
          <w:p>
            <w:pPr>
              <w:spacing w:after="0"/>
              <w:rPr>
                <w:sz w:val="20"/>
                <w:szCs w:val="20"/>
                <w:color w:val="auto"/>
              </w:rPr>
            </w:pPr>
            <w:r>
              <w:rPr>
                <w:rFonts w:ascii="Arial" w:cs="Arial" w:eastAsia="Arial" w:hAnsi="Arial"/>
                <w:sz w:val="20"/>
                <w:szCs w:val="20"/>
                <w:color w:val="auto"/>
              </w:rPr>
              <w:t>Name: Lloyd Rowland</w:t>
            </w:r>
          </w:p>
        </w:tc>
        <w:tc>
          <w:tcPr>
            <w:tcW w:w="5360" w:type="dxa"/>
            <w:vAlign w:val="bottom"/>
            <w:gridSpan w:val="3"/>
          </w:tcPr>
          <w:p>
            <w:pPr>
              <w:ind w:left="1360"/>
              <w:spacing w:after="0"/>
              <w:rPr>
                <w:sz w:val="20"/>
                <w:szCs w:val="20"/>
                <w:color w:val="auto"/>
              </w:rPr>
            </w:pPr>
            <w:r>
              <w:rPr>
                <w:rFonts w:ascii="Arial" w:cs="Arial" w:eastAsia="Arial" w:hAnsi="Arial"/>
                <w:sz w:val="20"/>
                <w:szCs w:val="20"/>
                <w:color w:val="auto"/>
              </w:rPr>
              <w:t>Name: Ronald Robison</w:t>
            </w:r>
          </w:p>
        </w:tc>
      </w:tr>
      <w:tr>
        <w:trPr>
          <w:trHeight w:val="459"/>
        </w:trPr>
        <w:tc>
          <w:tcPr>
            <w:tcW w:w="4380" w:type="dxa"/>
            <w:vAlign w:val="bottom"/>
            <w:gridSpan w:val="3"/>
          </w:tcPr>
          <w:p>
            <w:pPr>
              <w:spacing w:after="0"/>
              <w:rPr>
                <w:sz w:val="20"/>
                <w:szCs w:val="20"/>
                <w:color w:val="auto"/>
              </w:rPr>
            </w:pPr>
            <w:r>
              <w:rPr>
                <w:rFonts w:ascii="Arial" w:cs="Arial" w:eastAsia="Arial" w:hAnsi="Arial"/>
                <w:sz w:val="20"/>
                <w:szCs w:val="20"/>
                <w:color w:val="auto"/>
              </w:rPr>
              <w:t>Title: General Counsel</w:t>
            </w:r>
          </w:p>
        </w:tc>
        <w:tc>
          <w:tcPr>
            <w:tcW w:w="5360" w:type="dxa"/>
            <w:vAlign w:val="bottom"/>
            <w:gridSpan w:val="3"/>
          </w:tcPr>
          <w:p>
            <w:pPr>
              <w:ind w:left="1360"/>
              <w:spacing w:after="0"/>
              <w:rPr>
                <w:sz w:val="20"/>
                <w:szCs w:val="20"/>
                <w:color w:val="auto"/>
              </w:rPr>
            </w:pPr>
            <w:r>
              <w:rPr>
                <w:rFonts w:ascii="Arial" w:cs="Arial" w:eastAsia="Arial" w:hAnsi="Arial"/>
                <w:sz w:val="20"/>
                <w:szCs w:val="20"/>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r>
        <w:rPr>
          <w:rFonts w:ascii="Arial" w:cs="Arial" w:eastAsia="Arial" w:hAnsi="Arial"/>
          <w:sz w:val="22"/>
          <w:szCs w:val="22"/>
          <w:color w:val="auto"/>
        </w:rPr>
        <w:t xml:space="preserve"> D</w:t>
      </w:r>
      <w:r>
        <w:rPr>
          <w:rFonts w:ascii="Arial" w:cs="Arial" w:eastAsia="Arial" w:hAnsi="Arial"/>
          <w:sz w:val="14"/>
          <w:szCs w:val="14"/>
          <w:color w:val="auto"/>
        </w:rPr>
        <w:t>ISCOVERY</w:t>
      </w:r>
      <w:r>
        <w:rPr>
          <w:rFonts w:ascii="Arial" w:cs="Arial" w:eastAsia="Arial" w:hAnsi="Arial"/>
          <w:sz w:val="22"/>
          <w:szCs w:val="22"/>
          <w:color w:val="auto"/>
        </w:rPr>
        <w:t xml:space="preserve"> C</w:t>
      </w:r>
      <w:r>
        <w:rPr>
          <w:rFonts w:ascii="Arial" w:cs="Arial" w:eastAsia="Arial" w:hAnsi="Arial"/>
          <w:sz w:val="14"/>
          <w:szCs w:val="14"/>
          <w:color w:val="auto"/>
        </w:rPr>
        <w:t>OLLABORATION AND</w:t>
      </w:r>
      <w:r>
        <w:rPr>
          <w:rFonts w:ascii="Arial" w:cs="Arial" w:eastAsia="Arial" w:hAnsi="Arial"/>
          <w:sz w:val="22"/>
          <w:szCs w:val="22"/>
          <w:color w:val="auto"/>
        </w:rPr>
        <w:t xml:space="preserve"> L</w:t>
      </w:r>
      <w:r>
        <w:rPr>
          <w:rFonts w:ascii="Arial" w:cs="Arial" w:eastAsia="Arial" w:hAnsi="Arial"/>
          <w:sz w:val="14"/>
          <w:szCs w:val="14"/>
          <w:color w:val="auto"/>
        </w:rPr>
        <w:t>ICENSE</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208915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8"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u w:val="single" w:color="auto"/>
          <w:color w:val="auto"/>
        </w:rPr>
        <w:t>Schedule 1.19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Announced Reserved Programs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1.19-1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67310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b w:val="1"/>
          <w:bCs w:val="1"/>
          <w:u w:val="single" w:color="auto"/>
          <w:color w:val="auto"/>
        </w:rPr>
        <w:t>Schedule 1.21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Antibody Criteria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58" w:name="page159"/>
    <w:bookmarkEnd w:id="158"/>
    <w:p>
      <w:pPr>
        <w:jc w:val="center"/>
        <w:ind w:right="-1220"/>
        <w:spacing w:after="0"/>
        <w:rPr>
          <w:sz w:val="20"/>
          <w:szCs w:val="20"/>
          <w:color w:val="auto"/>
        </w:rPr>
      </w:pPr>
      <w:r>
        <w:rPr>
          <w:rFonts w:ascii="Arial" w:cs="Arial" w:eastAsia="Arial" w:hAnsi="Arial"/>
          <w:sz w:val="22"/>
          <w:szCs w:val="22"/>
          <w:b w:val="1"/>
          <w:bCs w:val="1"/>
          <w:u w:val="single" w:color="auto"/>
          <w:color w:val="auto"/>
        </w:rPr>
        <w:t>Schedule 1.52</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Corporate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CytomX Therapeutics, Inc.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CYTOMX</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PROBODY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1835" cy="3860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18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Schedule 1.52-1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u w:val="single" w:color="auto"/>
          <w:color w:val="auto"/>
        </w:rPr>
        <w:t>Schedule 1.60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Discovery PDC Success Criteria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u w:val="single" w:color="auto"/>
          <w:color w:val="auto"/>
        </w:rPr>
        <w:t>Schedule 1.63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Discovery Probody Success Criteria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22"/>
          <w:szCs w:val="22"/>
          <w:b w:val="1"/>
          <w:bCs w:val="1"/>
          <w:u w:val="single" w:color="auto"/>
          <w:color w:val="auto"/>
        </w:rPr>
        <w:t>Schedule 1.64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Discovery Research Plan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1.64-1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62" w:name="page163"/>
    <w:bookmarkEnd w:id="162"/>
    <w:p>
      <w:pPr>
        <w:ind w:left="3820"/>
        <w:spacing w:after="0"/>
        <w:rPr>
          <w:sz w:val="20"/>
          <w:szCs w:val="20"/>
          <w:color w:val="auto"/>
        </w:rPr>
      </w:pPr>
      <w:r>
        <w:rPr>
          <w:rFonts w:ascii="Arial" w:cs="Arial" w:eastAsia="Arial" w:hAnsi="Arial"/>
          <w:sz w:val="22"/>
          <w:szCs w:val="22"/>
          <w:b w:val="1"/>
          <w:bCs w:val="1"/>
          <w:u w:val="single" w:color="auto"/>
          <w:color w:val="auto"/>
        </w:rPr>
        <w:t>Schedule 1.178</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Tool Patents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1.178-1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00"/>
        <w:spacing w:after="0" w:line="276" w:lineRule="auto"/>
        <w:rPr>
          <w:sz w:val="20"/>
          <w:szCs w:val="20"/>
          <w:color w:val="auto"/>
        </w:rPr>
      </w:pPr>
      <w:r>
        <w:rPr>
          <w:rFonts w:ascii="Arial" w:cs="Arial" w:eastAsia="Arial" w:hAnsi="Arial"/>
          <w:sz w:val="19"/>
          <w:szCs w:val="19"/>
          <w:color w:val="auto"/>
        </w:rPr>
        <w:t>American Journal of Clinical Oncology Kantar Health (syndicate data)</w:t>
      </w:r>
    </w:p>
    <w:p>
      <w:pPr>
        <w:spacing w:after="0" w:line="2" w:lineRule="exact"/>
        <w:rPr>
          <w:sz w:val="20"/>
          <w:szCs w:val="20"/>
          <w:color w:val="auto"/>
        </w:rPr>
      </w:pPr>
    </w:p>
    <w:p>
      <w:pPr>
        <w:ind w:right="760"/>
        <w:spacing w:after="0" w:line="234" w:lineRule="auto"/>
        <w:rPr>
          <w:sz w:val="20"/>
          <w:szCs w:val="20"/>
          <w:color w:val="auto"/>
        </w:rPr>
      </w:pPr>
      <w:r>
        <w:rPr>
          <w:rFonts w:ascii="Arial" w:cs="Arial" w:eastAsia="Arial" w:hAnsi="Arial"/>
          <w:sz w:val="22"/>
          <w:szCs w:val="22"/>
          <w:color w:val="auto"/>
        </w:rPr>
        <w:t>CA: Cancer Journal for Clinicians Nature Reviews Cancer Lancet Oncology</w:t>
      </w:r>
    </w:p>
    <w:p>
      <w:pPr>
        <w:spacing w:after="0" w:line="20" w:lineRule="exact"/>
        <w:rPr>
          <w:sz w:val="20"/>
          <w:szCs w:val="20"/>
          <w:color w:val="auto"/>
        </w:rPr>
      </w:pPr>
      <w:r>
        <w:rPr>
          <w:sz w:val="20"/>
          <w:szCs w:val="20"/>
          <w:color w:val="auto"/>
        </w:rPr>
        <w:br w:type="column"/>
      </w:r>
    </w:p>
    <w:p>
      <w:pPr>
        <w:jc w:val="center"/>
        <w:ind w:right="3219"/>
        <w:spacing w:after="0"/>
        <w:rPr>
          <w:sz w:val="20"/>
          <w:szCs w:val="20"/>
          <w:color w:val="auto"/>
        </w:rPr>
      </w:pPr>
      <w:r>
        <w:rPr>
          <w:rFonts w:ascii="Arial" w:cs="Arial" w:eastAsia="Arial" w:hAnsi="Arial"/>
          <w:sz w:val="22"/>
          <w:szCs w:val="22"/>
          <w:b w:val="1"/>
          <w:bCs w:val="1"/>
          <w:u w:val="single" w:color="auto"/>
          <w:color w:val="auto"/>
        </w:rPr>
        <w:t>Schedule 7.4.4</w:t>
      </w:r>
    </w:p>
    <w:p>
      <w:pPr>
        <w:spacing w:after="0" w:line="220" w:lineRule="exact"/>
        <w:rPr>
          <w:sz w:val="20"/>
          <w:szCs w:val="20"/>
          <w:color w:val="auto"/>
        </w:rPr>
      </w:pPr>
    </w:p>
    <w:p>
      <w:pPr>
        <w:jc w:val="center"/>
        <w:ind w:right="3219"/>
        <w:spacing w:after="0"/>
        <w:rPr>
          <w:sz w:val="20"/>
          <w:szCs w:val="20"/>
          <w:color w:val="auto"/>
        </w:rPr>
      </w:pPr>
      <w:r>
        <w:rPr>
          <w:rFonts w:ascii="Arial" w:cs="Arial" w:eastAsia="Arial" w:hAnsi="Arial"/>
          <w:sz w:val="19"/>
          <w:szCs w:val="19"/>
          <w:b w:val="1"/>
          <w:bCs w:val="1"/>
          <w:color w:val="auto"/>
        </w:rPr>
        <w:t>Peer-Reviewed Publications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Schedule 7.4.4-1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63500</wp:posOffset>
            </wp:positionV>
            <wp:extent cx="72891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3720" w:space="720"/>
            <w:col w:w="5779"/>
          </w:cols>
          <w:pgMar w:left="240" w:top="342" w:right="1440" w:bottom="1440" w:gutter="0" w:footer="0" w:header="0"/>
        </w:sectPr>
      </w:pPr>
    </w:p>
    <w:bookmarkStart w:id="164" w:name="page165"/>
    <w:bookmarkEnd w:id="164"/>
    <w:p>
      <w:pPr>
        <w:jc w:val="center"/>
        <w:ind w:right="-20"/>
        <w:spacing w:after="0"/>
        <w:rPr>
          <w:sz w:val="20"/>
          <w:szCs w:val="20"/>
          <w:color w:val="auto"/>
        </w:rPr>
      </w:pPr>
      <w:r>
        <w:rPr>
          <w:rFonts w:ascii="Arial" w:cs="Arial" w:eastAsia="Arial" w:hAnsi="Arial"/>
          <w:sz w:val="22"/>
          <w:szCs w:val="22"/>
          <w:b w:val="1"/>
          <w:bCs w:val="1"/>
          <w:u w:val="single" w:color="auto"/>
          <w:color w:val="auto"/>
        </w:rPr>
        <w:t>Schedule 10.4</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Schedule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65" w:name="page166"/>
    <w:bookmarkEnd w:id="165"/>
    <w:p>
      <w:pPr>
        <w:spacing w:after="0"/>
        <w:rPr>
          <w:sz w:val="20"/>
          <w:szCs w:val="20"/>
          <w:color w:val="auto"/>
        </w:rPr>
      </w:pPr>
      <w:r>
        <w:rPr>
          <w:rFonts w:ascii="Arial" w:cs="Arial" w:eastAsia="Arial" w:hAnsi="Arial"/>
          <w:sz w:val="29"/>
          <w:szCs w:val="29"/>
          <w:b w:val="1"/>
          <w:bCs w:val="1"/>
          <w:color w:val="071D49"/>
        </w:rPr>
        <w:t>PRESS RELEASE</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CytomX and AbbVie Announce Strategic Collaboration for Probody Drug Conjugates</w:t>
      </w:r>
    </w:p>
    <w:p>
      <w:pPr>
        <w:spacing w:after="0" w:line="307" w:lineRule="exact"/>
        <w:rPr>
          <w:sz w:val="20"/>
          <w:szCs w:val="20"/>
          <w:color w:val="auto"/>
        </w:rPr>
      </w:pPr>
    </w:p>
    <w:p>
      <w:pPr>
        <w:ind w:left="180" w:hanging="172"/>
        <w:spacing w:after="0"/>
        <w:tabs>
          <w:tab w:leader="none" w:pos="18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Companies to Jointly Develop and Commercialize Probody Drug Conjugates Directed Against CD71</w:t>
      </w:r>
    </w:p>
    <w:p>
      <w:pPr>
        <w:spacing w:after="0" w:line="242" w:lineRule="exact"/>
        <w:rPr>
          <w:rFonts w:ascii="Arial" w:cs="Arial" w:eastAsia="Arial" w:hAnsi="Arial"/>
          <w:sz w:val="20"/>
          <w:szCs w:val="20"/>
          <w:b w:val="1"/>
          <w:bCs w:val="1"/>
          <w:color w:val="auto"/>
        </w:rPr>
      </w:pPr>
    </w:p>
    <w:p>
      <w:pPr>
        <w:ind w:left="160" w:hanging="152"/>
        <w:spacing w:after="0"/>
        <w:tabs>
          <w:tab w:leader="none" w:pos="16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AbbVie to Receive the Right to License Probody Drug Conjugates for up to Two Additional Undisclosed Targets</w:t>
      </w:r>
    </w:p>
    <w:p>
      <w:pPr>
        <w:spacing w:after="0" w:line="229" w:lineRule="exact"/>
        <w:rPr>
          <w:rFonts w:ascii="Arial" w:cs="Arial" w:eastAsia="Arial" w:hAnsi="Arial"/>
          <w:sz w:val="20"/>
          <w:szCs w:val="20"/>
          <w:b w:val="1"/>
          <w:bCs w:val="1"/>
          <w:color w:val="auto"/>
        </w:rPr>
      </w:pPr>
    </w:p>
    <w:p>
      <w:pPr>
        <w:ind w:left="180" w:hanging="172"/>
        <w:spacing w:after="0"/>
        <w:tabs>
          <w:tab w:leader="none" w:pos="18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CytomX to Receive $30 Million Upfront Payment</w:t>
      </w:r>
    </w:p>
    <w:p>
      <w:pPr>
        <w:spacing w:after="0" w:line="337" w:lineRule="exact"/>
        <w:rPr>
          <w:sz w:val="20"/>
          <w:szCs w:val="20"/>
          <w:color w:val="auto"/>
        </w:rPr>
      </w:pPr>
    </w:p>
    <w:p>
      <w:pPr>
        <w:ind w:right="20"/>
        <w:spacing w:after="0" w:line="301" w:lineRule="auto"/>
        <w:rPr>
          <w:sz w:val="20"/>
          <w:szCs w:val="20"/>
          <w:color w:val="auto"/>
        </w:rPr>
      </w:pPr>
      <w:r>
        <w:rPr>
          <w:rFonts w:ascii="Arial" w:cs="Arial" w:eastAsia="Arial" w:hAnsi="Arial"/>
          <w:sz w:val="20"/>
          <w:szCs w:val="20"/>
          <w:b w:val="1"/>
          <w:bCs w:val="1"/>
          <w:color w:val="auto"/>
        </w:rPr>
        <w:t xml:space="preserve">NORTH CHICAGO, Ill. and SOUTH SAN FRANCISCO, Calif., </w:t>
      </w:r>
      <w:r>
        <w:rPr>
          <w:rFonts w:ascii="Arial" w:cs="Arial" w:eastAsia="Arial" w:hAnsi="Arial"/>
          <w:sz w:val="20"/>
          <w:szCs w:val="20"/>
          <w:color w:val="auto"/>
        </w:rPr>
        <w:t>April 21, 2016 – AbbVie (NYSE: ABBV) and Cytomx Therapeutics,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CTMX) today announced that they have entered into a collaboration to co-develop and co-commercialize Probody™ Drug Conjugates against CD71, also known as transferrin receptor 1 (TfR1). CD71 is highly expressed in a number of solid and hematologic cancers and has attractive molecular properties for efficient delivery of cytotoxic payloads to tumor cells. Probody therapeutics are designed to take advantage of unique conditions in the tumor microenvironment to enhance the tumor-targeting features of an antibody and reduce drug activity in healthy tissues.</w:t>
      </w:r>
    </w:p>
    <w:p>
      <w:pPr>
        <w:spacing w:after="0" w:line="261"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"We believe that the Probody platform provides a differentiated opportunity to combine with our strength in antibody drug conjugates," said Steve Davidsen, Ph.D., vice president, oncology drug discovery, AbbVie. "We are encouraged by the promising preclinical data that CytomX has generated for their Probody drug conjugate programs to-date and look forward to working closely with their team. This collaboration will enable us to expand our innovative pipeline in antibody drug conjugates and leverage our strength in that area to previously unexplored targets."</w:t>
      </w:r>
    </w:p>
    <w:p>
      <w:pPr>
        <w:spacing w:after="0" w:line="246"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"This collaboration is another important step toward achieving CytomX's vision of transforming lives with safer, more effective therapies and allows us to further advance our broad pipeline of Probody therapeutics," stated Sean McCarthy, D.Phil., president and chief executive officer at CytomX. "AbbVie has demonstrated leadership in developing antibody drug conjugates and we look forward to collaborating with their team to realize the full potential of our CD71 Probody drug conjugate program and additional oncology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6" w:name="page167"/>
    <w:bookmarkEnd w:id="166"/>
    <w:p>
      <w:pPr>
        <w:jc w:val="both"/>
        <w:spacing w:after="0" w:line="287" w:lineRule="auto"/>
        <w:rPr>
          <w:sz w:val="20"/>
          <w:szCs w:val="20"/>
          <w:color w:val="auto"/>
        </w:rPr>
      </w:pPr>
      <w:r>
        <w:rPr>
          <w:rFonts w:ascii="Arial" w:cs="Arial" w:eastAsia="Arial" w:hAnsi="Arial"/>
          <w:sz w:val="19"/>
          <w:szCs w:val="19"/>
          <w:color w:val="auto"/>
        </w:rPr>
        <w:t>Probody therapeutics are designed to remain inactive until they are activated by proteases in the tumor microenvironment. As a result, Probody therapeutics bind selectively to tumors and avoid binding to healthy tissue, to minimize toxicity and potentially create safer, more effective therapies. CytomX has generated preclinical data that demonstrates that Probody drug conjugates can safely and effectively target tumor antigens, such as CD71, that are not addressable by conventional antibody-drug conjugates.</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Under the terms of the agreement, CytomX and AbbVie will co-develop a Probody drug conjugate against CD71, with CytomX leading pre-clinical and early clinical development. AbbVie will lead later development and commercialization, with global late-stage development costs shared between the two companies. CytomX will receive an upfront payment of $30 million and is eligible to receive up to $470 million in development, regulatory and commercial milestones, pending the achievement of pre-determined outcomes. AbbVie will lead global commercial activities with CytomX eligible to receive a profit share in the U.S. and tiered double-digit royalties on net product sales outside of the U.S. CytomX retains an option to co-promote in the U.S.</w:t>
      </w:r>
    </w:p>
    <w:p>
      <w:pPr>
        <w:spacing w:after="0" w:line="246" w:lineRule="exact"/>
        <w:rPr>
          <w:sz w:val="20"/>
          <w:szCs w:val="20"/>
          <w:color w:val="auto"/>
        </w:rPr>
      </w:pPr>
    </w:p>
    <w:p>
      <w:pPr>
        <w:jc w:val="both"/>
        <w:ind w:right="20"/>
        <w:spacing w:after="0" w:line="292" w:lineRule="auto"/>
        <w:rPr>
          <w:sz w:val="20"/>
          <w:szCs w:val="20"/>
          <w:color w:val="auto"/>
        </w:rPr>
      </w:pPr>
      <w:r>
        <w:rPr>
          <w:rFonts w:ascii="Arial" w:cs="Arial" w:eastAsia="Arial" w:hAnsi="Arial"/>
          <w:sz w:val="20"/>
          <w:szCs w:val="20"/>
          <w:color w:val="auto"/>
        </w:rPr>
        <w:t>AbbVie also receives exclusive worldwide rights to develop and commercialize Probody drug conjugates against up to two additional, undisclosed targets. Should AbbVie ultimately pursue these targets, CytomX is eligible to receive additional milestone and royalty payments per target on any resulting products.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 Webcast Information</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CytomX will host a teleconference today at 5:00 p.m. EDT to discuss the strategic collaboration. Sean McCarthy, D.Phil., president and chief executive officer and Bob Goeltz, chief financial officer, will lead the teleconference. A live audio webcast of the presentation will be available through the Investor and News page of CytomX's website at http://ir.cytomx.com. An archived replay will be available for 90 days following the event.</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AbbVie is a global, research-based biopharmaceutical company formed in 2013 following separation from Abbott Laboratories. The company’s mission is to use its expertise, dedicated people and unique approach to innovation to develop and market advanced therapies that address some of the world’s most complex and serious diseases. Together with its wholly-owned subsidiary, Pharmacyclics, AbbVie employs more than 28,000 people worldwide and markets medicines in more than 170 countries. For further information on the company and its people, portfolio and commitments, please visit www.abbvie.com. Follow @abbvie on Twitter or view careers on our Facebook or LinkedIn page.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67" w:name="page168"/>
    <w:bookmarkEnd w:id="167"/>
    <w:p>
      <w:pPr>
        <w:spacing w:after="0"/>
        <w:rPr>
          <w:sz w:val="20"/>
          <w:szCs w:val="20"/>
          <w:color w:val="auto"/>
        </w:rPr>
      </w:pPr>
      <w:r>
        <w:rPr>
          <w:rFonts w:ascii="Arial" w:cs="Arial" w:eastAsia="Arial" w:hAnsi="Arial"/>
          <w:sz w:val="20"/>
          <w:szCs w:val="20"/>
          <w:b w:val="1"/>
          <w:bCs w:val="1"/>
          <w:color w:val="auto"/>
        </w:rPr>
        <w:t>About CytomX Therapeutics</w:t>
      </w:r>
    </w:p>
    <w:p>
      <w:pPr>
        <w:spacing w:after="0" w:line="6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CytomX is an oncology-focused biopharmaceutical company pioneering a novel class of investigational antibody therapeutics based on its Probody technology platform. The company uses the platform to create development-stage proprietary cancer immunotherapies against clinically-validated targets, as well as to develop first-in-class investigational cancer therapeutics against novel targets. CytomX believes that its Probody platform has the potential to improve the combined efficacy and safety profile of monoclonal antibody modalities, including cancer immunotherapies, antibody drug conjugates and T-cell-recruiting bispecific antibodies. Probody therapeutics are designed to take advantage of unique conditions in the tumor microenvironment to enhance the tumor-targeting features of an antibody and reduce drug activity in healthy tissues. Investigational Probody therapeutics are being developed that address clinically-validated cancer targets in immuno-oncology, such as PD-L1, against which clinical candidate CX-072 is directed, as well as novel targets, such as CD166, that are difficult to drug without causing damage to healthy tissues, or toxicities. In addition to its proprietary programs, CytomX is collaborating with strategic partners including AbbVie Inc., Bristol-Myers Squibb Company, Pfizer Inc., MD Anderson Cancer Center, and ImmunoGen, Inc. For more information, visit www.cytomx.com.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CytomX</w:t>
      </w:r>
    </w:p>
    <w:p>
      <w:pPr>
        <w:spacing w:after="0" w:line="6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This press release includes forward-looking statements. Such forward-looking statements involve known and unknown risks, uncertainties and other important factors that are difficult to predict, may be beyond CytomX’s control, and may cause the actual results, performance or achievements to be materially different from any future results, performance or achievements expressed or implied in such statements. Accordingly, you should not rely on any of these forward-looking statements. Our Probody platform is in preclinical development, and the process by which a preclinical technology could potentially lead to an approved product is long and subject to significant risks and uncertainties. Applicable risks and uncertainties include those relating to our preclinical research and development and other risks identified under the heading "Risk Factors" included in CytomX’s filings with the SEC. The forward-looking statements contained in this press release are based on information currently available to CytomX and speak only as of the date on which they are made. CytomX does not undertake and specifically disclaims any obligation to update any forward-looking statements,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68" w:name="page169"/>
    <w:bookmarkEnd w:id="168"/>
    <w:p>
      <w:pPr>
        <w:spacing w:after="0"/>
        <w:rPr>
          <w:sz w:val="20"/>
          <w:szCs w:val="20"/>
          <w:color w:val="auto"/>
        </w:rPr>
      </w:pPr>
      <w:r>
        <w:rPr>
          <w:rFonts w:ascii="Arial" w:cs="Arial" w:eastAsia="Arial" w:hAnsi="Arial"/>
          <w:sz w:val="20"/>
          <w:szCs w:val="20"/>
          <w:b w:val="1"/>
          <w:bCs w:val="1"/>
          <w:color w:val="auto"/>
        </w:rPr>
        <w:t>AbbVie</w:t>
      </w:r>
    </w:p>
    <w:p>
      <w:pPr>
        <w:spacing w:after="0" w:line="60" w:lineRule="exact"/>
        <w:rPr>
          <w:sz w:val="20"/>
          <w:szCs w:val="20"/>
          <w:color w:val="auto"/>
        </w:rPr>
      </w:pPr>
    </w:p>
    <w:p>
      <w:pPr>
        <w:jc w:val="both"/>
        <w:spacing w:after="0" w:line="335" w:lineRule="auto"/>
        <w:rPr>
          <w:sz w:val="20"/>
          <w:szCs w:val="20"/>
          <w:color w:val="auto"/>
        </w:rPr>
      </w:pPr>
      <w:r>
        <w:rPr>
          <w:rFonts w:ascii="Arial" w:cs="Arial" w:eastAsia="Arial" w:hAnsi="Arial"/>
          <w:sz w:val="18"/>
          <w:szCs w:val="18"/>
          <w:color w:val="auto"/>
        </w:rPr>
        <w:t>Some statements in this news release may be forward-looking statements for purposes of the Private Securities Litigation Reform Act of 1995. The words "believe," "expect," "anticipate," "project" and similar expressions, among others, generally identify forward-looking statements. AbbVie cautions that these forward-looking statements are subject to risks and uncertainties that may cause actual results to differ materially from those indicated in the forward-looking statements. Such risks and uncertainties include, but are not limited to, challenges to intellectual property, competition from other products, difficulties inherent in the research and development process, adverse litigation or government action, and changes to laws and regulations applicable to our industry. Additional information about the economic, competitive, governmental, technological and other factors that may affect AbbVie's operations is set forth in Item 1A, "Risk Factors," of AbbVie's 2015 Annual Report on Form 10-K, which has been filed with the Securities and Exchange Commission. AbbVie undertakes no obligation to release publicly any revisions to forward-looking statements as a result of subsequent events or developments, except as required by law.</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CytomX</w:t>
      </w:r>
    </w:p>
    <w:p>
      <w:pPr>
        <w:sectPr>
          <w:pgSz w:w="11900" w:h="16838" w:orient="portrait"/>
          <w:cols w:equalWidth="0" w:num="1">
            <w:col w:w="11420"/>
          </w:cols>
          <w:pgMar w:left="240" w:top="373" w:right="239" w:bottom="1440" w:gutter="0" w:footer="0" w:header="0"/>
        </w:sect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Communications: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Canale Communications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Investors: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Trout Group</w:t>
      </w:r>
    </w:p>
    <w:p>
      <w:pPr>
        <w:spacing w:after="0" w:line="4" w:lineRule="exact"/>
        <w:rPr>
          <w:sz w:val="20"/>
          <w:szCs w:val="20"/>
          <w:color w:val="auto"/>
        </w:rPr>
      </w:pPr>
    </w:p>
    <w:p>
      <w:pPr>
        <w:sectPr>
          <w:pgSz w:w="11900" w:h="16838" w:orient="portrait"/>
          <w:cols w:equalWidth="0" w:num="2">
            <w:col w:w="5520" w:space="720"/>
            <w:col w:w="5180"/>
          </w:cols>
          <w:pgMar w:left="240" w:top="3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Ian Stone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Pete Rahmer</w:t>
      </w:r>
    </w:p>
    <w:p>
      <w:pPr>
        <w:spacing w:after="0" w:line="46" w:lineRule="exact"/>
        <w:rPr>
          <w:sz w:val="20"/>
          <w:szCs w:val="20"/>
          <w:color w:val="auto"/>
        </w:rPr>
      </w:pPr>
    </w:p>
    <w:p>
      <w:pPr>
        <w:sectPr>
          <w:pgSz w:w="11900" w:h="16838" w:orient="portrait"/>
          <w:cols w:equalWidth="0" w:num="2">
            <w:col w:w="4320" w:space="720"/>
            <w:col w:w="6380"/>
          </w:cols>
          <w:pgMar w:left="240" w:top="373" w:right="239" w:bottom="1440" w:gutter="0" w:footer="0" w:header="0"/>
          <w:type w:val="continuous"/>
        </w:sectPr>
      </w:pPr>
    </w:p>
    <w:p>
      <w:pPr>
        <w:spacing w:after="0"/>
        <w:rPr>
          <w:sz w:val="20"/>
          <w:szCs w:val="20"/>
          <w:color w:val="auto"/>
        </w:rPr>
      </w:pPr>
      <w:r>
        <w:rPr>
          <w:rFonts w:ascii="Arial" w:cs="Arial" w:eastAsia="Arial" w:hAnsi="Arial"/>
          <w:sz w:val="16"/>
          <w:szCs w:val="16"/>
          <w:color w:val="auto"/>
        </w:rPr>
        <w:t>ian@canalecomm.com</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619-849-5388</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Arial" w:cs="Arial" w:eastAsia="Arial" w:hAnsi="Arial"/>
          <w:sz w:val="18"/>
          <w:szCs w:val="18"/>
          <w:color w:val="auto"/>
        </w:rPr>
        <w:t>prahmer@troutgroup.com</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646-378-2973</w:t>
      </w:r>
    </w:p>
    <w:p>
      <w:pPr>
        <w:spacing w:after="0" w:line="200" w:lineRule="exact"/>
        <w:rPr>
          <w:sz w:val="20"/>
          <w:szCs w:val="20"/>
          <w:color w:val="auto"/>
        </w:rPr>
      </w:pPr>
    </w:p>
    <w:p>
      <w:pPr>
        <w:sectPr>
          <w:pgSz w:w="11900" w:h="16838" w:orient="portrait"/>
          <w:cols w:equalWidth="0" w:num="2">
            <w:col w:w="4700" w:space="720"/>
            <w:col w:w="6000"/>
          </w:cols>
          <w:pgMar w:left="240" w:top="373" w:right="2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AbbVie</w:t>
      </w:r>
    </w:p>
    <w:p>
      <w:pPr>
        <w:sectPr>
          <w:pgSz w:w="11900" w:h="16838" w:orient="portrait"/>
          <w:cols w:equalWidth="0" w:num="1">
            <w:col w:w="11420"/>
          </w:cols>
          <w:pgMar w:left="240" w:top="373" w:right="239" w:bottom="1440" w:gutter="0" w:footer="0" w:header="0"/>
          <w:type w:val="continuous"/>
        </w:sectPr>
      </w:pPr>
    </w:p>
    <w:p>
      <w:pPr>
        <w:spacing w:after="0" w:line="33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Media:</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Adelle Infante</w:t>
      </w:r>
    </w:p>
    <w:p>
      <w:pPr>
        <w:ind w:left="100"/>
        <w:spacing w:after="0"/>
        <w:rPr>
          <w:sz w:val="20"/>
          <w:szCs w:val="20"/>
          <w:color w:val="auto"/>
        </w:rPr>
      </w:pPr>
      <w:r>
        <w:rPr>
          <w:rFonts w:ascii="Arial" w:cs="Arial" w:eastAsia="Arial" w:hAnsi="Arial"/>
          <w:sz w:val="18"/>
          <w:szCs w:val="18"/>
          <w:color w:val="auto"/>
        </w:rPr>
        <w:t>(847) 938-8745</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Liz Shea</w:t>
      </w:r>
    </w:p>
    <w:p>
      <w:pPr>
        <w:spacing w:after="0"/>
        <w:rPr>
          <w:sz w:val="20"/>
          <w:szCs w:val="20"/>
          <w:color w:val="auto"/>
        </w:rPr>
      </w:pPr>
      <w:r>
        <w:rPr>
          <w:rFonts w:ascii="Arial" w:cs="Arial" w:eastAsia="Arial" w:hAnsi="Arial"/>
          <w:sz w:val="16"/>
          <w:szCs w:val="16"/>
          <w:color w:val="auto"/>
        </w:rPr>
        <w:t>(847) 935-2211</w:t>
      </w:r>
    </w:p>
    <w:p>
      <w:pPr>
        <w:spacing w:after="0" w:line="222" w:lineRule="exact"/>
        <w:rPr>
          <w:sz w:val="20"/>
          <w:szCs w:val="20"/>
          <w:color w:val="auto"/>
        </w:rPr>
      </w:pPr>
    </w:p>
    <w:p>
      <w:pPr>
        <w:sectPr>
          <w:pgSz w:w="11900" w:h="16838" w:orient="portrait"/>
          <w:cols w:equalWidth="0" w:num="2">
            <w:col w:w="5100" w:space="720"/>
            <w:col w:w="5600"/>
          </w:cols>
          <w:pgMar w:left="240" w:top="373" w:right="23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Schedule 10.4-5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type w:val="continuous"/>
        </w:sectPr>
      </w:pPr>
    </w:p>
    <w:bookmarkStart w:id="169" w:name="page170"/>
    <w:bookmarkEnd w:id="169"/>
    <w:p>
      <w:pPr>
        <w:ind w:left="3800"/>
        <w:spacing w:after="0"/>
        <w:rPr>
          <w:sz w:val="20"/>
          <w:szCs w:val="20"/>
          <w:color w:val="auto"/>
        </w:rPr>
      </w:pPr>
      <w:r>
        <w:rPr>
          <w:rFonts w:ascii="Arial" w:cs="Arial" w:eastAsia="Arial" w:hAnsi="Arial"/>
          <w:sz w:val="22"/>
          <w:szCs w:val="22"/>
          <w:b w:val="1"/>
          <w:bCs w:val="1"/>
          <w:u w:val="single" w:color="auto"/>
          <w:color w:val="auto"/>
        </w:rPr>
        <w:t>Schedule 11.2.1</w:t>
      </w:r>
    </w:p>
    <w:p>
      <w:pPr>
        <w:spacing w:after="0" w:line="220"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Existing Patents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11.2.1-1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157480</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42"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u w:val="single" w:color="auto"/>
          <w:color w:val="auto"/>
        </w:rPr>
        <w:t>Schedule 14.7.3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ADR Procedures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Omitted pursuant to Regulation S-K, Item 601(a)(5)</w:t>
      </w:r>
    </w:p>
    <w:p>
      <w:pPr>
        <w:sectPr>
          <w:pgSz w:w="11900" w:h="16838" w:orient="portrait"/>
          <w:cols w:equalWidth="0" w:num="1">
            <w:col w:w="9019"/>
          </w:cols>
          <w:pgMar w:left="1440" w:top="571"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President and Chief Executive Officer of CytomX Therapeutics, Inc., certify that:</w:t>
      </w:r>
    </w:p>
    <w:p>
      <w:pPr>
        <w:spacing w:after="0" w:line="117" w:lineRule="exact"/>
        <w:rPr>
          <w:sz w:val="20"/>
          <w:szCs w:val="20"/>
          <w:color w:val="auto"/>
        </w:rPr>
      </w:pPr>
    </w:p>
    <w:p>
      <w:pPr>
        <w:ind w:left="780" w:hanging="259"/>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80" w:right="180" w:hanging="259"/>
        <w:spacing w:after="0" w:line="264"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40" w:hanging="259"/>
        <w:spacing w:after="0" w:line="308" w:lineRule="auto"/>
        <w:tabs>
          <w:tab w:leader="none" w:pos="7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140" w:hanging="259"/>
        <w:spacing w:after="0" w:line="224" w:lineRule="exact"/>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15d-15(e)) and internal control over financial reporting (as defined in Exchange Act Rules 13a-15(f) and 15d-15(f)) for the registrant and have:</w:t>
      </w:r>
    </w:p>
    <w:p>
      <w:pPr>
        <w:spacing w:after="0" w:line="94" w:lineRule="exact"/>
        <w:rPr>
          <w:rFonts w:ascii="Arial" w:cs="Arial" w:eastAsia="Arial" w:hAnsi="Arial"/>
          <w:sz w:val="16"/>
          <w:szCs w:val="16"/>
          <w:color w:val="auto"/>
        </w:rPr>
      </w:pPr>
    </w:p>
    <w:p>
      <w:pPr>
        <w:ind w:left="1540" w:right="40" w:hanging="506"/>
        <w:spacing w:after="0" w:line="264" w:lineRule="auto"/>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780" w:hanging="259"/>
        <w:spacing w:after="0" w:line="277"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540" w:right="380" w:hanging="506"/>
        <w:spacing w:after="0" w:line="342" w:lineRule="auto"/>
        <w:tabs>
          <w:tab w:leader="none" w:pos="154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40" w:type="dxa"/>
            <w:vAlign w:val="bottom"/>
          </w:tcPr>
          <w:p>
            <w:pPr>
              <w:spacing w:after="0"/>
              <w:rPr>
                <w:sz w:val="20"/>
                <w:szCs w:val="20"/>
                <w:color w:val="auto"/>
              </w:rPr>
            </w:pPr>
            <w:r>
              <w:rPr>
                <w:rFonts w:ascii="Arial" w:cs="Arial" w:eastAsia="Arial" w:hAnsi="Arial"/>
                <w:sz w:val="18"/>
                <w:szCs w:val="18"/>
                <w:color w:val="auto"/>
              </w:rPr>
              <w:t>Date: August 7, 2019</w:t>
            </w:r>
          </w:p>
        </w:tc>
        <w:tc>
          <w:tcPr>
            <w:tcW w:w="2680" w:type="dxa"/>
            <w:vAlign w:val="bottom"/>
          </w:tcPr>
          <w:p>
            <w:pPr>
              <w:ind w:left="18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440" w:type="dxa"/>
            <w:vAlign w:val="bottom"/>
          </w:tcPr>
          <w:p>
            <w:pPr>
              <w:spacing w:after="0"/>
              <w:rPr>
                <w:sz w:val="19"/>
                <w:szCs w:val="19"/>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44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35"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Principal Financial Officer of CytomX Therapeutics, Inc., certify that:</w:t>
      </w:r>
    </w:p>
    <w:p>
      <w:pPr>
        <w:spacing w:after="0" w:line="117" w:lineRule="exact"/>
        <w:rPr>
          <w:sz w:val="20"/>
          <w:szCs w:val="20"/>
          <w:color w:val="auto"/>
        </w:rPr>
      </w:pPr>
    </w:p>
    <w:p>
      <w:pPr>
        <w:ind w:left="780" w:hanging="259"/>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80" w:right="180" w:hanging="259"/>
        <w:spacing w:after="0" w:line="264"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40" w:hanging="259"/>
        <w:spacing w:after="0" w:line="308" w:lineRule="auto"/>
        <w:tabs>
          <w:tab w:leader="none" w:pos="7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140" w:hanging="259"/>
        <w:spacing w:after="0" w:line="224" w:lineRule="exact"/>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15d-15(e)) and internal control over financial reporting (as defined in Exchange Act Rules 13a-15(f) and 15d-15(f)) for the registrant and have:</w:t>
      </w:r>
    </w:p>
    <w:p>
      <w:pPr>
        <w:spacing w:after="0" w:line="94" w:lineRule="exact"/>
        <w:rPr>
          <w:rFonts w:ascii="Arial" w:cs="Arial" w:eastAsia="Arial" w:hAnsi="Arial"/>
          <w:sz w:val="16"/>
          <w:szCs w:val="16"/>
          <w:color w:val="auto"/>
        </w:rPr>
      </w:pPr>
    </w:p>
    <w:p>
      <w:pPr>
        <w:ind w:left="1540" w:right="40" w:hanging="506"/>
        <w:spacing w:after="0" w:line="264" w:lineRule="auto"/>
        <w:tabs>
          <w:tab w:leader="none" w:pos="1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780" w:hanging="259"/>
        <w:spacing w:after="0" w:line="277"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540" w:right="380" w:hanging="506"/>
        <w:spacing w:after="0" w:line="342" w:lineRule="auto"/>
        <w:tabs>
          <w:tab w:leader="none" w:pos="15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40" w:type="dxa"/>
            <w:vAlign w:val="bottom"/>
          </w:tcPr>
          <w:p>
            <w:pPr>
              <w:spacing w:after="0"/>
              <w:rPr>
                <w:sz w:val="20"/>
                <w:szCs w:val="20"/>
                <w:color w:val="auto"/>
              </w:rPr>
            </w:pPr>
            <w:r>
              <w:rPr>
                <w:rFonts w:ascii="Arial" w:cs="Arial" w:eastAsia="Arial" w:hAnsi="Arial"/>
                <w:sz w:val="18"/>
                <w:szCs w:val="18"/>
                <w:color w:val="auto"/>
              </w:rPr>
              <w:t>Date: August 7, 2019</w:t>
            </w:r>
          </w:p>
        </w:tc>
        <w:tc>
          <w:tcPr>
            <w:tcW w:w="2680" w:type="dxa"/>
            <w:vAlign w:val="bottom"/>
          </w:tcPr>
          <w:p>
            <w:pPr>
              <w:ind w:left="18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440" w:type="dxa"/>
            <w:vAlign w:val="bottom"/>
          </w:tcPr>
          <w:p>
            <w:pPr>
              <w:spacing w:after="0"/>
              <w:rPr>
                <w:sz w:val="19"/>
                <w:szCs w:val="19"/>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440" w:type="dxa"/>
            <w:vAlign w:val="bottom"/>
          </w:tcPr>
          <w:p>
            <w:pPr>
              <w:spacing w:after="0"/>
              <w:rPr>
                <w:sz w:val="20"/>
                <w:szCs w:val="20"/>
                <w:color w:val="auto"/>
              </w:rPr>
            </w:pPr>
          </w:p>
        </w:tc>
        <w:tc>
          <w:tcPr>
            <w:tcW w:w="2680" w:type="dxa"/>
            <w:vAlign w:val="bottom"/>
          </w:tcPr>
          <w:p>
            <w:pPr>
              <w:ind w:left="188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35"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2019,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August 7, 2019</w:t>
            </w:r>
          </w:p>
        </w:tc>
        <w:tc>
          <w:tcPr>
            <w:tcW w:w="2580" w:type="dxa"/>
            <w:vAlign w:val="bottom"/>
          </w:tcPr>
          <w:p>
            <w:pPr>
              <w:ind w:left="19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460" w:type="dxa"/>
            <w:vAlign w:val="bottom"/>
          </w:tcPr>
          <w:p>
            <w:pPr>
              <w:spacing w:after="0"/>
              <w:rPr>
                <w:sz w:val="19"/>
                <w:szCs w:val="19"/>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460" w:type="dxa"/>
            <w:vAlign w:val="bottom"/>
          </w:tcPr>
          <w:p>
            <w:pPr>
              <w:spacing w:after="0"/>
              <w:rPr>
                <w:sz w:val="20"/>
                <w:szCs w:val="20"/>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June 30, 2019,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Principal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 August 7, 2019</w:t>
            </w:r>
          </w:p>
        </w:tc>
        <w:tc>
          <w:tcPr>
            <w:tcW w:w="2580" w:type="dxa"/>
            <w:vAlign w:val="bottom"/>
          </w:tcPr>
          <w:p>
            <w:pPr>
              <w:ind w:left="19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460" w:type="dxa"/>
            <w:vAlign w:val="bottom"/>
          </w:tcPr>
          <w:p>
            <w:pPr>
              <w:spacing w:after="0"/>
              <w:rPr>
                <w:sz w:val="19"/>
                <w:szCs w:val="19"/>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460" w:type="dxa"/>
            <w:vAlign w:val="bottom"/>
          </w:tcPr>
          <w:p>
            <w:pPr>
              <w:spacing w:after="0"/>
              <w:rPr>
                <w:sz w:val="20"/>
                <w:szCs w:val="20"/>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lowerLetter"/>
      <w:start w:val="1"/>
    </w:lvl>
  </w:abstractNum>
  <w:abstractNum w:abstractNumId="8">
    <w:nsid w:val="32FFF902"/>
    <w:multiLevelType w:val="hybridMultilevel"/>
    <w:lvl w:ilvl="0">
      <w:lvlJc w:val="left"/>
      <w:lvlText w:val="%1."/>
      <w:numFmt w:val="decimal"/>
      <w:start w:val="606"/>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1"/>
    </w:lvl>
  </w:abstractNum>
  <w:abstractNum w:abstractNumId="12">
    <w:nsid w:val="3DC240FB"/>
    <w:multiLevelType w:val="hybridMultilevel"/>
    <w:lvl w:ilvl="0">
      <w:lvlJc w:val="left"/>
      <w:lvlText w:val="(%1)"/>
      <w:numFmt w:val="decimal"/>
      <w:start w:val="2"/>
    </w:lvl>
  </w:abstractNum>
  <w:abstractNum w:abstractNumId="13">
    <w:nsid w:val="1BA026FA"/>
    <w:multiLevelType w:val="hybridMultilevel"/>
    <w:lvl w:ilvl="0">
      <w:lvlJc w:val="left"/>
      <w:lvlText w:val="(%1)"/>
      <w:numFmt w:val="decimal"/>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1"/>
    </w:lvl>
  </w:abstractNum>
  <w:abstractNum w:abstractNumId="16">
    <w:nsid w:val="12E685FB"/>
    <w:multiLevelType w:val="hybridMultilevel"/>
    <w:lvl w:ilvl="0">
      <w:lvlJc w:val="left"/>
      <w:lvlText w:val="(%1)"/>
      <w:numFmt w:val="lowerRoman"/>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6"/>
    </w:lvl>
    <w:lvl w:ilvl="1">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1."/>
      <w:numFmt w:val="decimal"/>
      <w:start w:val="7"/>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1)"/>
      <w:numFmt w:val="lowerLetter"/>
      <w:start w:val="2"/>
    </w:lvl>
  </w:abstractNum>
  <w:abstractNum w:abstractNumId="49">
    <w:nsid w:val="6590700B"/>
    <w:multiLevelType w:val="hybridMultilevel"/>
    <w:lvl w:ilvl="0">
      <w:lvlJc w:val="left"/>
      <w:lvlText w:val="(%1)"/>
      <w:numFmt w:val="lowerLetter"/>
      <w:start w:val="1"/>
    </w:lvl>
  </w:abstractNum>
  <w:abstractNum w:abstractNumId="50">
    <w:nsid w:val="15014ACB"/>
    <w:multiLevelType w:val="hybridMultilevel"/>
    <w:lvl w:ilvl="0">
      <w:lvlJc w:val="left"/>
      <w:lvlText w:val="(%1)"/>
      <w:numFmt w:val="lowerLetter"/>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lowerLetter"/>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lowerLetter"/>
      <w:start w:val="1"/>
    </w:lvl>
  </w:abstractNum>
  <w:abstractNum w:abstractNumId="55">
    <w:nsid w:val="42C296BD"/>
    <w:multiLevelType w:val="hybridMultilevel"/>
    <w:lvl w:ilvl="0">
      <w:lvlJc w:val="left"/>
      <w:lvlText w:val="(%1)"/>
      <w:numFmt w:val="lowerLetter"/>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1)"/>
      <w:numFmt w:val="lowerLetter"/>
      <w:start w:val="1"/>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lowerLetter"/>
      <w:start w:val="1"/>
    </w:lvl>
    <w:lvl w:ilvl="1">
      <w:lvlJc w:val="left"/>
      <w:lvlText w:val="(%2)"/>
      <w:numFmt w:val="lowerLetter"/>
      <w:start w:val="1"/>
    </w:lvl>
  </w:abstractNum>
  <w:abstractNum w:abstractNumId="60">
    <w:nsid w:val="540A471C"/>
    <w:multiLevelType w:val="hybridMultilevel"/>
    <w:lvl w:ilvl="0">
      <w:lvlJc w:val="left"/>
      <w:lvlText w:val="(%1)"/>
      <w:numFmt w:val="lowerLetter"/>
      <w:start w:val="3"/>
    </w:lvl>
    <w:lvl w:ilvl="1">
      <w:lvlJc w:val="left"/>
      <w:lvlText w:val="(%2)"/>
      <w:numFmt w:val="lowerLetter"/>
      <w:start w:val="2"/>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
      <w:numFmt w:val="bullet"/>
      <w:start w:val="1"/>
    </w:lvl>
    <w:lvl w:ilvl="1">
      <w:lvlJc w:val="left"/>
      <w:lvlText w:val="(%2)"/>
      <w:numFmt w:val="lowerLetter"/>
      <w:start w:val="1"/>
    </w:lvl>
  </w:abstractNum>
  <w:abstractNum w:abstractNumId="63">
    <w:nsid w:val="613EFDC5"/>
    <w:multiLevelType w:val="hybridMultilevel"/>
    <w:lvl w:ilvl="0">
      <w:lvlJc w:val="left"/>
      <w:lvlText w:val="(%1)"/>
      <w:numFmt w:val="lowerLetter"/>
      <w:start w:val="3"/>
    </w:lvl>
  </w:abstractNum>
  <w:abstractNum w:abstractNumId="64">
    <w:nsid w:val="BF72B14"/>
    <w:multiLevelType w:val="hybridMultilevel"/>
    <w:lvl w:ilvl="0">
      <w:lvlJc w:val="left"/>
      <w:lvlText w:val="(%1)"/>
      <w:numFmt w:val="lowerLetter"/>
      <w:start w:val="1"/>
    </w:lvl>
  </w:abstractNum>
  <w:abstractNum w:abstractNumId="65">
    <w:nsid w:val="11447B73"/>
    <w:multiLevelType w:val="hybridMultilevel"/>
    <w:lvl w:ilvl="0">
      <w:lvlJc w:val="left"/>
      <w:lvlText w:val="-"/>
      <w:numFmt w:val="bullet"/>
      <w:start w:val="1"/>
    </w:lvl>
    <w:lvl w:ilvl="1">
      <w:lvlJc w:val="left"/>
      <w:lvlText w:val="(%2)"/>
      <w:numFmt w:val="lowerLetter"/>
      <w:start w:val="1"/>
    </w:lvl>
  </w:abstractNum>
  <w:abstractNum w:abstractNumId="66">
    <w:nsid w:val="42963E5A"/>
    <w:multiLevelType w:val="hybridMultilevel"/>
    <w:lvl w:ilvl="0">
      <w:lvlJc w:val="left"/>
      <w:lvlText w:val="(%1)"/>
      <w:numFmt w:val="lowerLetter"/>
      <w:start w:val="3"/>
    </w:lvl>
  </w:abstractNum>
  <w:abstractNum w:abstractNumId="67">
    <w:nsid w:val="A0382C5"/>
    <w:multiLevelType w:val="hybridMultilevel"/>
    <w:lvl w:ilvl="0">
      <w:lvlJc w:val="left"/>
      <w:lvlText w:val="(%1)"/>
      <w:numFmt w:val="lowerLetter"/>
      <w:start w:val="1"/>
    </w:lvl>
  </w:abstractNum>
  <w:abstractNum w:abstractNumId="68">
    <w:nsid w:val="8F2B15E"/>
    <w:multiLevelType w:val="hybridMultilevel"/>
    <w:lvl w:ilvl="0">
      <w:lvlJc w:val="left"/>
      <w:lvlText w:val="-"/>
      <w:numFmt w:val="bullet"/>
      <w:start w:val="1"/>
    </w:lvl>
    <w:lvl w:ilvl="1">
      <w:lvlJc w:val="left"/>
      <w:lvlText w:val="(%2)"/>
      <w:numFmt w:val="lowerLetter"/>
      <w:start w:val="1"/>
    </w:lvl>
  </w:abstractNum>
  <w:abstractNum w:abstractNumId="69">
    <w:nsid w:val="1A32234B"/>
    <w:multiLevelType w:val="hybridMultilevel"/>
    <w:lvl w:ilvl="0">
      <w:lvlJc w:val="left"/>
      <w:lvlText w:val="(%1)"/>
      <w:numFmt w:val="lowerLetter"/>
      <w:start w:val="2"/>
    </w:lvl>
  </w:abstractNum>
  <w:abstractNum w:abstractNumId="70">
    <w:nsid w:val="3B0FD379"/>
    <w:multiLevelType w:val="hybridMultilevel"/>
    <w:lvl w:ilvl="0">
      <w:lvlJc w:val="left"/>
      <w:lvlText w:val="-"/>
      <w:numFmt w:val="bullet"/>
      <w:start w:val="1"/>
    </w:lvl>
    <w:lvl w:ilvl="1">
      <w:lvlJc w:val="left"/>
      <w:lvlText w:val="(%2)"/>
      <w:numFmt w:val="lowerLetter"/>
      <w:start w:val="1"/>
    </w:lvl>
  </w:abstractNum>
  <w:abstractNum w:abstractNumId="71">
    <w:nsid w:val="68EB2F63"/>
    <w:multiLevelType w:val="hybridMultilevel"/>
    <w:lvl w:ilvl="0">
      <w:lvlJc w:val="left"/>
      <w:lvlText w:val="(%1)"/>
      <w:numFmt w:val="lowerRoman"/>
      <w:start w:val="1"/>
    </w:lvl>
  </w:abstractNum>
  <w:abstractNum w:abstractNumId="72">
    <w:nsid w:val="4962813B"/>
    <w:multiLevelType w:val="hybridMultilevel"/>
    <w:lvl w:ilvl="0">
      <w:lvlJc w:val="left"/>
      <w:lvlText w:val="-"/>
      <w:numFmt w:val="bullet"/>
      <w:start w:val="1"/>
    </w:lvl>
    <w:lvl w:ilvl="1">
      <w:lvlJc w:val="left"/>
      <w:lvlText w:val="(%2)"/>
      <w:numFmt w:val="lowerLetter"/>
      <w:start w:val="1"/>
    </w:lvl>
  </w:abstractNum>
  <w:abstractNum w:abstractNumId="73">
    <w:nsid w:val="60B6DF70"/>
    <w:multiLevelType w:val="hybridMultilevel"/>
    <w:lvl w:ilvl="0">
      <w:lvlJc w:val="left"/>
      <w:lvlText w:val="(%1)"/>
      <w:numFmt w:val="lowerRoman"/>
      <w:start w:val="2"/>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1)"/>
      <w:numFmt w:val="lowerLetter"/>
      <w:start w:val="1"/>
    </w:lvl>
  </w:abstractNum>
  <w:abstractNum w:abstractNumId="77">
    <w:nsid w:val="1A27709E"/>
    <w:multiLevelType w:val="hybridMultilevel"/>
    <w:lvl w:ilvl="0">
      <w:lvlJc w:val="left"/>
      <w:lvlText w:val="(%1)"/>
      <w:numFmt w:val="lowerLetter"/>
      <w:start w:val="2"/>
    </w:lvl>
  </w:abstractNum>
  <w:abstractNum w:abstractNumId="78">
    <w:nsid w:val="71EA1109"/>
    <w:multiLevelType w:val="hybridMultilevel"/>
    <w:lvl w:ilvl="0">
      <w:lvlJc w:val="left"/>
      <w:lvlText w:val="(%1)"/>
      <w:numFmt w:val="lowerLetter"/>
      <w:start w:val="3"/>
    </w:lvl>
  </w:abstractNum>
  <w:abstractNum w:abstractNumId="79">
    <w:nsid w:val="100F59DC"/>
    <w:multiLevelType w:val="hybridMultilevel"/>
    <w:lvl w:ilvl="0">
      <w:lvlJc w:val="left"/>
      <w:lvlText w:val="-"/>
      <w:numFmt w:val="bullet"/>
      <w:start w:val="1"/>
    </w:lvl>
    <w:lvl w:ilvl="1">
      <w:lvlJc w:val="left"/>
      <w:lvlText w:val="(%2)"/>
      <w:numFmt w:val="lowerLetter"/>
      <w:start w:val="4"/>
    </w:lvl>
  </w:abstractNum>
  <w:abstractNum w:abstractNumId="80">
    <w:nsid w:val="7FB7E0AA"/>
    <w:multiLevelType w:val="hybridMultilevel"/>
    <w:lvl w:ilvl="0">
      <w:lvlJc w:val="left"/>
      <w:lvlText w:val="(%1)"/>
      <w:numFmt w:val="lowerLetter"/>
      <w:start w:val="1"/>
    </w:lvl>
  </w:abstractNum>
  <w:abstractNum w:abstractNumId="81">
    <w:nsid w:val="6EB5BD4"/>
    <w:multiLevelType w:val="hybridMultilevel"/>
    <w:lvl w:ilvl="0">
      <w:lvlJc w:val="left"/>
      <w:lvlText w:val="(%1)"/>
      <w:numFmt w:val="lowerLetter"/>
      <w:start w:val="2"/>
    </w:lvl>
  </w:abstractNum>
  <w:abstractNum w:abstractNumId="82">
    <w:nsid w:val="6F6DD9AC"/>
    <w:multiLevelType w:val="hybridMultilevel"/>
    <w:lvl w:ilvl="0">
      <w:lvlJc w:val="left"/>
      <w:lvlText w:val="-"/>
      <w:numFmt w:val="bullet"/>
      <w:start w:val="1"/>
    </w:lvl>
    <w:lvl w:ilvl="1">
      <w:lvlJc w:val="left"/>
      <w:lvlText w:val="(%2)"/>
      <w:numFmt w:val="lowerLetter"/>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jpe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96" Type="http://schemas.openxmlformats.org/officeDocument/2006/relationships/hyperlink" Target="http://www.sec.gov/Archives/edgar/data/0001501989/000119312515347080/d78795dex31.htm" TargetMode="External"/><Relationship Id="rId97" Type="http://schemas.openxmlformats.org/officeDocument/2006/relationships/hyperlink" Target="http://www.sec.gov/Archives/edgar/data/0001501989/000119312515347080/d78795dex32.htm" TargetMode="External"/><Relationship Id="rId98" Type="http://schemas.openxmlformats.org/officeDocument/2006/relationships/hyperlink" Target="http://www.sec.gov/Archives/edgar/data/0001501989/000119312515329662/d948537dex41.htm" TargetMode="External"/><Relationship Id="rId99" Type="http://schemas.openxmlformats.org/officeDocument/2006/relationships/hyperlink" Target="http://www.sec.gov/Archives/edgar/data/0001501989/000119312515307013/d948537dex42.htm" TargetMode="External"/><Relationship Id="rId100" Type="http://schemas.openxmlformats.org/officeDocument/2006/relationships/hyperlink" Target="http://www.sec.gov/Archives/edgar/data/1501989/000156459019017968/ctmx-ex106_447.htm" TargetMode="External"/><Relationship Id="rId101" Type="http://schemas.openxmlformats.org/officeDocument/2006/relationships/hyperlink" Target="http://www.sec.gov/Archives/edgar/data/1501989/000156459019017968/ctmx-ex107_1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2019-12-28T08:05:09Z</dcterms:created>
  <dcterms:modified xsi:type="dcterms:W3CDTF">2019-12-28T08:05:09Z</dcterms:modified>
</cp:coreProperties>
</file>