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ctmx-20230331.htm"/>
      <w:bookmarkStart w:id="1" w:name="ksctmx20230331"/>
      <w:bookmarkEnd w:id="0"/>
      <w:bookmarkEnd w:id="1"/>
      <w:r>
        <w:rPr/>
        <w:t> </w:t>
      </w:r>
    </w:p>
    <w:p>
      <w:pPr>
        <w:pStyle w:val="TextBody"/>
        <w:pBdr>
          <w:top w:val="double" w:sz="6" w:space="1" w:color="000000"/>
        </w:pBdr>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12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 w:hAnsi="Times New Roman"/>
                <w:sz w:val="24"/>
              </w:rPr>
            </w:pPr>
            <w:r>
              <w:rPr>
                <w:rFonts w:ascii="Times New Roman;serif" w:hAnsi="Times New Roman;serif"/>
                <w:b/>
                <w:sz w:val="24"/>
              </w:rPr>
              <w:t>QUARTERLY REPORT PURSUANT TO SECTION 13 OR 15(d) OF THE SECURITIES EXCHANGE ACT OF 1934</w:t>
            </w:r>
            <w:r>
              <w:rPr>
                <w:rFonts w:ascii="Times New Roman" w:hAnsi="Times New Roman"/>
                <w:sz w:val="24"/>
              </w:rPr>
              <w:t xml:space="preserve"> </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12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120" w:after="0"/>
              <w:ind w:left="0" w:right="0" w:hanging="0"/>
              <w:jc w:val="left"/>
              <w:rPr/>
            </w:pPr>
            <w:r>
              <w:rPr/>
              <w:t>☐</w:t>
            </w:r>
          </w:p>
        </w:tc>
        <w:tc>
          <w:tcPr>
            <w:tcW w:w="9874" w:type="dxa"/>
            <w:tcBorders/>
            <w:shd w:fill="auto" w:val="clear"/>
            <w:vAlign w:val="center"/>
          </w:tcPr>
          <w:p>
            <w:pPr>
              <w:pStyle w:val="TableContents"/>
              <w:spacing w:before="120" w:after="0"/>
              <w:ind w:left="0" w:right="0" w:hanging="0"/>
              <w:jc w:val="left"/>
              <w:rPr>
                <w:rFonts w:ascii="Times New Roman" w:hAnsi="Times New Roman"/>
                <w:sz w:val="24"/>
              </w:rPr>
            </w:pPr>
            <w:r>
              <w:rPr>
                <w:rFonts w:ascii="Times New Roman;serif" w:hAnsi="Times New Roman;serif"/>
                <w:b/>
                <w:sz w:val="24"/>
              </w:rPr>
              <w:t>TRANSITION REPORT PURSUANT TO SECTION 13 OR 15(d) OF THE SECURITIES EXCHANGE ACT OF 1934</w:t>
            </w:r>
            <w:r>
              <w:rPr>
                <w:rFonts w:ascii="Times New Roman" w:hAnsi="Times New Roman"/>
                <w:sz w:val="24"/>
              </w:rPr>
              <w:t xml:space="preserve"> </w:t>
            </w:r>
          </w:p>
        </w:tc>
      </w:tr>
    </w:tbl>
    <w:p>
      <w:pPr>
        <w:pStyle w:val="TextBody"/>
        <w:spacing w:before="120" w:after="0"/>
        <w:jc w:val="center"/>
        <w:rPr>
          <w:rFonts w:ascii="Times New Roman" w:hAnsi="Times New Roman"/>
          <w:sz w:val="20"/>
        </w:rPr>
      </w:pPr>
      <w:r>
        <w:rPr>
          <w:rFonts w:ascii="Times New Roman;serif" w:hAnsi="Times New Roman;serif"/>
          <w:b/>
          <w:sz w:val="20"/>
        </w:rPr>
        <w:t>Commission File Number 001-37587</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120" w:after="0"/>
        <w:jc w:val="center"/>
        <w:rPr>
          <w:rFonts w:ascii="Times New Roman" w:hAnsi="Times New Roman"/>
          <w:sz w:val="20"/>
        </w:rPr>
      </w:pPr>
      <w:r>
        <w:rPr>
          <w:rFonts w:ascii="Times New Roman;serif" w:hAnsi="Times New Roman;serif"/>
          <w:b/>
          <w:sz w:val="48"/>
        </w:rPr>
        <w:t>CytomX Therapeutics,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8" w:space="1" w:color="000000"/>
        </w:pBdr>
        <w:spacing w:before="0" w:after="0"/>
        <w:jc w:val="center"/>
        <w:rPr/>
      </w:pPr>
      <w:r>
        <w:rPr/>
        <w:t> </w:t>
      </w:r>
    </w:p>
    <w:tbl>
      <w:tblPr>
        <w:tblW w:w="4350" w:type="dxa"/>
        <w:jc w:val="left"/>
        <w:tblInd w:w="0" w:type="dxa"/>
        <w:tblCellMar>
          <w:top w:w="28" w:type="dxa"/>
          <w:left w:w="28" w:type="dxa"/>
          <w:bottom w:w="28" w:type="dxa"/>
          <w:right w:w="28" w:type="dxa"/>
        </w:tblCellMar>
      </w:tblPr>
      <w:tblGrid>
        <w:gridCol w:w="2601"/>
        <w:gridCol w:w="119"/>
        <w:gridCol w:w="1630"/>
      </w:tblGrid>
      <w:tr>
        <w:trPr/>
        <w:tc>
          <w:tcPr>
            <w:tcW w:w="260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r>
      <w:tr>
        <w:trPr/>
        <w:tc>
          <w:tcPr>
            <w:tcW w:w="260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19" w:type="dxa"/>
            <w:tcBorders/>
            <w:shd w:fill="auto" w:val="clear"/>
            <w:vAlign w:val="center"/>
          </w:tcPr>
          <w:p>
            <w:pPr>
              <w:pStyle w:val="TableContents"/>
              <w:spacing w:before="0" w:after="283"/>
              <w:ind w:left="0" w:right="0" w:hanging="0"/>
              <w:rPr>
                <w:sz w:val="4"/>
                <w:szCs w:val="4"/>
              </w:rPr>
            </w:pPr>
            <w:r>
              <w:rPr>
                <w:sz w:val="4"/>
                <w:szCs w:val="4"/>
              </w:rPr>
            </w:r>
          </w:p>
        </w:tc>
        <w:tc>
          <w:tcPr>
            <w:tcW w:w="1630"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27-3521219</w:t>
            </w:r>
          </w:p>
        </w:tc>
      </w:tr>
      <w:tr>
        <w:trPr/>
        <w:tc>
          <w:tcPr>
            <w:tcW w:w="260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19" w:type="dxa"/>
            <w:tcBorders/>
            <w:shd w:fill="auto" w:val="clear"/>
            <w:vAlign w:val="center"/>
          </w:tcPr>
          <w:p>
            <w:pPr>
              <w:pStyle w:val="TableContents"/>
              <w:spacing w:before="0" w:after="283"/>
              <w:ind w:left="0" w:right="0" w:hanging="0"/>
              <w:rPr>
                <w:sz w:val="4"/>
                <w:szCs w:val="4"/>
              </w:rPr>
            </w:pPr>
            <w:r>
              <w:rPr>
                <w:sz w:val="4"/>
                <w:szCs w:val="4"/>
              </w:rPr>
            </w:r>
          </w:p>
        </w:tc>
        <w:tc>
          <w:tcPr>
            <w:tcW w:w="1630"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4350" w:type="dxa"/>
            <w:gridSpan w:val="3"/>
            <w:tcBorders/>
            <w:shd w:fill="auto" w:val="cle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151 Oyster Point Blvd., Suite 400</w:t>
            </w:r>
          </w:p>
          <w:p>
            <w:pPr>
              <w:pStyle w:val="TableContents"/>
              <w:spacing w:before="0" w:after="0"/>
              <w:ind w:left="0" w:right="0" w:hanging="0"/>
              <w:jc w:val="center"/>
              <w:rPr>
                <w:rFonts w:ascii="Times New Roman" w:hAnsi="Times New Roman"/>
                <w:sz w:val="20"/>
              </w:rPr>
            </w:pPr>
            <w:r>
              <w:rPr>
                <w:rFonts w:ascii="Times New Roman;serif" w:hAnsi="Times New Roman;serif"/>
                <w:b/>
                <w:sz w:val="20"/>
              </w:rPr>
              <w:t>South San Francisco, CA</w:t>
            </w:r>
            <w:r>
              <w:rPr>
                <w:rFonts w:ascii="Times New Roman" w:hAnsi="Times New Roman"/>
                <w:sz w:val="20"/>
              </w:rPr>
              <w:t xml:space="preserve"> </w:t>
            </w:r>
            <w:r>
              <w:rPr>
                <w:rFonts w:ascii="Times New Roman;serif" w:hAnsi="Times New Roman;serif"/>
                <w:b/>
                <w:sz w:val="20"/>
              </w:rPr>
              <w:t>94080</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 including zip code)</w:t>
            </w:r>
          </w:p>
          <w:p>
            <w:pPr>
              <w:pStyle w:val="TableContents"/>
              <w:spacing w:before="0" w:after="0"/>
              <w:ind w:left="0" w:right="0" w:hanging="0"/>
              <w:jc w:val="center"/>
              <w:rPr>
                <w:rFonts w:ascii="Times New Roman" w:hAnsi="Times New Roman"/>
                <w:sz w:val="20"/>
              </w:rPr>
            </w:pPr>
            <w:r>
              <w:rPr>
                <w:rFonts w:ascii="Times New Roman;serif" w:hAnsi="Times New Roman;serif"/>
                <w:b/>
                <w:sz w:val="20"/>
              </w:rPr>
              <w:t>(650) 515-3185</w:t>
            </w:r>
            <w:r>
              <w:rPr>
                <w:rFonts w:ascii="Times New Roman" w:hAnsi="Times New Roman"/>
                <w:sz w:val="20"/>
              </w:rPr>
              <w:t xml:space="preserve"> </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(Registrant’s telephone number, including area code)</w:t>
            </w:r>
          </w:p>
        </w:tc>
      </w:tr>
    </w:tbl>
    <w:p>
      <w:pPr>
        <w:pStyle w:val="TextBody"/>
        <w:pBdr>
          <w:bottom w:val="single" w:sz="8" w:space="1" w:color="000000"/>
        </w:pBdr>
        <w:spacing w:before="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tbl>
      <w:tblPr>
        <w:tblW w:w="8755" w:type="dxa"/>
        <w:jc w:val="left"/>
        <w:tblInd w:w="0" w:type="dxa"/>
        <w:tblCellMar>
          <w:top w:w="28" w:type="dxa"/>
          <w:left w:w="28" w:type="dxa"/>
          <w:bottom w:w="28" w:type="dxa"/>
          <w:right w:w="28" w:type="dxa"/>
        </w:tblCellMar>
      </w:tblPr>
      <w:tblGrid>
        <w:gridCol w:w="3421"/>
        <w:gridCol w:w="146"/>
        <w:gridCol w:w="1561"/>
        <w:gridCol w:w="146"/>
        <w:gridCol w:w="3481"/>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81" w:type="dxa"/>
            <w:tcBorders/>
            <w:shd w:fill="auto" w:val="clear"/>
            <w:vAlign w:val="center"/>
          </w:tcPr>
          <w:p>
            <w:pPr>
              <w:pStyle w:val="TableContents"/>
              <w:spacing w:before="0" w:after="283"/>
              <w:rPr>
                <w:sz w:val="4"/>
                <w:szCs w:val="4"/>
              </w:rPr>
            </w:pPr>
            <w:r>
              <w:rPr>
                <w:sz w:val="4"/>
                <w:szCs w:val="4"/>
              </w:rPr>
            </w:r>
          </w:p>
        </w:tc>
      </w:tr>
      <w:tr>
        <w:trPr/>
        <w:tc>
          <w:tcPr>
            <w:tcW w:w="3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Trading 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Name of each exchange on which registered</w:t>
            </w:r>
          </w:p>
        </w:tc>
      </w:tr>
      <w:tr>
        <w:trPr/>
        <w:tc>
          <w:tcPr>
            <w:tcW w:w="342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Common Stock, $0.00001 par value per share</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center"/>
              <w:rPr/>
            </w:pPr>
            <w:r>
              <w:rPr/>
              <w:t> </w:t>
            </w:r>
          </w:p>
        </w:tc>
        <w:tc>
          <w:tcPr>
            <w:tcW w:w="156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CTMX</w:t>
            </w:r>
          </w:p>
        </w:tc>
        <w:tc>
          <w:tcPr>
            <w:tcW w:w="146" w:type="dxa"/>
            <w:tcBorders/>
            <w:shd w:fill="auto" w:val="clear"/>
            <w:vAlign w:val="center"/>
          </w:tcPr>
          <w:p>
            <w:pPr>
              <w:pStyle w:val="TableContents"/>
              <w:spacing w:before="0" w:after="0"/>
              <w:ind w:left="0" w:right="0" w:hanging="0"/>
              <w:jc w:val="center"/>
              <w:rPr/>
            </w:pPr>
            <w:r>
              <w:rPr/>
              <w:t> </w:t>
            </w:r>
          </w:p>
        </w:tc>
        <w:tc>
          <w:tcPr>
            <w:tcW w:w="348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Nasdaq</w:t>
            </w:r>
            <w:r>
              <w:rPr>
                <w:rFonts w:ascii="Times New Roman" w:hAnsi="Times New Roman"/>
                <w:sz w:val="20"/>
              </w:rPr>
              <w:t> </w:t>
            </w:r>
            <w:r>
              <w:rPr>
                <w:rFonts w:ascii="Times New Roman;serif" w:hAnsi="Times New Roman;serif"/>
                <w:b w:val="false"/>
                <w:sz w:val="18"/>
              </w:rPr>
              <w:t>Global Select Market</w:t>
            </w:r>
          </w:p>
        </w:tc>
      </w:tr>
    </w:tbl>
    <w:p>
      <w:pPr>
        <w:pStyle w:val="TextBody"/>
        <w:spacing w:before="120" w:after="0"/>
        <w:jc w:val="left"/>
        <w:rPr>
          <w:rFonts w:ascii="Times New Roman" w:hAnsi="Times New Roman"/>
          <w:sz w:val="20"/>
        </w:rPr>
      </w:pPr>
      <w:r>
        <w:rPr>
          <w:rFonts w:ascii="Times New Roman;serif" w:hAnsi="Times New Roman;serif"/>
          <w:b w:val="false"/>
          <w:sz w:val="20"/>
        </w:rPr>
        <w:t>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left"/>
        <w:rPr/>
      </w:pPr>
      <w:r>
        <w:rPr/>
        <w:t> </w:t>
      </w:r>
    </w:p>
    <w:tbl>
      <w:tblPr>
        <w:tblW w:w="5407" w:type="dxa"/>
        <w:jc w:val="left"/>
        <w:tblInd w:w="0" w:type="dxa"/>
        <w:tblCellMar>
          <w:top w:w="28" w:type="dxa"/>
          <w:left w:w="28" w:type="dxa"/>
          <w:bottom w:w="28" w:type="dxa"/>
          <w:right w:w="28" w:type="dxa"/>
        </w:tblCellMar>
      </w:tblPr>
      <w:tblGrid>
        <w:gridCol w:w="1921"/>
        <w:gridCol w:w="146"/>
        <w:gridCol w:w="376"/>
        <w:gridCol w:w="146"/>
        <w:gridCol w:w="2311"/>
        <w:gridCol w:w="146"/>
        <w:gridCol w:w="361"/>
      </w:tblGrid>
      <w:tr>
        <w:trPr/>
        <w:tc>
          <w:tcPr>
            <w:tcW w:w="1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921"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t>☒</w:t>
            </w:r>
          </w:p>
        </w:tc>
      </w:tr>
      <w:tr>
        <w:trPr/>
        <w:tc>
          <w:tcPr>
            <w:tcW w:w="19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12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120" w:after="0"/>
        <w:jc w:val="left"/>
        <w:rPr>
          <w:rFonts w:ascii="Times New Roman" w:hAnsi="Times New Roman"/>
          <w:sz w:val="20"/>
        </w:rPr>
      </w:pPr>
      <w:r>
        <w:rPr>
          <w:rFonts w:ascii="Times New Roman;serif" w:hAnsi="Times New Roman;serif"/>
          <w:b w:val="false"/>
          <w:sz w:val="20"/>
        </w:rPr>
        <w:t>As of April 30, 2023, the registrant had 66,338,938</w:t>
      </w:r>
      <w:r>
        <w:rPr>
          <w:rFonts w:ascii="Times New Roman" w:hAnsi="Times New Roman"/>
          <w:sz w:val="20"/>
        </w:rPr>
        <w:t xml:space="preserve"> </w:t>
      </w:r>
      <w:r>
        <w:rPr>
          <w:rFonts w:ascii="Times New Roman;serif" w:hAnsi="Times New Roman;serif"/>
          <w:b w:val="false"/>
          <w:sz w:val="20"/>
        </w:rPr>
        <w:t>shares of common stock, $0.00001 par value per share, outstanding.</w:t>
      </w:r>
      <w:r>
        <w:rPr>
          <w:rFonts w:ascii="Times New Roman" w:hAnsi="Times New Roman"/>
          <w:sz w:val="20"/>
        </w:rPr>
        <w:t xml:space="preserve"> </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FORM 10-Q FOR THE QUARTER ENDED MARCH 31, 2023</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8830" w:type="dxa"/>
        <w:jc w:val="left"/>
        <w:tblInd w:w="0" w:type="dxa"/>
        <w:tblCellMar>
          <w:top w:w="28" w:type="dxa"/>
          <w:left w:w="28" w:type="dxa"/>
          <w:bottom w:w="28" w:type="dxa"/>
          <w:right w:w="28" w:type="dxa"/>
        </w:tblCellMar>
      </w:tblPr>
      <w:tblGrid>
        <w:gridCol w:w="811"/>
        <w:gridCol w:w="146"/>
        <w:gridCol w:w="7366"/>
        <w:gridCol w:w="146"/>
        <w:gridCol w:w="361"/>
      </w:tblGrid>
      <w:tr>
        <w:trPr/>
        <w:tc>
          <w:tcPr>
            <w:tcW w:w="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PART I – FINANCIAL INFORMATION</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ondensed_financial_statements">
              <w:r>
                <w:rPr>
                  <w:rStyle w:val="InternetLink"/>
                  <w:rFonts w:ascii="Times New Roman;serif" w:hAnsi="Times New Roman;serif"/>
                  <w:b w:val="false"/>
                  <w:sz w:val="20"/>
                  <w:u w:val="single"/>
                </w:rPr>
                <w:t>Condensed Financial Statements (Unaudited)</w:t>
              </w:r>
            </w:hyperlink>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ondensed_balance_sheets">
              <w:r>
                <w:rPr>
                  <w:rStyle w:val="InternetLink"/>
                  <w:rFonts w:ascii="Times New Roman;serif" w:hAnsi="Times New Roman;serif"/>
                  <w:b w:val="false"/>
                  <w:sz w:val="20"/>
                  <w:u w:val="single"/>
                </w:rPr>
                <w:t>Condensed Balance Sheets</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ondensed_statements_operations_comprehe">
              <w:r>
                <w:rPr>
                  <w:rStyle w:val="InternetLink"/>
                  <w:rFonts w:ascii="Times New Roman;serif" w:hAnsi="Times New Roman;serif"/>
                  <w:b w:val="false"/>
                  <w:sz w:val="20"/>
                  <w:u w:val="single"/>
                </w:rPr>
                <w:t>Condensed Statements of Operations and Comprehensive Loss</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statements_stockholders_equity">
              <w:r>
                <w:rPr>
                  <w:rStyle w:val="InternetLink"/>
                  <w:rFonts w:ascii="Times New Roman;serif" w:hAnsi="Times New Roman;serif"/>
                  <w:b w:val="false"/>
                  <w:sz w:val="20"/>
                  <w:u w:val="single"/>
                </w:rPr>
                <w:t>Condensed Statements of Stockholders’ Equity (Deficit)</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ondensed_statements_cash_flows">
              <w:r>
                <w:rPr>
                  <w:rStyle w:val="InternetLink"/>
                  <w:rFonts w:ascii="Times New Roman;serif" w:hAnsi="Times New Roman;serif"/>
                  <w:b w:val="false"/>
                  <w:sz w:val="20"/>
                  <w:u w:val="single"/>
                </w:rPr>
                <w:t>Condensed Statements of Cash Flows</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notes_to_condensed_financial_statements">
              <w:r>
                <w:rPr>
                  <w:rStyle w:val="InternetLink"/>
                  <w:rFonts w:ascii="Times New Roman;serif" w:hAnsi="Times New Roman;serif"/>
                  <w:b w:val="false"/>
                  <w:sz w:val="20"/>
                  <w:u w:val="single"/>
                </w:rPr>
                <w:t>Notes to Condensed Financial Statements (Unaudited)</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managements_discussion_and_analysis">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quantitative_and_qualitative_disclosure">
              <w:r>
                <w:rPr>
                  <w:rStyle w:val="InternetLink"/>
                  <w:rFonts w:ascii="Times New Roman;serif" w:hAnsi="Times New Roman;serif"/>
                  <w:b w:val="false"/>
                  <w:sz w:val="20"/>
                  <w:u w:val="single"/>
                </w:rPr>
                <w:t>Quantitative and Qualitative Disclosures About Market Risk</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ontrols_and_procedures">
              <w:r>
                <w:rPr>
                  <w:rStyle w:val="InternetLink"/>
                  <w:rFonts w:ascii="Times New Roman;serif" w:hAnsi="Times New Roman;serif"/>
                  <w:b w:val="false"/>
                  <w:sz w:val="20"/>
                  <w:u w:val="single"/>
                </w:rPr>
                <w:t>Controls and Procedures</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pPr>
            <w:r>
              <w:rPr/>
              <w:t> </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PART II – OTHER INFORMATION</w:t>
            </w:r>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pPr>
            <w:r>
              <w:rPr/>
              <w:t> </w:t>
            </w:r>
          </w:p>
        </w:tc>
      </w:tr>
      <w:tr>
        <w:trPr/>
        <w:tc>
          <w:tcPr>
            <w:tcW w:w="8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righ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323" w:type="dxa"/>
            <w:gridSpan w:val="3"/>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Forward-Looking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extent to which COVID-19 or any future pandemic and related governmental regulations and restrictions may impact our business, including our research, clinical trials, which include ongoing site initiation and patient enrollment, manufacturing and financial condition;</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expectations regarding the potential benefits, activity, effectiveness and safety of our product candidates and therapeutics developed utilizing our Probody® platform technology;</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timing of the completion of our ongoing clinical trials and the timing and availability of clinical data from such clinical trials;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ability to identify and develop additional product candidates;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dependence on collaborators for developing, obtaining regulatory approval for and commercializing product candidates in the collaboration;</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or a collaborator’s ability to obtain and maintain regulatory approval of any of our product candidates;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receipt and timing of any milestone payments or royalties under any research collaboration and license agreements or arrangements;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expectations and beliefs regarding the evolution of the market for cancer therapies and development of the immuno-oncology industry;</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rate and degree of market acceptance of any approved product candidates;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commercialization of any approved product candidates;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ability to establish and maintain collaborations and retain commercial rights for our product candidates in such collaborations;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implementation of our business model and strategic plans for our business, technologies and product candidates;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estimates of our expenses, ongoing losses, future revenue and capital requirements, including our estimate of cash flow savings as a result of our restructuring plan announced in July 2022;</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ability to obtain additional funds for our operations;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or any collaborator’s ability to obtain and maintain intellectual property protection for our technologies and product candidates and our ability to operate our business without infringing the intellectual property rights of others;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reliance on third parties to conduct our preclinical studies or any future clinical trials;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reliance on third-party supply and manufacturing partners to supply the materials and components for, and manufacture, our research and development, preclinical and clinical trial product supplies;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ability to attract and retain qualified key management and technical personnel;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ability to secure and maintain licenses of intellectual property to protect our technologies and product candidates;</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financial performance; and</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developments relating to our competitors, our industry, international conflict or uncertainties.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spacing w:before="240" w:after="0"/>
        <w:jc w:val="left"/>
        <w:rPr>
          <w:rFonts w:ascii="Times New Roman" w:hAnsi="Times New Roman"/>
          <w:sz w:val="20"/>
        </w:rPr>
      </w:pPr>
      <w:r>
        <w:rPr>
          <w:rFonts w:ascii="Times New Roman;serif" w:hAnsi="Times New Roman;serif"/>
          <w:b w:val="false"/>
          <w:sz w:val="20"/>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Except where the context otherwise requires, in this Quarterly Report on Form 10-Q, “we,” “us,” “our” and the “Company” refer to CytomX Therapeutics, Inc.</w:t>
      </w:r>
    </w:p>
    <w:p>
      <w:pPr>
        <w:pStyle w:val="TextBody"/>
        <w:spacing w:before="360" w:after="0"/>
        <w:jc w:val="left"/>
        <w:rPr>
          <w:rFonts w:ascii="Times New Roman;serif" w:hAnsi="Times New Roman;serif"/>
          <w:b/>
          <w:sz w:val="20"/>
        </w:rPr>
      </w:pPr>
      <w:r>
        <w:rPr>
          <w:rFonts w:ascii="Times New Roman;serif" w:hAnsi="Times New Roman;serif"/>
          <w:b/>
          <w:sz w:val="20"/>
        </w:rPr>
        <w:t>Trademarks</w:t>
      </w:r>
    </w:p>
    <w:p>
      <w:pPr>
        <w:pStyle w:val="TextBody"/>
        <w:spacing w:before="120" w:after="0"/>
        <w:jc w:val="left"/>
        <w:rPr>
          <w:rFonts w:ascii="Times New Roman" w:hAnsi="Times New Roman"/>
          <w:sz w:val="20"/>
        </w:rPr>
      </w:pPr>
      <w:r>
        <w:rPr>
          <w:rFonts w:ascii="Times New Roman;serif" w:hAnsi="Times New Roman;serif"/>
          <w:b w:val="false"/>
          <w:sz w:val="20"/>
        </w:rPr>
        <w:t>This Quarterly Report on Form 10-Q includes trademarks, service marks and trade names owned by us or other companies. All trademarks, service marks and trade names included in this Quarterly Report on Form 10-Q are the property of their respective owners.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PART I – FINANCIAL INFORMATION</w:t>
      </w:r>
    </w:p>
    <w:p>
      <w:pPr>
        <w:pStyle w:val="TextBody"/>
        <w:spacing w:before="240" w:after="0"/>
        <w:jc w:val="left"/>
        <w:rPr>
          <w:rFonts w:ascii="Times New Roman;serif" w:hAnsi="Times New Roman;serif"/>
          <w:b/>
          <w:sz w:val="20"/>
        </w:rPr>
      </w:pPr>
      <w:bookmarkStart w:id="2" w:name="condensed_financial_statements"/>
      <w:bookmarkEnd w:id="2"/>
      <w:r>
        <w:rPr>
          <w:rFonts w:ascii="Times New Roman;serif" w:hAnsi="Times New Roman;serif"/>
          <w:b/>
          <w:sz w:val="20"/>
        </w:rPr>
        <w:t>Item 1. Condensed Financial Statements (Unaudited)</w:t>
      </w:r>
    </w:p>
    <w:p>
      <w:pPr>
        <w:pStyle w:val="TextBody"/>
        <w:spacing w:before="24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bookmarkStart w:id="3" w:name="condensed_balance_sheets"/>
      <w:bookmarkEnd w:id="3"/>
      <w:r>
        <w:rPr>
          <w:rFonts w:ascii="Times New Roman;serif" w:hAnsi="Times New Roman;serif"/>
          <w:b/>
          <w:sz w:val="20"/>
        </w:rPr>
        <w:t>CONDENSED BALANCE SHEETS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and per share data)</w:t>
      </w:r>
    </w:p>
    <w:p>
      <w:pPr>
        <w:pStyle w:val="TextBody"/>
        <w:spacing w:before="0" w:after="0"/>
        <w:jc w:val="left"/>
        <w:rPr/>
      </w:pPr>
      <w:r>
        <w:rPr/>
        <w:t> </w:t>
      </w:r>
    </w:p>
    <w:tbl>
      <w:tblPr>
        <w:tblW w:w="7092" w:type="dxa"/>
        <w:jc w:val="left"/>
        <w:tblInd w:w="0" w:type="dxa"/>
        <w:tblCellMar>
          <w:top w:w="28" w:type="dxa"/>
          <w:left w:w="28" w:type="dxa"/>
          <w:bottom w:w="28" w:type="dxa"/>
          <w:right w:w="28" w:type="dxa"/>
        </w:tblCellMar>
      </w:tblPr>
      <w:tblGrid>
        <w:gridCol w:w="4096"/>
        <w:gridCol w:w="146"/>
        <w:gridCol w:w="211"/>
        <w:gridCol w:w="841"/>
        <w:gridCol w:w="166"/>
        <w:gridCol w:w="146"/>
        <w:gridCol w:w="219"/>
        <w:gridCol w:w="876"/>
        <w:gridCol w:w="391"/>
      </w:tblGrid>
      <w:tr>
        <w:trPr/>
        <w:tc>
          <w:tcPr>
            <w:tcW w:w="40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4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w:t>
            </w:r>
          </w:p>
        </w:tc>
        <w:tc>
          <w:tcPr>
            <w:tcW w:w="391" w:type="dxa"/>
            <w:tcBorders/>
            <w:shd w:fill="auto" w:val="clear"/>
            <w:vAlign w:val="center"/>
          </w:tcPr>
          <w:p>
            <w:pPr>
              <w:pStyle w:val="TableContents"/>
              <w:spacing w:before="0" w:after="0"/>
              <w:ind w:left="0" w:right="0" w:hanging="0"/>
              <w:jc w:val="center"/>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56,357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193,650</w:t>
            </w:r>
          </w:p>
        </w:tc>
        <w:tc>
          <w:tcPr>
            <w:tcW w:w="391" w:type="dxa"/>
            <w:tcBorders/>
            <w:shd w:fill="auto" w:val="clear"/>
            <w:vAlign w:val="center"/>
          </w:tcPr>
          <w:p>
            <w:pPr>
              <w:pStyle w:val="TableContents"/>
              <w:spacing w:before="0" w:after="0"/>
              <w:ind w:left="0" w:right="0" w:firstLine="200"/>
              <w:jc w:val="lef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148,145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35,986</w:t>
            </w:r>
          </w:p>
        </w:tc>
        <w:tc>
          <w:tcPr>
            <w:tcW w:w="391" w:type="dxa"/>
            <w:tcBorders/>
            <w:shd w:fill="auto" w:val="clear"/>
            <w:vAlign w:val="center"/>
          </w:tcPr>
          <w:p>
            <w:pPr>
              <w:pStyle w:val="TableContents"/>
              <w:spacing w:before="0" w:after="0"/>
              <w:ind w:left="0" w:right="0" w:firstLine="200"/>
              <w:jc w:val="lef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212,277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237,102</w:t>
            </w:r>
          </w:p>
        </w:tc>
        <w:tc>
          <w:tcPr>
            <w:tcW w:w="3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5,072</w:t>
            </w:r>
          </w:p>
        </w:tc>
        <w:tc>
          <w:tcPr>
            <w:tcW w:w="3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875</w:t>
            </w:r>
          </w:p>
        </w:tc>
        <w:tc>
          <w:tcPr>
            <w:tcW w:w="3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949</w:t>
            </w:r>
          </w:p>
        </w:tc>
        <w:tc>
          <w:tcPr>
            <w:tcW w:w="3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3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15,949</w:t>
            </w:r>
          </w:p>
        </w:tc>
        <w:tc>
          <w:tcPr>
            <w:tcW w:w="3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234,630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260,891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 (Deficit)</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2,809</w:t>
            </w:r>
          </w:p>
        </w:tc>
        <w:tc>
          <w:tcPr>
            <w:tcW w:w="391" w:type="dxa"/>
            <w:tcBorders/>
            <w:shd w:fill="auto" w:val="clear"/>
            <w:vAlign w:val="center"/>
          </w:tcPr>
          <w:p>
            <w:pPr>
              <w:pStyle w:val="TableContents"/>
              <w:spacing w:before="0" w:after="0"/>
              <w:ind w:left="0" w:right="0" w:firstLine="200"/>
              <w:jc w:val="lef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28,532</w:t>
            </w:r>
          </w:p>
        </w:tc>
        <w:tc>
          <w:tcPr>
            <w:tcW w:w="391" w:type="dxa"/>
            <w:tcBorders/>
            <w:shd w:fill="auto" w:val="clear"/>
            <w:vAlign w:val="center"/>
          </w:tcPr>
          <w:p>
            <w:pPr>
              <w:pStyle w:val="TableContents"/>
              <w:spacing w:before="0" w:after="0"/>
              <w:ind w:left="0" w:right="0" w:firstLine="200"/>
              <w:jc w:val="lef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121,267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151,262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152,608</w:t>
            </w:r>
          </w:p>
        </w:tc>
        <w:tc>
          <w:tcPr>
            <w:tcW w:w="3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157,133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180,059</w:t>
            </w:r>
          </w:p>
        </w:tc>
        <w:tc>
          <w:tcPr>
            <w:tcW w:w="3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 long term</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12,872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13,975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321,267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346,642</w:t>
            </w:r>
          </w:p>
        </w:tc>
        <w:tc>
          <w:tcPr>
            <w:tcW w:w="39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8)</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 (deficit):</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Convertible preferred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Common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shd w:fill="auto" w:val="clear"/>
            <w:vAlign w:val="center"/>
          </w:tcPr>
          <w:p>
            <w:pPr>
              <w:pStyle w:val="TableContents"/>
              <w:spacing w:before="0" w:after="0"/>
              <w:ind w:left="0" w:right="0" w:firstLine="200"/>
              <w:jc w:val="lef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639,526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637,117</w:t>
            </w:r>
          </w:p>
        </w:tc>
        <w:tc>
          <w:tcPr>
            <w:tcW w:w="391" w:type="dxa"/>
            <w:tcBorders/>
            <w:shd w:fill="auto" w:val="clear"/>
            <w:vAlign w:val="center"/>
          </w:tcPr>
          <w:p>
            <w:pPr>
              <w:pStyle w:val="TableContents"/>
              <w:spacing w:before="0" w:after="0"/>
              <w:ind w:left="0" w:right="0" w:firstLine="200"/>
              <w:jc w:val="lef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91" w:type="dxa"/>
            <w:tcBorders/>
            <w:shd w:fill="auto" w:val="clear"/>
            <w:vAlign w:val="center"/>
          </w:tcPr>
          <w:p>
            <w:pPr>
              <w:pStyle w:val="TableContents"/>
              <w:spacing w:before="0" w:after="0"/>
              <w:ind w:left="0" w:right="0" w:firstLine="200"/>
              <w:jc w:val="left"/>
              <w:rPr/>
            </w:pPr>
            <w:r>
              <w:rPr/>
              <w:t> </w:t>
            </w:r>
          </w:p>
        </w:tc>
      </w:tr>
      <w:tr>
        <w:trPr/>
        <w:tc>
          <w:tcPr>
            <w:tcW w:w="40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(726,190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(722,879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(86,637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(85,751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234,630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260,891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__________________</w:t>
      </w:r>
    </w:p>
    <w:p>
      <w:pPr>
        <w:pStyle w:val="TextBody"/>
        <w:spacing w:before="40" w:after="0"/>
        <w:jc w:val="left"/>
        <w:rPr>
          <w:rFonts w:ascii="Times New Roman" w:hAnsi="Times New Roman"/>
          <w:b w:val="false"/>
          <w:sz w:val="20"/>
        </w:rPr>
      </w:pPr>
      <w:r>
        <w:rPr>
          <w:rFonts w:ascii="Times New Roman" w:hAnsi="Times New Roman"/>
          <w:b w:val="false"/>
          <w:sz w:val="20"/>
        </w:rPr>
        <w:t>(1)</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 xml:space="preserve">The condensed balance sheet as of December 31, 2022 was derived from the audited financial statements included in the Company's Annual Report on Form 10-K for the year ended December 31, 2022. </w:t>
      </w:r>
    </w:p>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See accompanying notes to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bookmarkStart w:id="4" w:name="condensed_statements_operations_comprehe"/>
      <w:bookmarkEnd w:id="4"/>
      <w:r>
        <w:rPr>
          <w:rFonts w:ascii="Times New Roman;serif" w:hAnsi="Times New Roman;serif"/>
          <w:b/>
          <w:sz w:val="20"/>
        </w:rPr>
        <w:t>CONDENSED STATEMENTS OF OPERATIONS AND COMPREHENSIVE LOSS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and per share data)</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tbl>
      <w:tblPr>
        <w:tblW w:w="8614" w:type="dxa"/>
        <w:jc w:val="left"/>
        <w:tblInd w:w="0" w:type="dxa"/>
        <w:tblCellMar>
          <w:top w:w="28" w:type="dxa"/>
          <w:left w:w="28" w:type="dxa"/>
          <w:bottom w:w="28" w:type="dxa"/>
          <w:right w:w="28" w:type="dxa"/>
        </w:tblCellMar>
      </w:tblPr>
      <w:tblGrid>
        <w:gridCol w:w="5071"/>
        <w:gridCol w:w="146"/>
        <w:gridCol w:w="211"/>
        <w:gridCol w:w="1036"/>
        <w:gridCol w:w="166"/>
        <w:gridCol w:w="146"/>
        <w:gridCol w:w="211"/>
        <w:gridCol w:w="1036"/>
        <w:gridCol w:w="591"/>
      </w:tblGrid>
      <w:tr>
        <w:trPr/>
        <w:tc>
          <w:tcPr>
            <w:tcW w:w="50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0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0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591" w:type="dxa"/>
            <w:tcBorders/>
            <w:shd w:fill="auto" w:val="clear"/>
            <w:vAlign w:val="center"/>
          </w:tcPr>
          <w:p>
            <w:pPr>
              <w:pStyle w:val="TableContents"/>
              <w:spacing w:before="0" w:after="0"/>
              <w:ind w:left="0" w:right="0" w:hanging="0"/>
              <w:jc w:val="center"/>
              <w:rPr/>
            </w:pPr>
            <w:r>
              <w:rPr/>
              <w:t> </w:t>
            </w:r>
          </w:p>
        </w:tc>
      </w:tr>
      <w:tr>
        <w:trPr/>
        <w:tc>
          <w:tcPr>
            <w:tcW w:w="50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9,040</w:t>
            </w:r>
          </w:p>
        </w:tc>
        <w:tc>
          <w:tcPr>
            <w:tcW w:w="5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0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30,559</w:t>
            </w:r>
          </w:p>
        </w:tc>
        <w:tc>
          <w:tcPr>
            <w:tcW w:w="591" w:type="dxa"/>
            <w:tcBorders/>
            <w:shd w:fill="auto" w:val="clear"/>
            <w:vAlign w:val="center"/>
          </w:tcPr>
          <w:p>
            <w:pPr>
              <w:pStyle w:val="TableContents"/>
              <w:spacing w:before="0" w:after="0"/>
              <w:ind w:left="0" w:right="0" w:firstLine="200"/>
              <w:jc w:val="left"/>
              <w:rPr/>
            </w:pPr>
            <w:r>
              <w:rPr/>
              <w:t> </w:t>
            </w:r>
          </w:p>
        </w:tc>
      </w:tr>
      <w:tr>
        <w:trPr/>
        <w:tc>
          <w:tcPr>
            <w:tcW w:w="50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10,543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07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41,102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(5,653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(32,062</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591" w:type="dxa"/>
            <w:tcBorders/>
            <w:shd w:fill="auto" w:val="clear"/>
            <w:vAlign w:val="center"/>
          </w:tcPr>
          <w:p>
            <w:pPr>
              <w:pStyle w:val="TableContents"/>
              <w:spacing w:before="0" w:after="0"/>
              <w:ind w:left="0" w:right="0" w:firstLine="200"/>
              <w:jc w:val="left"/>
              <w:rPr/>
            </w:pPr>
            <w:r>
              <w:rPr/>
              <w:t> </w:t>
            </w:r>
          </w:p>
        </w:tc>
      </w:tr>
      <w:tr>
        <w:trPr/>
        <w:tc>
          <w:tcPr>
            <w:tcW w:w="50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(31,981</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0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short-term investments, net of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(32,658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0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 and diluted net loss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(0.49</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Shares used in computing basic and diluted net loss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66,248,992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65,393,691</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See accompanying notes to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bookmarkStart w:id="5" w:name="statements_stockholders_equity"/>
      <w:bookmarkEnd w:id="5"/>
      <w:r>
        <w:rPr>
          <w:rFonts w:ascii="Times New Roman;serif" w:hAnsi="Times New Roman;serif"/>
          <w:b/>
          <w:sz w:val="20"/>
        </w:rPr>
        <w:t>CONDENSED STATEMENTS OF STOCKHOLDERS’ EQUITY (DEFICIT)</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data)</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73"/>
        <w:gridCol w:w="146"/>
        <w:gridCol w:w="146"/>
        <w:gridCol w:w="1036"/>
        <w:gridCol w:w="146"/>
        <w:gridCol w:w="146"/>
        <w:gridCol w:w="345"/>
        <w:gridCol w:w="346"/>
        <w:gridCol w:w="146"/>
        <w:gridCol w:w="146"/>
        <w:gridCol w:w="211"/>
        <w:gridCol w:w="781"/>
        <w:gridCol w:w="146"/>
        <w:gridCol w:w="146"/>
        <w:gridCol w:w="370"/>
        <w:gridCol w:w="846"/>
        <w:gridCol w:w="166"/>
        <w:gridCol w:w="146"/>
        <w:gridCol w:w="211"/>
        <w:gridCol w:w="841"/>
        <w:gridCol w:w="166"/>
        <w:gridCol w:w="146"/>
        <w:gridCol w:w="252"/>
        <w:gridCol w:w="888"/>
        <w:gridCol w:w="213"/>
      </w:tblGrid>
      <w:tr>
        <w:trPr/>
        <w:tc>
          <w:tcPr>
            <w:tcW w:w="20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0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r>
      <w:tr>
        <w:trPr/>
        <w:tc>
          <w:tcPr>
            <w:tcW w:w="20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3" w:type="dxa"/>
            <w:tcBorders/>
            <w:shd w:fill="auto" w:val="clear"/>
            <w:vAlign w:val="center"/>
          </w:tcPr>
          <w:p>
            <w:pPr>
              <w:pStyle w:val="TableContents"/>
              <w:spacing w:before="0" w:after="0"/>
              <w:ind w:left="0" w:right="0" w:hanging="0"/>
              <w:jc w:val="center"/>
              <w:rPr/>
            </w:pPr>
            <w:r>
              <w:rPr/>
              <w:t> </w:t>
            </w:r>
          </w:p>
        </w:tc>
      </w:tr>
      <w:tr>
        <w:trPr/>
        <w:tc>
          <w:tcPr>
            <w:tcW w:w="20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3" w:type="dxa"/>
            <w:tcBorders/>
            <w:shd w:fill="auto" w:val="clear"/>
            <w:vAlign w:val="center"/>
          </w:tcPr>
          <w:p>
            <w:pPr>
              <w:pStyle w:val="TableContents"/>
              <w:spacing w:before="0" w:after="0"/>
              <w:ind w:left="0" w:right="0" w:hanging="0"/>
              <w:jc w:val="center"/>
              <w:rPr/>
            </w:pPr>
            <w:r>
              <w:rPr/>
              <w:t> </w:t>
            </w:r>
          </w:p>
        </w:tc>
      </w:tr>
      <w:tr>
        <w:trPr/>
        <w:tc>
          <w:tcPr>
            <w:tcW w:w="20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 (Deficit)</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66,228,046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637,117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(722,879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(85,751</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Release of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110,892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3" w:type="dxa"/>
            <w:tcBorders/>
            <w:shd w:fill="auto" w:val="clear"/>
            <w:vAlign w:val="center"/>
          </w:tcPr>
          <w:p>
            <w:pPr>
              <w:pStyle w:val="TableContents"/>
              <w:spacing w:before="0" w:after="0"/>
              <w:ind w:left="0" w:right="0" w:hanging="0"/>
              <w:jc w:val="left"/>
              <w:rPr/>
            </w:pPr>
            <w:r>
              <w:rPr/>
              <w:t> </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2,409</w:t>
            </w:r>
          </w:p>
        </w:tc>
        <w:tc>
          <w:tcPr>
            <w:tcW w:w="213" w:type="dxa"/>
            <w:tcBorders/>
            <w:shd w:fill="auto" w:val="clear"/>
            <w:vAlign w:val="center"/>
          </w:tcPr>
          <w:p>
            <w:pPr>
              <w:pStyle w:val="TableContents"/>
              <w:spacing w:before="0" w:after="0"/>
              <w:ind w:left="0" w:right="0" w:hanging="0"/>
              <w:jc w:val="left"/>
              <w:rPr/>
            </w:pPr>
            <w:r>
              <w:rPr/>
              <w:t> </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13" w:type="dxa"/>
            <w:tcBorders/>
            <w:shd w:fill="auto" w:val="clear"/>
            <w:vAlign w:val="center"/>
          </w:tcPr>
          <w:p>
            <w:pPr>
              <w:pStyle w:val="TableContents"/>
              <w:spacing w:before="0" w:after="0"/>
              <w:ind w:left="0" w:right="0" w:hanging="0"/>
              <w:jc w:val="left"/>
              <w:rPr/>
            </w:pPr>
            <w:r>
              <w:rPr/>
              <w:t> </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(3,311</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66,338,938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639,526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(726,190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(86,637</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r>
      <w:tr>
        <w:trPr/>
        <w:tc>
          <w:tcPr>
            <w:tcW w:w="20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r>
      <w:tr>
        <w:trPr/>
        <w:tc>
          <w:tcPr>
            <w:tcW w:w="20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3" w:type="dxa"/>
            <w:tcBorders/>
            <w:shd w:fill="auto" w:val="clear"/>
            <w:vAlign w:val="center"/>
          </w:tcPr>
          <w:p>
            <w:pPr>
              <w:pStyle w:val="TableContents"/>
              <w:spacing w:before="0" w:after="0"/>
              <w:ind w:left="0" w:right="0" w:hanging="0"/>
              <w:jc w:val="center"/>
              <w:rPr/>
            </w:pPr>
            <w:r>
              <w:rPr/>
              <w:t> </w:t>
            </w:r>
          </w:p>
        </w:tc>
      </w:tr>
      <w:tr>
        <w:trPr/>
        <w:tc>
          <w:tcPr>
            <w:tcW w:w="20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3" w:type="dxa"/>
            <w:tcBorders/>
            <w:shd w:fill="auto" w:val="clear"/>
            <w:vAlign w:val="center"/>
          </w:tcPr>
          <w:p>
            <w:pPr>
              <w:pStyle w:val="TableContents"/>
              <w:spacing w:before="0" w:after="0"/>
              <w:ind w:left="0" w:right="0" w:hanging="0"/>
              <w:jc w:val="center"/>
              <w:rPr/>
            </w:pPr>
            <w:r>
              <w:rPr/>
              <w:t> </w:t>
            </w:r>
          </w:p>
        </w:tc>
      </w:tr>
      <w:tr>
        <w:trPr/>
        <w:tc>
          <w:tcPr>
            <w:tcW w:w="20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 (Deficit)</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65,392,758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623,344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(623,562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13" w:type="dxa"/>
            <w:tcBorders/>
            <w:shd w:fill="auto" w:val="clear"/>
            <w:vAlign w:val="center"/>
          </w:tcPr>
          <w:p>
            <w:pPr>
              <w:pStyle w:val="TableContents"/>
              <w:spacing w:before="0" w:after="0"/>
              <w:ind w:left="0" w:right="0" w:hanging="0"/>
              <w:jc w:val="left"/>
              <w:rPr/>
            </w:pPr>
            <w:r>
              <w:rPr/>
              <w:t> </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3,370</w:t>
            </w:r>
          </w:p>
        </w:tc>
        <w:tc>
          <w:tcPr>
            <w:tcW w:w="213" w:type="dxa"/>
            <w:tcBorders/>
            <w:shd w:fill="auto" w:val="clear"/>
            <w:vAlign w:val="center"/>
          </w:tcPr>
          <w:p>
            <w:pPr>
              <w:pStyle w:val="TableContents"/>
              <w:spacing w:before="0" w:after="0"/>
              <w:ind w:left="0" w:right="0" w:hanging="0"/>
              <w:jc w:val="left"/>
              <w:rPr/>
            </w:pPr>
            <w:r>
              <w:rPr/>
              <w:t> </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8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(31,981</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7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65,398,355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626,721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(655,543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(29,740</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r>
      <w:tr>
        <w:trPr/>
        <w:tc>
          <w:tcPr>
            <w:tcW w:w="9992" w:type="dxa"/>
            <w:gridSpan w:val="24"/>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 w:hAnsi="Times New Roman"/>
          <w:sz w:val="20"/>
        </w:rPr>
      </w:pPr>
      <w:bookmarkStart w:id="6" w:name="condensed_statements_cash_flows"/>
      <w:bookmarkEnd w:id="6"/>
      <w:r>
        <w:rPr>
          <w:rFonts w:ascii="Times New Roman;serif" w:hAnsi="Times New Roman;serif"/>
          <w:b/>
          <w:sz w:val="20"/>
        </w:rPr>
        <w:t>CONDENSED STATEMENTS OF CASH FLOWS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tbl>
      <w:tblPr>
        <w:tblW w:w="9344" w:type="dxa"/>
        <w:jc w:val="left"/>
        <w:tblInd w:w="0" w:type="dxa"/>
        <w:tblCellMar>
          <w:top w:w="28" w:type="dxa"/>
          <w:left w:w="28" w:type="dxa"/>
          <w:bottom w:w="28" w:type="dxa"/>
          <w:right w:w="28" w:type="dxa"/>
        </w:tblCellMar>
      </w:tblPr>
      <w:tblGrid>
        <w:gridCol w:w="6031"/>
        <w:gridCol w:w="146"/>
        <w:gridCol w:w="211"/>
        <w:gridCol w:w="841"/>
        <w:gridCol w:w="166"/>
        <w:gridCol w:w="146"/>
        <w:gridCol w:w="211"/>
        <w:gridCol w:w="781"/>
        <w:gridCol w:w="811"/>
      </w:tblGrid>
      <w:tr>
        <w:trPr/>
        <w:tc>
          <w:tcPr>
            <w:tcW w:w="6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60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811" w:type="dxa"/>
            <w:tcBorders/>
            <w:shd w:fill="auto" w:val="cle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(31,981</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400"/>
              <w:jc w:val="righ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81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565</w:t>
            </w:r>
          </w:p>
        </w:tc>
        <w:tc>
          <w:tcPr>
            <w:tcW w:w="81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Accretion of discounts on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3,370</w:t>
            </w:r>
          </w:p>
        </w:tc>
        <w:tc>
          <w:tcPr>
            <w:tcW w:w="81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826</w:t>
            </w:r>
          </w:p>
        </w:tc>
        <w:tc>
          <w:tcPr>
            <w:tcW w:w="81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600"/>
              <w:jc w:val="righ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8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(613</w:t>
            </w:r>
          </w:p>
        </w:tc>
        <w:tc>
          <w:tcPr>
            <w:tcW w:w="8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8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(1,060</w:t>
            </w:r>
          </w:p>
        </w:tc>
        <w:tc>
          <w:tcPr>
            <w:tcW w:w="8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liabilities and 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(4,182</w:t>
            </w:r>
          </w:p>
        </w:tc>
        <w:tc>
          <w:tcPr>
            <w:tcW w:w="8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(8,025</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(41,313</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(146,594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(146,642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(137,293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(42,042</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194,567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206,447</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164,405</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See accompanying notes to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Financial Statements (Unaudited)</w:t>
      </w:r>
    </w:p>
    <w:p>
      <w:pPr>
        <w:pStyle w:val="TextBody"/>
        <w:spacing w:before="0" w:after="0"/>
        <w:jc w:val="center"/>
        <w:rPr/>
      </w:pPr>
      <w:r>
        <w:rPr/>
        <w:t> </w:t>
      </w:r>
    </w:p>
    <w:p>
      <w:pPr>
        <w:pStyle w:val="TextBody"/>
        <w:spacing w:before="0" w:after="0"/>
        <w:jc w:val="center"/>
        <w:rPr/>
      </w:pPr>
      <w:r>
        <w:rPr/>
        <w:t> </w:t>
      </w:r>
    </w:p>
    <w:p>
      <w:pPr>
        <w:pStyle w:val="TextBody"/>
        <w:spacing w:before="0" w:after="0"/>
        <w:jc w:val="left"/>
        <w:rPr>
          <w:rFonts w:ascii="Times New Roman;serif" w:hAnsi="Times New Roman;serif"/>
          <w:b/>
          <w:sz w:val="20"/>
        </w:rPr>
      </w:pPr>
      <w:bookmarkStart w:id="7" w:name="notes_to_condensed_financial_statements"/>
      <w:bookmarkEnd w:id="7"/>
      <w:r>
        <w:rPr>
          <w:rFonts w:ascii="Times New Roman;serif" w:hAnsi="Times New Roman;serif"/>
          <w:b/>
          <w:sz w:val="20"/>
        </w:rPr>
        <w:t>1. Description of the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CytomX Therapeutics, Inc. (the “Company”) is a clinical-stage, oncology-focused biopharmaceutical company dedicated to destroying cancer differently. The Company aims to build a commercial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while minimizing drug activity in healthy tissues and in circulation. The Company is located in South San Francisco, California and was incorporated in the state of Delaware in September 2010.</w:t>
      </w:r>
    </w:p>
    <w:p>
      <w:pPr>
        <w:pStyle w:val="TextBody"/>
        <w:spacing w:before="360" w:after="0"/>
        <w:jc w:val="left"/>
        <w:rPr>
          <w:rFonts w:ascii="Times New Roman;serif" w:hAnsi="Times New Roman;serif"/>
          <w:b/>
          <w:sz w:val="20"/>
        </w:rPr>
      </w:pPr>
      <w:r>
        <w:rPr>
          <w:rFonts w:ascii="Times New Roman;serif" w:hAnsi="Times New Roman;serif"/>
          <w:b/>
          <w:sz w:val="20"/>
        </w:rPr>
        <w:t>2. Basis of Presentation and Summary of Significant Accounting Policies</w:t>
      </w:r>
    </w:p>
    <w:p>
      <w:pPr>
        <w:pStyle w:val="TextBody"/>
        <w:spacing w:before="120" w:after="0"/>
        <w:jc w:val="left"/>
        <w:rPr>
          <w:rFonts w:ascii="Times New Roman;serif" w:hAnsi="Times New Roman;serif"/>
          <w:b/>
          <w:i/>
          <w:sz w:val="20"/>
        </w:rPr>
      </w:pPr>
      <w:r>
        <w:rPr>
          <w:rFonts w:ascii="Times New Roman;serif" w:hAnsi="Times New Roman;serif"/>
          <w:b/>
          <w:i/>
          <w:sz w:val="20"/>
        </w:rPr>
        <w:t>Basis of Presentation</w:t>
      </w:r>
    </w:p>
    <w:p>
      <w:pPr>
        <w:pStyle w:val="TextBody"/>
        <w:spacing w:before="120" w:after="0"/>
        <w:jc w:val="left"/>
        <w:rPr>
          <w:rFonts w:ascii="Times New Roman" w:hAnsi="Times New Roman"/>
          <w:sz w:val="20"/>
        </w:rPr>
      </w:pPr>
      <w:r>
        <w:rPr>
          <w:rFonts w:ascii="Times New Roman;serif" w:hAnsi="Times New Roman;serif"/>
          <w:b w:val="false"/>
          <w:sz w:val="20"/>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Unaudited Interim Financial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condensed results of operations for the three months ended March 31, 2023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2022 filed with the SEC.</w:t>
      </w:r>
    </w:p>
    <w:p>
      <w:pPr>
        <w:pStyle w:val="TextBody"/>
        <w:spacing w:before="360" w:after="0"/>
        <w:jc w:val="left"/>
        <w:rPr>
          <w:rFonts w:ascii="Times New Roman;serif" w:hAnsi="Times New Roman;serif"/>
          <w:b/>
          <w:i/>
          <w:sz w:val="20"/>
        </w:rPr>
      </w:pPr>
      <w:r>
        <w:rPr>
          <w:rFonts w:ascii="Times New Roman;serif" w:hAnsi="Times New Roman;serif"/>
          <w:b/>
          <w:i/>
          <w:sz w:val="20"/>
        </w:rPr>
        <w:t>Use of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pStyle w:val="TextBody"/>
        <w:spacing w:before="360" w:after="0"/>
        <w:jc w:val="left"/>
        <w:rPr>
          <w:rFonts w:ascii="Times New Roman;serif" w:hAnsi="Times New Roman;serif"/>
          <w:b/>
          <w:i/>
          <w:sz w:val="20"/>
        </w:rPr>
      </w:pPr>
      <w:r>
        <w:rPr>
          <w:rFonts w:ascii="Times New Roman;serif" w:hAnsi="Times New Roman;serif"/>
          <w:b/>
          <w:i/>
          <w:sz w:val="20"/>
        </w:rPr>
        <w:t>Cash, Cash Equivalents and Restricted Cash</w:t>
      </w:r>
    </w:p>
    <w:p>
      <w:pPr>
        <w:pStyle w:val="TextBody"/>
        <w:spacing w:before="120" w:after="0"/>
        <w:jc w:val="left"/>
        <w:rPr>
          <w:rFonts w:ascii="Times New Roman" w:hAnsi="Times New Roman"/>
          <w:sz w:val="20"/>
        </w:rPr>
      </w:pPr>
      <w:r>
        <w:rPr>
          <w:rFonts w:ascii="Times New Roman;serif" w:hAnsi="Times New Roman;serif"/>
          <w:b w:val="false"/>
          <w:sz w:val="20"/>
        </w:rPr>
        <w:t>The Company considers all highly liquid investments purchased with original maturities of three months or less at the date of purchase to be cash equivalents. Restricted cash represents a standby letter of credit issued pursuant to an office lease.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provides a reconciliation of cash, cash equivalents, and restricted cash reported within the balance sheets that sum to the total of the amounts shown in the statements of cash flows:</w:t>
      </w:r>
    </w:p>
    <w:p>
      <w:pPr>
        <w:pStyle w:val="TextBody"/>
        <w:spacing w:before="0" w:after="0"/>
        <w:jc w:val="left"/>
        <w:rPr/>
      </w:pPr>
      <w:r>
        <w:rPr/>
        <w:t> </w:t>
      </w:r>
    </w:p>
    <w:tbl>
      <w:tblPr>
        <w:tblW w:w="9889" w:type="dxa"/>
        <w:jc w:val="left"/>
        <w:tblInd w:w="0" w:type="dxa"/>
        <w:tblCellMar>
          <w:top w:w="28" w:type="dxa"/>
          <w:left w:w="28" w:type="dxa"/>
          <w:bottom w:w="28" w:type="dxa"/>
          <w:right w:w="28" w:type="dxa"/>
        </w:tblCellMar>
      </w:tblPr>
      <w:tblGrid>
        <w:gridCol w:w="2956"/>
        <w:gridCol w:w="146"/>
        <w:gridCol w:w="299"/>
        <w:gridCol w:w="961"/>
        <w:gridCol w:w="146"/>
        <w:gridCol w:w="146"/>
        <w:gridCol w:w="319"/>
        <w:gridCol w:w="1181"/>
        <w:gridCol w:w="146"/>
        <w:gridCol w:w="146"/>
        <w:gridCol w:w="268"/>
        <w:gridCol w:w="992"/>
        <w:gridCol w:w="146"/>
        <w:gridCol w:w="146"/>
        <w:gridCol w:w="319"/>
        <w:gridCol w:w="1181"/>
        <w:gridCol w:w="39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96"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56,357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193,650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163,488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205,530</w:t>
            </w:r>
          </w:p>
        </w:tc>
        <w:tc>
          <w:tcPr>
            <w:tcW w:w="3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 - non-current assets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194,567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164,405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206,447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Revenue Recognition</w:t>
      </w:r>
    </w:p>
    <w:p>
      <w:pPr>
        <w:pStyle w:val="TextBody"/>
        <w:spacing w:before="120" w:after="0"/>
        <w:jc w:val="left"/>
        <w:rPr>
          <w:rFonts w:ascii="Times New Roman" w:hAnsi="Times New Roman"/>
          <w:sz w:val="20"/>
        </w:rPr>
      </w:pPr>
      <w:r>
        <w:rPr>
          <w:rFonts w:ascii="Times New Roman;serif" w:hAnsi="Times New Roman;serif"/>
          <w:b w:val="false"/>
          <w:sz w:val="20"/>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Financial Statements (Unaudited)</w:t>
      </w:r>
    </w:p>
    <w:p>
      <w:pPr>
        <w:pStyle w:val="TextBody"/>
        <w:spacing w:before="0" w:after="0"/>
        <w:jc w:val="center"/>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Due to the early stage of the Company’s licensed technology, the license of such technology is typically combined with research and development services and steering committee participation as one performance obligation. Under the collaboration and license agreements, each collaboration target or program is generally considered to be a separate combined performance obligation. 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Variable consideration is allocated to certain performance obligations if it is triggered by the Company’s efforts to satisfy or a specific outcome from satisfying these performance obligations.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 The Company recognizes revenue from upfront payments over the estimated period of performance under the agreement using an input method for the performance obligation. In applying the input method of revenue recognition, the Company uses actual full-time equivalent (FTE) hours incurred relative to estimated total FTE hours expected to be incurred for each combined performance obligation over the estimated research service period of each collaboration target.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consideration payable to the Company’s customers is treated as a reduction to the transaction price and revenue, unless the payment to the customer is in exchange for distinct good and services.</w:t>
      </w:r>
    </w:p>
    <w:p>
      <w:pPr>
        <w:pStyle w:val="TextBody"/>
        <w:spacing w:before="360" w:after="0"/>
        <w:jc w:val="left"/>
        <w:rPr>
          <w:rFonts w:ascii="Times New Roman;serif" w:hAnsi="Times New Roman;serif"/>
          <w:b/>
          <w:i/>
          <w:sz w:val="20"/>
        </w:rPr>
      </w:pPr>
      <w:r>
        <w:rPr>
          <w:rFonts w:ascii="Times New Roman;serif" w:hAnsi="Times New Roman;serif"/>
          <w:b/>
          <w:i/>
          <w:sz w:val="20"/>
        </w:rPr>
        <w:t>Contract Balances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pStyle w:val="TextBody"/>
        <w:spacing w:before="360" w:after="0"/>
        <w:jc w:val="left"/>
        <w:rPr>
          <w:rFonts w:ascii="Times New Roman" w:hAnsi="Times New Roman"/>
          <w:sz w:val="20"/>
        </w:rPr>
      </w:pPr>
      <w:r>
        <w:rPr>
          <w:rFonts w:ascii="Times New Roman;serif" w:hAnsi="Times New Roman;serif"/>
          <w:b/>
          <w:i/>
          <w:sz w:val="20"/>
        </w:rPr>
        <w:t>Leases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Financial Statements (Unaudited)</w:t>
      </w:r>
    </w:p>
    <w:p>
      <w:pPr>
        <w:pStyle w:val="TextBody"/>
        <w:spacing w:before="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 The Company recognizes sublease income on a straight-line basis over the sublease term and records sublease income on a net basis against rent expense.</w:t>
      </w:r>
    </w:p>
    <w:p>
      <w:pPr>
        <w:pStyle w:val="TextBody"/>
        <w:spacing w:before="360" w:after="0"/>
        <w:jc w:val="left"/>
        <w:rPr>
          <w:rFonts w:ascii="Times New Roman;serif" w:hAnsi="Times New Roman;serif"/>
          <w:b/>
          <w:sz w:val="20"/>
        </w:rPr>
      </w:pPr>
      <w:r>
        <w:rPr>
          <w:rFonts w:ascii="Times New Roman;serif" w:hAnsi="Times New Roman;serif"/>
          <w:b/>
          <w:sz w:val="20"/>
        </w:rPr>
        <w:t>3. Net Loss Per Share</w:t>
      </w:r>
    </w:p>
    <w:p>
      <w:pPr>
        <w:pStyle w:val="TextBody"/>
        <w:spacing w:before="120" w:after="0"/>
        <w:jc w:val="left"/>
        <w:rPr>
          <w:rFonts w:ascii="Times New Roman" w:hAnsi="Times New Roman"/>
          <w:sz w:val="20"/>
        </w:rPr>
      </w:pPr>
      <w:r>
        <w:rPr>
          <w:rFonts w:ascii="Times New Roman;serif" w:hAnsi="Times New Roman;serif"/>
          <w:b w:val="false"/>
          <w:sz w:val="20"/>
        </w:rPr>
        <w:t>Basic net loss per share is calculated by dividing the net loss by the weighted-average number of shares of common stock outstanding for the period. Diluted net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following weighted-average outstanding shares of potentially dilutive securities are excluded from the computation of diluted net loss per share for the periods presented, because including them would have been anti-dilutive:</w:t>
      </w:r>
      <w:r>
        <w:rPr>
          <w:rFonts w:ascii="Times New Roman" w:hAnsi="Times New Roman"/>
          <w:sz w:val="20"/>
        </w:rPr>
        <w:t xml:space="preserve"> </w:t>
      </w:r>
    </w:p>
    <w:p>
      <w:pPr>
        <w:pStyle w:val="TextBody"/>
        <w:spacing w:before="0" w:after="0"/>
        <w:jc w:val="left"/>
        <w:rPr/>
      </w:pPr>
      <w:r>
        <w:rPr/>
        <w:t> </w:t>
      </w:r>
    </w:p>
    <w:tbl>
      <w:tblPr>
        <w:tblW w:w="6789" w:type="dxa"/>
        <w:jc w:val="left"/>
        <w:tblInd w:w="0" w:type="dxa"/>
        <w:tblCellMar>
          <w:top w:w="28" w:type="dxa"/>
          <w:left w:w="28" w:type="dxa"/>
          <w:bottom w:w="28" w:type="dxa"/>
          <w:right w:w="28" w:type="dxa"/>
        </w:tblCellMar>
      </w:tblPr>
      <w:tblGrid>
        <w:gridCol w:w="3796"/>
        <w:gridCol w:w="146"/>
        <w:gridCol w:w="146"/>
        <w:gridCol w:w="1036"/>
        <w:gridCol w:w="146"/>
        <w:gridCol w:w="146"/>
        <w:gridCol w:w="146"/>
        <w:gridCol w:w="1036"/>
        <w:gridCol w:w="191"/>
      </w:tblGrid>
      <w:tr>
        <w:trPr/>
        <w:tc>
          <w:tcPr>
            <w:tcW w:w="3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and ESPP to purchase common stock</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13,986,524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13,755,440</w:t>
            </w:r>
          </w:p>
        </w:tc>
        <w:tc>
          <w:tcPr>
            <w:tcW w:w="1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RSUs</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1,539,053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789,974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15,525,577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14,545,414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4. Fair Value Measurements and Investments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I: Inputs which include quoted prices in active markets for identical assets and liabilities.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Level III: Unobservable inputs that are supported by little or no market activity and that are significant to the fair value of the assets or liabilities.</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Treasury securities that are included in cash equivalents or short-term investments.</w:t>
      </w:r>
      <w:r>
        <w:rPr>
          <w:rFonts w:ascii="Times New Roman" w:hAnsi="Times New Roman"/>
          <w:sz w:val="20"/>
        </w:rPr>
        <w:t xml:space="preserve"> </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following tables set forth the fair value of the Company’s investments subject to fair value measurements on a recurring basis and the level of inputs used in such measurements:</w:t>
      </w:r>
    </w:p>
    <w:p>
      <w:pPr>
        <w:pStyle w:val="TextBody"/>
        <w:spacing w:before="0" w:after="0"/>
        <w:jc w:val="left"/>
        <w:rPr/>
      </w:pPr>
      <w:r>
        <w:rPr/>
        <w:t> </w:t>
      </w:r>
    </w:p>
    <w:tbl>
      <w:tblPr>
        <w:tblW w:w="9091" w:type="dxa"/>
        <w:jc w:val="left"/>
        <w:tblInd w:w="0" w:type="dxa"/>
        <w:tblCellMar>
          <w:top w:w="28" w:type="dxa"/>
          <w:left w:w="28" w:type="dxa"/>
          <w:bottom w:w="28" w:type="dxa"/>
          <w:right w:w="28" w:type="dxa"/>
        </w:tblCellMar>
      </w:tblPr>
      <w:tblGrid>
        <w:gridCol w:w="3166"/>
        <w:gridCol w:w="856"/>
        <w:gridCol w:w="146"/>
        <w:gridCol w:w="211"/>
        <w:gridCol w:w="781"/>
        <w:gridCol w:w="146"/>
        <w:gridCol w:w="146"/>
        <w:gridCol w:w="335"/>
        <w:gridCol w:w="551"/>
        <w:gridCol w:w="146"/>
        <w:gridCol w:w="146"/>
        <w:gridCol w:w="335"/>
        <w:gridCol w:w="551"/>
        <w:gridCol w:w="146"/>
        <w:gridCol w:w="146"/>
        <w:gridCol w:w="211"/>
        <w:gridCol w:w="781"/>
        <w:gridCol w:w="291"/>
      </w:tblGrid>
      <w:tr>
        <w:trPr/>
        <w:tc>
          <w:tcPr>
            <w:tcW w:w="316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283"/>
              <w:ind w:left="0" w:right="0" w:hanging="0"/>
              <w:rPr>
                <w:sz w:val="4"/>
                <w:szCs w:val="4"/>
              </w:rPr>
            </w:pPr>
            <w:r>
              <w:rPr>
                <w:sz w:val="4"/>
                <w:szCs w:val="4"/>
              </w:rPr>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Valuation</w:t>
              <w:br/>
              <w:t>Hierarchy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2"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31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I</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56,794</w:t>
            </w:r>
          </w:p>
        </w:tc>
        <w:tc>
          <w:tcPr>
            <w:tcW w:w="291" w:type="dxa"/>
            <w:tcBorders/>
            <w:shd w:fill="auto" w:val="clear"/>
            <w:vAlign w:val="center"/>
          </w:tcPr>
          <w:p>
            <w:pPr>
              <w:pStyle w:val="TableContents"/>
              <w:spacing w:before="0" w:after="0"/>
              <w:ind w:left="0" w:right="0" w:firstLine="100"/>
              <w:jc w:val="left"/>
              <w:rPr/>
            </w:pPr>
            <w:r>
              <w:rPr/>
              <w:t> </w:t>
            </w:r>
          </w:p>
        </w:tc>
      </w:tr>
      <w:tr>
        <w:trPr/>
        <w:tc>
          <w:tcPr>
            <w:tcW w:w="31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 (money market funds)</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I</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291" w:type="dxa"/>
            <w:tcBorders/>
            <w:shd w:fill="auto" w:val="clear"/>
            <w:vAlign w:val="center"/>
          </w:tcPr>
          <w:p>
            <w:pPr>
              <w:pStyle w:val="TableContents"/>
              <w:spacing w:before="0" w:after="0"/>
              <w:ind w:left="0" w:right="0" w:firstLine="100"/>
              <w:jc w:val="left"/>
              <w:rPr/>
            </w:pPr>
            <w:r>
              <w:rPr/>
              <w:t> </w:t>
            </w:r>
          </w:p>
        </w:tc>
      </w:tr>
      <w:tr>
        <w:trPr/>
        <w:tc>
          <w:tcPr>
            <w:tcW w:w="31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I</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148,119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148,145</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firstLine="200"/>
              <w:jc w:val="left"/>
              <w:rPr>
                <w:rFonts w:ascii="Times New Roman;serif" w:hAnsi="Times New Roman;serif"/>
                <w:b/>
                <w:sz w:val="20"/>
              </w:rPr>
            </w:pPr>
            <w:r>
              <w:rPr>
                <w:rFonts w:ascii="Times New Roman;serif" w:hAnsi="Times New Roman;serif"/>
                <w:b/>
                <w:sz w:val="20"/>
              </w:rPr>
              <w:t>Total</w:t>
            </w:r>
          </w:p>
        </w:tc>
        <w:tc>
          <w:tcPr>
            <w:tcW w:w="856"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205,830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205,856</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Financial Statements (Unaudited)</w:t>
      </w:r>
    </w:p>
    <w:p>
      <w:pPr>
        <w:pStyle w:val="TextBody"/>
        <w:spacing w:before="0" w:after="0"/>
        <w:jc w:val="center"/>
        <w:rPr/>
      </w:pPr>
      <w:r>
        <w:rPr/>
        <w:t> </w:t>
      </w:r>
    </w:p>
    <w:tbl>
      <w:tblPr>
        <w:tblW w:w="8881" w:type="dxa"/>
        <w:jc w:val="left"/>
        <w:tblInd w:w="0" w:type="dxa"/>
        <w:tblCellMar>
          <w:top w:w="28" w:type="dxa"/>
          <w:left w:w="28" w:type="dxa"/>
          <w:bottom w:w="28" w:type="dxa"/>
          <w:right w:w="28" w:type="dxa"/>
        </w:tblCellMar>
      </w:tblPr>
      <w:tblGrid>
        <w:gridCol w:w="3166"/>
        <w:gridCol w:w="856"/>
        <w:gridCol w:w="146"/>
        <w:gridCol w:w="211"/>
        <w:gridCol w:w="676"/>
        <w:gridCol w:w="146"/>
        <w:gridCol w:w="146"/>
        <w:gridCol w:w="335"/>
        <w:gridCol w:w="551"/>
        <w:gridCol w:w="146"/>
        <w:gridCol w:w="146"/>
        <w:gridCol w:w="335"/>
        <w:gridCol w:w="551"/>
        <w:gridCol w:w="146"/>
        <w:gridCol w:w="146"/>
        <w:gridCol w:w="211"/>
        <w:gridCol w:w="676"/>
        <w:gridCol w:w="291"/>
      </w:tblGrid>
      <w:tr>
        <w:trPr/>
        <w:tc>
          <w:tcPr>
            <w:tcW w:w="316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2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Valuation</w:t>
              <w:br/>
              <w:t>Hierarchy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22"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31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I</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64,706</w:t>
            </w:r>
          </w:p>
        </w:tc>
        <w:tc>
          <w:tcPr>
            <w:tcW w:w="291" w:type="dxa"/>
            <w:tcBorders/>
            <w:shd w:fill="auto" w:val="clear"/>
            <w:vAlign w:val="center"/>
          </w:tcPr>
          <w:p>
            <w:pPr>
              <w:pStyle w:val="TableContents"/>
              <w:spacing w:before="0" w:after="0"/>
              <w:ind w:left="0" w:right="0" w:firstLine="100"/>
              <w:jc w:val="left"/>
              <w:rPr/>
            </w:pPr>
            <w:r>
              <w:rPr/>
              <w:t> </w:t>
            </w:r>
          </w:p>
        </w:tc>
      </w:tr>
      <w:tr>
        <w:trPr/>
        <w:tc>
          <w:tcPr>
            <w:tcW w:w="31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 (money market funds)</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I</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291" w:type="dxa"/>
            <w:tcBorders/>
            <w:shd w:fill="auto" w:val="clear"/>
            <w:vAlign w:val="center"/>
          </w:tcPr>
          <w:p>
            <w:pPr>
              <w:pStyle w:val="TableContents"/>
              <w:spacing w:before="0" w:after="0"/>
              <w:ind w:left="0" w:right="0" w:firstLine="100"/>
              <w:jc w:val="left"/>
              <w:rPr/>
            </w:pPr>
            <w:r>
              <w:rPr/>
              <w:t> </w:t>
            </w:r>
          </w:p>
        </w:tc>
      </w:tr>
      <w:tr>
        <w:trPr/>
        <w:tc>
          <w:tcPr>
            <w:tcW w:w="31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I</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29,951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firstLine="200"/>
              <w:jc w:val="left"/>
              <w:rPr>
                <w:rFonts w:ascii="Times New Roman;serif" w:hAnsi="Times New Roman;serif"/>
                <w:b/>
                <w:sz w:val="20"/>
              </w:rPr>
            </w:pPr>
            <w:r>
              <w:rPr>
                <w:rFonts w:ascii="Times New Roman;serif" w:hAnsi="Times New Roman;serif"/>
                <w:b/>
                <w:sz w:val="20"/>
              </w:rPr>
              <w:t>Total</w:t>
            </w:r>
          </w:p>
        </w:tc>
        <w:tc>
          <w:tcPr>
            <w:tcW w:w="856"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95,564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95,574</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As of March 31, 2023, the remaining contractual terms of those investments are less than a year.</w:t>
      </w:r>
    </w:p>
    <w:p>
      <w:pPr>
        <w:pStyle w:val="TextBody"/>
        <w:spacing w:before="360" w:after="0"/>
        <w:jc w:val="left"/>
        <w:rPr>
          <w:rFonts w:ascii="Times New Roman;serif" w:hAnsi="Times New Roman;serif"/>
          <w:b/>
          <w:sz w:val="20"/>
        </w:rPr>
      </w:pPr>
      <w:r>
        <w:rPr>
          <w:rFonts w:ascii="Times New Roman;serif" w:hAnsi="Times New Roman;serif"/>
          <w:b/>
          <w:sz w:val="20"/>
        </w:rPr>
        <w:t>5. Accrued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liabilities consisted of the following:</w:t>
      </w:r>
    </w:p>
    <w:tbl>
      <w:tblPr>
        <w:tblW w:w="5977" w:type="dxa"/>
        <w:jc w:val="left"/>
        <w:tblInd w:w="0" w:type="dxa"/>
        <w:tblCellMar>
          <w:top w:w="28" w:type="dxa"/>
          <w:left w:w="28" w:type="dxa"/>
          <w:bottom w:w="28" w:type="dxa"/>
          <w:right w:w="28" w:type="dxa"/>
        </w:tblCellMar>
      </w:tblPr>
      <w:tblGrid>
        <w:gridCol w:w="3166"/>
        <w:gridCol w:w="146"/>
        <w:gridCol w:w="211"/>
        <w:gridCol w:w="676"/>
        <w:gridCol w:w="146"/>
        <w:gridCol w:w="146"/>
        <w:gridCol w:w="260"/>
        <w:gridCol w:w="835"/>
        <w:gridCol w:w="391"/>
      </w:tblGrid>
      <w:tr>
        <w:trPr/>
        <w:tc>
          <w:tcPr>
            <w:tcW w:w="3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clinical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13,089</w:t>
            </w:r>
          </w:p>
        </w:tc>
        <w:tc>
          <w:tcPr>
            <w:tcW w:w="391" w:type="dxa"/>
            <w:tcBorders/>
            <w:shd w:fill="auto" w:val="cle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and related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8,060</w:t>
            </w:r>
          </w:p>
        </w:tc>
        <w:tc>
          <w:tcPr>
            <w:tcW w:w="391" w:type="dxa"/>
            <w:tcBorders/>
            <w:shd w:fill="auto" w:val="cle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Legal and professional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1,413</w:t>
            </w:r>
          </w:p>
        </w:tc>
        <w:tc>
          <w:tcPr>
            <w:tcW w:w="391" w:type="dxa"/>
            <w:tcBorders/>
            <w:shd w:fill="auto" w:val="cle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 short term</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4,082</w:t>
            </w:r>
          </w:p>
        </w:tc>
        <w:tc>
          <w:tcPr>
            <w:tcW w:w="391" w:type="dxa"/>
            <w:tcBorders/>
            <w:shd w:fill="auto" w:val="cle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1,627</w:t>
            </w:r>
          </w:p>
        </w:tc>
        <w:tc>
          <w:tcPr>
            <w:tcW w:w="391" w:type="dxa"/>
            <w:tcBorders/>
            <w:shd w:fill="auto" w:val="cle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28,532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6. Collaboration and License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the revenue by collaboration partner:</w:t>
      </w:r>
    </w:p>
    <w:p>
      <w:pPr>
        <w:pStyle w:val="TextBody"/>
        <w:spacing w:before="0" w:after="0"/>
        <w:jc w:val="left"/>
        <w:rPr/>
      </w:pPr>
      <w:r>
        <w:rPr/>
        <w:t> </w:t>
      </w:r>
    </w:p>
    <w:tbl>
      <w:tblPr>
        <w:tblW w:w="4559" w:type="dxa"/>
        <w:jc w:val="left"/>
        <w:tblInd w:w="0" w:type="dxa"/>
        <w:tblCellMar>
          <w:top w:w="28" w:type="dxa"/>
          <w:left w:w="28" w:type="dxa"/>
          <w:bottom w:w="28" w:type="dxa"/>
          <w:right w:w="28" w:type="dxa"/>
        </w:tblCellMar>
      </w:tblPr>
      <w:tblGrid>
        <w:gridCol w:w="2061"/>
        <w:gridCol w:w="146"/>
        <w:gridCol w:w="211"/>
        <w:gridCol w:w="676"/>
        <w:gridCol w:w="146"/>
        <w:gridCol w:w="146"/>
        <w:gridCol w:w="211"/>
        <w:gridCol w:w="571"/>
        <w:gridCol w:w="391"/>
      </w:tblGrid>
      <w:tr>
        <w:trPr/>
        <w:tc>
          <w:tcPr>
            <w:tcW w:w="2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0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06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AbbVie</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1,751</w:t>
            </w:r>
          </w:p>
        </w:tc>
        <w:tc>
          <w:tcPr>
            <w:tcW w:w="391" w:type="dxa"/>
            <w:tcBorders/>
            <w:shd w:fill="auto" w:val="clear"/>
            <w:vAlign w:val="center"/>
          </w:tcPr>
          <w:p>
            <w:pPr>
              <w:pStyle w:val="TableContents"/>
              <w:spacing w:before="0" w:after="0"/>
              <w:ind w:left="0" w:right="0" w:hanging="0"/>
              <w:jc w:val="left"/>
              <w:rPr/>
            </w:pPr>
            <w:r>
              <w:rPr/>
              <w:t> </w:t>
            </w:r>
          </w:p>
        </w:tc>
      </w:tr>
      <w:tr>
        <w:trPr/>
        <w:tc>
          <w:tcPr>
            <w:tcW w:w="206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Amgen</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2,237</w:t>
            </w:r>
          </w:p>
        </w:tc>
        <w:tc>
          <w:tcPr>
            <w:tcW w:w="391" w:type="dxa"/>
            <w:tcBorders/>
            <w:shd w:fill="auto" w:val="clear"/>
            <w:vAlign w:val="center"/>
          </w:tcPr>
          <w:p>
            <w:pPr>
              <w:pStyle w:val="TableContents"/>
              <w:spacing w:before="0" w:after="0"/>
              <w:ind w:left="0" w:right="0" w:hanging="0"/>
              <w:jc w:val="left"/>
              <w:rPr/>
            </w:pPr>
            <w:r>
              <w:rPr/>
              <w:t> </w:t>
            </w:r>
          </w:p>
        </w:tc>
      </w:tr>
      <w:tr>
        <w:trPr/>
        <w:tc>
          <w:tcPr>
            <w:tcW w:w="206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Astellas</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4,766</w:t>
            </w:r>
          </w:p>
        </w:tc>
        <w:tc>
          <w:tcPr>
            <w:tcW w:w="391" w:type="dxa"/>
            <w:tcBorders/>
            <w:shd w:fill="auto" w:val="clear"/>
            <w:vAlign w:val="center"/>
          </w:tcPr>
          <w:p>
            <w:pPr>
              <w:pStyle w:val="TableContents"/>
              <w:spacing w:before="0" w:after="0"/>
              <w:ind w:left="0" w:right="0" w:hanging="0"/>
              <w:jc w:val="left"/>
              <w:rPr/>
            </w:pPr>
            <w:r>
              <w:rPr/>
              <w:t> </w:t>
            </w:r>
          </w:p>
        </w:tc>
      </w:tr>
      <w:tr>
        <w:trPr/>
        <w:tc>
          <w:tcPr>
            <w:tcW w:w="206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Bristol Myers Squibb</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391" w:type="dxa"/>
            <w:tcBorders/>
            <w:shd w:fill="auto" w:val="clear"/>
            <w:vAlign w:val="center"/>
          </w:tcPr>
          <w:p>
            <w:pPr>
              <w:pStyle w:val="TableContents"/>
              <w:spacing w:before="0" w:after="0"/>
              <w:ind w:left="0" w:right="0" w:hanging="0"/>
              <w:jc w:val="left"/>
              <w:rPr/>
            </w:pPr>
            <w:r>
              <w:rPr/>
              <w:t> </w:t>
            </w:r>
          </w:p>
        </w:tc>
      </w:tr>
      <w:tr>
        <w:trPr/>
        <w:tc>
          <w:tcPr>
            <w:tcW w:w="206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Regeneron</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206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Moderna</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0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AbbVie Ireland Unlimited Company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April 2016, the Company and AbbVie entered into two</w:t>
      </w:r>
      <w:r>
        <w:rPr>
          <w:rFonts w:ascii="Times New Roman" w:hAnsi="Times New Roman"/>
          <w:sz w:val="20"/>
        </w:rPr>
        <w:t xml:space="preserve"> </w:t>
      </w:r>
      <w:r>
        <w:rPr>
          <w:rFonts w:ascii="Times New Roman;serif" w:hAnsi="Times New Roman;serif"/>
          <w:b w:val="false"/>
          <w:sz w:val="20"/>
        </w:rPr>
        <w:t>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were co-developing a conditionally activated antibody-drug conjugate (“ADC”) against CD71, with the Company being responsible for preclinical and early clinical development. AbbVie was to be responsible for later development and commercialization, with global late-stage development costs shared between the two companies. As of December 31, 2022, the Company has received in aggregate $100.0</w:t>
      </w:r>
      <w:r>
        <w:rPr>
          <w:rFonts w:ascii="Times New Roman" w:hAnsi="Times New Roman"/>
          <w:sz w:val="20"/>
        </w:rPr>
        <w:t xml:space="preserve"> </w:t>
      </w:r>
      <w:r>
        <w:rPr>
          <w:rFonts w:ascii="Times New Roman;serif" w:hAnsi="Times New Roman;serif"/>
          <w:b w:val="false"/>
          <w:sz w:val="20"/>
        </w:rPr>
        <w:t>million in upfront and milestone payments under the CD71 Agreement.</w:t>
      </w:r>
      <w:r>
        <w:rPr>
          <w:rFonts w:ascii="Times New Roman" w:hAnsi="Times New Roman"/>
          <w:sz w:val="20"/>
        </w:rPr>
        <w:t xml:space="preserve"> </w:t>
      </w:r>
      <w:r>
        <w:rPr>
          <w:rFonts w:ascii="Times New Roman;serif" w:hAnsi="Times New Roman;serif"/>
          <w:b w:val="false"/>
          <w:sz w:val="20"/>
        </w:rPr>
        <w:t>In March 2023, the Company announced that it will evaluate the potential next steps for CX-2029 following the decision from AbbVie, to not advance CX-2029 into additional clinical studies. As a result of AbbVie’s decision, the 2016 CD71 License and Collaboration Agreement has been terminated and the Company has an exclusive option to re-acquire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Financial Statements (Unaudited)</w:t>
      </w:r>
    </w:p>
    <w:p>
      <w:pPr>
        <w:pStyle w:val="TextBody"/>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full rights to CX-2029. The Company has completed the performance obligation under the CD71 Agreement as of March 31, 2023 and recognized the related remaining deferred revenue of $4.0</w:t>
      </w:r>
      <w:r>
        <w:rPr>
          <w:rFonts w:ascii="Times New Roman" w:hAnsi="Times New Roman"/>
          <w:sz w:val="20"/>
        </w:rPr>
        <w:t xml:space="preserve"> </w:t>
      </w:r>
      <w:r>
        <w:rPr>
          <w:rFonts w:ascii="Times New Roman;serif" w:hAnsi="Times New Roman;serif"/>
          <w:b w:val="false"/>
          <w:sz w:val="20"/>
        </w:rPr>
        <w:t>million in the first quarter of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December 2022, the research on the two discovery targets under the Discovery Agreement has concluded with no plans to advance the discovery targets into clinical studies or to pursue new programs. The Company completed the performance obligation for the second target earlier than the original research term that was projected to end in 2024 and recorded a cumulative change in estimate of $4.4</w:t>
      </w:r>
      <w:r>
        <w:rPr>
          <w:rFonts w:ascii="Times New Roman" w:hAnsi="Times New Roman"/>
          <w:sz w:val="20"/>
        </w:rPr>
        <w:t xml:space="preserve"> </w:t>
      </w:r>
      <w:r>
        <w:rPr>
          <w:rFonts w:ascii="Times New Roman;serif" w:hAnsi="Times New Roman;serif"/>
          <w:b w:val="false"/>
          <w:sz w:val="20"/>
        </w:rPr>
        <w:t>million in the fourth quarter of 2022. In March 2023, AbbVie gave notice that the Discovery Agreement would be terminated in 60 days and all target rights will revert back to CytomX.</w:t>
      </w:r>
    </w:p>
    <w:p>
      <w:pPr>
        <w:pStyle w:val="TextBody"/>
        <w:spacing w:before="360" w:after="0"/>
        <w:jc w:val="left"/>
        <w:rPr>
          <w:rFonts w:ascii="Times New Roman" w:hAnsi="Times New Roman"/>
          <w:sz w:val="20"/>
        </w:rPr>
      </w:pPr>
      <w:r>
        <w:rPr>
          <w:rFonts w:ascii="Times New Roman;serif" w:hAnsi="Times New Roman;serif"/>
          <w:b/>
          <w:i/>
          <w:sz w:val="20"/>
        </w:rPr>
        <w:t>Amgen, Inc.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September 29, 2017, the Company and Amgen, Inc. (“Amgen”) entered into a Collaboration and License Agreement (the “Amgen Agreement”). Pursuant to the Amgen Agreement, the Company received an upfront payment of $40.0</w:t>
      </w:r>
      <w:r>
        <w:rPr>
          <w:rFonts w:ascii="Times New Roman" w:hAnsi="Times New Roman"/>
          <w:sz w:val="20"/>
        </w:rPr>
        <w:t xml:space="preserve"> </w:t>
      </w:r>
      <w:r>
        <w:rPr>
          <w:rFonts w:ascii="Times New Roman;serif" w:hAnsi="Times New Roman;serif"/>
          <w:b w:val="false"/>
          <w:sz w:val="20"/>
        </w:rPr>
        <w:t>million in October 2017. Concurrent with the Amgen Agreement, the Company and Amgen entered into a Share Purchase Agreement pursuant to which Amgen purchased 1,156,069</w:t>
      </w:r>
      <w:r>
        <w:rPr>
          <w:rFonts w:ascii="Times New Roman" w:hAnsi="Times New Roman"/>
          <w:sz w:val="20"/>
        </w:rPr>
        <w:t xml:space="preserve"> </w:t>
      </w:r>
      <w:r>
        <w:rPr>
          <w:rFonts w:ascii="Times New Roman;serif" w:hAnsi="Times New Roman;serif"/>
          <w:b w:val="false"/>
          <w:sz w:val="20"/>
        </w:rPr>
        <w:t>shares of the Company’s common stock at a price of $17.30</w:t>
      </w:r>
      <w:r>
        <w:rPr>
          <w:rFonts w:ascii="Times New Roman" w:hAnsi="Times New Roman"/>
          <w:sz w:val="20"/>
        </w:rPr>
        <w:t xml:space="preserve"> </w:t>
      </w:r>
      <w:r>
        <w:rPr>
          <w:rFonts w:ascii="Times New Roman;serif" w:hAnsi="Times New Roman;serif"/>
          <w:b w:val="false"/>
          <w:sz w:val="20"/>
        </w:rPr>
        <w:t>per share for total proceeds of $20.0</w:t>
      </w:r>
      <w:r>
        <w:rPr>
          <w:rFonts w:ascii="Times New Roman" w:hAnsi="Times New Roman"/>
          <w:sz w:val="20"/>
        </w:rPr>
        <w:t xml:space="preserve"> </w:t>
      </w:r>
      <w:r>
        <w:rPr>
          <w:rFonts w:ascii="Times New Roman;serif" w:hAnsi="Times New Roman;serif"/>
          <w:b w:val="false"/>
          <w:sz w:val="20"/>
        </w:rPr>
        <w:t>million.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Under the terms of the Amgen Agreement, as amended, the Company and Amgen will co-develop a conditionally activated T-cell engaging bispecific therapeutic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w:t>
      </w:r>
      <w:r>
        <w:rPr>
          <w:rFonts w:ascii="Times New Roman" w:hAnsi="Times New Roman"/>
          <w:sz w:val="20"/>
        </w:rPr>
        <w:t xml:space="preserve"> </w:t>
      </w:r>
      <w:r>
        <w:rPr>
          <w:rFonts w:ascii="Times New Roman;serif" w:hAnsi="Times New Roman;serif"/>
          <w:b w:val="false"/>
          <w:sz w:val="20"/>
        </w:rPr>
        <w:t>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r>
        <w:rPr>
          <w:rFonts w:ascii="Times New Roman" w:hAnsi="Times New Roman"/>
          <w:sz w:val="20"/>
        </w:rPr>
        <w:t xml:space="preserve"> </w:t>
      </w:r>
      <w:r>
        <w:rPr>
          <w:rFonts w:ascii="Times New Roman;serif" w:hAnsi="Times New Roman;serif"/>
          <w:b w:val="false"/>
          <w:sz w:val="20"/>
        </w:rPr>
        <w:t>In January 2022, the IND for the EGFR product (CX-904) was allowed to proceed by the U.S. Food and Drug Administration (“FDA”).</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Amgen also has the right to select a total of up to three</w:t>
      </w:r>
      <w:r>
        <w:rPr>
          <w:rFonts w:ascii="Times New Roman" w:hAnsi="Times New Roman"/>
          <w:sz w:val="20"/>
        </w:rPr>
        <w:t xml:space="preserve"> </w:t>
      </w:r>
      <w:r>
        <w:rPr>
          <w:rFonts w:ascii="Times New Roman;serif" w:hAnsi="Times New Roman;serif"/>
          <w:b w:val="false"/>
          <w:sz w:val="20"/>
        </w:rPr>
        <w:t>targets, including the two additional targets discussed below. The Company and Amgen collaborate in the research and development of conditionally activated T-cell engaging bispecifics products directed against such targets. Amgen has selected one</w:t>
      </w:r>
      <w:r>
        <w:rPr>
          <w:rFonts w:ascii="Times New Roman" w:hAnsi="Times New Roman"/>
          <w:sz w:val="20"/>
        </w:rPr>
        <w:t xml:space="preserve"> </w:t>
      </w:r>
      <w:r>
        <w:rPr>
          <w:rFonts w:ascii="Times New Roman;serif" w:hAnsi="Times New Roman;serif"/>
          <w:b w:val="false"/>
          <w:sz w:val="20"/>
        </w:rPr>
        <w:t>such target (the “Amgen Other Product”). If Amgen exercises its option within a specified period of time, it can select two</w:t>
      </w:r>
      <w:r>
        <w:rPr>
          <w:rFonts w:ascii="Times New Roman" w:hAnsi="Times New Roman"/>
          <w:sz w:val="20"/>
        </w:rPr>
        <w:t xml:space="preserve"> </w:t>
      </w:r>
      <w:r>
        <w:rPr>
          <w:rFonts w:ascii="Times New Roman;serif" w:hAnsi="Times New Roman;serif"/>
          <w:b w:val="false"/>
          <w:sz w:val="20"/>
        </w:rPr>
        <w:t>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was initially eligible to receive up to $950.0</w:t>
      </w:r>
      <w:r>
        <w:rPr>
          <w:rFonts w:ascii="Times New Roman" w:hAnsi="Times New Roman"/>
          <w:sz w:val="20"/>
        </w:rPr>
        <w:t xml:space="preserve"> </w:t>
      </w:r>
      <w:r>
        <w:rPr>
          <w:rFonts w:ascii="Times New Roman;serif" w:hAnsi="Times New Roman;serif"/>
          <w:b w:val="false"/>
          <w:sz w:val="20"/>
        </w:rPr>
        <w:t>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w:t>
      </w:r>
      <w:r>
        <w:rPr>
          <w:rFonts w:ascii="Times New Roman" w:hAnsi="Times New Roman"/>
          <w:sz w:val="20"/>
        </w:rPr>
        <w:t xml:space="preserve"> </w:t>
      </w:r>
      <w:r>
        <w:rPr>
          <w:rFonts w:ascii="Times New Roman;serif" w:hAnsi="Times New Roman;serif"/>
          <w:b w:val="false"/>
          <w:sz w:val="20"/>
        </w:rPr>
        <w:t>million in development, regulatory, and commercial milestone payments for the CytomX Product, and tiered mid-single digit to low double-digit percentage royalties.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and December 31, 2022, deferred revenue related to the EGFR Products performance obligation was $16.4</w:t>
      </w:r>
      <w:r>
        <w:rPr>
          <w:rFonts w:ascii="Times New Roman" w:hAnsi="Times New Roman"/>
          <w:sz w:val="20"/>
        </w:rPr>
        <w:t xml:space="preserve"> </w:t>
      </w:r>
      <w:r>
        <w:rPr>
          <w:rFonts w:ascii="Times New Roman;serif" w:hAnsi="Times New Roman;serif"/>
          <w:b w:val="false"/>
          <w:sz w:val="20"/>
        </w:rPr>
        <w:t>million and $18.0</w:t>
      </w:r>
      <w:r>
        <w:rPr>
          <w:rFonts w:ascii="Times New Roman" w:hAnsi="Times New Roman"/>
          <w:sz w:val="20"/>
        </w:rPr>
        <w:t xml:space="preserve"> </w:t>
      </w:r>
      <w:r>
        <w:rPr>
          <w:rFonts w:ascii="Times New Roman;serif" w:hAnsi="Times New Roman;serif"/>
          <w:b w:val="false"/>
          <w:sz w:val="20"/>
        </w:rPr>
        <w:t>million, respectively. As of March 31, 2023 and December 31, 2022, deferred revenue related to the Amgen Other Products performance obligation was $0.4</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Financial Statements (Unaudited)</w:t>
      </w:r>
    </w:p>
    <w:p>
      <w:pPr>
        <w:pStyle w:val="TextBody"/>
        <w:spacing w:before="0" w:after="0"/>
        <w:jc w:val="center"/>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Astellas Pharma Inc.</w:t>
      </w:r>
    </w:p>
    <w:p>
      <w:pPr>
        <w:pStyle w:val="TextBody"/>
        <w:spacing w:before="120" w:after="0"/>
        <w:jc w:val="left"/>
        <w:rPr>
          <w:rFonts w:ascii="Times New Roman" w:hAnsi="Times New Roman"/>
          <w:sz w:val="20"/>
        </w:rPr>
      </w:pPr>
      <w:r>
        <w:rPr>
          <w:rFonts w:ascii="Times New Roman;serif" w:hAnsi="Times New Roman;serif"/>
          <w:b w:val="false"/>
          <w:sz w:val="20"/>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Under the terms of the Astellas Agreement, the Company granted Astellas an exclusive, worldwide right to develop and commercialize Probody therapeutics for up to four</w:t>
      </w:r>
      <w:r>
        <w:rPr>
          <w:rFonts w:ascii="Times New Roman" w:hAnsi="Times New Roman"/>
          <w:sz w:val="20"/>
        </w:rPr>
        <w:t xml:space="preserve"> </w:t>
      </w:r>
      <w:r>
        <w:rPr>
          <w:rFonts w:ascii="Times New Roman;serif" w:hAnsi="Times New Roman;serif"/>
          <w:b w:val="false"/>
          <w:sz w:val="20"/>
        </w:rPr>
        <w:t>collaboration targets including one</w:t>
      </w:r>
      <w:r>
        <w:rPr>
          <w:rFonts w:ascii="Times New Roman" w:hAnsi="Times New Roman"/>
          <w:sz w:val="20"/>
        </w:rPr>
        <w:t xml:space="preserve"> </w:t>
      </w:r>
      <w:r>
        <w:rPr>
          <w:rFonts w:ascii="Times New Roman;serif" w:hAnsi="Times New Roman;serif"/>
          <w:b w:val="false"/>
          <w:sz w:val="20"/>
        </w:rPr>
        <w:t>initial target and three</w:t>
      </w:r>
      <w:r>
        <w:rPr>
          <w:rFonts w:ascii="Times New Roman" w:hAnsi="Times New Roman"/>
          <w:sz w:val="20"/>
        </w:rPr>
        <w:t xml:space="preserve"> </w:t>
      </w:r>
      <w:r>
        <w:rPr>
          <w:rFonts w:ascii="Times New Roman;serif" w:hAnsi="Times New Roman;serif"/>
          <w:b w:val="false"/>
          <w:sz w:val="20"/>
        </w:rPr>
        <w:t>additional targets (“Additional Targets”). In addition, Astellas had the right to expand the number of Additional Targets from three</w:t>
      </w:r>
      <w:r>
        <w:rPr>
          <w:rFonts w:ascii="Times New Roman" w:hAnsi="Times New Roman"/>
          <w:sz w:val="20"/>
        </w:rPr>
        <w:t xml:space="preserve"> </w:t>
      </w:r>
      <w:r>
        <w:rPr>
          <w:rFonts w:ascii="Times New Roman;serif" w:hAnsi="Times New Roman;serif"/>
          <w:b w:val="false"/>
          <w:sz w:val="20"/>
        </w:rPr>
        <w:t>up to five</w:t>
      </w:r>
      <w:r>
        <w:rPr>
          <w:rFonts w:ascii="Times New Roman" w:hAnsi="Times New Roman"/>
          <w:sz w:val="20"/>
        </w:rPr>
        <w:t xml:space="preserve"> </w:t>
      </w:r>
      <w:r>
        <w:rPr>
          <w:rFonts w:ascii="Times New Roman;serif" w:hAnsi="Times New Roman;serif"/>
          <w:b w:val="false"/>
          <w:sz w:val="20"/>
        </w:rPr>
        <w:t>(the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pStyle w:val="TextBody"/>
        <w:spacing w:before="240" w:after="0"/>
        <w:jc w:val="left"/>
        <w:rPr>
          <w:rFonts w:ascii="Times New Roman" w:hAnsi="Times New Roman"/>
          <w:sz w:val="20"/>
        </w:rPr>
      </w:pPr>
      <w:r>
        <w:rPr>
          <w:rFonts w:ascii="Times New Roman;serif" w:hAnsi="Times New Roman;serif"/>
          <w:b w:val="false"/>
          <w:sz w:val="20"/>
        </w:rPr>
        <w:t>Pursuant to the Astellas Agreement, the consideration from Astellas is comprised of an upfront fee of $80.0</w:t>
      </w:r>
      <w:r>
        <w:rPr>
          <w:rFonts w:ascii="Times New Roman" w:hAnsi="Times New Roman"/>
          <w:sz w:val="20"/>
        </w:rPr>
        <w:t xml:space="preserve"> </w:t>
      </w:r>
      <w:r>
        <w:rPr>
          <w:rFonts w:ascii="Times New Roman;serif" w:hAnsi="Times New Roman;serif"/>
          <w:b w:val="false"/>
          <w:sz w:val="20"/>
        </w:rPr>
        <w:t>million and contingent payments for development, regulatory and sales milestones of up to an aggregate of approximately $1.6</w:t>
      </w:r>
      <w:r>
        <w:rPr>
          <w:rFonts w:ascii="Times New Roman" w:hAnsi="Times New Roman"/>
          <w:sz w:val="20"/>
        </w:rPr>
        <w:t xml:space="preserve"> </w:t>
      </w:r>
      <w:r>
        <w:rPr>
          <w:rFonts w:ascii="Times New Roman;serif" w:hAnsi="Times New Roman;serif"/>
          <w:b w:val="false"/>
          <w:sz w:val="20"/>
        </w:rPr>
        <w:t>billion.</w:t>
      </w:r>
      <w:r>
        <w:rPr>
          <w:rFonts w:ascii="Times New Roman" w:hAnsi="Times New Roman"/>
          <w:sz w:val="20"/>
        </w:rPr>
        <w:t xml:space="preserve"> </w:t>
      </w:r>
      <w:r>
        <w:rPr>
          <w:rFonts w:ascii="Times New Roman;serif" w:hAnsi="Times New Roman;serif"/>
          <w:b w:val="false"/>
          <w:sz w:val="20"/>
        </w:rPr>
        <w:t>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 time employee ("FTE") rate.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January 2023, the Company announced that it achieved a clinical candidate milestone under the Astellas Agreement which triggered a $5.0</w:t>
      </w:r>
      <w:r>
        <w:rPr>
          <w:rFonts w:ascii="Times New Roman" w:hAnsi="Times New Roman"/>
          <w:sz w:val="20"/>
        </w:rPr>
        <w:t xml:space="preserve"> </w:t>
      </w:r>
      <w:r>
        <w:rPr>
          <w:rFonts w:ascii="Times New Roman;serif" w:hAnsi="Times New Roman;serif"/>
          <w:b w:val="false"/>
          <w:sz w:val="20"/>
        </w:rPr>
        <w:t>million milestone payment to the Company. The $5.0</w:t>
      </w:r>
      <w:r>
        <w:rPr>
          <w:rFonts w:ascii="Times New Roman" w:hAnsi="Times New Roman"/>
          <w:sz w:val="20"/>
        </w:rPr>
        <w:t xml:space="preserve"> </w:t>
      </w:r>
      <w:r>
        <w:rPr>
          <w:rFonts w:ascii="Times New Roman;serif" w:hAnsi="Times New Roman;serif"/>
          <w:b w:val="false"/>
          <w:sz w:val="20"/>
        </w:rPr>
        <w:t>million milestone payment was fully recognized in the first quarter of 2023 as the Company had completed its performance obligation related to the collaboration target.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and December 31, 2022, deferred revenue relating to the Astellas Agreement was $41.8</w:t>
      </w:r>
      <w:r>
        <w:rPr>
          <w:rFonts w:ascii="Times New Roman" w:hAnsi="Times New Roman"/>
          <w:sz w:val="20"/>
        </w:rPr>
        <w:t xml:space="preserve"> </w:t>
      </w:r>
      <w:r>
        <w:rPr>
          <w:rFonts w:ascii="Times New Roman;serif" w:hAnsi="Times New Roman;serif"/>
          <w:b w:val="false"/>
          <w:sz w:val="20"/>
        </w:rPr>
        <w:t>million and $44.5</w:t>
      </w:r>
      <w:r>
        <w:rPr>
          <w:rFonts w:ascii="Times New Roman" w:hAnsi="Times New Roman"/>
          <w:sz w:val="20"/>
        </w:rPr>
        <w:t xml:space="preserve"> </w:t>
      </w:r>
      <w:r>
        <w:rPr>
          <w:rFonts w:ascii="Times New Roman;serif" w:hAnsi="Times New Roman;serif"/>
          <w:b w:val="false"/>
          <w:sz w:val="20"/>
        </w:rPr>
        <w:t>million, respectively. The amount due from Astellas under the Astellas Agreement was $1.0</w:t>
      </w:r>
      <w:r>
        <w:rPr>
          <w:rFonts w:ascii="Times New Roman" w:hAnsi="Times New Roman"/>
          <w:sz w:val="20"/>
        </w:rPr>
        <w:t xml:space="preserve"> </w:t>
      </w:r>
      <w:r>
        <w:rPr>
          <w:rFonts w:ascii="Times New Roman;serif" w:hAnsi="Times New Roman;serif"/>
          <w:b w:val="false"/>
          <w:sz w:val="20"/>
        </w:rPr>
        <w:t>million and $1.0</w:t>
      </w:r>
      <w:r>
        <w:rPr>
          <w:rFonts w:ascii="Times New Roman" w:hAnsi="Times New Roman"/>
          <w:sz w:val="20"/>
        </w:rPr>
        <w:t xml:space="preserve"> </w:t>
      </w:r>
      <w:r>
        <w:rPr>
          <w:rFonts w:ascii="Times New Roman;serif" w:hAnsi="Times New Roman;serif"/>
          <w:b w:val="false"/>
          <w:sz w:val="20"/>
        </w:rPr>
        <w:t>million as of March 31, 2023 and 2022, respectively.</w:t>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Bristol Myers Squibb Company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Under the terms of the BMS Agreement, the Company granted Bristol Myers Squibb exclusive worldwide rights to develop and commercialize Probody therapeutics for up to four</w:t>
      </w:r>
      <w:r>
        <w:rPr>
          <w:rFonts w:ascii="Times New Roman" w:hAnsi="Times New Roman"/>
          <w:sz w:val="20"/>
        </w:rPr>
        <w:t xml:space="preserve"> </w:t>
      </w:r>
      <w:r>
        <w:rPr>
          <w:rFonts w:ascii="Times New Roman;serif" w:hAnsi="Times New Roman;serif"/>
          <w:b w:val="false"/>
          <w:sz w:val="20"/>
        </w:rPr>
        <w:t>oncology targets. Bristol Myers Squibb had additional rights to substitute up to two</w:t>
      </w:r>
      <w:r>
        <w:rPr>
          <w:rFonts w:ascii="Times New Roman" w:hAnsi="Times New Roman"/>
          <w:sz w:val="20"/>
        </w:rPr>
        <w:t xml:space="preserve"> </w:t>
      </w:r>
      <w:r>
        <w:rPr>
          <w:rFonts w:ascii="Times New Roman;serif" w:hAnsi="Times New Roman;serif"/>
          <w:b w:val="false"/>
          <w:sz w:val="20"/>
        </w:rPr>
        <w:t>collaboration targets within three years of the effective date of the BMS Agreement. These rights expired in May 2017. Each collaboration target had a two-year research term and the two</w:t>
      </w:r>
      <w:r>
        <w:rPr>
          <w:rFonts w:ascii="Times New Roman;serif" w:hAnsi="Times New Roman;serif"/>
          <w:sz w:val="20"/>
        </w:rPr>
        <w:t xml:space="preserve"> </w:t>
      </w:r>
      <w:r>
        <w:rPr>
          <w:rFonts w:ascii="Times New Roman;serif" w:hAnsi="Times New Roman;serif"/>
          <w:b w:val="false"/>
          <w:sz w:val="20"/>
        </w:rPr>
        <w:t>additional targets had to be nominated by Bristol Myers Squibb within five years</w:t>
      </w:r>
      <w:r>
        <w:rPr>
          <w:rFonts w:ascii="Times New Roman;serif" w:hAnsi="Times New Roman;serif"/>
          <w:sz w:val="20"/>
        </w:rPr>
        <w:t xml:space="preserve"> </w:t>
      </w:r>
      <w:r>
        <w:rPr>
          <w:rFonts w:ascii="Times New Roman;serif" w:hAnsi="Times New Roman;serif"/>
          <w:b w:val="false"/>
          <w:sz w:val="20"/>
        </w:rPr>
        <w:t>of the effective date of the BMS Agreement. The research term for each collaboration target could be extended in one year</w:t>
      </w:r>
      <w:r>
        <w:rPr>
          <w:rFonts w:ascii="Times New Roman;serif" w:hAnsi="Times New Roman;serif"/>
          <w:sz w:val="20"/>
        </w:rPr>
        <w:t xml:space="preserve"> </w:t>
      </w:r>
      <w:r>
        <w:rPr>
          <w:rFonts w:ascii="Times New Roman;serif" w:hAnsi="Times New Roman;serif"/>
          <w:b w:val="false"/>
          <w:sz w:val="20"/>
        </w:rPr>
        <w:t>increments up to three</w:t>
      </w:r>
      <w:r>
        <w:rPr>
          <w:rFonts w:ascii="Times New Roman;serif" w:hAnsi="Times New Roman;serif"/>
          <w:sz w:val="20"/>
        </w:rPr>
        <w:t xml:space="preserve"> </w:t>
      </w:r>
      <w:r>
        <w:rPr>
          <w:rFonts w:ascii="Times New Roman;serif" w:hAnsi="Times New Roman;serif"/>
          <w:b w:val="false"/>
          <w:sz w:val="20"/>
        </w:rPr>
        <w:t>times.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Pursuant to the BMS Agreement, the financial consideration from Bristol Myers Squibb was comprised of an upfront payment of $50.0</w:t>
      </w:r>
      <w:r>
        <w:rPr>
          <w:rFonts w:ascii="Times New Roman" w:hAnsi="Times New Roman"/>
          <w:sz w:val="20"/>
        </w:rPr>
        <w:t xml:space="preserve"> </w:t>
      </w:r>
      <w:r>
        <w:rPr>
          <w:rFonts w:ascii="Times New Roman;serif" w:hAnsi="Times New Roman;serif"/>
          <w:b w:val="false"/>
          <w:sz w:val="20"/>
        </w:rPr>
        <w:t>million and estimated research and development service fees, and the Company was initially entitled to receive contingent payments of up to $25.0</w:t>
      </w:r>
      <w:r>
        <w:rPr>
          <w:rFonts w:ascii="Times New Roman" w:hAnsi="Times New Roman"/>
          <w:sz w:val="20"/>
        </w:rPr>
        <w:t xml:space="preserve"> </w:t>
      </w:r>
      <w:r>
        <w:rPr>
          <w:rFonts w:ascii="Times New Roman;serif" w:hAnsi="Times New Roman;serif"/>
          <w:b w:val="false"/>
          <w:sz w:val="20"/>
        </w:rPr>
        <w:t>million for additional targets and contingent payments for development, regulatory and sales milestones. In addition, the Company was entitled to royalty payments in the mid-single digits to low double-digit percentages from potential future sales.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w:t>
      </w:r>
      <w:r>
        <w:rPr>
          <w:rFonts w:ascii="Times New Roman" w:hAnsi="Times New Roman"/>
          <w:sz w:val="20"/>
        </w:rPr>
        <w:t xml:space="preserve"> </w:t>
      </w:r>
      <w:r>
        <w:rPr>
          <w:rFonts w:ascii="Times New Roman;serif" w:hAnsi="Times New Roman;serif"/>
          <w:b w:val="false"/>
          <w:sz w:val="20"/>
        </w:rPr>
        <w:t>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Pursuant to Amendment 1, the financial consideration from Bristol Myers Squibb was comprised of an upfront payment of $200.0</w:t>
      </w:r>
      <w:r>
        <w:rPr>
          <w:rFonts w:ascii="Times New Roman" w:hAnsi="Times New Roman"/>
          <w:sz w:val="20"/>
        </w:rPr>
        <w:t xml:space="preserve"> </w:t>
      </w:r>
      <w:r>
        <w:rPr>
          <w:rFonts w:ascii="Times New Roman;serif" w:hAnsi="Times New Roman;serif"/>
          <w:b w:val="false"/>
          <w:sz w:val="20"/>
        </w:rPr>
        <w:t>million, estimated research and development service fees, and contingent payments for development, regulatory and sales milestones for the eight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Financial Statements (Unaudited)</w:t>
      </w:r>
    </w:p>
    <w:p>
      <w:pPr>
        <w:pStyle w:val="TextBody"/>
        <w:spacing w:before="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initial transaction price for the BMS Agreement and Amendment 1, collectively, was $304.7</w:t>
      </w:r>
      <w:r>
        <w:rPr>
          <w:rFonts w:ascii="Times New Roman" w:hAnsi="Times New Roman"/>
          <w:sz w:val="20"/>
        </w:rPr>
        <w:t xml:space="preserve"> </w:t>
      </w:r>
      <w:r>
        <w:rPr>
          <w:rFonts w:ascii="Times New Roman;serif" w:hAnsi="Times New Roman;serif"/>
          <w:b w:val="false"/>
          <w:sz w:val="20"/>
        </w:rPr>
        <w:t>million consisting of the upfront fees of $250.0</w:t>
      </w:r>
      <w:r>
        <w:rPr>
          <w:rFonts w:ascii="Times New Roman" w:hAnsi="Times New Roman"/>
          <w:sz w:val="20"/>
        </w:rPr>
        <w:t xml:space="preserve"> </w:t>
      </w:r>
      <w:r>
        <w:rPr>
          <w:rFonts w:ascii="Times New Roman;serif" w:hAnsi="Times New Roman;serif"/>
          <w:b w:val="false"/>
          <w:sz w:val="20"/>
        </w:rPr>
        <w:t>million, target selection fees for the third and fourth targets of $25.0</w:t>
      </w:r>
      <w:r>
        <w:rPr>
          <w:rFonts w:ascii="Times New Roman" w:hAnsi="Times New Roman"/>
          <w:sz w:val="20"/>
        </w:rPr>
        <w:t xml:space="preserve"> </w:t>
      </w:r>
      <w:r>
        <w:rPr>
          <w:rFonts w:ascii="Times New Roman;serif" w:hAnsi="Times New Roman;serif"/>
          <w:b w:val="false"/>
          <w:sz w:val="20"/>
        </w:rPr>
        <w:t>million, estimated research and development service fees of $17.7</w:t>
      </w:r>
      <w:r>
        <w:rPr>
          <w:rFonts w:ascii="Times New Roman" w:hAnsi="Times New Roman"/>
          <w:sz w:val="20"/>
        </w:rPr>
        <w:t xml:space="preserve"> </w:t>
      </w:r>
      <w:r>
        <w:rPr>
          <w:rFonts w:ascii="Times New Roman;serif" w:hAnsi="Times New Roman;serif"/>
          <w:b w:val="false"/>
          <w:sz w:val="20"/>
        </w:rPr>
        <w:t>million and milestone payments received up to January 1, 2018, of $12.0</w:t>
      </w:r>
      <w:r>
        <w:rPr>
          <w:rFonts w:ascii="Times New Roman" w:hAnsi="Times New Roman"/>
          <w:sz w:val="20"/>
        </w:rPr>
        <w:t xml:space="preserve"> </w:t>
      </w:r>
      <w:r>
        <w:rPr>
          <w:rFonts w:ascii="Times New Roman;serif" w:hAnsi="Times New Roman;serif"/>
          <w:b w:val="false"/>
          <w:sz w:val="20"/>
        </w:rPr>
        <w:t>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initial transaction price for the combined obligation for each collaboration target is recognized using an input measure.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February 2021, the Company and Bristol Myers Squibb entered into Amendment Number 2 to amend the Collaboration and License Agreement (“Amendment 2”), as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the Company will continue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October 2022, the Company and Bristol Myers Squibb entered into Amendment Number 3 to amend the Collaboration and License Agreement (“Amendment 3”), as amended by Amendment 1 and Amendment 2, to clarify the rights and restrictions of certain new proprietary antibodies that the parties exchanged. There were no substantive changes to each party's performance obligations. As of December 31, 2022, the Company is eligible for up to approximately $2.1</w:t>
      </w:r>
      <w:r>
        <w:rPr>
          <w:rFonts w:ascii="Times New Roman" w:hAnsi="Times New Roman"/>
          <w:sz w:val="20"/>
        </w:rPr>
        <w:t xml:space="preserve"> </w:t>
      </w:r>
      <w:r>
        <w:rPr>
          <w:rFonts w:ascii="Times New Roman;serif" w:hAnsi="Times New Roman;serif"/>
          <w:b w:val="false"/>
          <w:sz w:val="20"/>
        </w:rPr>
        <w:t>billion in contingent payments for development, regulatory and sales milestones based on the ongoing collaboration projects, including the CTLA-4 program, with BMS.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reevaluated the remaining potential milestone payments and determined that significant revenue reversal was probable as the achievement of such milestones was highly dependent on factors outside the Company’s control. As a result, these payments continued to be fully constrained and were not included in the transaction price as of March 31, 2023.</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December 31, 2022, deferred revenue relating to the BMS Agreement was $161.5</w:t>
      </w:r>
      <w:r>
        <w:rPr>
          <w:rFonts w:ascii="Times New Roman" w:hAnsi="Times New Roman"/>
          <w:sz w:val="20"/>
        </w:rPr>
        <w:t xml:space="preserve"> </w:t>
      </w:r>
      <w:r>
        <w:rPr>
          <w:rFonts w:ascii="Times New Roman;serif" w:hAnsi="Times New Roman;serif"/>
          <w:b w:val="false"/>
          <w:sz w:val="20"/>
        </w:rPr>
        <w:t>million and $169.2</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360" w:after="0"/>
        <w:jc w:val="left"/>
        <w:rPr>
          <w:rFonts w:ascii="Times New Roman" w:hAnsi="Times New Roman"/>
          <w:sz w:val="20"/>
        </w:rPr>
      </w:pPr>
      <w:r>
        <w:rPr>
          <w:rFonts w:ascii="Times New Roman;serif" w:hAnsi="Times New Roman;serif"/>
          <w:b/>
          <w:i/>
          <w:sz w:val="20"/>
        </w:rPr>
        <w:t>ModernaTX, Inc.</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manufacture, and commercialization of any products under the Moderna Agreement.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Under the terms of the Moderna Agreement, the Company granted Moderna an exclusive, worldwide right to develop and commercialize Probody therapeutics for the collaboration programs. In exchange, the Company received an upfront payment of $35.0</w:t>
      </w:r>
      <w:r>
        <w:rPr>
          <w:rFonts w:ascii="Times New Roman" w:hAnsi="Times New Roman"/>
          <w:sz w:val="20"/>
        </w:rPr>
        <w:t xml:space="preserve"> </w:t>
      </w:r>
      <w:r>
        <w:rPr>
          <w:rFonts w:ascii="Times New Roman;serif" w:hAnsi="Times New Roman;serif"/>
          <w:b w:val="false"/>
          <w:sz w:val="20"/>
        </w:rPr>
        <w:t>million in January 2023, including $5.0</w:t>
      </w:r>
      <w:r>
        <w:rPr>
          <w:rFonts w:ascii="Times New Roman" w:hAnsi="Times New Roman"/>
          <w:sz w:val="20"/>
        </w:rPr>
        <w:t xml:space="preserve"> </w:t>
      </w:r>
      <w:r>
        <w:rPr>
          <w:rFonts w:ascii="Times New Roman;serif" w:hAnsi="Times New Roman;serif"/>
          <w:b w:val="false"/>
          <w:sz w:val="20"/>
        </w:rPr>
        <w:t>million of prepaid research and development service fees. The Company will continue to receive research and development service fees according to the preclinical research work plans based on a prescribed FTE rate and is eligible to receive up to approximately $1.2</w:t>
      </w:r>
      <w:r>
        <w:rPr>
          <w:rFonts w:ascii="Times New Roman" w:hAnsi="Times New Roman"/>
          <w:sz w:val="20"/>
        </w:rPr>
        <w:t xml:space="preserve"> </w:t>
      </w:r>
      <w:r>
        <w:rPr>
          <w:rFonts w:ascii="Times New Roman;serif" w:hAnsi="Times New Roman;serif"/>
          <w:b w:val="false"/>
          <w:sz w:val="20"/>
        </w:rPr>
        <w:t>billion in future development, regulatory, and commercial milestone payments. The Company is also eligible to receive tiered royalties from high-single digit to low-teen percentage rates of annual global net sales of any products that are commercialized under the Moderna Agreement. The Moderna Agreement also provides Moderna with an option to participate in a future equity financing by CytomX at market price, subject to certain terms, conditions and regulatory requirements.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December 31, 2022, deferred revenue relating to the Moderna Agreement was $34.3</w:t>
      </w:r>
      <w:r>
        <w:rPr>
          <w:rFonts w:ascii="Times New Roman" w:hAnsi="Times New Roman"/>
          <w:sz w:val="20"/>
        </w:rPr>
        <w:t xml:space="preserve"> </w:t>
      </w:r>
      <w:r>
        <w:rPr>
          <w:rFonts w:ascii="Times New Roman;serif" w:hAnsi="Times New Roman;serif"/>
          <w:b w:val="false"/>
          <w:sz w:val="20"/>
        </w:rPr>
        <w:t>million and $35.0</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Financial Statements (Unaudited)</w:t>
      </w:r>
    </w:p>
    <w:p>
      <w:pPr>
        <w:pStyle w:val="TextBody"/>
        <w:spacing w:before="0" w:after="0"/>
        <w:jc w:val="center"/>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Regeneron Pharmaceuticals, Inc.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manufacture and commercialization of all Licensed Products worldwide.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Pursuant to the Regeneron Agreement, the consideration from Regeneron is comprised of an upfront fee of $30.0</w:t>
      </w:r>
      <w:r>
        <w:rPr>
          <w:rFonts w:ascii="Times New Roman" w:hAnsi="Times New Roman"/>
          <w:sz w:val="20"/>
        </w:rPr>
        <w:t xml:space="preserve"> </w:t>
      </w:r>
      <w:r>
        <w:rPr>
          <w:rFonts w:ascii="Times New Roman;serif" w:hAnsi="Times New Roman;serif"/>
          <w:b w:val="false"/>
          <w:sz w:val="20"/>
        </w:rPr>
        <w:t>million, contingent payments for development and regulatory milestones and commercial milestone payments of up to an aggregate of approximately $0.8</w:t>
      </w:r>
      <w:r>
        <w:rPr>
          <w:rFonts w:ascii="Times New Roman" w:hAnsi="Times New Roman"/>
          <w:sz w:val="20"/>
        </w:rPr>
        <w:t xml:space="preserve"> </w:t>
      </w:r>
      <w:r>
        <w:rPr>
          <w:rFonts w:ascii="Times New Roman;serif" w:hAnsi="Times New Roman;serif"/>
          <w:b w:val="false"/>
          <w:sz w:val="20"/>
        </w:rPr>
        <w:t>billion. If Regeneron exercises its Additional Collaboration Program Option, the Company would be eligible to receive additional upfront and milestone payments aggregating up to approximately $1.2</w:t>
      </w:r>
      <w:r>
        <w:rPr>
          <w:rFonts w:ascii="Times New Roman" w:hAnsi="Times New Roman"/>
          <w:sz w:val="20"/>
        </w:rPr>
        <w:t xml:space="preserve"> </w:t>
      </w:r>
      <w:r>
        <w:rPr>
          <w:rFonts w:ascii="Times New Roman;serif" w:hAnsi="Times New Roman;serif"/>
          <w:b w:val="false"/>
          <w:sz w:val="20"/>
        </w:rPr>
        <w:t>billion. The Company is also entitled to tiered royalties from high-single digit to low-teen percentage royalties from potential future sales. In addition, the Company will receive research and development service fees based on a prescribed FTE rate.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and December 31, 2022, deferred revenue relating to the Regeneron Agreement was</w:t>
      </w:r>
      <w:r>
        <w:rPr>
          <w:rFonts w:ascii="Times New Roman" w:hAnsi="Times New Roman"/>
          <w:sz w:val="20"/>
        </w:rPr>
        <w:t xml:space="preserve"> </w:t>
      </w:r>
      <w:r>
        <w:rPr>
          <w:rFonts w:ascii="Times New Roman;serif" w:hAnsi="Times New Roman;serif"/>
          <w:b w:val="false"/>
          <w:sz w:val="20"/>
        </w:rPr>
        <w:t>$29.5</w:t>
      </w:r>
      <w:r>
        <w:rPr>
          <w:rFonts w:ascii="Times New Roman" w:hAnsi="Times New Roman"/>
          <w:sz w:val="20"/>
        </w:rPr>
        <w:t xml:space="preserve"> </w:t>
      </w:r>
      <w:r>
        <w:rPr>
          <w:rFonts w:ascii="Times New Roman;serif" w:hAnsi="Times New Roman;serif"/>
          <w:b w:val="false"/>
          <w:sz w:val="20"/>
        </w:rPr>
        <w:t>million and $30.0</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Contract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presents changes in the Company’s total contract liabilities during the three months ended March 31, 2022 and 2023:</w:t>
      </w:r>
    </w:p>
    <w:p>
      <w:pPr>
        <w:pStyle w:val="TextBody"/>
        <w:spacing w:before="0" w:after="0"/>
        <w:jc w:val="left"/>
        <w:rPr/>
      </w:pPr>
      <w:r>
        <w:rPr/>
        <w:t> </w:t>
      </w:r>
    </w:p>
    <w:tbl>
      <w:tblPr>
        <w:tblW w:w="7474" w:type="dxa"/>
        <w:jc w:val="left"/>
        <w:tblInd w:w="0" w:type="dxa"/>
        <w:tblCellMar>
          <w:top w:w="28" w:type="dxa"/>
          <w:left w:w="28" w:type="dxa"/>
          <w:bottom w:w="28" w:type="dxa"/>
          <w:right w:w="28" w:type="dxa"/>
        </w:tblCellMar>
      </w:tblPr>
      <w:tblGrid>
        <w:gridCol w:w="1771"/>
        <w:gridCol w:w="146"/>
        <w:gridCol w:w="211"/>
        <w:gridCol w:w="781"/>
        <w:gridCol w:w="146"/>
        <w:gridCol w:w="146"/>
        <w:gridCol w:w="214"/>
        <w:gridCol w:w="582"/>
        <w:gridCol w:w="146"/>
        <w:gridCol w:w="146"/>
        <w:gridCol w:w="354"/>
        <w:gridCol w:w="1236"/>
        <w:gridCol w:w="166"/>
        <w:gridCol w:w="146"/>
        <w:gridCol w:w="211"/>
        <w:gridCol w:w="781"/>
        <w:gridCol w:w="291"/>
      </w:tblGrid>
      <w:tr>
        <w:trPr/>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br/>
              <w:t>12/31/2022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Revenue Recognized</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br/>
              <w:t>3/31/2023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7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301,326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283,917</w:t>
            </w:r>
          </w:p>
        </w:tc>
        <w:tc>
          <w:tcPr>
            <w:tcW w:w="291" w:type="dxa"/>
            <w:tcBorders/>
            <w:shd w:fill="auto" w:val="cle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90"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90"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br/>
              <w:t>12/31/2021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Revenue Recognized</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br/>
              <w:t>3/31/2022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7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284,760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276,734</w:t>
            </w:r>
          </w:p>
        </w:tc>
        <w:tc>
          <w:tcPr>
            <w:tcW w:w="2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expects that the $283.9</w:t>
      </w:r>
      <w:r>
        <w:rPr>
          <w:rFonts w:ascii="Times New Roman" w:hAnsi="Times New Roman"/>
          <w:sz w:val="20"/>
        </w:rPr>
        <w:t xml:space="preserve"> </w:t>
      </w:r>
      <w:r>
        <w:rPr>
          <w:rFonts w:ascii="Times New Roman;serif" w:hAnsi="Times New Roman;serif"/>
          <w:b w:val="false"/>
          <w:sz w:val="20"/>
        </w:rPr>
        <w:t>million of deferred revenue related to the following contracts as of March 31, 2023 will be recognized as revenue based on actual FTE effort and program progress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pStyle w:val="TextBody"/>
        <w:spacing w:before="120" w:after="0"/>
        <w:jc w:val="left"/>
        <w:rPr/>
      </w:pPr>
      <w:r>
        <w:rPr/>
        <w:t>•</w:t>
      </w:r>
    </w:p>
    <w:p>
      <w:pPr>
        <w:pStyle w:val="TextBody"/>
        <w:spacing w:before="120" w:after="0"/>
        <w:jc w:val="left"/>
        <w:rPr>
          <w:rFonts w:ascii="Times New Roman;serif" w:hAnsi="Times New Roman;serif"/>
          <w:sz w:val="24"/>
        </w:rPr>
      </w:pPr>
      <w:r>
        <w:rPr>
          <w:rFonts w:ascii="Times New Roman;serif" w:hAnsi="Times New Roman;serif"/>
          <w:b w:val="false"/>
          <w:sz w:val="20"/>
        </w:rPr>
        <w:t>The $16.4</w:t>
      </w:r>
      <w:r>
        <w:rPr>
          <w:rFonts w:ascii="Times New Roman;serif" w:hAnsi="Times New Roman;serif"/>
          <w:sz w:val="24"/>
        </w:rPr>
        <w:t xml:space="preserve"> </w:t>
      </w:r>
      <w:r>
        <w:rPr>
          <w:rFonts w:ascii="Times New Roman;serif" w:hAnsi="Times New Roman;serif"/>
          <w:b w:val="false"/>
          <w:sz w:val="20"/>
        </w:rPr>
        <w:t>million of deferred revenue related to the Amgen EGFR Products is expected to be recognized until 2026.</w:t>
      </w:r>
    </w:p>
    <w:p>
      <w:pPr>
        <w:pStyle w:val="TextBody"/>
        <w:spacing w:before="120" w:after="0"/>
        <w:jc w:val="left"/>
        <w:rPr/>
      </w:pPr>
      <w:r>
        <w:rPr/>
        <w:t>•</w:t>
      </w:r>
    </w:p>
    <w:p>
      <w:pPr>
        <w:pStyle w:val="TextBody"/>
        <w:spacing w:before="120" w:after="0"/>
        <w:jc w:val="left"/>
        <w:rPr>
          <w:rFonts w:ascii="Times New Roman;serif" w:hAnsi="Times New Roman;serif"/>
          <w:sz w:val="24"/>
        </w:rPr>
      </w:pPr>
      <w:r>
        <w:rPr>
          <w:rFonts w:ascii="Times New Roman;serif" w:hAnsi="Times New Roman;serif"/>
          <w:b w:val="false"/>
          <w:sz w:val="20"/>
        </w:rPr>
        <w:t>The $0.4</w:t>
      </w:r>
      <w:r>
        <w:rPr>
          <w:rFonts w:ascii="Times New Roman;serif" w:hAnsi="Times New Roman;serif"/>
          <w:sz w:val="24"/>
        </w:rPr>
        <w:t xml:space="preserve"> </w:t>
      </w:r>
      <w:r>
        <w:rPr>
          <w:rFonts w:ascii="Times New Roman;serif" w:hAnsi="Times New Roman;serif"/>
          <w:b w:val="false"/>
          <w:sz w:val="20"/>
        </w:rPr>
        <w:t>million of deferred revenue related to the Amgen Other Products is expected to be recognized until 2023.</w:t>
      </w:r>
    </w:p>
    <w:p>
      <w:pPr>
        <w:pStyle w:val="TextBody"/>
        <w:spacing w:before="120" w:after="0"/>
        <w:jc w:val="left"/>
        <w:rPr/>
      </w:pPr>
      <w:r>
        <w:rPr/>
        <w:t>•</w:t>
      </w:r>
    </w:p>
    <w:p>
      <w:pPr>
        <w:pStyle w:val="TextBody"/>
        <w:spacing w:before="120" w:after="0"/>
        <w:jc w:val="left"/>
        <w:rPr>
          <w:rFonts w:ascii="Times New Roman;serif" w:hAnsi="Times New Roman;serif"/>
          <w:sz w:val="24"/>
        </w:rPr>
      </w:pPr>
      <w:r>
        <w:rPr>
          <w:rFonts w:ascii="Times New Roman;serif" w:hAnsi="Times New Roman;serif"/>
          <w:b w:val="false"/>
          <w:sz w:val="20"/>
        </w:rPr>
        <w:t>The $41.8</w:t>
      </w:r>
      <w:r>
        <w:rPr>
          <w:rFonts w:ascii="Times New Roman;serif" w:hAnsi="Times New Roman;serif"/>
          <w:sz w:val="24"/>
        </w:rPr>
        <w:t xml:space="preserve"> </w:t>
      </w:r>
      <w:r>
        <w:rPr>
          <w:rFonts w:ascii="Times New Roman;serif" w:hAnsi="Times New Roman;serif"/>
          <w:b w:val="false"/>
          <w:sz w:val="20"/>
        </w:rPr>
        <w:t xml:space="preserve">million of deferred revenue related to the Astellas Agreement, together with research and development service fees, is expected to be recognized until 2026. </w:t>
      </w:r>
    </w:p>
    <w:p>
      <w:pPr>
        <w:pStyle w:val="TextBody"/>
        <w:spacing w:before="120" w:after="0"/>
        <w:jc w:val="left"/>
        <w:rPr/>
      </w:pPr>
      <w:r>
        <w:rPr/>
        <w:t>•</w:t>
      </w:r>
    </w:p>
    <w:p>
      <w:pPr>
        <w:pStyle w:val="TextBody"/>
        <w:spacing w:before="120" w:after="0"/>
        <w:jc w:val="left"/>
        <w:rPr>
          <w:rFonts w:ascii="Times New Roman;serif" w:hAnsi="Times New Roman;serif"/>
          <w:sz w:val="24"/>
        </w:rPr>
      </w:pPr>
      <w:r>
        <w:rPr>
          <w:rFonts w:ascii="Times New Roman;serif" w:hAnsi="Times New Roman;serif"/>
          <w:b w:val="false"/>
          <w:sz w:val="20"/>
        </w:rPr>
        <w:t>The $161.5</w:t>
      </w:r>
      <w:r>
        <w:rPr>
          <w:rFonts w:ascii="Times New Roman;serif" w:hAnsi="Times New Roman;serif"/>
          <w:sz w:val="24"/>
        </w:rPr>
        <w:t xml:space="preserve"> </w:t>
      </w:r>
      <w:r>
        <w:rPr>
          <w:rFonts w:ascii="Times New Roman;serif" w:hAnsi="Times New Roman;serif"/>
          <w:b w:val="false"/>
          <w:sz w:val="20"/>
        </w:rPr>
        <w:t>million of deferred revenue related to the BMS Agreement is expected to be recognized until 2025.</w:t>
      </w:r>
    </w:p>
    <w:p>
      <w:pPr>
        <w:pStyle w:val="TextBody"/>
        <w:spacing w:before="120" w:after="0"/>
        <w:jc w:val="left"/>
        <w:rPr/>
      </w:pPr>
      <w:r>
        <w:rPr/>
        <w:t>•</w:t>
      </w:r>
    </w:p>
    <w:p>
      <w:pPr>
        <w:pStyle w:val="TextBody"/>
        <w:spacing w:before="120" w:after="0"/>
        <w:jc w:val="left"/>
        <w:rPr>
          <w:rFonts w:ascii="Times New Roman;serif" w:hAnsi="Times New Roman;serif"/>
          <w:sz w:val="24"/>
        </w:rPr>
      </w:pPr>
      <w:r>
        <w:rPr>
          <w:rFonts w:ascii="Times New Roman;serif" w:hAnsi="Times New Roman;serif"/>
          <w:b w:val="false"/>
          <w:sz w:val="20"/>
        </w:rPr>
        <w:t>The $34.3</w:t>
      </w:r>
      <w:r>
        <w:rPr>
          <w:rFonts w:ascii="Times New Roman;serif" w:hAnsi="Times New Roman;serif"/>
          <w:sz w:val="24"/>
        </w:rPr>
        <w:t xml:space="preserve"> </w:t>
      </w:r>
      <w:r>
        <w:rPr>
          <w:rFonts w:ascii="Times New Roman;serif" w:hAnsi="Times New Roman;serif"/>
          <w:b w:val="false"/>
          <w:sz w:val="20"/>
        </w:rPr>
        <w:t>million of deferred revenue related to the Moderna Agreement, together with research and development service fees, is expected to be recognized until</w:t>
      </w:r>
      <w:r>
        <w:rPr>
          <w:rFonts w:ascii="Times New Roman;serif" w:hAnsi="Times New Roman;serif"/>
          <w:sz w:val="24"/>
        </w:rPr>
        <w:t xml:space="preserve"> </w:t>
      </w:r>
      <w:r>
        <w:rPr>
          <w:rFonts w:ascii="Times New Roman;serif" w:hAnsi="Times New Roman;serif"/>
          <w:b w:val="false"/>
          <w:sz w:val="20"/>
        </w:rPr>
        <w:t>2028.</w:t>
      </w:r>
    </w:p>
    <w:p>
      <w:pPr>
        <w:pStyle w:val="TextBody"/>
        <w:spacing w:before="120" w:after="0"/>
        <w:jc w:val="left"/>
        <w:rPr/>
      </w:pPr>
      <w:r>
        <w:rPr/>
        <w:t>•</w:t>
      </w:r>
    </w:p>
    <w:p>
      <w:pPr>
        <w:pStyle w:val="TextBody"/>
        <w:spacing w:before="120" w:after="283"/>
        <w:jc w:val="left"/>
        <w:rPr>
          <w:rFonts w:ascii="Times New Roman;serif" w:hAnsi="Times New Roman;serif"/>
          <w:sz w:val="24"/>
        </w:rPr>
      </w:pPr>
      <w:r>
        <w:rPr>
          <w:rFonts w:ascii="Times New Roman;serif" w:hAnsi="Times New Roman;serif"/>
          <w:b w:val="false"/>
          <w:sz w:val="20"/>
        </w:rPr>
        <w:t>The $29.5</w:t>
      </w:r>
      <w:r>
        <w:rPr>
          <w:rFonts w:ascii="Times New Roman;serif" w:hAnsi="Times New Roman;serif"/>
          <w:sz w:val="24"/>
        </w:rPr>
        <w:t xml:space="preserve"> </w:t>
      </w:r>
      <w:r>
        <w:rPr>
          <w:rFonts w:ascii="Times New Roman;serif" w:hAnsi="Times New Roman;serif"/>
          <w:b w:val="false"/>
          <w:sz w:val="20"/>
        </w:rPr>
        <w:t>million of deferred revenue related to the Regeneron Agreement, together with research and development service fees, is expected to be recognized until 2026.</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Financial Statements (Unaudited)</w:t>
      </w:r>
    </w:p>
    <w:p>
      <w:pPr>
        <w:pStyle w:val="TextBody"/>
        <w:spacing w:before="0" w:after="0"/>
        <w:jc w:val="center"/>
        <w:rPr/>
      </w:pPr>
      <w:r>
        <w:rPr/>
        <w:t> </w:t>
      </w:r>
    </w:p>
    <w:p>
      <w:pPr>
        <w:pStyle w:val="TextBody"/>
        <w:spacing w:before="360" w:after="0"/>
        <w:jc w:val="left"/>
        <w:rPr>
          <w:rFonts w:ascii="Times New Roman" w:hAnsi="Times New Roman"/>
          <w:sz w:val="20"/>
        </w:rPr>
      </w:pPr>
      <w:r>
        <w:rPr>
          <w:rFonts w:ascii="Times New Roman;serif" w:hAnsi="Times New Roman;serif"/>
          <w:b/>
          <w:sz w:val="20"/>
        </w:rPr>
        <w:t>7. Stock-Based Compensation</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Stock Options</w:t>
      </w:r>
    </w:p>
    <w:p>
      <w:pPr>
        <w:pStyle w:val="TextBody"/>
        <w:spacing w:before="120" w:after="0"/>
        <w:jc w:val="left"/>
        <w:rPr>
          <w:rFonts w:ascii="Times New Roman" w:hAnsi="Times New Roman"/>
          <w:sz w:val="20"/>
        </w:rPr>
      </w:pPr>
      <w:r>
        <w:rPr>
          <w:rFonts w:ascii="Times New Roman;serif" w:hAnsi="Times New Roman;serif"/>
          <w:b w:val="false"/>
          <w:sz w:val="20"/>
        </w:rPr>
        <w:t>Activities for the Company’s stock option plans for the three months ended March 31, 2023 were as follows:</w:t>
      </w:r>
      <w:r>
        <w:rPr>
          <w:rFonts w:ascii="Times New Roman" w:hAnsi="Times New Roman"/>
          <w:sz w:val="20"/>
        </w:rPr>
        <w:t xml:space="preserve"> </w:t>
      </w:r>
    </w:p>
    <w:p>
      <w:pPr>
        <w:pStyle w:val="TextBody"/>
        <w:spacing w:before="0" w:after="0"/>
        <w:jc w:val="left"/>
        <w:rPr/>
      </w:pPr>
      <w:r>
        <w:rPr/>
        <w:t> </w:t>
      </w:r>
    </w:p>
    <w:tbl>
      <w:tblPr>
        <w:tblW w:w="5887" w:type="dxa"/>
        <w:jc w:val="left"/>
        <w:tblInd w:w="0" w:type="dxa"/>
        <w:tblCellMar>
          <w:top w:w="28" w:type="dxa"/>
          <w:left w:w="28" w:type="dxa"/>
          <w:bottom w:w="28" w:type="dxa"/>
          <w:right w:w="28" w:type="dxa"/>
        </w:tblCellMar>
      </w:tblPr>
      <w:tblGrid>
        <w:gridCol w:w="2686"/>
        <w:gridCol w:w="146"/>
        <w:gridCol w:w="146"/>
        <w:gridCol w:w="1036"/>
        <w:gridCol w:w="166"/>
        <w:gridCol w:w="146"/>
        <w:gridCol w:w="363"/>
        <w:gridCol w:w="807"/>
        <w:gridCol w:w="39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 Outstanding</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 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 xml:space="preserve">Exercise Price </w:t>
              <w:br/>
              <w:t>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13,289,838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w:t>
            </w:r>
          </w:p>
        </w:tc>
        <w:tc>
          <w:tcPr>
            <w:tcW w:w="391" w:type="dxa"/>
            <w:tcBorders/>
            <w:shd w:fill="auto" w:val="clear"/>
            <w:vAlign w:val="center"/>
          </w:tcPr>
          <w:p>
            <w:pPr>
              <w:pStyle w:val="TableContents"/>
              <w:spacing w:before="0" w:after="0"/>
              <w:ind w:left="0" w:right="0" w:firstLine="200"/>
              <w:jc w:val="left"/>
              <w:rPr/>
            </w:pPr>
            <w:r>
              <w:rPr/>
              <w:t> </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1,151,023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3" w:type="dxa"/>
            <w:tcBorders/>
            <w:shd w:fill="auto" w:val="clear"/>
            <w:vAlign w:val="center"/>
          </w:tcPr>
          <w:p>
            <w:pPr>
              <w:pStyle w:val="TableContents"/>
              <w:spacing w:before="0" w:after="0"/>
              <w:ind w:left="0" w:right="0" w:hanging="0"/>
              <w:jc w:val="left"/>
              <w:rPr/>
            </w:pPr>
            <w:r>
              <w:rPr/>
              <w:t> </w:t>
            </w:r>
          </w:p>
        </w:tc>
        <w:tc>
          <w:tcPr>
            <w:tcW w:w="8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391" w:type="dxa"/>
            <w:tcBorders/>
            <w:shd w:fill="auto" w:val="clear"/>
            <w:vAlign w:val="center"/>
          </w:tcPr>
          <w:p>
            <w:pPr>
              <w:pStyle w:val="TableContents"/>
              <w:spacing w:before="0" w:after="0"/>
              <w:ind w:left="0" w:right="0" w:firstLine="200"/>
              <w:jc w:val="left"/>
              <w:rPr/>
            </w:pPr>
            <w:r>
              <w:rPr/>
              <w:t> </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3" w:type="dxa"/>
            <w:tcBorders/>
            <w:shd w:fill="auto" w:val="clear"/>
            <w:vAlign w:val="center"/>
          </w:tcPr>
          <w:p>
            <w:pPr>
              <w:pStyle w:val="TableContents"/>
              <w:spacing w:before="0" w:after="0"/>
              <w:ind w:left="0" w:right="0" w:hanging="0"/>
              <w:jc w:val="left"/>
              <w:rPr/>
            </w:pPr>
            <w:r>
              <w:rPr/>
              <w:t> </w:t>
            </w:r>
          </w:p>
        </w:tc>
        <w:tc>
          <w:tcPr>
            <w:tcW w:w="8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 forfeited/expired</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(307,176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63" w:type="dxa"/>
            <w:tcBorders/>
            <w:shd w:fill="auto" w:val="clear"/>
            <w:vAlign w:val="center"/>
          </w:tcPr>
          <w:p>
            <w:pPr>
              <w:pStyle w:val="TableContents"/>
              <w:spacing w:before="0" w:after="0"/>
              <w:ind w:left="0" w:right="0" w:hanging="0"/>
              <w:jc w:val="left"/>
              <w:rPr/>
            </w:pPr>
            <w:r>
              <w:rPr/>
              <w:t> </w:t>
            </w:r>
          </w:p>
        </w:tc>
        <w:tc>
          <w:tcPr>
            <w:tcW w:w="8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w:t>
            </w:r>
          </w:p>
        </w:tc>
        <w:tc>
          <w:tcPr>
            <w:tcW w:w="39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14,133,685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39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recorded $1.9</w:t>
      </w:r>
      <w:r>
        <w:rPr>
          <w:rFonts w:ascii="Times New Roman" w:hAnsi="Times New Roman"/>
          <w:sz w:val="20"/>
        </w:rPr>
        <w:t xml:space="preserve"> </w:t>
      </w:r>
      <w:r>
        <w:rPr>
          <w:rFonts w:ascii="Times New Roman;serif" w:hAnsi="Times New Roman;serif"/>
          <w:b w:val="false"/>
          <w:sz w:val="20"/>
        </w:rPr>
        <w:t>million and $2.9</w:t>
      </w:r>
      <w:r>
        <w:rPr>
          <w:rFonts w:ascii="Times New Roman" w:hAnsi="Times New Roman"/>
          <w:sz w:val="20"/>
        </w:rPr>
        <w:t xml:space="preserve"> </w:t>
      </w:r>
      <w:r>
        <w:rPr>
          <w:rFonts w:ascii="Times New Roman;serif" w:hAnsi="Times New Roman;serif"/>
          <w:b w:val="false"/>
          <w:sz w:val="20"/>
        </w:rPr>
        <w:t>million of stock-based compensation expense related to the stock option plans for the three months end March 31, 2023 and 2022, respectively.</w:t>
      </w:r>
    </w:p>
    <w:p>
      <w:pPr>
        <w:pStyle w:val="TextBody"/>
        <w:spacing w:before="360" w:after="0"/>
        <w:jc w:val="left"/>
        <w:rPr>
          <w:rFonts w:ascii="Times New Roman;serif" w:hAnsi="Times New Roman;serif"/>
          <w:b/>
          <w:i/>
          <w:sz w:val="20"/>
        </w:rPr>
      </w:pPr>
      <w:r>
        <w:rPr>
          <w:rFonts w:ascii="Times New Roman;serif" w:hAnsi="Times New Roman;serif"/>
          <w:b/>
          <w:i/>
          <w:sz w:val="20"/>
        </w:rPr>
        <w:t>Time-based RSUs ("TRSU")</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Activities for the Company’s TRSUs for the three months ended March 31, 2023 were as follows:</w:t>
      </w:r>
    </w:p>
    <w:p>
      <w:pPr>
        <w:pStyle w:val="TextBody"/>
        <w:spacing w:before="0" w:after="0"/>
        <w:jc w:val="left"/>
        <w:rPr/>
      </w:pPr>
      <w:r>
        <w:rPr/>
        <w:t> </w:t>
      </w:r>
    </w:p>
    <w:tbl>
      <w:tblPr>
        <w:tblW w:w="8542" w:type="dxa"/>
        <w:jc w:val="left"/>
        <w:tblInd w:w="0" w:type="dxa"/>
        <w:tblCellMar>
          <w:top w:w="28" w:type="dxa"/>
          <w:left w:w="28" w:type="dxa"/>
          <w:bottom w:w="28" w:type="dxa"/>
          <w:right w:w="28" w:type="dxa"/>
        </w:tblCellMar>
      </w:tblPr>
      <w:tblGrid>
        <w:gridCol w:w="2686"/>
        <w:gridCol w:w="146"/>
        <w:gridCol w:w="146"/>
        <w:gridCol w:w="931"/>
        <w:gridCol w:w="166"/>
        <w:gridCol w:w="146"/>
        <w:gridCol w:w="1224"/>
        <w:gridCol w:w="2706"/>
        <w:gridCol w:w="39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70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 Fair Value 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0"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1,212,884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391" w:type="dxa"/>
            <w:tcBorders/>
            <w:shd w:fill="auto" w:val="clear"/>
            <w:vAlign w:val="center"/>
          </w:tcPr>
          <w:p>
            <w:pPr>
              <w:pStyle w:val="TableContents"/>
              <w:spacing w:before="0" w:after="0"/>
              <w:ind w:left="0" w:right="0" w:firstLine="200"/>
              <w:jc w:val="left"/>
              <w:rPr/>
            </w:pPr>
            <w:r>
              <w:rPr/>
              <w:t> </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RSU's awarded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597,767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left"/>
              <w:rPr/>
            </w:pPr>
            <w:r>
              <w:rPr/>
              <w:t> </w:t>
            </w:r>
          </w:p>
        </w:tc>
        <w:tc>
          <w:tcPr>
            <w:tcW w:w="2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391" w:type="dxa"/>
            <w:tcBorders/>
            <w:shd w:fill="auto" w:val="clear"/>
            <w:vAlign w:val="center"/>
          </w:tcPr>
          <w:p>
            <w:pPr>
              <w:pStyle w:val="TableContents"/>
              <w:spacing w:before="0" w:after="0"/>
              <w:ind w:left="0" w:right="0" w:firstLine="200"/>
              <w:jc w:val="left"/>
              <w:rPr/>
            </w:pPr>
            <w:r>
              <w:rPr/>
              <w:t> </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RSU's 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(110,892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left"/>
              <w:rPr/>
            </w:pPr>
            <w:r>
              <w:rPr/>
              <w:t> </w:t>
            </w:r>
          </w:p>
        </w:tc>
        <w:tc>
          <w:tcPr>
            <w:tcW w:w="2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w:t>
            </w:r>
          </w:p>
        </w:tc>
        <w:tc>
          <w:tcPr>
            <w:tcW w:w="391" w:type="dxa"/>
            <w:tcBorders/>
            <w:shd w:fill="auto" w:val="clear"/>
            <w:vAlign w:val="center"/>
          </w:tcPr>
          <w:p>
            <w:pPr>
              <w:pStyle w:val="TableContents"/>
              <w:spacing w:before="0" w:after="0"/>
              <w:ind w:left="0" w:right="0" w:firstLine="200"/>
              <w:jc w:val="left"/>
              <w:rPr/>
            </w:pPr>
            <w:r>
              <w:rPr/>
              <w:t> </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RSU's 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left"/>
              <w:rPr/>
            </w:pPr>
            <w:r>
              <w:rPr/>
              <w:t> </w:t>
            </w:r>
          </w:p>
        </w:tc>
        <w:tc>
          <w:tcPr>
            <w:tcW w:w="2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w:t>
            </w:r>
          </w:p>
        </w:tc>
        <w:tc>
          <w:tcPr>
            <w:tcW w:w="39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1,692,818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recorded $0.4</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of stock-based compensation expense related to the TRSUs for the three months end March 31, 2023 and 2022, respectively.</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Performance-based RSUs ("PSUs")</w:t>
      </w:r>
    </w:p>
    <w:p>
      <w:pPr>
        <w:pStyle w:val="TextBody"/>
        <w:spacing w:before="120" w:after="0"/>
        <w:jc w:val="left"/>
        <w:rPr>
          <w:rFonts w:ascii="Times New Roman" w:hAnsi="Times New Roman"/>
          <w:sz w:val="20"/>
        </w:rPr>
      </w:pPr>
      <w:r>
        <w:rPr>
          <w:rFonts w:ascii="Times New Roman;serif" w:hAnsi="Times New Roman;serif"/>
          <w:b w:val="false"/>
          <w:sz w:val="20"/>
        </w:rPr>
        <w:t>In October 2021, the Company granted 435,000</w:t>
      </w:r>
      <w:r>
        <w:rPr>
          <w:rFonts w:ascii="Times New Roman" w:hAnsi="Times New Roman"/>
          <w:sz w:val="20"/>
        </w:rPr>
        <w:t xml:space="preserve"> </w:t>
      </w:r>
      <w:r>
        <w:rPr>
          <w:rFonts w:ascii="Times New Roman;serif" w:hAnsi="Times New Roman;serif"/>
          <w:b w:val="false"/>
          <w:sz w:val="20"/>
        </w:rPr>
        <w:t>PSUs to executive employees with an aggregated grant date fair value of $2.3</w:t>
      </w:r>
      <w:r>
        <w:rPr>
          <w:rFonts w:ascii="Times New Roman" w:hAnsi="Times New Roman"/>
          <w:sz w:val="20"/>
        </w:rPr>
        <w:t xml:space="preserve"> </w:t>
      </w:r>
      <w:r>
        <w:rPr>
          <w:rFonts w:ascii="Times New Roman;serif" w:hAnsi="Times New Roman;serif"/>
          <w:b w:val="false"/>
          <w:sz w:val="20"/>
        </w:rPr>
        <w:t>million. Vesting for 50% of the PSUs granted will occur within one year of the grant date upon achievement of certain specific milestones ("2021-Tranche 1") and the remaining 50% will vest within two years of the grant date upon achievement of additional company objectives ("2021-Tranche 2").</w:t>
      </w:r>
    </w:p>
    <w:p>
      <w:pPr>
        <w:pStyle w:val="TextBody"/>
        <w:spacing w:before="0" w:after="0"/>
        <w:jc w:val="left"/>
        <w:rPr>
          <w:rFonts w:ascii="Times New Roman" w:hAnsi="Times New Roman"/>
          <w:sz w:val="20"/>
        </w:rPr>
      </w:pPr>
      <w:r>
        <w:rPr>
          <w:rFonts w:ascii="Times New Roman;serif" w:hAnsi="Times New Roman;serif"/>
          <w:b w:val="false"/>
          <w:sz w:val="20"/>
        </w:rPr>
        <w:t>In July 2022, the Company determined that the performance condition for 2021-Tranche 1 was met and recorded $1.0</w:t>
      </w:r>
      <w:r>
        <w:rPr>
          <w:rFonts w:ascii="Times New Roman" w:hAnsi="Times New Roman"/>
          <w:sz w:val="20"/>
        </w:rPr>
        <w:t xml:space="preserve"> </w:t>
      </w:r>
      <w:r>
        <w:rPr>
          <w:rFonts w:ascii="Times New Roman;serif" w:hAnsi="Times New Roman;serif"/>
          <w:b w:val="false"/>
          <w:sz w:val="20"/>
        </w:rPr>
        <w:t>million of stock-based compensation expense for the year ended December 31, 2022. As the achievement of the milestones for Tranche 2 was not considered probable, no</w:t>
      </w:r>
      <w:r>
        <w:rPr>
          <w:rFonts w:ascii="Times New Roman" w:hAnsi="Times New Roman"/>
          <w:sz w:val="20"/>
        </w:rPr>
        <w:t xml:space="preserve"> </w:t>
      </w:r>
      <w:r>
        <w:rPr>
          <w:rFonts w:ascii="Times New Roman;serif" w:hAnsi="Times New Roman;serif"/>
          <w:b w:val="false"/>
          <w:sz w:val="20"/>
        </w:rPr>
        <w:t>compensation cost was recorded for 2021-Tranche 2 of these awards through March 31, 2023.</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In August 2022, the Company granted 250,000</w:t>
      </w:r>
      <w:r>
        <w:rPr>
          <w:rFonts w:ascii="Times New Roman" w:hAnsi="Times New Roman"/>
          <w:sz w:val="20"/>
        </w:rPr>
        <w:t xml:space="preserve"> </w:t>
      </w:r>
      <w:r>
        <w:rPr>
          <w:rFonts w:ascii="Times New Roman;serif" w:hAnsi="Times New Roman;serif"/>
          <w:b w:val="false"/>
          <w:sz w:val="20"/>
        </w:rPr>
        <w:t>PSUs to executive employees with an aggregated grant date fair value of approximately $0.4</w:t>
      </w:r>
      <w:r>
        <w:rPr>
          <w:rFonts w:ascii="Times New Roman" w:hAnsi="Times New Roman"/>
          <w:sz w:val="20"/>
        </w:rPr>
        <w:t xml:space="preserve"> </w:t>
      </w:r>
      <w:r>
        <w:rPr>
          <w:rFonts w:ascii="Times New Roman;serif" w:hAnsi="Times New Roman;serif"/>
          <w:b w:val="false"/>
          <w:sz w:val="20"/>
        </w:rPr>
        <w:t>million. Vesting for 50% of the PSUs granted will occur upon attaining certain specific milestones by December 2023 (“2022-Tranche 1”), and the remaining 50% will vest upon attaining certain specific milestones by December 2024 (“2022-Tranche 2”).</w:t>
      </w:r>
      <w:r>
        <w:rPr>
          <w:rFonts w:ascii="Times New Roman" w:hAnsi="Times New Roman"/>
          <w:sz w:val="20"/>
        </w:rPr>
        <w:t xml:space="preserve"> </w:t>
      </w:r>
      <w:r>
        <w:rPr>
          <w:rFonts w:ascii="Times New Roman;serif" w:hAnsi="Times New Roman;serif"/>
          <w:b w:val="false"/>
          <w:sz w:val="20"/>
        </w:rPr>
        <w:t>As of December 31, 2022, and March 31, 2023, the Company determined that it is probable that the performance conditions for 2022-Tranche 1 will be satisfied and hence recorded $55,000</w:t>
      </w:r>
      <w:r>
        <w:rPr>
          <w:rFonts w:ascii="Times New Roman" w:hAnsi="Times New Roman"/>
          <w:sz w:val="20"/>
        </w:rPr>
        <w:t xml:space="preserve"> </w:t>
      </w:r>
      <w:r>
        <w:rPr>
          <w:rFonts w:ascii="Times New Roman;serif" w:hAnsi="Times New Roman;serif"/>
          <w:b w:val="false"/>
          <w:sz w:val="20"/>
        </w:rPr>
        <w:t>and $29,000</w:t>
      </w:r>
      <w:r>
        <w:rPr>
          <w:rFonts w:ascii="Times New Roman" w:hAnsi="Times New Roman"/>
          <w:sz w:val="20"/>
        </w:rPr>
        <w:t xml:space="preserve"> </w:t>
      </w:r>
      <w:r>
        <w:rPr>
          <w:rFonts w:ascii="Times New Roman;serif" w:hAnsi="Times New Roman;serif"/>
          <w:b w:val="false"/>
          <w:sz w:val="20"/>
        </w:rPr>
        <w:t>compensation cost, respectively, for those awards for the year ended December 31, 2022 and for the three months ended March 31, 2023. As of December 31, 2022 and March 31, 2023, the Company determined that it is not probable that the performance conditions for 2022-Tranche 2 will be satisfied and hence recorded no compensation cost for those awards through March 31, 2023.</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Financial Statements (Unaudited)</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February 2023, the Company granted 710,000</w:t>
      </w:r>
      <w:r>
        <w:rPr>
          <w:rFonts w:ascii="Times New Roman" w:hAnsi="Times New Roman"/>
          <w:sz w:val="20"/>
        </w:rPr>
        <w:t xml:space="preserve"> </w:t>
      </w:r>
      <w:r>
        <w:rPr>
          <w:rFonts w:ascii="Times New Roman;serif" w:hAnsi="Times New Roman;serif"/>
          <w:b w:val="false"/>
          <w:sz w:val="20"/>
        </w:rPr>
        <w:t>PSUs to executive employees with an aggregated grant date fair value of approximately $1.8</w:t>
      </w:r>
      <w:r>
        <w:rPr>
          <w:rFonts w:ascii="Times New Roman" w:hAnsi="Times New Roman"/>
          <w:sz w:val="20"/>
        </w:rPr>
        <w:t xml:space="preserve"> </w:t>
      </w:r>
      <w:r>
        <w:rPr>
          <w:rFonts w:ascii="Times New Roman;serif" w:hAnsi="Times New Roman;serif"/>
          <w:b w:val="false"/>
          <w:sz w:val="20"/>
        </w:rPr>
        <w:t>million. Vesting for 50% of the PSUs granted will occur upon attaining certain specific milestones by December 2024 (“2023-Tranche 1”), and the remaining 50% will vest upon attaining certain specific milestones by December 2025 (“2023-Tranche 2”).</w:t>
      </w:r>
      <w:r>
        <w:rPr>
          <w:rFonts w:ascii="Times New Roman" w:hAnsi="Times New Roman"/>
          <w:sz w:val="20"/>
        </w:rPr>
        <w:t xml:space="preserve"> </w:t>
      </w:r>
      <w:r>
        <w:rPr>
          <w:rFonts w:ascii="Times New Roman;serif" w:hAnsi="Times New Roman;serif"/>
          <w:b w:val="false"/>
          <w:sz w:val="20"/>
        </w:rPr>
        <w:t>The Company determined that it is not probable that the performance conditions will be satisfied for each of these tranches and hence no compensation cost was recorded for these awards through March 31, 2023.</w:t>
      </w:r>
    </w:p>
    <w:p>
      <w:pPr>
        <w:pStyle w:val="TextBody"/>
        <w:spacing w:before="240" w:after="0"/>
        <w:jc w:val="left"/>
        <w:rPr>
          <w:rFonts w:ascii="Times New Roman" w:hAnsi="Times New Roman"/>
          <w:sz w:val="20"/>
        </w:rPr>
      </w:pPr>
      <w:r>
        <w:rPr>
          <w:rFonts w:ascii="Times New Roman;serif" w:hAnsi="Times New Roman;serif"/>
          <w:b w:val="false"/>
          <w:sz w:val="20"/>
        </w:rPr>
        <w:t>Activities for the Company’s PSUs for the three months ended March 31, 2023 were as follows:</w:t>
      </w:r>
      <w:r>
        <w:rPr>
          <w:rFonts w:ascii="Times New Roman" w:hAnsi="Times New Roman"/>
          <w:sz w:val="20"/>
        </w:rPr>
        <w:t xml:space="preserve"> </w:t>
      </w:r>
    </w:p>
    <w:p>
      <w:pPr>
        <w:pStyle w:val="TextBody"/>
        <w:spacing w:before="0" w:after="0"/>
        <w:jc w:val="left"/>
        <w:rPr/>
      </w:pPr>
      <w:r>
        <w:rPr/>
        <w:t> </w:t>
      </w:r>
    </w:p>
    <w:tbl>
      <w:tblPr>
        <w:tblW w:w="8542" w:type="dxa"/>
        <w:jc w:val="left"/>
        <w:tblInd w:w="0" w:type="dxa"/>
        <w:tblCellMar>
          <w:top w:w="28" w:type="dxa"/>
          <w:left w:w="28" w:type="dxa"/>
          <w:bottom w:w="28" w:type="dxa"/>
          <w:right w:w="28" w:type="dxa"/>
        </w:tblCellMar>
      </w:tblPr>
      <w:tblGrid>
        <w:gridCol w:w="2686"/>
        <w:gridCol w:w="146"/>
        <w:gridCol w:w="146"/>
        <w:gridCol w:w="931"/>
        <w:gridCol w:w="166"/>
        <w:gridCol w:w="146"/>
        <w:gridCol w:w="1224"/>
        <w:gridCol w:w="2706"/>
        <w:gridCol w:w="39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70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 Fair Value 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0"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383,750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391" w:type="dxa"/>
            <w:tcBorders/>
            <w:shd w:fill="auto" w:val="clear"/>
            <w:vAlign w:val="center"/>
          </w:tcPr>
          <w:p>
            <w:pPr>
              <w:pStyle w:val="TableContents"/>
              <w:spacing w:before="0" w:after="0"/>
              <w:ind w:left="0" w:right="0" w:firstLine="200"/>
              <w:jc w:val="left"/>
              <w:rPr/>
            </w:pPr>
            <w:r>
              <w:rPr/>
              <w:t> </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PSU's awarded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left"/>
              <w:rPr/>
            </w:pPr>
            <w:r>
              <w:rPr/>
              <w:t> </w:t>
            </w:r>
          </w:p>
        </w:tc>
        <w:tc>
          <w:tcPr>
            <w:tcW w:w="2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391" w:type="dxa"/>
            <w:tcBorders/>
            <w:shd w:fill="auto" w:val="clear"/>
            <w:vAlign w:val="center"/>
          </w:tcPr>
          <w:p>
            <w:pPr>
              <w:pStyle w:val="TableContents"/>
              <w:spacing w:before="0" w:after="0"/>
              <w:ind w:left="0" w:right="0" w:firstLine="200"/>
              <w:jc w:val="left"/>
              <w:rPr/>
            </w:pPr>
            <w:r>
              <w:rPr/>
              <w:t> </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PSU's 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left"/>
              <w:rPr/>
            </w:pPr>
            <w:r>
              <w:rPr/>
              <w:t> </w:t>
            </w:r>
          </w:p>
        </w:tc>
        <w:tc>
          <w:tcPr>
            <w:tcW w:w="2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PSU's 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left"/>
              <w:rPr/>
            </w:pPr>
            <w:r>
              <w:rPr/>
              <w:t> </w:t>
            </w:r>
          </w:p>
        </w:tc>
        <w:tc>
          <w:tcPr>
            <w:tcW w:w="2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39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1,080,000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Stock-based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stock-based compensation recorded was as follows:</w:t>
      </w:r>
    </w:p>
    <w:tbl>
      <w:tblPr>
        <w:tblW w:w="6044" w:type="dxa"/>
        <w:jc w:val="left"/>
        <w:tblInd w:w="0" w:type="dxa"/>
        <w:tblCellMar>
          <w:top w:w="28" w:type="dxa"/>
          <w:left w:w="28" w:type="dxa"/>
          <w:bottom w:w="28" w:type="dxa"/>
          <w:right w:w="28" w:type="dxa"/>
        </w:tblCellMar>
      </w:tblPr>
      <w:tblGrid>
        <w:gridCol w:w="3451"/>
        <w:gridCol w:w="146"/>
        <w:gridCol w:w="211"/>
        <w:gridCol w:w="571"/>
        <w:gridCol w:w="146"/>
        <w:gridCol w:w="146"/>
        <w:gridCol w:w="211"/>
        <w:gridCol w:w="571"/>
        <w:gridCol w:w="5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5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1,605</w:t>
            </w:r>
          </w:p>
        </w:tc>
        <w:tc>
          <w:tcPr>
            <w:tcW w:w="591" w:type="dxa"/>
            <w:tcBorders/>
            <w:shd w:fill="auto" w:val="cle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4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3,370</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8. Commitments and Contingencies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Legal Proceedings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On March 4, 2020, Vytacera Bio, LLC</w:t>
      </w:r>
      <w:r>
        <w:rPr>
          <w:rFonts w:ascii="Times New Roman" w:hAnsi="Times New Roman"/>
          <w:sz w:val="20"/>
        </w:rPr>
        <w:t xml:space="preserve"> </w:t>
      </w:r>
      <w:r>
        <w:rPr>
          <w:rFonts w:ascii="Times New Roman;serif" w:hAnsi="Times New Roman;serif"/>
          <w:b w:val="false"/>
          <w:sz w:val="20"/>
        </w:rPr>
        <w:t>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In September 2022, the Company filed a motion to dismiss the case and the Court granted the parties’ stipulation to stay all pending case deadlines until that motion is finally resolved. The Company believes that the lawsuit is without merit and intends to vigorously defend itself. The Company does not believe a loss is probable and has not recorded any amount as a contingent liability for claims associated with this lawsuit as of March 31, 2023.</w:t>
      </w:r>
    </w:p>
    <w:p>
      <w:pPr>
        <w:pStyle w:val="TextBody"/>
        <w:spacing w:before="360" w:after="0"/>
        <w:jc w:val="left"/>
        <w:rPr>
          <w:rFonts w:ascii="Times New Roman;serif" w:hAnsi="Times New Roman;serif"/>
          <w:b/>
          <w:sz w:val="20"/>
        </w:rPr>
      </w:pPr>
      <w:r>
        <w:rPr>
          <w:rFonts w:ascii="Times New Roman;serif" w:hAnsi="Times New Roman;serif"/>
          <w:b/>
          <w:sz w:val="20"/>
        </w:rPr>
        <w:t>9. Income Taxes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maintains a full valuation allowance against its net deferred tax assets due to the Company’s history of losses as of March 31, 2023 and December 31, 2022</w:t>
      </w:r>
      <w:r>
        <w:rPr>
          <w:rFonts w:ascii="Times New Roman;serif" w:hAnsi="Times New Roman;serif"/>
          <w:b w:val="false"/>
          <w:i/>
          <w:sz w:val="20"/>
        </w:rPr>
        <w:t>.</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Company files income taxes in the U.S. federal jurisdiction, the state of California and various other U.S. states. The Company is currently under examination by the state of California for the years 2017 and 2018. The examination contests the Company’s tax position on revenue apportionment for upfront and milestone payments resulting from the Company’s collaboration and licensing agreements. As of the date of this filing, the state of California has not proposed adjustments to the tax returns. Due to the ongoing nature of the examination and discussions with the state of California, the Company is unable to estimate a date by which this matter will be resolved or reasonably estimate the potential impact should the tax position be revised. Based on the Company's current expectations and understanding of the reasonably possible outcomes, the Company does not anticipate that the resolution of this matter would result in a material impact on its financial position or results of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CytomX Therapeutics, Inc.</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Financial Statements (Unaudited)</w:t>
      </w:r>
    </w:p>
    <w:p>
      <w:pPr>
        <w:pStyle w:val="TextBody"/>
        <w:spacing w:before="0" w:after="0"/>
        <w:jc w:val="center"/>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10. Restructuring</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On July 13, 2022, the Company announced a restructuring plan to prioritize its resources on its emerging pre-clinical and early clinical pipeline as well as its existing collaboration partnerships. The restructuring plan resulted in a reduction to its workforce of approximately 40%. Restructuring costs of $2.4</w:t>
      </w:r>
      <w:r>
        <w:rPr>
          <w:rFonts w:ascii="Times New Roman" w:hAnsi="Times New Roman"/>
          <w:sz w:val="20"/>
        </w:rPr>
        <w:t xml:space="preserve"> </w:t>
      </w:r>
      <w:r>
        <w:rPr>
          <w:rFonts w:ascii="Times New Roman;serif" w:hAnsi="Times New Roman;serif"/>
          <w:b w:val="false"/>
          <w:sz w:val="20"/>
        </w:rPr>
        <w:t>million and $5.1</w:t>
      </w:r>
      <w:r>
        <w:rPr>
          <w:rFonts w:ascii="Times New Roman" w:hAnsi="Times New Roman"/>
          <w:sz w:val="20"/>
        </w:rPr>
        <w:t xml:space="preserve"> </w:t>
      </w:r>
      <w:r>
        <w:rPr>
          <w:rFonts w:ascii="Times New Roman;serif" w:hAnsi="Times New Roman;serif"/>
          <w:b w:val="false"/>
          <w:sz w:val="20"/>
        </w:rPr>
        <w:t>million were recorded in general and administrative expense and research and development expense, respectively, in the third and fourth quarters of 2022. The restructuring was substantially complete as of December 31,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is a summary of accrued restructuring costs as of March 31, 2023 (in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280"/>
        <w:gridCol w:w="146"/>
        <w:gridCol w:w="487"/>
        <w:gridCol w:w="1459"/>
        <w:gridCol w:w="166"/>
        <w:gridCol w:w="146"/>
        <w:gridCol w:w="571"/>
        <w:gridCol w:w="1308"/>
        <w:gridCol w:w="166"/>
        <w:gridCol w:w="146"/>
        <w:gridCol w:w="1052"/>
        <w:gridCol w:w="829"/>
        <w:gridCol w:w="146"/>
        <w:gridCol w:w="146"/>
        <w:gridCol w:w="211"/>
        <w:gridCol w:w="631"/>
        <w:gridCol w:w="315"/>
      </w:tblGrid>
      <w:tr>
        <w:trPr/>
        <w:tc>
          <w:tcPr>
            <w:tcW w:w="22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4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79"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8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center"/>
              <w:rPr/>
            </w:pPr>
            <w:r>
              <w:rPr/>
              <w:t> </w:t>
            </w:r>
          </w:p>
        </w:tc>
      </w:tr>
      <w:tr>
        <w:trPr/>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Severance and Benefits Costs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Contract Termination Cost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 Based Compensation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315" w:type="dxa"/>
            <w:tcBorders/>
            <w:shd w:fill="auto" w:val="clear"/>
            <w:vAlign w:val="center"/>
          </w:tcPr>
          <w:p>
            <w:pPr>
              <w:pStyle w:val="TableContents"/>
              <w:spacing w:before="0" w:after="0"/>
              <w:ind w:left="0" w:right="0" w:hanging="0"/>
              <w:jc w:val="left"/>
              <w:rPr/>
            </w:pPr>
            <w:r>
              <w:rPr/>
              <w:t> </w:t>
            </w:r>
          </w:p>
        </w:tc>
      </w:tr>
      <w:tr>
        <w:trPr/>
        <w:tc>
          <w:tcPr>
            <w:tcW w:w="228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Cash payment</w:t>
            </w:r>
          </w:p>
        </w:tc>
        <w:tc>
          <w:tcPr>
            <w:tcW w:w="146"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left"/>
              <w:rPr/>
            </w:pPr>
            <w:r>
              <w:rPr/>
              <w:t> </w:t>
            </w:r>
          </w:p>
        </w:tc>
        <w:tc>
          <w:tcPr>
            <w:tcW w:w="14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3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88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(1,425</w:t>
            </w:r>
          </w:p>
        </w:tc>
        <w:tc>
          <w:tcPr>
            <w:tcW w:w="315"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28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estimates</w:t>
            </w:r>
          </w:p>
        </w:tc>
        <w:tc>
          <w:tcPr>
            <w:tcW w:w="146" w:type="dxa"/>
            <w:tcBorders/>
            <w:shd w:fill="auto" w:val="clear"/>
            <w:vAlign w:val="center"/>
          </w:tcPr>
          <w:p>
            <w:pPr>
              <w:pStyle w:val="TableContents"/>
              <w:spacing w:before="0" w:after="0"/>
              <w:ind w:left="0" w:right="0" w:hanging="0"/>
              <w:jc w:val="left"/>
              <w:rPr/>
            </w:pPr>
            <w:r>
              <w:rPr/>
              <w:t> </w:t>
            </w:r>
          </w:p>
        </w:tc>
        <w:tc>
          <w:tcPr>
            <w:tcW w:w="4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0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4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11. Lease</w:t>
      </w:r>
      <w:r>
        <w:rPr>
          <w:rFonts w:ascii="Times New Roman;serif" w:hAnsi="Times New Roman;serif"/>
          <w:b w:val="false"/>
          <w:sz w:val="20"/>
        </w:rPr>
        <w: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Sublease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has a lease of office and laboratory space located in South San Francisco, California for the Company’s corporate headquarters (the “2016 Lease”). The 2016 Lease has an initial term of ten years</w:t>
      </w:r>
      <w:r>
        <w:rPr>
          <w:rFonts w:ascii="Times New Roman;serif" w:hAnsi="Times New Roman;serif"/>
          <w:sz w:val="20"/>
        </w:rPr>
        <w:t xml:space="preserve"> </w:t>
      </w:r>
      <w:r>
        <w:rPr>
          <w:rFonts w:ascii="Times New Roman;serif" w:hAnsi="Times New Roman;serif"/>
          <w:b w:val="false"/>
          <w:sz w:val="20"/>
        </w:rPr>
        <w:t>through 2026 and the Company has an option to extend the initial term for an additional five years</w:t>
      </w:r>
      <w:r>
        <w:rPr>
          <w:rFonts w:ascii="Times New Roman;serif" w:hAnsi="Times New Roman;serif"/>
          <w:sz w:val="20"/>
        </w:rPr>
        <w:t xml:space="preserve"> </w:t>
      </w:r>
      <w:r>
        <w:rPr>
          <w:rFonts w:ascii="Times New Roman;serif" w:hAnsi="Times New Roman;serif"/>
          <w:b w:val="false"/>
          <w:sz w:val="20"/>
        </w:rPr>
        <w:t>at the then fair rental value as determined pursuant to the 2016 Lease.</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In March 2023, the Company entered into a sublease agreement for a portion of its existing office and laboratory space. The sublease is classified as an operating lease whereby sublease income is recognized on a straight-line basis over the sublease term that expires on September 30, 2026. For the three months ended March 31, 2023, sublease income was immaterial.</w:t>
      </w:r>
      <w:r>
        <w:rPr>
          <w:rFonts w:ascii="Times New Roman" w:hAnsi="Times New Roman"/>
          <w:sz w:val="20"/>
        </w:rPr>
        <w:t xml:space="preserve"> </w:t>
      </w:r>
    </w:p>
    <w:p>
      <w:pPr>
        <w:pStyle w:val="TextBody"/>
        <w:spacing w:before="0" w:after="0"/>
        <w:jc w:val="left"/>
        <w:rPr/>
      </w:pPr>
      <w:r>
        <w:rPr/>
        <w:t> </w:t>
      </w:r>
    </w:p>
    <w:tbl>
      <w:tblPr>
        <w:tblW w:w="4507" w:type="dxa"/>
        <w:jc w:val="left"/>
        <w:tblInd w:w="0" w:type="dxa"/>
        <w:tblCellMar>
          <w:top w:w="28" w:type="dxa"/>
          <w:left w:w="28" w:type="dxa"/>
          <w:bottom w:w="28" w:type="dxa"/>
          <w:right w:w="28" w:type="dxa"/>
        </w:tblCellMar>
      </w:tblPr>
      <w:tblGrid>
        <w:gridCol w:w="2956"/>
        <w:gridCol w:w="340"/>
        <w:gridCol w:w="920"/>
        <w:gridCol w:w="291"/>
      </w:tblGrid>
      <w:tr>
        <w:trPr/>
        <w:tc>
          <w:tcPr>
            <w:tcW w:w="295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91"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Future sublease income payments</w:t>
            </w:r>
          </w:p>
        </w:tc>
        <w:tc>
          <w:tcPr>
            <w:tcW w:w="1260" w:type="dxa"/>
            <w:gridSpan w:val="2"/>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firstLine="100"/>
              <w:jc w:val="center"/>
              <w:rPr/>
            </w:pPr>
            <w:r>
              <w:rPr/>
              <w:t> </w:t>
            </w:r>
          </w:p>
        </w:tc>
      </w:tr>
      <w:tr>
        <w:trPr/>
        <w:tc>
          <w:tcPr>
            <w:tcW w:w="29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974</w:t>
            </w:r>
          </w:p>
        </w:tc>
        <w:tc>
          <w:tcPr>
            <w:tcW w:w="291" w:type="dxa"/>
            <w:tcBorders/>
            <w:shd w:fill="auto" w:val="clear"/>
            <w:vAlign w:val="center"/>
          </w:tcPr>
          <w:p>
            <w:pPr>
              <w:pStyle w:val="TableContents"/>
              <w:spacing w:before="0" w:after="0"/>
              <w:ind w:left="0" w:right="0" w:firstLine="100"/>
              <w:jc w:val="left"/>
              <w:rPr/>
            </w:pPr>
            <w:r>
              <w:rPr/>
              <w:t> </w:t>
            </w:r>
          </w:p>
        </w:tc>
      </w:tr>
      <w:tr>
        <w:trPr/>
        <w:tc>
          <w:tcPr>
            <w:tcW w:w="29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2024</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1,333</w:t>
            </w:r>
          </w:p>
        </w:tc>
        <w:tc>
          <w:tcPr>
            <w:tcW w:w="291" w:type="dxa"/>
            <w:tcBorders/>
            <w:shd w:fill="auto" w:val="clear"/>
            <w:vAlign w:val="center"/>
          </w:tcPr>
          <w:p>
            <w:pPr>
              <w:pStyle w:val="TableContents"/>
              <w:spacing w:before="0" w:after="0"/>
              <w:ind w:left="0" w:right="0" w:firstLine="100"/>
              <w:jc w:val="left"/>
              <w:rPr/>
            </w:pPr>
            <w:r>
              <w:rPr/>
              <w:t> </w:t>
            </w:r>
          </w:p>
        </w:tc>
      </w:tr>
      <w:tr>
        <w:trPr/>
        <w:tc>
          <w:tcPr>
            <w:tcW w:w="29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2025</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1,379</w:t>
            </w:r>
          </w:p>
        </w:tc>
        <w:tc>
          <w:tcPr>
            <w:tcW w:w="291" w:type="dxa"/>
            <w:tcBorders/>
            <w:shd w:fill="auto" w:val="clear"/>
            <w:vAlign w:val="center"/>
          </w:tcPr>
          <w:p>
            <w:pPr>
              <w:pStyle w:val="TableContents"/>
              <w:spacing w:before="0" w:after="0"/>
              <w:ind w:left="0" w:right="0" w:firstLine="100"/>
              <w:jc w:val="left"/>
              <w:rPr/>
            </w:pPr>
            <w:r>
              <w:rPr/>
              <w:t> </w:t>
            </w:r>
          </w:p>
        </w:tc>
      </w:tr>
      <w:tr>
        <w:trPr/>
        <w:tc>
          <w:tcPr>
            <w:tcW w:w="29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2026</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1,067</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9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sublease income payments</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4,753</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8" w:name="managements_discussion_and_analysis"/>
      <w:bookmarkEnd w:id="8"/>
      <w:r>
        <w:rPr>
          <w:rFonts w:ascii="Times New Roman;serif" w:hAnsi="Times New Roman;serif"/>
          <w:b/>
          <w:sz w:val="20"/>
        </w:rPr>
        <w:t>Item 2. Management’s Discussion and Analysis of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2022, included in our Annual Report on Form 10-K as filed with the U.S. Securities and Exchange Commission (“SEC”) on March 27, 2023.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are a clinical-stage, oncology-focused biopharmaceutical company focused on developing novel conditionally activated, biologics localized to the tumor microenvironment. We aim to build a commercial enterprise to maximize our impact on the treatment of cancer. By pioneering a novel class of localized biologic drug candidates, powered by our Probody® therapeutic technology platform, we lead the field of conditionally activated oncology therapeutics and have established biologics localization as a strategic area of research and development. Our goal is to transcend the limits of current cancer treatments by successfully leveraging therapeutic targets and strategies that were once thought to be inaccessible.</w:t>
      </w:r>
      <w:r>
        <w:rPr>
          <w:rFonts w:ascii="Times New Roman" w:hAnsi="Times New Roman"/>
          <w:sz w:val="20"/>
        </w:rPr>
        <w:t xml:space="preserve"> </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Our proprietary and versatile Probody technology platform is designed to enable conditional activation of biologic therapeutic candidates within the tumor microenvironment, while minimizing drug activity in healthy tissues and circulation. Our industry-leading platform is built on a strong foundation of tumor biology expertise, including deep knowledge of tumor-associated enzymes known as proteases. Proteases are tightly controlled in normal tissues but often poorly 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 We believe this innovative approach has the potential to improve cancer treatment in three ways:</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Allowing the pursuit of high potential targets that were previously considered “undruggable” due to their ubiquitous expression on normal tissues;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Enhancing a potential product’s “therapeutic window,” the balance between tolerability and anti-tumor activity; and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Enabling the development of new combination therapies, including immunotherapies, by improving tolerability.</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We are employing our leading, conditional activation platform technology to address some of the biggest challenges today in oncology biologics research and development. These include the validation of potential new targets for antibody-drug conjugates (“ADCs”), opening solid tumor opportunities for T-cell engaging bispecific antibodies (“TCBs”), and increasing the therapeutic window for immune modulators such as cytokines and checkpoint inhibitors (“CPIs”). Additionally, we have recently initiated a research collaboration with our Probody platform beyond cancer into other therapeutic areas.</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We have utilized our multi-modality Probody platform to build a promising, broad pipeline of potential first-in-class and best-in-class therapeutics that includes molecules in clinical testing including: CX-2029, a Probody ADC targeting CD71; CX-904, a conditionally activated TCB, targeting the epidermal growth factor receptor (“EGFR”) on tumor cells and the CD3 receptor on T cells and BMS-986288, a Probody version of a non-fucosylated anti-CTLA-4 antibody.</w:t>
      </w:r>
      <w:r>
        <w:rPr>
          <w:rFonts w:ascii="Times New Roman" w:hAnsi="Times New Roman"/>
          <w:sz w:val="20"/>
        </w:rPr>
        <w:t xml:space="preserve"> </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We also have a broad pre-clinical pipeline across our collaborations and internally, including two wholly-owned next-generation molecules in investigational new drug application (“IND”) enabling studies. For our next generation molecules, we have selected the previously validated anti-cancer targets, the epithelial cell adhesion molecule (EpCAM) and interferon alpha-2b (IFNa2b), that have been limited in their potential due to systemic toxicities. In the molecular design of CX-2051, an ADC, and CX-801, a masked cytokine, we have incorporated our platform expertise and clinical learnings to optimize predicted therapeutic index in order to potentially broaden the clinical utility of these promising targets through tumor localized conditional activation.</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CX-2029, which was partnered with Abbvie until March 2023, is a conditionally activated ADC directed toward the previously undruggable target CD71. Having demonstrated favorable tolerability and encouraging anti-tumor activity in Phase 1 studies, CX-2029 entered into a four-cohort Phase 2 expansion study initially designed to enroll twenty-five efficacy evaluable patients per cohort in the following malignancies: squamous non-small cell lung cancer (“sqNSCLC”), head and neck squamous cell carcinoma (“HNSCC”), esophageal and gastro-esophageal junction (“E/GEJ”) cancers, and diffuse large B-cell lymphoma (“DLBCL”). The DLBCL cohort was later deprioritized due to strategic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competitive reasons and did not enroll any patients. In January 2023, a data update for the Phase 2 expansion was disclosed which included data across all fully enrolled cohorts. The study results reflected an August 5, 2022 full data cut-off and an October 4, 2022 data snapshot for efficacy. The data demonstrated encouraging clinical activity in unselected, heavily pre-treated patients with tumors of squamous histology including a 21% objective response rate (ORR) in squamous esophageal cancer and a 10% ORR in squamous non-small cell lung cancer (sqNSCLC). The adverse event (AE) profile was consistent with Phase 1 observations with anemia (82.6%) being the most common treatment related adverse event (TRAE). Anemia was managed with transfusions, dose delays, and dose reductions. The treatment discontinuation rate due to AEs was 3.3% as a result of anemia. In March 2023, CytomX announced that it will evaluate the potential next steps for CX-2029 following the decision from its collaboration partner, AbbVie, Inc., to not advance CX-2029 into additional clinical studies. As a result of AbbVie’s decision, the 2016 CD71 License and Collaboration Agreement has been terminated and CytomX has an exclusive option to re-acquire full rights to CX-2029.</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Praluzatamab ravtansine is our conditionally activated ADC directed toward CD166 which has been evaluated in a three-arm study in patients with advanced human epidermal growth factor receptor 2 (“HER2”)-non-amplified breast cancer. Arms A and B examined praluzatamab ravtansine monotherapy in patients with hormone receptor-positive/HER2-non-amplified breast cancer and triple-negative breast cancer (“TNBC”), respectively. Arm C studied praluzatamab ravtansine in combination with pacmilimab (CX-072), our wholly-owned PD-L1 inhibitor, in patients with TNBC. In July 2022, Phase 2 topline results were disclosed for Arms A and B. Based on the reported results, the Company deprioritized further investment and announced it would seek a partnership to further develop praluzatamab ravtansine.</w:t>
      </w:r>
      <w:r>
        <w:rPr>
          <w:rFonts w:ascii="Times New Roman" w:hAnsi="Times New Roman"/>
          <w:sz w:val="20"/>
        </w:rPr>
        <w:t xml:space="preserve"> </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Our partner, Bristol Myers Squibb, is conducting a randomized Phase 2 study evaluating BMS-986249, a Probody version of ipilimumab, the anti-CTLA-4 antibody, in combination with nivolumab, the anti-PD-1 antibody, in patients with metastatic melanoma. In addition, BMS-986249 is being studied in combination with nivolumab in three additional indications: advanced hepatocellular carcinoma, metastatic castration-resistant prostate cancer and advanced TNBC. Bristol Myers Squibb also continues to evaluate BMS-986288, a Probody version of non-fucosylated ipilimumab, as monotherapy or in combination with nivolumab in a Phase 1 / 2 clinical study. In February 2023, BMS prioritized BMS-986288 as its lead next-generation anti-CTLA-4 program over two other anti-CTLA-4 programs including BMS-986249.</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Reinforcing our leadership in the field of conditional activation, in 2022 we advanced our first T-cell engaging bispecific antibody (TCB) into the clinic. CX-904, partnered with Amgen, is a conditionally activated TCB against EGFR and CD3. In preclinical studies, CytomX’s Probody EGFRxCD3 bispecific therapeutics demonstrated anti-tumor activity and better tolerability when compared to EGFRxCD3 bispecifics without Probody masking. In May 2022, the first patient was dosed in a Phase 1 study evaluating CX-904 as a treatment for patients with advanced solid tumors. Patient enrollment in the Phase 1 dose escalation portion of the study continues to progress. We reported in January 2023 that the initial single patient cohort phase of the study was complete and that the “3+3” patient cohort phase had been initiated.</w:t>
      </w:r>
    </w:p>
    <w:p>
      <w:pPr>
        <w:pStyle w:val="TextBody"/>
        <w:spacing w:before="40" w:after="0"/>
        <w:jc w:val="left"/>
        <w:rPr>
          <w:rFonts w:ascii="Times New Roman" w:hAnsi="Times New Roman"/>
          <w:sz w:val="20"/>
        </w:rPr>
      </w:pPr>
      <w:r>
        <w:rPr>
          <w:rFonts w:ascii="Times New Roman;serif" w:hAnsi="Times New Roman;serif"/>
          <w:b w:val="false"/>
          <w:sz w:val="20"/>
        </w:rPr>
        <w:t>Our pipeline also includes CX-2051, a wholly-owned conditionally activated ADC paired with a next-generation camptothecin payload and directed toward the epithelial cellular adhesion molecule (EpCAM). CX-2051 has been tailored to optimize the therapeutic index for the systemic treatment of EpCAM-expressing epithelial cancers where previous industry efforts targeting EpCAM have not been successful due to dose-limiting toxicities. CX-2051 has demonstrated a wide predicted therapeutic index and strong preclinical activity and tolerability in multiple preclinical models, including colorectal cancer. We plan to submit an IND for this program in the second half of 2023.</w:t>
      </w:r>
      <w:r>
        <w:rPr>
          <w:rFonts w:ascii="Times New Roman" w:hAnsi="Times New Roman"/>
          <w:sz w:val="20"/>
        </w:rPr>
        <w:t xml:space="preserve">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Another wholly-owned emerging product candidate is CX-801, an interferon ("IFN") alpha-2b Probody. IFNa2b provides a potentially superior approach to activating anti-tumor immune responses than other cytokines. CX-801 is a dually masked, conditionally activated version of IFNa2b that has the potential to become a unique centerpiece of combination therapy for a wide range of tumor types. An IND submission for CX-801 is planned in the second half of 2023.</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We are also continuously engaged in drug discovery efforts towards the generation of new clinical candidates across multiple modalities for the treatment of cancer, including additional ADCs, Cytokines, TCBs, and most recently, mRNAs reflecting the versatility of our Probody platform. We currently have more than 15 active drug discovery and/or development programs.</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We do not have any products approved for sale, and we continue to incur significant research and development and general administrative expenses related to our operations. We are not profitable and have incurred losses in each year since our founding in 2008. Our net loss was $3.3 million for the three months ended in March 31, 2023. As of March 31, 2023 and December 31, 2022, we had an accumulated deficit of $726.2 million and $722.9 million, respectively. We expect to continue to incur significant losses for the foreseeable future.</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pace of enrollment of our clinical trials, which is a function of many factors, including the availability and proximity of patients with the relevant condition.</w:t>
      </w:r>
      <w:r>
        <w:rPr>
          <w:rFonts w:ascii="Times New Roman" w:hAnsi="Times New Roman"/>
          <w:sz w:val="20"/>
        </w:rPr>
        <w:t xml:space="preserve"> </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r>
        <w:rPr>
          <w:rFonts w:ascii="Times New Roman" w:hAnsi="Times New Roman"/>
          <w:sz w:val="20"/>
        </w:rPr>
        <w:t xml:space="preserve"> </w:t>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Impact of COVID-19</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COVID-19 pandemic continues to impact our ongoing operations, including clinical trials. Any preventative or protective actions that we, our collaboration partners or others have taken, or may take, in respect of the virus may result in further disruption for our clinical trials, including clinical trials for CX-904,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w:t>
      </w:r>
      <w:r>
        <w:rPr>
          <w:rFonts w:ascii="Times New Roman" w:hAnsi="Times New Roman"/>
          <w:sz w:val="20"/>
        </w:rPr>
        <w:t xml:space="preserve"> </w:t>
      </w:r>
      <w:r>
        <w:rPr>
          <w:rFonts w:ascii="Times New Roman;serif" w:hAnsi="Times New Roman;serif"/>
          <w:b w:val="false"/>
          <w:sz w:val="20"/>
        </w:rPr>
        <w:t>pandemic continues to impact our results will depend on future developments, which are highly uncertain and cannot be predicted, including new information which may emerge concerning the severity of COVID-19 and the actions necessary to contain the virus or treat its impact, among others. Currently, it is not possible to predict how long the pandemic will last or the extent or degree of its ongoing impact on economic activity, and our business. We do not know the full extent of any impact or delay on our business or our operations, including clinical trial activity, however, we will continue to monitor the COVID-19 situation closely and operate in accordance with all relevant health and safety guidelines as they evolve in response to changing public health conditions.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120" w:after="0"/>
        <w:jc w:val="left"/>
        <w:rPr>
          <w:rFonts w:ascii="Times New Roman" w:hAnsi="Times New Roman"/>
          <w:sz w:val="20"/>
        </w:rPr>
      </w:pPr>
      <w:r>
        <w:rPr>
          <w:rFonts w:ascii="Times New Roman;serif" w:hAnsi="Times New Roman;serif"/>
          <w:b w:val="false"/>
          <w:sz w:val="20"/>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There are no material changes to our critical accounting policies and estimates as presented in Part II, Item 7 of our Annual Report on Form 10-K for the year ended December 31, 2022.</w:t>
      </w:r>
      <w:r>
        <w:rPr>
          <w:rFonts w:ascii="Times New Roman" w:hAnsi="Times New Roman"/>
          <w:sz w:val="20"/>
        </w:rPr>
        <w:t xml:space="preserve"> </w:t>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Components of 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are also recognized over the performance period based on a similar method.</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Amgen, Astellas, Bristol Myers Squibb, Regeneron, Moderna and any other collaboration partners, and as a result of the fluctuations in the research and development expenses we incur in the performance of assigned activities under these agreements.</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AbbVie, one of our previous collaboration partners, entered into a license agreement with Seagen Inc. (“SGEN”) to license certain intellectual property rights. As part of the collaboration agreement with AbbVie, we received a sublicense to these intellectual property rights and therefore paid SGEN sublicense fees. These sublicense fees were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Research and Development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pStyle w:val="TextBody"/>
        <w:spacing w:before="360" w:after="0"/>
        <w:jc w:val="left"/>
        <w:rPr>
          <w:rFonts w:ascii="Times New Roman;serif" w:hAnsi="Times New Roman;serif"/>
          <w:b/>
          <w:i/>
          <w:sz w:val="20"/>
        </w:rPr>
      </w:pPr>
      <w:r>
        <w:rPr>
          <w:rFonts w:ascii="Times New Roman;serif" w:hAnsi="Times New Roman;serif"/>
          <w:b/>
          <w:i/>
          <w:sz w:val="20"/>
        </w:rPr>
        <w:t>General and Administrative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pStyle w:val="TextBody"/>
        <w:spacing w:before="360" w:after="0"/>
        <w:jc w:val="left"/>
        <w:rPr>
          <w:rFonts w:ascii="Times New Roman;serif" w:hAnsi="Times New Roman;serif"/>
          <w:b/>
          <w:i/>
          <w:sz w:val="20"/>
        </w:rPr>
      </w:pPr>
      <w:r>
        <w:rPr>
          <w:rFonts w:ascii="Times New Roman;serif" w:hAnsi="Times New Roman;serif"/>
          <w:b/>
          <w:i/>
          <w:sz w:val="20"/>
        </w:rPr>
        <w:t>Interest Income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income primarily consists of interest income from our cash equivalents and investments, and accretion of discounts or amortization of premiums on our investments.</w:t>
      </w:r>
    </w:p>
    <w:p>
      <w:pPr>
        <w:pStyle w:val="TextBody"/>
        <w:spacing w:before="360" w:after="0"/>
        <w:jc w:val="left"/>
        <w:rPr>
          <w:rFonts w:ascii="Times New Roman;serif" w:hAnsi="Times New Roman;serif"/>
          <w:b/>
          <w:i/>
          <w:sz w:val="20"/>
        </w:rPr>
      </w:pPr>
      <w:r>
        <w:rPr>
          <w:rFonts w:ascii="Times New Roman;serif" w:hAnsi="Times New Roman;serif"/>
          <w:b/>
          <w:i/>
          <w:sz w:val="20"/>
        </w:rPr>
        <w:t>Other Income (Expense),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income (expense), net consists primarily of gains and losses resulting from changes to currency exchange rates.</w:t>
      </w:r>
    </w:p>
    <w:p>
      <w:pPr>
        <w:pStyle w:val="TextBody"/>
        <w:spacing w:before="360" w:after="0"/>
        <w:jc w:val="left"/>
        <w:rPr>
          <w:rFonts w:ascii="Times New Roman;serif" w:hAnsi="Times New Roman;serif"/>
          <w:b/>
          <w:i/>
          <w:sz w:val="20"/>
        </w:rPr>
      </w:pPr>
      <w:r>
        <w:rPr>
          <w:rFonts w:ascii="Times New Roman;serif" w:hAnsi="Times New Roman;serif"/>
          <w:b/>
          <w:i/>
          <w:sz w:val="20"/>
        </w:rPr>
        <w:t>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Revenue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summarizes our revenue by collaboration partner during the respective periods:</w:t>
      </w:r>
    </w:p>
    <w:p>
      <w:pPr>
        <w:pStyle w:val="TextBody"/>
        <w:spacing w:before="0" w:after="0"/>
        <w:jc w:val="left"/>
        <w:rPr/>
      </w:pPr>
      <w:r>
        <w:rPr/>
        <w:t> </w:t>
      </w:r>
    </w:p>
    <w:tbl>
      <w:tblPr>
        <w:tblW w:w="5558" w:type="dxa"/>
        <w:jc w:val="left"/>
        <w:tblInd w:w="0" w:type="dxa"/>
        <w:tblCellMar>
          <w:top w:w="28" w:type="dxa"/>
          <w:left w:w="28" w:type="dxa"/>
          <w:bottom w:w="28" w:type="dxa"/>
          <w:right w:w="28" w:type="dxa"/>
        </w:tblCellMar>
      </w:tblPr>
      <w:tblGrid>
        <w:gridCol w:w="1861"/>
        <w:gridCol w:w="146"/>
        <w:gridCol w:w="211"/>
        <w:gridCol w:w="676"/>
        <w:gridCol w:w="146"/>
        <w:gridCol w:w="146"/>
        <w:gridCol w:w="211"/>
        <w:gridCol w:w="571"/>
        <w:gridCol w:w="146"/>
        <w:gridCol w:w="146"/>
        <w:gridCol w:w="211"/>
        <w:gridCol w:w="676"/>
        <w:gridCol w:w="411"/>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4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40"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shd w:fill="auto" w:val="clear"/>
            <w:vAlign w:val="center"/>
          </w:tcPr>
          <w:p>
            <w:pPr>
              <w:pStyle w:val="TableContents"/>
              <w:spacing w:before="0" w:after="0"/>
              <w:ind w:left="0" w:right="0" w:firstLine="200"/>
              <w:jc w:val="center"/>
              <w:rPr/>
            </w:pPr>
            <w:r>
              <w:rPr/>
              <w:t> </w:t>
            </w:r>
          </w:p>
        </w:tc>
      </w:tr>
      <w:tr>
        <w:trPr/>
        <w:tc>
          <w:tcPr>
            <w:tcW w:w="18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AbbVie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2,237</w:t>
            </w:r>
          </w:p>
        </w:tc>
        <w:tc>
          <w:tcPr>
            <w:tcW w:w="411" w:type="dxa"/>
            <w:tcBorders/>
            <w:shd w:fill="auto" w:val="clear"/>
            <w:vAlign w:val="center"/>
          </w:tcPr>
          <w:p>
            <w:pPr>
              <w:pStyle w:val="TableContents"/>
              <w:spacing w:before="0" w:after="0"/>
              <w:ind w:left="0" w:right="0" w:firstLine="200"/>
              <w:jc w:val="left"/>
              <w:rPr/>
            </w:pPr>
            <w:r>
              <w:rPr/>
              <w:t> </w:t>
            </w:r>
          </w:p>
        </w:tc>
      </w:tr>
      <w:tr>
        <w:trPr/>
        <w:tc>
          <w:tcPr>
            <w:tcW w:w="18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Amgen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8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Astellas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3,939</w:t>
            </w:r>
          </w:p>
        </w:tc>
        <w:tc>
          <w:tcPr>
            <w:tcW w:w="411" w:type="dxa"/>
            <w:tcBorders/>
            <w:shd w:fill="auto" w:val="clear"/>
            <w:vAlign w:val="center"/>
          </w:tcPr>
          <w:p>
            <w:pPr>
              <w:pStyle w:val="TableContents"/>
              <w:spacing w:before="0" w:after="0"/>
              <w:ind w:left="0" w:right="0" w:firstLine="200"/>
              <w:jc w:val="left"/>
              <w:rPr/>
            </w:pPr>
            <w:r>
              <w:rPr/>
              <w:t> </w:t>
            </w:r>
          </w:p>
        </w:tc>
      </w:tr>
      <w:tr>
        <w:trPr/>
        <w:tc>
          <w:tcPr>
            <w:tcW w:w="18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Bristol Myers Squibb</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7,439</w:t>
            </w:r>
          </w:p>
        </w:tc>
        <w:tc>
          <w:tcPr>
            <w:tcW w:w="411" w:type="dxa"/>
            <w:tcBorders/>
            <w:shd w:fill="auto" w:val="clear"/>
            <w:vAlign w:val="center"/>
          </w:tcPr>
          <w:p>
            <w:pPr>
              <w:pStyle w:val="TableContents"/>
              <w:spacing w:before="0" w:after="0"/>
              <w:ind w:left="0" w:right="0" w:firstLine="200"/>
              <w:jc w:val="left"/>
              <w:rPr/>
            </w:pPr>
            <w:r>
              <w:rPr/>
              <w:t> </w:t>
            </w:r>
          </w:p>
        </w:tc>
      </w:tr>
      <w:tr>
        <w:trPr/>
        <w:tc>
          <w:tcPr>
            <w:tcW w:w="18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Regeneron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411" w:type="dxa"/>
            <w:tcBorders/>
            <w:shd w:fill="auto" w:val="clear"/>
            <w:vAlign w:val="center"/>
          </w:tcPr>
          <w:p>
            <w:pPr>
              <w:pStyle w:val="TableContents"/>
              <w:spacing w:before="0" w:after="0"/>
              <w:ind w:left="0" w:right="0" w:firstLine="200"/>
              <w:jc w:val="left"/>
              <w:rPr/>
            </w:pPr>
            <w:r>
              <w:rPr/>
              <w:t> </w:t>
            </w:r>
          </w:p>
        </w:tc>
      </w:tr>
      <w:tr>
        <w:trPr/>
        <w:tc>
          <w:tcPr>
            <w:tcW w:w="18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Moderna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14,459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increase in revenue of $14.5 million for the three months ended March 31, 2023 compared to the corresponding period of 2022 was primarily due to:</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 increase in revenue under the BMS Agreement driven by higher percentage of completion of the existing and new targets selected in 2022;</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 increase in revenue under the Astellas Agreement primarily driven by a $5.0 million clinical candidate milestone achieved in January 2023, partially offset by lower percentage of completion on targets in the current period;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 increase in revenue from recognition of the remaining deferred revenue of $4.0 million upon termination of the AbbVie CD71 Agreement.</w:t>
      </w:r>
    </w:p>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Operating Costs and Expenses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by program incurred during the respective periods presented:</w:t>
      </w:r>
    </w:p>
    <w:p>
      <w:pPr>
        <w:pStyle w:val="TextBody"/>
        <w:spacing w:before="0" w:after="0"/>
        <w:jc w:val="left"/>
        <w:rPr/>
      </w:pPr>
      <w:r>
        <w:rPr/>
        <w:t> </w:t>
      </w:r>
    </w:p>
    <w:tbl>
      <w:tblPr>
        <w:tblW w:w="8423" w:type="dxa"/>
        <w:jc w:val="left"/>
        <w:tblInd w:w="0" w:type="dxa"/>
        <w:tblCellMar>
          <w:top w:w="28" w:type="dxa"/>
          <w:left w:w="28" w:type="dxa"/>
          <w:bottom w:w="28" w:type="dxa"/>
          <w:right w:w="28" w:type="dxa"/>
        </w:tblCellMar>
      </w:tblPr>
      <w:tblGrid>
        <w:gridCol w:w="4666"/>
        <w:gridCol w:w="146"/>
        <w:gridCol w:w="211"/>
        <w:gridCol w:w="676"/>
        <w:gridCol w:w="146"/>
        <w:gridCol w:w="146"/>
        <w:gridCol w:w="211"/>
        <w:gridCol w:w="676"/>
        <w:gridCol w:w="146"/>
        <w:gridCol w:w="146"/>
        <w:gridCol w:w="211"/>
        <w:gridCol w:w="631"/>
        <w:gridCol w:w="411"/>
      </w:tblGrid>
      <w:tr>
        <w:trPr/>
        <w:tc>
          <w:tcPr>
            <w:tcW w:w="4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6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0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00"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shd w:fill="auto" w:val="clear"/>
            <w:vAlign w:val="center"/>
          </w:tcPr>
          <w:p>
            <w:pPr>
              <w:pStyle w:val="TableContents"/>
              <w:spacing w:before="0" w:after="0"/>
              <w:ind w:left="0" w:right="0" w:hanging="0"/>
              <w:jc w:val="center"/>
              <w:rPr/>
            </w:pPr>
            <w:r>
              <w:rPr/>
              <w:t> </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External costs incurred by product candidate (target):</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Praluzatamab ravtansine, CX-2009 (CD166)</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CX-2029 (CD71)</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CX-904 (EGFRxCD3)</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wholly owned and partnered programs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3,282</w:t>
            </w:r>
          </w:p>
        </w:tc>
        <w:tc>
          <w:tcPr>
            <w:tcW w:w="41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research and development expenses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66"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(3,197</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 costs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66"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research and development expenses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30,559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(9,384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The decrease in research and development expenses for the three months ended March 31, 2023 compared to the corresponding period of 2022 was primarily due to a decrease in personnel related expenses, as well as winding down of laboratory contract services and clinical study activities related to the CX-2009 and CX-2029 programs, partially offset by an increase in laboratory contract services related to IND enabling activities.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General and Administrative Expenses</w:t>
      </w:r>
    </w:p>
    <w:tbl>
      <w:tblPr>
        <w:tblW w:w="6543" w:type="dxa"/>
        <w:jc w:val="left"/>
        <w:tblInd w:w="0" w:type="dxa"/>
        <w:tblCellMar>
          <w:top w:w="28" w:type="dxa"/>
          <w:left w:w="28" w:type="dxa"/>
          <w:bottom w:w="28" w:type="dxa"/>
          <w:right w:w="28" w:type="dxa"/>
        </w:tblCellMar>
      </w:tblPr>
      <w:tblGrid>
        <w:gridCol w:w="3091"/>
        <w:gridCol w:w="146"/>
        <w:gridCol w:w="211"/>
        <w:gridCol w:w="571"/>
        <w:gridCol w:w="146"/>
        <w:gridCol w:w="146"/>
        <w:gridCol w:w="211"/>
        <w:gridCol w:w="676"/>
        <w:gridCol w:w="146"/>
        <w:gridCol w:w="146"/>
        <w:gridCol w:w="211"/>
        <w:gridCol w:w="631"/>
        <w:gridCol w:w="21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5"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General and administrative expenses decreased by $2.6 million for the three months ended March 31, 2023 compared to the corresponding period of 2022, primarily due to a decrease in personnel related expenses due to the workforce reduction in 2022 and patent related legal expenses.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Interest Income and Other Income (Expense)</w:t>
      </w:r>
    </w:p>
    <w:tbl>
      <w:tblPr>
        <w:tblW w:w="6858" w:type="dxa"/>
        <w:jc w:val="left"/>
        <w:tblInd w:w="0" w:type="dxa"/>
        <w:tblCellMar>
          <w:top w:w="28" w:type="dxa"/>
          <w:left w:w="28" w:type="dxa"/>
          <w:bottom w:w="28" w:type="dxa"/>
          <w:right w:w="28" w:type="dxa"/>
        </w:tblCellMar>
      </w:tblPr>
      <w:tblGrid>
        <w:gridCol w:w="3646"/>
        <w:gridCol w:w="146"/>
        <w:gridCol w:w="211"/>
        <w:gridCol w:w="571"/>
        <w:gridCol w:w="146"/>
        <w:gridCol w:w="146"/>
        <w:gridCol w:w="211"/>
        <w:gridCol w:w="316"/>
        <w:gridCol w:w="146"/>
        <w:gridCol w:w="146"/>
        <w:gridCol w:w="211"/>
        <w:gridCol w:w="571"/>
        <w:gridCol w:w="391"/>
      </w:tblGrid>
      <w:tr>
        <w:trPr/>
        <w:tc>
          <w:tcPr>
            <w:tcW w:w="3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6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7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75"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firstLine="200"/>
              <w:jc w:val="center"/>
              <w:rPr/>
            </w:pPr>
            <w:r>
              <w:rPr/>
              <w:t> </w:t>
            </w:r>
          </w:p>
        </w:tc>
      </w:tr>
      <w:tr>
        <w:trPr/>
        <w:tc>
          <w:tcPr>
            <w:tcW w:w="36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2,259</w:t>
            </w:r>
          </w:p>
        </w:tc>
        <w:tc>
          <w:tcPr>
            <w:tcW w:w="391" w:type="dxa"/>
            <w:tcBorders/>
            <w:shd w:fill="auto" w:val="clear"/>
            <w:vAlign w:val="center"/>
          </w:tcPr>
          <w:p>
            <w:pPr>
              <w:pStyle w:val="TableContents"/>
              <w:spacing w:before="0" w:after="0"/>
              <w:ind w:left="0" w:right="0" w:firstLine="200"/>
              <w:jc w:val="left"/>
              <w:rPr/>
            </w:pPr>
            <w:r>
              <w:rPr/>
              <w:t> </w:t>
            </w:r>
          </w:p>
        </w:tc>
      </w:tr>
      <w:tr>
        <w:trPr/>
        <w:tc>
          <w:tcPr>
            <w:tcW w:w="36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income and 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Interest Income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income increased by $2.3 million for the three months ended March 31, 2023 compared to the corresponding period of 2022 was primarily driven by higher interest rates in 2023.</w:t>
      </w:r>
    </w:p>
    <w:p>
      <w:pPr>
        <w:pStyle w:val="TextBody"/>
        <w:spacing w:before="360" w:after="0"/>
        <w:jc w:val="left"/>
        <w:rPr>
          <w:rFonts w:ascii="Times New Roman;serif" w:hAnsi="Times New Roman;serif"/>
          <w:b/>
          <w:sz w:val="20"/>
        </w:rPr>
      </w:pPr>
      <w:r>
        <w:rPr>
          <w:rFonts w:ascii="Times New Roman;serif" w:hAnsi="Times New Roman;serif"/>
          <w:b/>
          <w:sz w:val="20"/>
        </w:rPr>
        <w:t>Liquidity and Capital Expenditures</w:t>
      </w:r>
    </w:p>
    <w:p>
      <w:pPr>
        <w:pStyle w:val="TextBody"/>
        <w:spacing w:before="120" w:after="0"/>
        <w:jc w:val="left"/>
        <w:rPr>
          <w:rFonts w:ascii="Times New Roman;serif" w:hAnsi="Times New Roman;serif"/>
          <w:b/>
          <w:i/>
          <w:sz w:val="20"/>
        </w:rPr>
      </w:pPr>
      <w:r>
        <w:rPr>
          <w:rFonts w:ascii="Times New Roman;serif" w:hAnsi="Times New Roman;serif"/>
          <w:b/>
          <w:i/>
          <w:sz w:val="20"/>
        </w:rPr>
        <w:t>Sources of Liquidity</w:t>
      </w:r>
    </w:p>
    <w:p>
      <w:pPr>
        <w:pStyle w:val="TextBody"/>
        <w:spacing w:before="120" w:after="0"/>
        <w:jc w:val="left"/>
        <w:rPr>
          <w:rFonts w:ascii="Times New Roman" w:hAnsi="Times New Roman"/>
          <w:sz w:val="20"/>
        </w:rPr>
      </w:pPr>
      <w:r>
        <w:rPr>
          <w:rFonts w:ascii="Times New Roman;serif" w:hAnsi="Times New Roman;serif"/>
          <w:b w:val="false"/>
          <w:sz w:val="20"/>
        </w:rPr>
        <w:t>As of March 31, 2023, we had cash, cash equivalents and investments of $204.5 million and an accumulated deficit of $726.2 million, compared to cash, cash equivalents and investments of $193.7 million and an accumulated deficit of $722.9 million as of December 31, 2022. To date, we have financed our operations primarily through sales of our common stock in conjunction with the IPO, subsequent stock offerings and through our at-the-market offering, sales of our convertible preferred securities prior to our IPO and payments received under our collaboration agreements. In November 2022, we entered into a Collaboration and License Agreement with Regeneron Pharmaceuticals, Inc. (the “Regeneron Agreement”) to collaborate on preclinical research activities to discover and develop certain antibody compounds for the treatment of cancer using the Company’s Probody therapeutic technology. Pursuant to the Regeneron Agreement, we collected an upfront fee of $30.0 million. In December 2022, we entered into a Collaboration and License Agreement with ModernaTX, Inc. (the “Moderna Agreement”) to collaborate on discovery and preclinical research and development activities to create investigational messenger RNA (mRNA) based conditionally activated therapies using the Company’s Probody therapeutic technology. Pursuant to the Moderna Agreement, we collected an upfront fee and prepaid research funding of $35.0 million in January 2023.</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20"/>
        </w:rPr>
        <w:t>On July 13, 2022, we announced a restructuring plan to prioritize resources on our emerging pre-clinical and early clinical pipeline as well as our existing collaboration partnerships. The restructuring plan resulted in a reduction to our workforce by approximately 40%, and was substantially completed by the fourth quarter of 2022. We incurred aggregate restructuring charges of approximately $7.5 million, primarily related to one-time severance payments and other employee-related costs.</w:t>
      </w:r>
      <w:r>
        <w:rPr>
          <w:rFonts w:ascii="Times New Roman" w:hAnsi="Times New Roman"/>
          <w:sz w:val="20"/>
        </w:rPr>
        <w:t xml:space="preserve">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Based upon our current operating plan, we expect our existing capital resources will be sufficient to fund operations into mid-2025.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Summary Statement of Cash Flows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summarizes our cash flows for the periods indicated:</w:t>
      </w:r>
    </w:p>
    <w:p>
      <w:pPr>
        <w:pStyle w:val="TextBody"/>
        <w:spacing w:before="0" w:after="0"/>
        <w:jc w:val="left"/>
        <w:rPr/>
      </w:pPr>
      <w:r>
        <w:rPr/>
        <w:t> </w:t>
      </w:r>
    </w:p>
    <w:tbl>
      <w:tblPr>
        <w:tblW w:w="7409" w:type="dxa"/>
        <w:jc w:val="left"/>
        <w:tblInd w:w="0" w:type="dxa"/>
        <w:tblCellMar>
          <w:top w:w="28" w:type="dxa"/>
          <w:left w:w="28" w:type="dxa"/>
          <w:bottom w:w="28" w:type="dxa"/>
          <w:right w:w="28" w:type="dxa"/>
        </w:tblCellMar>
      </w:tblPr>
      <w:tblGrid>
        <w:gridCol w:w="4741"/>
        <w:gridCol w:w="146"/>
        <w:gridCol w:w="211"/>
        <w:gridCol w:w="841"/>
        <w:gridCol w:w="166"/>
        <w:gridCol w:w="146"/>
        <w:gridCol w:w="211"/>
        <w:gridCol w:w="736"/>
        <w:gridCol w:w="211"/>
      </w:tblGrid>
      <w:tr>
        <w:trPr/>
        <w:tc>
          <w:tcPr>
            <w:tcW w:w="4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shd w:fill="auto" w:val="cle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(41,313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(146,642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(137,293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(42,042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serif" w:hAnsi="Times New Roman;serif"/>
          <w:b w:val="false"/>
          <w:i/>
          <w:sz w:val="20"/>
        </w:rPr>
      </w:pPr>
      <w:r>
        <w:rPr>
          <w:rFonts w:ascii="Times New Roman;serif" w:hAnsi="Times New Roman;serif"/>
          <w:b w:val="false"/>
          <w:i/>
          <w:sz w:val="20"/>
        </w:rPr>
        <w:t>Cash Flows from Operating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cash provided by operating activities was $9.4 million, which consisted of a net loss of $3.3 million, adjusted by non-cash charges of $2.4 million and a net increase of $10.3 million relating to the change of our net operating assets and liabilities. The non-cash charges primarily consisted of $2.4 million in stock-based compensation, $0.9 million in non-cash lease expense, $0.6 million in depreciation and amortization, partially offset by $1.5 million in accretion of discounts on investments.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change in our net operating assets and liabilities was primarily due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net decrease of $17.4 million in deferred revenue resulting from the continued recognition of deferred revenue from existing and new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decrease of $8.0 million in accounts payable, accrued and other long-term liabilities primarily due to decrease of payroll-related expenses and restructuring related expenses as well as timing of other payments; offset by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increase of $34.9 million in cash flows from accounts receivable primarily related to the receipt of the $35.0 million upfront payment and prepaid research under the Moderna agreement entered into in December 2022.</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 increase $0.8 million in cashflows from prepaid and other current assets primarily due to decrease in advance payments to our third party manufacturing vendors and timing of payments.</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During the three months ended March 31, 2022, cash used in operating activities was $41.3 million, which consisted of a net loss of $32.0 million, a net decrease of $14.1 million relating to the change of our net operating assets and liabilities, adjusted by non-cash charges of $4.8 million. The non-cash charges primarily consisted of $3.4 million in stock-based compensation, $0.8 million in non-cash lease expense and $0.6 million in depreciation and amortization.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change in our net operating assets and liabilities was primarily due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net decrease of $8.0 million in deferred revenue resulting from the continued recognition of deferred revenue from existing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decrease of $5.2 million in accounts payable, accrued and other long-term liabilities primarily due to timing of payments and an increase in research and clinical expenses;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 decrease of $0.9 million in cash flows from accounts receivable and prepaid and other current assets primarily due to increased advance payments to our third party manufacturing vendors and timing of payments.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Cash Flows from Investing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cash used in investing activities was $146.6 million used to purchase short-term investments.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2022, cash used in investing activities was $0.7 million of capital expenditures used to purchase property and equipment.</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Cash Flows from Financing Activities</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there were no financing activities.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2022, cash provided by financing activities consisted of $7,000 of proceeds from the exercise of stock options.</w:t>
      </w:r>
    </w:p>
    <w:p>
      <w:pPr>
        <w:pStyle w:val="TextBody"/>
        <w:spacing w:before="360" w:after="0"/>
        <w:jc w:val="left"/>
        <w:rPr>
          <w:rFonts w:ascii="Times New Roman;serif" w:hAnsi="Times New Roman;serif"/>
          <w:b/>
          <w:sz w:val="20"/>
        </w:rPr>
      </w:pPr>
      <w:r>
        <w:rPr>
          <w:rFonts w:ascii="Times New Roman;serif" w:hAnsi="Times New Roman;serif"/>
          <w:b/>
          <w:sz w:val="20"/>
        </w:rPr>
        <w:t>Contractual Obligations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During the three months ended March 31, 2023, there were no material changes in contractual obligations from the amounts disclosed in our Annual Report on Form 10-K for the year ended December 31,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9" w:name="quantitative_and_qualitative_disclosure"/>
      <w:bookmarkEnd w:id="9"/>
      <w:r>
        <w:rPr>
          <w:rFonts w:ascii="Times New Roman;serif" w:hAnsi="Times New Roman;serif"/>
          <w:b/>
          <w:sz w:val="20"/>
        </w:rPr>
        <w:t>Item 3. Quantitative and Qualitative Disclosure About Market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smaller reporting company as defined by Rule 12b-2 of the Exchange Act and are not required to provide the information required under this item.</w:t>
      </w:r>
    </w:p>
    <w:p>
      <w:pPr>
        <w:pStyle w:val="TextBody"/>
        <w:spacing w:before="360" w:after="0"/>
        <w:jc w:val="left"/>
        <w:rPr>
          <w:rFonts w:ascii="Times New Roman;serif" w:hAnsi="Times New Roman;serif"/>
          <w:b/>
          <w:sz w:val="20"/>
        </w:rPr>
      </w:pPr>
      <w:bookmarkStart w:id="10" w:name="controls_and_procedures"/>
      <w:bookmarkEnd w:id="10"/>
      <w:r>
        <w:rPr>
          <w:rFonts w:ascii="Times New Roman;serif" w:hAnsi="Times New Roman;serif"/>
          <w:b/>
          <w:sz w:val="20"/>
        </w:rPr>
        <w:t>Item 4. Controls and Procedures</w:t>
      </w:r>
    </w:p>
    <w:p>
      <w:pPr>
        <w:pStyle w:val="TextBody"/>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spacing w:before="120" w:after="0"/>
        <w:jc w:val="left"/>
        <w:rPr>
          <w:rFonts w:ascii="Times New Roman" w:hAnsi="Times New Roman"/>
          <w:sz w:val="20"/>
        </w:rPr>
      </w:pPr>
      <w:r>
        <w:rPr>
          <w:rFonts w:ascii="Times New Roman;serif" w:hAnsi="Times New Roman;serif"/>
          <w:b w:val="false"/>
          <w:sz w:val="20"/>
        </w:rPr>
        <w:t>In connection with preparing our financial statements for the year ending December 31, 2022 and evaluating new collaboration and license agreements initiated in the fourth quarter of 2022, we re-evaluated our previous application of ASC 606 for our collaboration and license agreements and identified an error. Upon reassessment, we have determined that certain revenue should be recognized over time using an input method as an appropriate measure of progress, rather than ratably over the estimated research period. The Company’s internal control to perform a technical accounting analysis for collaboration and license agreements failed to operate as designed. As a result, we concluded that the Company’s internal control over financial reporting was not effective as of December 31, 2022. The Company identified a material weakness in internal control over financial reporting related to its application of ASC 606 for license and collaboration agreements.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and Chief Financial Officer, has evaluated the effectiveness of our disclosure controls and procedures as of March 31, 2023, the end of the period covered by this Quarterly Report on Form 10-Q. Based on their evaluation and subject to the foregoing, the Chief Executive Officer and Chief Financial Officer concluded that our disclosure controls and procedures were not effective as of March 31, 2023.</w:t>
      </w:r>
    </w:p>
    <w:p>
      <w:pPr>
        <w:pStyle w:val="TextBody"/>
        <w:spacing w:before="240" w:after="0"/>
        <w:jc w:val="left"/>
        <w:rPr>
          <w:rFonts w:ascii="Times New Roman;serif" w:hAnsi="Times New Roman;serif"/>
          <w:b/>
          <w:i/>
          <w:sz w:val="20"/>
        </w:rPr>
      </w:pPr>
      <w:r>
        <w:rPr>
          <w:rFonts w:ascii="Times New Roman;serif" w:hAnsi="Times New Roman;serif"/>
          <w:b/>
          <w:i/>
          <w:sz w:val="20"/>
        </w:rPr>
        <w:t>Status of Remediation of Material Weakness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remediate this material weakness, during the three months ended March 31, 2023, we have implemented and continue to improve the operation of our controls related to the application of ASC 606 to our collaboration and license agreements and the related controls to measure the progress in satisfying the performance obligations. While we believe that these efforts will improve our internal control over financial reporting, the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w:t>
      </w:r>
    </w:p>
    <w:p>
      <w:pPr>
        <w:pStyle w:val="TextBody"/>
        <w:spacing w:before="240" w:after="0"/>
        <w:jc w:val="left"/>
        <w:rPr>
          <w:rFonts w:ascii="Times New Roman;serif" w:hAnsi="Times New Roman;serif"/>
          <w:b/>
          <w:i/>
          <w:sz w:val="20"/>
        </w:rPr>
      </w:pPr>
      <w:r>
        <w:rPr>
          <w:rFonts w:ascii="Times New Roman;serif" w:hAnsi="Times New Roman;serif"/>
          <w:b/>
          <w:i/>
          <w:sz w:val="20"/>
        </w:rPr>
        <w:t>Changes in Internal Controls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Except as discussed above, there was no change in our internal control over financial reporting (as defined in Rules 13a-15(f) and 15d-15(f) under the Exchange Act) that occurred during our fiscal quarter ended March 31, 2023 that has materially affected, or is reasonably likely to materially affect, our internal control over financial reporting.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PART II – OTHER INFORMATION</w:t>
      </w:r>
    </w:p>
    <w:p>
      <w:pPr>
        <w:pStyle w:val="TextBody"/>
        <w:spacing w:before="200" w:after="0"/>
        <w:jc w:val="left"/>
        <w:rPr>
          <w:rFonts w:ascii="Times New Roman" w:hAnsi="Times New Roman"/>
          <w:sz w:val="20"/>
        </w:rPr>
      </w:pPr>
      <w:bookmarkStart w:id="11" w:name="item_1_legal_proceedings"/>
      <w:bookmarkEnd w:id="11"/>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In September 2022, we filed a motion to dismiss the case and the Court granted the parties’ stipulation to stay all pending case deadlines until that motion is finally resolved.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pStyle w:val="TextBody"/>
        <w:spacing w:before="200" w:after="0"/>
        <w:jc w:val="left"/>
        <w:rPr>
          <w:rFonts w:ascii="Times New Roman" w:hAnsi="Times New Roman"/>
          <w:sz w:val="20"/>
        </w:rPr>
      </w:pPr>
      <w:bookmarkStart w:id="12" w:name="item_1a_risk_factors"/>
      <w:bookmarkEnd w:id="12"/>
      <w:r>
        <w:rPr>
          <w:rFonts w:ascii="Times New Roman;serif" w:hAnsi="Times New Roman;serif"/>
          <w:b/>
          <w:sz w:val="20"/>
        </w:rPr>
        <w:t>Item 1A. Risk Factors</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Risk Factors Summary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are a clinical-stage biopharmaceutical company with a limited operating history and have not generated any revenue from product sales.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expect that we will need to raise substantial additional funds to advance development of our product candidates and we cannot guarantee that this additional funding will be available on acceptable terms or at all.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development involves a lengthy and expensive process with an uncertain outcome, and results of earlier studies and trials may not be predictive of future trial results.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product candidates are in early stages of development and may fail or suffer delays that materially and adversely affect their commercial viability.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experience delays or difficulties in the enrollment of patients in clinical trials, our receipt of necessary regulatory approvals could be delayed or prevented.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approach to the discovery and development of our therapeutic treatments is based on novel technologies that are unproven and may not result in marketable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market may not be receptive to our product candidates based on a novel therapeutic modality, and we may not generate any future revenue from the sale or licensing of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do not achieve our projected development and commercialization goals in the timeframes we announce and expect, the commercialization of any of our product candidates may be delayed, or never attained, and our business will be harmed.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or third-party manufacturers, may be unable to successfully scale-up manufacturing of our product candidates in sufficient quality and quantity, which would delay or prevent us from developing our product candidates and commercializing approved products, if 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stock price may be volatile and purchasers of our common stock could incur substantial losses.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COVID-19 pandemic or any future pandemic could adversely impact our business, including our research, clinical trials, including clinical trial site initiation and patient enrollment, and financial condition.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Risk Factors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pStyle w:val="TextBody"/>
        <w:spacing w:before="0" w:after="0"/>
        <w:jc w:val="left"/>
        <w:rPr>
          <w:rFonts w:ascii="Times New Roman;serif" w:hAnsi="Times New Roman;serif"/>
          <w:b/>
          <w:sz w:val="20"/>
        </w:rPr>
      </w:pPr>
      <w:r>
        <w:rPr>
          <w:rFonts w:ascii="Times New Roman;serif" w:hAnsi="Times New Roman;serif"/>
          <w:b/>
          <w:sz w:val="20"/>
        </w:rPr>
        <w:t>Risks Related to Our Business</w:t>
      </w:r>
    </w:p>
    <w:p>
      <w:pPr>
        <w:pStyle w:val="TextBody"/>
        <w:spacing w:before="0" w:after="0"/>
        <w:jc w:val="left"/>
        <w:rPr>
          <w:rFonts w:ascii="Times New Roman;serif" w:hAnsi="Times New Roman;serif"/>
          <w:b/>
          <w:i/>
          <w:sz w:val="20"/>
        </w:rPr>
      </w:pPr>
      <w:r>
        <w:rPr>
          <w:rFonts w:ascii="Times New Roman;serif" w:hAnsi="Times New Roman;serif"/>
          <w:b/>
          <w:i/>
          <w:sz w:val="20"/>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pStyle w:val="TextBody"/>
        <w:spacing w:before="0" w:after="0"/>
        <w:jc w:val="left"/>
        <w:rPr>
          <w:rFonts w:ascii="Times New Roman" w:hAnsi="Times New Roman"/>
          <w:sz w:val="20"/>
        </w:rPr>
      </w:pPr>
      <w:r>
        <w:rPr>
          <w:rFonts w:ascii="Times New Roman;serif" w:hAnsi="Times New Roman;serif"/>
          <w:b w:val="false"/>
          <w:sz w:val="20"/>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March 31, 2023 and December 31, 2022, we had an accumulated deficit of $726.2 million and $722.9 million, respectively. Substantially all of our losses have resulted from expenses incurred in connection with our research and development programs and from general and administrative costs associated with our operations.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pStyle w:val="TextBody"/>
        <w:spacing w:before="0" w:after="0"/>
        <w:jc w:val="left"/>
        <w:rPr>
          <w:rFonts w:ascii="Times New Roman" w:hAnsi="Times New Roman"/>
          <w:sz w:val="20"/>
        </w:rPr>
      </w:pPr>
      <w:r>
        <w:rPr>
          <w:rFonts w:ascii="Times New Roman;serif" w:hAnsi="Times New Roman;serif"/>
          <w:b w:val="false"/>
          <w:sz w:val="20"/>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pStyle w:val="TextBody"/>
        <w:spacing w:before="0" w:after="0"/>
        <w:jc w:val="left"/>
        <w:rPr>
          <w:rFonts w:ascii="Times New Roman" w:hAnsi="Times New Roman"/>
          <w:sz w:val="20"/>
        </w:rPr>
      </w:pPr>
      <w:r>
        <w:rPr>
          <w:rFonts w:ascii="Times New Roman;serif" w:hAnsi="Times New Roman;serif"/>
          <w:b w:val="false"/>
          <w:sz w:val="20"/>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However, financial market conditions, including the public equity markets, and government regulation, including the Inflation Reduction Act of 2022, signed into law by President Biden in August 2022, may make it difficult for biotechnology companies to raise additional funds. We cannot predict when or if market conditions will change.</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March 31, 2023, we had cash, cash equivalents and investments of $204.5 million. We believe that our existing capital resources will be sufficient to fund our planned operations into mid-2025.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timing and amount of our operating expenditures will depend largely 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timing and progress of our ongoing clinical trials as well as any other preclinical and clinical development activities which may be affected by, among other things, the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size and type of clinical trials and preclinical studies that we may be required to complete for our product candidates, as well as the cost and time of such studies and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scope and prioritization of preclinical and clinical programs we decide to pursue;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time and cost necessary to produce clinical supplies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time and cost necessary to scale our manufacturing capabilities prior to or following regulatory approval and commercial launch of any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progress of the development efforts of parties with whom we have entered or may in the future enter into collaborations and research and development agreements;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and amount of payments we may receive or are obligated to pay under our collaboration agreements and license agreements;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maintain our current licenses and research and development programs and to establish new collaboration arrangements;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involved in prosecuting and enforcing patent and other intellectual property claims, including the ongoing patent infringement lawsuit brought by Vytacera against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of any existing or future litigation to which we are or may become a party;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and timing of regulatory approvals;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efforts to enhance operational systems and hire additional personnel, including personnel to support development and commercialization of our product candidates and satisfy our obligations as a public company.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For example, in July 2022, we announced that we would seek a partner to further develop praluzatamab ravtansine. We have not yet obtained a partner for praluzatamab ravtansine and we may not be able to do so in the future for the development of that product candidate.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agreements that we entered into with each of Regeneron and Moderna in November and December 2022, respectively.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pStyle w:val="TextBody"/>
        <w:spacing w:before="0" w:after="0"/>
        <w:jc w:val="left"/>
        <w:rPr>
          <w:rFonts w:ascii="Times New Roman" w:hAnsi="Times New Roman"/>
          <w:sz w:val="20"/>
        </w:rPr>
      </w:pPr>
      <w:r>
        <w:rPr>
          <w:rFonts w:ascii="Times New Roman;serif" w:hAnsi="Times New Roman;serif"/>
          <w:b w:val="false"/>
          <w:sz w:val="20"/>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CX-801 and CX-2051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CX-801 and CX-2051.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recruiting suitable patients to participate in a clinical trial, particularly in light of the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developing and validating any companion diagnostic to be used in a clinical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or other regulatory authorities requiring us to submit additional data or imposing other requirements before permitting us to initiate a clinical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regulatory clearance to commence a clinical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reaching agreement on acceptable terms with prospective contract research organization (“CROs”) and clinical trial sites, the terms of which can be subject to extensive negotiation and may vary significantly among different CROs and clinical trial sites;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institutional review board (“IRB”) approval at each clinical trial site;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having patients complete a clinical trial or return for post-treatment follow-up;</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trial sites deviating from trial protocol or dropping out of a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adding new clinical trial sites;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manufacturing our product candidates in sufficient quality and quantity for use in clinical trials;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collaborators electing to not pursue development and commercialization of our product candidates.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very early in our development efforts, with only two product candidates, CX-2029, and CX-904 currently continuing in early-stage clinical development.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product-related side effects experienced by participants in our clinical trials, the clinical trials of our collaborators or by individuals using drugs or therapeutic biologics similar to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submitting INDs or comparable foreign applications or delays or failure in obtaining the necessary approvals from regulators to commence a clinical trial, or a suspension or termination of a clinical trial once commenced;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conditions imposed by the FDA or comparable foreign authorities regarding the scope or design of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enrolling research subjects in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high drop-out rates of research subjects;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inadequate supply or quality of product candidate components or materials or other supplies necessary for the conduct of our or our collaborators’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greater than anticipated clinical trial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 in the development or approval of companion diagnostic tests for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unfavorable FDA or other regulatory agency inspection and review of a clinical trial site;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failure of our third-party contractors or investigators to comply with regulatory requirements or otherwise meet their contractual obligations in a timely manner,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and changes in regulatory requirements, policy and guidelines, including the imposition of additional regulatory oversight around clinical testing generally or with respect to our technology in particular;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varying interpretations of data by the FDA and similar foreign regulatory agencies.</w:t>
      </w:r>
    </w:p>
    <w:p>
      <w:pPr>
        <w:pStyle w:val="TextBody"/>
        <w:spacing w:before="0" w:after="0"/>
        <w:jc w:val="left"/>
        <w:rPr>
          <w:rFonts w:ascii="Times New Roman" w:hAnsi="Times New Roman"/>
          <w:sz w:val="20"/>
        </w:rPr>
      </w:pPr>
      <w:r>
        <w:rPr>
          <w:rFonts w:ascii="Times New Roman;serif" w:hAnsi="Times New Roman;serif"/>
          <w:b w:val="false"/>
          <w:sz w:val="20"/>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the impact of the COVID-19 pandemic. Additionally, in July 2022, we announced topline results of our Phase 2 clinical trial evaluating praluzatamab ravtansine in patients with breast cancer and that we do not plan to further advance this program without a partner. This decision followed an evaluation of the clinical trial results, the competitive landscape and our estimate of the resources necessary to continue the development of praluzatamb ravtansine alone.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December 2021 we announced preliminary data on two of the four expansion cohorts for CX-2029. In January 2023, we announced further clinical results on three expansion cohorts for CX-2029 and the updated data provided further understanding and perspective on the drug candidate. We can make no assurances that the ultimate trial results for these three cohorts will be consistent with or better or worse than that reported data.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spacing w:before="0" w:after="0"/>
        <w:jc w:val="left"/>
        <w:rPr>
          <w:rFonts w:ascii="Times New Roman" w:hAnsi="Times New Roman"/>
          <w:sz w:val="20"/>
        </w:rPr>
      </w:pPr>
      <w:r>
        <w:rPr>
          <w:rFonts w:ascii="Times New Roman;serif" w:hAnsi="Times New Roman;serif"/>
          <w:b w:val="false"/>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praluzatamab ravtansine (CX-2009), CX-2029 and CX-904.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Administration of praluzatamab ravtansine has been generally well tolerated with most reported treatment-related adverse events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In July 2022, we elected to discontinue further development of praluzatamab without a collaboration partner.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In January 2023, we announced that the safety results for CX-2029 for the three ongoing expansion cohorts were consistent with previous observations, with no new safety signals identified. The most common TRAEs in 10% or more of patients (All Grade, Grade 3+) were anemia (82.6%, 76.1%), infusion related reactions (70.7%, 3.3%), neutropenia (23.9%, 17.4%), fatigue (17.4%, 1.1%), nausea (13.0%, 1.1%), and diarrhea (10.9%, 0%). There was 1 febrile neutropenia event (Grade 3) reported. The etiology of anemia remains under investigation and is likely to be multi-factorial. While the MMAE payload is known to be associated with anemia, preclinical studies have shown that reduction of red blood cell precursors has been observed in response to targeting CD71, which is known to play a role in early erythroid development. Although we believe such incidences of anemia can be managed, we continue to explore strategies for the management and mitigation of anemia but there can be no assurance that anemia can be managed sufficiently for eventual commercial acceptance. Additionally, although we believe the other TRAEs are manageable, there can be no assurance that the rate or severity of any of these side effects will not increase over time with more patients being treated in ongoing or future studies.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have initiated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dose for CX-904.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Additionally, the Phase 2 clinical trial of BMS-986249 being conducted by Bristol Myers Squibb includes, and the planned Phase 2 clinical trial of BMS-986288 may include, the administration of the product candidate at relatively high dosage levels, which could further exacerbate such risks. In our Phase 2 clinical trial with CX-2029, we are targeting CD71, a target that is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 Similarly, the combination of EGFR and CD3 has been shown to induce significant toxicities in preclinical animal studies due to the widespread expression of each target.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praluzatamab ravtansine, some patients stopped treatment due to ocular toxicity.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authorities may withdraw their approval of the product or seize the product;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our collaborators may be required to recall the product or change the way the product is administered to patients;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 restrictions may be imposed on the marketing of the particular product or the manufacturing processes for the product or any component thereof;</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may be subject to fines, injunctions or the imposition of civil or criminal penalties;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authorities may require the addition of labeling statements, such as a “black box” warning or a contraindication;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required to create a Medication Guide outlining the risks of such side effects for distribution to patients;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could be sued and held liable for harm caused to patients;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product may become less competitive;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reputation may suffer.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experience delays or difficulties in the enrollment of patients in clinical trials, our receipt of necessary regulatory approvals could be delayed or prevented.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ongoing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size and nature of the target patient population;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eligibility criteria for the clinical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design of the clinical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an appropriate genomic screening test;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perceived risks and benefits of the product candidate under study;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efforts to facilitate timely enrollment in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patient referral practices of physicians;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monitor patients adequately during and after treatment;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proximity and availability of clinical trial sites for prospective patients.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praluzatamab ravtansine and CX-2029 study or have studied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 of CX-904 is also competing with thousands of other anti-cancer clinical trials. Any clinical trials of our product candidates initiated by our collaborators, including Bristol Myers Squibb’s ongoing and planned Phase 2 clinical trials,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approach to the discovery and development of our therapeutic treatments is based on novel technologies that are unproven and may not result in marketable products.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praluzatamab ravtansine (CX-2009), CX-2029, pacmilimab (CX-072) and CX-904.</w:t>
      </w:r>
    </w:p>
    <w:p>
      <w:pPr>
        <w:pStyle w:val="TextBody"/>
        <w:spacing w:before="240" w:after="0"/>
        <w:jc w:val="left"/>
        <w:rPr>
          <w:rFonts w:ascii="Times New Roman" w:hAnsi="Times New Roman"/>
          <w:sz w:val="20"/>
        </w:rPr>
      </w:pPr>
      <w:r>
        <w:rPr>
          <w:rFonts w:ascii="Times New Roman;serif" w:hAnsi="Times New Roman;serif"/>
          <w:b w:val="false"/>
          <w:sz w:val="20"/>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w:t>
      </w:r>
      <w:r>
        <w:rPr>
          <w:rFonts w:ascii="Times New Roman" w:hAnsi="Times New Roman"/>
          <w:sz w:val="20"/>
        </w:rPr>
        <w:t xml:space="preserve"> </w:t>
      </w:r>
      <w:r>
        <w:rPr>
          <w:rFonts w:ascii="Times New Roman;serif" w:hAnsi="Times New Roman;serif"/>
          <w:b w:val="false"/>
          <w:sz w:val="20"/>
        </w:rPr>
        <w:t>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impacted our ability to reach targeted drug exposures. However, we cannot provide assurance that it will not later limit drug exposure or cause severe adverse events for pacmilimab 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difficult-to-drug targets.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Additionally, we recently entered into a collaboration with Moderna for the development of mRNA based product candidates. We do not know whether our Probody platform will be able to successfully develop product candidates utilizing this mRNA technology.</w:t>
      </w:r>
    </w:p>
    <w:p>
      <w:pPr>
        <w:pStyle w:val="TextBody"/>
        <w:spacing w:before="0" w:after="0"/>
        <w:jc w:val="left"/>
        <w:rPr>
          <w:rFonts w:ascii="Times New Roman" w:hAnsi="Times New Roman"/>
          <w:sz w:val="20"/>
        </w:rPr>
      </w:pPr>
      <w:r>
        <w:rPr>
          <w:rFonts w:ascii="Times New Roman;serif" w:hAnsi="Times New Roman;serif"/>
          <w:b w:val="false"/>
          <w:sz w:val="20"/>
        </w:rPr>
        <w:t>We believe that the FDA and foreign regulatory authorities have limited experience with conditionally activated therapeutics in oncology, such experience primarily coming from praluzatamab ravtansine, CX-2029, BMS-986249, BMS-986288, and pacmilimab.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market may not be receptive to our product candidates based on a novel therapeutic modality, and we may not generate any future revenue from the sale or licensing of product candidates.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BMS-986288) for which there are existing approved therapies, such as approved agents targeting CTLA-4. Market acceptance of our product candidates will depend on, among other factors: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of our receipt of any marketing and commercialization approvals;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terms of any approvals and the countries in which approvals are obtained;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safety, purity, potency (or efficacy) of our product candidates, including those being developed by our collaborators;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prevalence and severity of any adverse side effects associated with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limitations or warnings contained in any labeling approved by the FDA or other regulatory authority;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effective companion diagnostics;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relative convenience and ease of administration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willingness of patients to accept any new methods of administration;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our physician education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coverage and adequate reimbursement from government and third-party payors;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pricing of our products, particularly as compared to alternative treatments;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availability of alternative effective treatments for the disease indications our product candidates are intended to treat and the relative risks, benefits and costs of those treatments.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any product candidate we commercialize fails to achieve market acceptance, it could have a material and adverse effect on our business, financial condition, results of operations and prospects.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pStyle w:val="TextBody"/>
        <w:spacing w:before="0" w:after="0"/>
        <w:jc w:val="left"/>
        <w:rPr>
          <w:rFonts w:ascii="Times New Roman" w:hAnsi="Times New Roman"/>
          <w:sz w:val="20"/>
        </w:rPr>
      </w:pPr>
      <w:r>
        <w:rPr>
          <w:rFonts w:ascii="Times New Roman;serif" w:hAnsi="Times New Roman;serif"/>
          <w:b w:val="false"/>
          <w:sz w:val="20"/>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2023, AbbVie terminated the collaboration agreement for CX-2029 and the ongoing discovery agreement we had entered into with them in 2016.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For example, in January 2023, Bristol Myers Squibb announced that it would deprioritize the Phase 2 clinical program for BMS 986249 and advance the BMS-986288 into a Phase 2 program.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that our collaborators may terminate the relevant agreement. Overall, collaborations involving our product candidates currently pose, and will continue to pose, the following risks to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have significant discretion in determining the amount and timing of efforts and resources that they will apply to these collaborations, including, with respect to Bristol Myers Squibb, BMS-986249 and BMS-986288 and with respect to Amgen, CX-904;</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with marketing and distribution rights to one or more products may not commit sufficient resources to the marketing and distribution of such product or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infringe, misappropriate or otherwise violate the intellectual property rights of third parties, which may expose us to litigation and potential liability;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collaborations may be terminated and, if terminated, may result in a need for additional capital to pursue further development or commercialization of the applicable product candidates.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example, in January 2023, we announced topline results of the Phase 2 expansion cohorts of CX-2029 and in March 2023, AbbVie decided not to continue the future development of CX-2029.</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Substantially all of our revenue to date has been derived from our existing collaboration agreements, including, most recently, the agreements that we entered into with Regeneron and Moderna in 2022,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pStyle w:val="TextBody"/>
        <w:spacing w:before="0" w:after="0"/>
        <w:jc w:val="left"/>
        <w:rPr>
          <w:rFonts w:ascii="Times New Roman" w:hAnsi="Times New Roman"/>
          <w:sz w:val="20"/>
        </w:rPr>
      </w:pPr>
      <w:r>
        <w:rPr>
          <w:rFonts w:ascii="Times New Roman;serif" w:hAnsi="Times New Roman;serif"/>
          <w:b w:val="false"/>
          <w:sz w:val="20"/>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assuming marketing and distribution costs and defending intellectual property rights. Alternatively, in certain instances, we may choose to abandon product candidates altogether. For instance, in March 2018, Pfizer terminated our 2013 collaboration agreement with them, and from time to time some of our research programs have been terminated by our partners.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do not achieve our projected development and commercialization goals in the timeframes we announce and expect, the commercialization of any of our product candidates may be delayed, or never attained, and our business will be harmed.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available capital resources or capital constraints we experience;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rate of progress, costs and results of our clinical trials and research and development activities, including the extent of scheduling conflicts with participating clinicians and collaborators;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identify and enroll patients who meet clinical trial eligibility criteria;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receipt of approvals by the FDA and other regulatory authorities and the timing thereof;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actions, decisions or rules issued by regulators;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access sufficient, reliable and affordable supplies of materials used in the manufacture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manufacture and supply clinical trial materials to our clinical sites on a timely basis;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efforts of our collaborators with respect to the commercialization of our products;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securing of, costs related to, and timing issues associated with, product manufacturing as well as sales and marketing activities.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the impact of the COVID-19 pandemic. Additionally, in July 2022, we announced that we would cease to continue the praluzatamab ravtansine program without a partner.</w:t>
      </w:r>
    </w:p>
    <w:p>
      <w:pPr>
        <w:pStyle w:val="TextBody"/>
        <w:spacing w:before="0" w:after="0"/>
        <w:jc w:val="left"/>
        <w:rPr>
          <w:rFonts w:ascii="Times New Roman" w:hAnsi="Times New Roman"/>
          <w:sz w:val="20"/>
        </w:rPr>
      </w:pPr>
      <w:r>
        <w:rPr>
          <w:rFonts w:ascii="Times New Roman;serif" w:hAnsi="Times New Roman;serif"/>
          <w:b w:val="false"/>
          <w:sz w:val="20"/>
        </w:rPr>
        <w:t>If we fail to achieve announced milestones in the timeframes we expect, the commercialization of any of our product candidates may be delayed or never attained, and our business and results of operations may be harmed.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The competition for collaborators is intense and there can be no assurances that we will be able to secure any collaboration for praluzatamab ravtansine or any other program.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are unable to successfully develop companion diagnostic tests for certain of our product candidates, or experience significant delays in doing so, we may not realize the full commercial potential of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we are focused on precision medicine, in which predictive biomarkers will be used to identify the right patients for our product candidates, we believe that our success may depend, in part, on the development of companion diagnostic tests, including for CX-2029.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pStyle w:val="TextBody"/>
        <w:spacing w:before="0" w:after="0"/>
        <w:jc w:val="left"/>
        <w:rPr>
          <w:rFonts w:ascii="Times New Roman" w:hAnsi="Times New Roman"/>
          <w:sz w:val="20"/>
        </w:rPr>
      </w:pPr>
      <w:r>
        <w:rPr>
          <w:rFonts w:ascii="Times New Roman;serif" w:hAnsi="Times New Roman;serif"/>
          <w:b w:val="false"/>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are currently conducting and will continue to conduct clinical trials and will contract with third-party manufacturers in foreign countries, which could expose us to risks that could have a material adverse effect on the success of our business.</w:t>
      </w:r>
    </w:p>
    <w:p>
      <w:pPr>
        <w:pStyle w:val="TextBody"/>
        <w:spacing w:before="0" w:after="0"/>
        <w:jc w:val="left"/>
        <w:rPr>
          <w:rFonts w:ascii="Times New Roman" w:hAnsi="Times New Roman"/>
          <w:sz w:val="20"/>
        </w:rPr>
      </w:pPr>
      <w:r>
        <w:rPr>
          <w:rFonts w:ascii="Times New Roman;serif" w:hAnsi="Times New Roman;serif"/>
          <w:b w:val="false"/>
          <w:sz w:val="20"/>
        </w:rPr>
        <w:t>We have enrolled or are planning to enroll patients in our clinical trials outside the United States, including in Europe and South Korea.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currently contract manufacturing operations to third parties, and certain of our product candidates are manufactured by and will in the future be manufactured by third parties outside the U.S., including in China. For example, we have a contract with a third-party manufacturer located in China for our CX-801 product candidate and accordingly we are exposed to the possibility of drug product supply disruption, delay and increased costs in the event of changes in the policies of the U.S. or Chinese governments, political unrest or unstable economic conditions in China.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Conducting clinical trials and contracting with third-party manufacturers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spacing w:before="0" w:after="0"/>
        <w:jc w:val="left"/>
        <w:rPr>
          <w:rFonts w:ascii="Times New Roman" w:hAnsi="Times New Roman"/>
          <w:sz w:val="20"/>
        </w:rPr>
      </w:pPr>
      <w:r>
        <w:rPr>
          <w:rFonts w:ascii="Times New Roman;serif" w:hAnsi="Times New Roman;serif"/>
          <w:b w:val="false"/>
          <w:sz w:val="20"/>
        </w:rPr>
        <w:t>We rely on third-party contract manufacturers to manufacture our clinical trial and preclinical study product supplies, some of which are located in foreign countries,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praluzatamab ravtansine (CX-2009), CX-2029, pacmilimab (CX-072), and CX-904, our manufacturing supply chain includes several contract manufacturers, and failure by any of these manufacturers could result in interruptions of our clinical studies. For example, in November 2019, one of our contract manufacturers that manufactures pacmilimab experienced a production failure. If we had not been able to assure sufficient supplies of clinical trial drug product after the production failure, we may have been required to suspend any ongoing trials and postpone future trials. Although we took sufficient steps to assure our current supply of pacmilimab, there can be no assurance that we will not have future production failures, which could affect our ability to conduct our trials for CX-2029, CX-904 or any other clinical trial drug candidates, including CX-801 and CX-2051,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 This site provided clinical manufacturing support for the praluzatamab ravtansine program. We completed transfer of the drug substance manufacturing process from ImmunoGen to a CMO, where we have an existing relationship and which has expertise in the manufacture of antibody-drug conjugates at a clinical and commercial scale. While the manufacturing transfer process was completed, there can be no assurance that we will not experience a disruption in the supply of any other drug substance or drug product.</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pacmilimab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inability to initiate or continue clinical trials of product candidates under development;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 in submitting regulatory applications, or receiving regulatory approvals, for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loss of the cooperation of a collaborator;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subjecting third-party manufacturing facilities or our manufacturing facilities to additional inspections by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requirements to cease distribution or to recall batches of our product candidates;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 the event of approval to market and commercialize a product candidate, an inability to meet commercial demands for our products.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supply chain for the manufacturing of our product candidates is complicated and can involve many parties. This is especially the case for our clinical-stage conditionally activated ADCs, praluzatamab ravtansine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We, or third-party manufacturers, may be unable to successfully scale-up manufacturing of our product candidates in sufficient quality and quantity, which would delay or prevent us from developing our product candidates and commercializing approved products, if any.</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It may prove more challenging than we anticipate to manufacture products that incorporate our Probody therapeutic technology. In order to conduct clinical trials of our product candidates, including our clinical trials for CX-2029 and CX-904, we will need to manufacture them in large quantities. To date, we have generally been able to successfully manufacture CX-2029, and CX-904 for our ongoing early-stage clinical trials. However, in November 2019, we had a production failure at one of our contract manufacturers that manufactured pacmilimab for our Phase 1/2 clinical trial and for our future trials. If we had not been able to assure sufficient supplies of clinical trial drug product after the production failure, we may have been required to suspend any ongoing trials and postpone future trials. Although we took sufficient steps to assure our current supply of pacmilimab clinical trial drug product for our planned clinical trials, there can be no assurance that we will not have future production failures, which could affect our ability to conduct our trials for CX-2029, CX-904 or any other clinical trial drug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candidates, including CX-801 and CX-2051, on our planned timeline or at all. Furthermore, in order to conduct later stage clinical trials of our product candidates, such as our Phase 2 clinical trial for CX-2029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bridging requirements, we may not be able to successfully obtain FDA approval and commercialize product candidates in a timely manner or at all.</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expend our limited resources to pursue a particular product candidate and fail to capitalize on product candidates that may be more profitable or for which there is a greater likelihood of success.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we have limited financial and managerial resources, we focus on specific product candidates and indications. For example, in July 2022, we announced that we would not continue the development of pralauzatamab ravtansine without a partner.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experience difficulties in managing our growth and expanding when needed.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Over the last few years, we have expanded our workforce and activities to manage our expanding pipeline, including Phase 2 clinical trials. However, in July 2022, we announced we will not advance praluzatamab ravtansine into further clinical trials and will seek a partner for the program. As a result, we announced that we would reduce our workforce, primarily development and general and administrative staff, by approximately 40%.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including Regeneron and Moderna,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spacing w:before="0" w:after="0"/>
        <w:jc w:val="left"/>
        <w:rPr>
          <w:rFonts w:ascii="Times New Roman" w:hAnsi="Times New Roman"/>
          <w:sz w:val="20"/>
        </w:rPr>
      </w:pPr>
      <w:r>
        <w:rPr>
          <w:rFonts w:ascii="Times New Roman;serif" w:hAnsi="Times New Roman;serif"/>
          <w:b w:val="false"/>
          <w:sz w:val="20"/>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including, CX-2029,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Harpoon Therapeutics, Revitope, Roche, Seagen, Takeda, Werewolf Therapeutics, and Xilio are exploring antibody masking and/or conditional activation strategies, which could compete with our Probody platform. We are also aware of several companies that are developing ADCs, such as AbbVie, ADC Therapeutics, Daiichi Sankyo, Gilead, ImmunoGen, Merck &amp; Co.,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Any inability to attract and retain qualified key management and technical personnel would impair our ability to implement our business plan.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has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Price controls imposed in foreign markets may adversely affect our future profitability.</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business entails a significant risk of product liability and our ability to obtain sufficient insurance coverage could have a material and adverse effect on our business, financial condition, results of operations and prospects.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CX-904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employees and independent contractors may engage in misconduct or other improper activities, including noncompliance with regulatory standards and requirements.</w:t>
      </w:r>
    </w:p>
    <w:p>
      <w:pPr>
        <w:pStyle w:val="TextBody"/>
        <w:spacing w:before="0" w:after="0"/>
        <w:jc w:val="left"/>
        <w:rPr>
          <w:rFonts w:ascii="Times New Roman" w:hAnsi="Times New Roman"/>
          <w:sz w:val="20"/>
        </w:rPr>
      </w:pPr>
      <w:r>
        <w:rPr>
          <w:rFonts w:ascii="Times New Roman;serif" w:hAnsi="Times New Roman;serif"/>
          <w:b w:val="false"/>
          <w:sz w:val="20"/>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we continue to operate in a hybrid, work-from-home environment and there can be no assurance that we will be able to continue to increase or maintain current levels of such activity or that the COVID-19 pandemic will not continue to impact our ability to conduct business.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reported financial results may be adversely affected by changes in accounting principles generally accepted in the U.S.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Revenue from Contracts with Customers (Topic 606),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ability to utilize our net operating loss carryforwards and certain other tax attributes may be limited.</w:t>
      </w:r>
    </w:p>
    <w:p>
      <w:pPr>
        <w:pStyle w:val="TextBody"/>
        <w:spacing w:before="0" w:after="0"/>
        <w:jc w:val="left"/>
        <w:rPr>
          <w:rFonts w:ascii="Times New Roman" w:hAnsi="Times New Roman"/>
          <w:sz w:val="20"/>
        </w:rPr>
      </w:pPr>
      <w:r>
        <w:rPr>
          <w:rFonts w:ascii="Times New Roman;serif" w:hAnsi="Times New Roman;serif"/>
          <w:b w:val="false"/>
          <w:sz w:val="20"/>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For example, we performed an IRC Section 382 analysis in 2017 and determined there was an ownership change that resulted in Section 382 limitations. The ownership change limited our ability to utilize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Intellectual Property</w:t>
      </w:r>
    </w:p>
    <w:p>
      <w:pPr>
        <w:pStyle w:val="TextBody"/>
        <w:spacing w:before="0" w:after="0"/>
        <w:jc w:val="left"/>
        <w:rPr>
          <w:rFonts w:ascii="Times New Roman;serif" w:hAnsi="Times New Roman;serif"/>
          <w:b/>
          <w:i/>
          <w:sz w:val="20"/>
        </w:rPr>
      </w:pPr>
      <w:r>
        <w:rPr>
          <w:rFonts w:ascii="Times New Roman;serif" w:hAnsi="Times New Roman;serif"/>
          <w:b/>
          <w:i/>
          <w:sz w:val="20"/>
        </w:rPr>
        <w:t>If we are not able to obtain and enforce patent protection for our technologies or product candidates, development and commercialization of our product candidates may be adversely affected.</w:t>
      </w:r>
    </w:p>
    <w:p>
      <w:pPr>
        <w:pStyle w:val="TextBody"/>
        <w:spacing w:before="0" w:after="0"/>
        <w:jc w:val="left"/>
        <w:rPr>
          <w:rFonts w:ascii="Times New Roman" w:hAnsi="Times New Roman"/>
          <w:sz w:val="20"/>
        </w:rPr>
      </w:pPr>
      <w:r>
        <w:rPr>
          <w:rFonts w:ascii="Times New Roman;serif" w:hAnsi="Times New Roman;serif"/>
          <w:b w:val="false"/>
          <w:sz w:val="20"/>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Times New Roman;serif" w:hAnsi="Times New Roman;serif"/>
          <w:b w:val="false"/>
          <w:i/>
          <w:sz w:val="20"/>
        </w:rPr>
        <w:t xml:space="preserve">in vivo </w:t>
      </w:r>
      <w:r>
        <w:rPr>
          <w:rFonts w:ascii="Times New Roman;serif" w:hAnsi="Times New Roman;serif"/>
          <w:b w:val="false"/>
          <w:sz w:val="20"/>
        </w:rPr>
        <w:t>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pStyle w:val="TextBody"/>
        <w:spacing w:before="0" w:after="0"/>
        <w:jc w:val="left"/>
        <w:rPr>
          <w:rFonts w:ascii="Times New Roman" w:hAnsi="Times New Roman"/>
          <w:sz w:val="20"/>
        </w:rPr>
      </w:pPr>
      <w:r>
        <w:rPr>
          <w:rFonts w:ascii="Times New Roman;serif" w:hAnsi="Times New Roman;serif"/>
          <w:b w:val="false"/>
          <w:sz w:val="20"/>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Times New Roman;serif" w:hAnsi="Times New Roman;serif"/>
          <w:b w:val="false"/>
          <w:i/>
          <w:sz w:val="20"/>
        </w:rPr>
        <w:t>Association for Molecular Pathology v. Myriad Genetics, Inc</w:t>
      </w:r>
      <w:r>
        <w:rPr>
          <w:rFonts w:ascii="Times New Roman;serif" w:hAnsi="Times New Roman;serif"/>
          <w:b w:val="false"/>
          <w:sz w:val="20"/>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pStyle w:val="TextBody"/>
        <w:spacing w:before="0" w:after="0"/>
        <w:jc w:val="left"/>
        <w:rPr>
          <w:rFonts w:ascii="Times New Roman" w:hAnsi="Times New Roman"/>
          <w:sz w:val="20"/>
        </w:rPr>
      </w:pPr>
      <w:r>
        <w:rPr>
          <w:rFonts w:ascii="Times New Roman;serif" w:hAnsi="Times New Roman;serif"/>
          <w:b w:val="false"/>
          <w:sz w:val="20"/>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patent owner may be compelled to limit the scope of the allowed or granted claims thus attacked, or may lose the allowed or granted claims altogether. In addition, there can be no assurance that: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Others will not or may not be able to make, use or sell compounds that are the same as or similar to our product candidates but that are not covered by the claims of the patents that we own or license.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our licensors, or our collaborators are the first to make the inventions covered by each of our issued patents and pending patent applications that we own or license.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our licensors, or our collaborators are the first to file patent applications covering certain aspects of our inventions.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Others will not independently develop similar or alternative technologies or duplicate any of our technologies without infringing, misappropriating or otherwise violating our intellectual property rights.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third party may not challenge our patents and, if challenged, a court would hold that our patents are valid, enforceable and infringed.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issued patents that we own or have licensed will provide us with any competitive advantages, or will not be challenged by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develop additional proprietary technologies that are patentable.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patents of others will not have a material or adverse effect on our business, financial condition, results of operations and prospects.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Other companies or organizations may challenge our or our licensors’ patent rights or may assert patent rights that prevent us from developing and commercializing our products.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pStyle w:val="TextBody"/>
        <w:spacing w:before="0" w:after="0"/>
        <w:jc w:val="left"/>
        <w:rPr>
          <w:rFonts w:ascii="Times New Roman" w:hAnsi="Times New Roman"/>
          <w:sz w:val="20"/>
        </w:rPr>
      </w:pPr>
      <w:r>
        <w:rPr>
          <w:rFonts w:ascii="Times New Roman;serif" w:hAnsi="Times New Roman;serif"/>
          <w:b w:val="false"/>
          <w:sz w:val="20"/>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not be able to protect our intellectual property rights throughout the world.</w:t>
      </w:r>
    </w:p>
    <w:p>
      <w:pPr>
        <w:pStyle w:val="TextBody"/>
        <w:spacing w:before="0" w:after="0"/>
        <w:jc w:val="left"/>
        <w:rPr>
          <w:rFonts w:ascii="Times New Roman" w:hAnsi="Times New Roman"/>
          <w:sz w:val="20"/>
        </w:rPr>
      </w:pPr>
      <w:r>
        <w:rPr>
          <w:rFonts w:ascii="Times New Roman;serif" w:hAnsi="Times New Roman;serif"/>
          <w:b w:val="false"/>
          <w:sz w:val="20"/>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pStyle w:val="TextBody"/>
        <w:spacing w:before="0" w:after="0"/>
        <w:jc w:val="left"/>
        <w:rPr>
          <w:rFonts w:ascii="Times New Roman" w:hAnsi="Times New Roman"/>
          <w:sz w:val="20"/>
        </w:rPr>
      </w:pPr>
      <w:r>
        <w:rPr>
          <w:rFonts w:ascii="Times New Roman;serif" w:hAnsi="Times New Roman;serif"/>
          <w:b w:val="false"/>
          <w:sz w:val="20"/>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serif" w:hAnsi="Times New Roman;serif"/>
          <w:b w:val="false"/>
          <w:i/>
          <w:sz w:val="20"/>
        </w:rPr>
        <w:t>inter alia</w:t>
      </w:r>
      <w:r>
        <w:rPr>
          <w:rFonts w:ascii="Times New Roman;serif" w:hAnsi="Times New Roman;serif"/>
          <w:b w:val="false"/>
          <w:sz w:val="20"/>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Intellectual property litigation could cause us to spend substantial resources and distract our personnel from their normal responsibilities.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noBreakHyphen/>
        <w:t>executing or may be breached, and we may be forced to bring claims against third parties, or defend claims they may bring against us, to determine the ownership of what we regard as our intellectual property.</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are unable to protect the confidentiality of our trade secrets, our business and competitive position would be harmed.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our trademarks and trade names are not adequately protected, then we may not be able to build name recognition in our markets of interest and our business may be adversely affected.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Government Regulation</w:t>
      </w:r>
    </w:p>
    <w:p>
      <w:pPr>
        <w:pStyle w:val="TextBody"/>
        <w:spacing w:before="0" w:after="0"/>
        <w:jc w:val="left"/>
        <w:rPr>
          <w:rFonts w:ascii="Times New Roman;serif" w:hAnsi="Times New Roman;serif"/>
          <w:b/>
          <w:i/>
          <w:sz w:val="20"/>
        </w:rPr>
      </w:pPr>
      <w:r>
        <w:rPr>
          <w:rFonts w:ascii="Times New Roman;serif" w:hAnsi="Times New Roman;serif"/>
          <w:b/>
          <w:i/>
          <w:sz w:val="20"/>
        </w:rPr>
        <w:t>We may be unable to obtain or be delayed in obtaining U.S. or foreign regulatory approval and, as a result, be unable or delayed in being able to commercialize our product candidates.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Additionally,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the marketing or manufacturing of the product, withdrawal of the product from the market or voluntary or mandatory product recalls;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fines, warning letters or holds on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refusal by the FDA to approve pending applications or supplements to approved applications filed by us or our strategic partners;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suspension or revocation of product approvals;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seizure or detention or refusal to permit the import or export of products;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injunctions or the imposition of civil or criminal penalties.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Our product candidates for which we intend to seek approval as biologic products may face competition sooner than anticipated.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competing product containing the sponsor’s own preclinical data and data from adequate and well-controlled clinical trials to demonstrate the safety, purity and potency of their product.</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spacing w:before="0" w:after="0"/>
        <w:jc w:val="left"/>
        <w:rPr>
          <w:rFonts w:ascii="Times New Roman" w:hAnsi="Times New Roman"/>
          <w:sz w:val="20"/>
        </w:rPr>
      </w:pPr>
      <w:r>
        <w:rPr>
          <w:rFonts w:ascii="Times New Roman;serif" w:hAnsi="Times New Roman;serif"/>
          <w:b w:val="false"/>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Healthcare legislative reform measures may have a material and adverse effect on our business and results of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pStyle w:val="TextBody"/>
        <w:spacing w:before="0" w:after="0"/>
        <w:jc w:val="left"/>
        <w:rPr>
          <w:rFonts w:ascii="Times New Roman" w:hAnsi="Times New Roman"/>
          <w:sz w:val="20"/>
        </w:rPr>
      </w:pPr>
      <w:r>
        <w:rPr>
          <w:rFonts w:ascii="Times New Roman;serif" w:hAnsi="Times New Roman;serif"/>
          <w:b w:val="false"/>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In addition, other legislative changes have been proposed and adopted in the United States since the ACA was enacted to reduce healthcare expenditures. The Budget Control Act of 2011, among other things, included aggregate reductions of Medicare payments to providers. These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reductions went into effect on April 1, 2013 and, due to subsequent legislative amendments to the statute, will remain in effect through 2032,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pStyle w:val="TextBody"/>
        <w:spacing w:before="0" w:after="0"/>
        <w:jc w:val="left"/>
        <w:rPr>
          <w:rFonts w:ascii="Times New Roman" w:hAnsi="Times New Roman"/>
          <w:sz w:val="20"/>
        </w:rPr>
      </w:pPr>
      <w:r>
        <w:rPr>
          <w:rFonts w:ascii="Times New Roman;serif" w:hAnsi="Times New Roman;serif"/>
          <w:b w:val="false"/>
          <w:sz w:val="20"/>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March 2021, the American Rescue Plan Act of 2021 was signed into law, which eliminates the statutory Medicaid drug rebate cap, currently set at 100% of a drug’s average manufacturer price, beginning January 1, 2024. Most recently, on August 16, 2022, the Inflation Reduction Act of 2022, or IRA, was signed into law by President Biden.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pStyle w:val="TextBody"/>
        <w:spacing w:before="0" w:after="0"/>
        <w:jc w:val="left"/>
        <w:rPr>
          <w:rFonts w:ascii="Times New Roman" w:hAnsi="Times New Roman"/>
          <w:sz w:val="20"/>
        </w:rPr>
      </w:pPr>
      <w:r>
        <w:rPr>
          <w:rFonts w:ascii="Times New Roman;serif" w:hAnsi="Times New Roman;serif"/>
          <w:b w:val="false"/>
          <w:sz w:val="20"/>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adverse regulatory inspection findings;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warning letters;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voluntary or mandatory product recalls or public notification or medical product safety alerts to healthcare professionals;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or prohibitions against, marketing our products;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restrictions on, or prohibitions against, importation or exportation of our products;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suspension of review or refusal to approve pending applications or supplements to approved applications;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exclusion from participation in government-funded healthcare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exclusion from eligibility for the award of government contracts for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suspension or withdrawal of product approvals;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seizures or administrative detention of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injunctions;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civil and criminal penalties and fines.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spacing w:before="0" w:after="0"/>
        <w:jc w:val="left"/>
        <w:rPr>
          <w:rFonts w:ascii="Times New Roman" w:hAnsi="Times New Roman"/>
          <w:sz w:val="20"/>
        </w:rPr>
      </w:pPr>
      <w:r>
        <w:rPr>
          <w:rFonts w:ascii="Times New Roman;serif" w:hAnsi="Times New Roman;serif"/>
          <w:b w:val="false"/>
          <w:sz w:val="20"/>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The CPRA imposes additional data protection obligations on covered businesses, including additional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operations abroad may also be subject to increased scrutiny or attention from data protection authorities. For example, the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in July 2020, the Court of Justice of the European Union (“CJEU”) limited how organizations could lawfully transfer personal data from the EU/EEA to the United States by invalidating the EU-US Privacy Shield Framework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As we continue to expand into other foreign countries and jurisdictions, we may be subject to additional laws and regulations that may affect how we conduct business.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Even if we are able to commercialize any product candidate, such product candidate may become subject to unfavorable pricing regulations or third-party coverage and reimbursement policies, which would harm our business.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spacing w:before="0" w:after="0"/>
        <w:jc w:val="left"/>
        <w:rPr>
          <w:rFonts w:ascii="Times New Roman" w:hAnsi="Times New Roman"/>
          <w:sz w:val="20"/>
        </w:rPr>
      </w:pPr>
      <w:r>
        <w:rPr>
          <w:rFonts w:ascii="Times New Roman;serif" w:hAnsi="Times New Roman;serif"/>
          <w:b w:val="false"/>
          <w:sz w:val="20"/>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pStyle w:val="TextBody"/>
        <w:spacing w:before="0" w:after="0"/>
        <w:jc w:val="left"/>
        <w:rPr>
          <w:rFonts w:ascii="Times New Roman" w:hAnsi="Times New Roman"/>
          <w:sz w:val="20"/>
        </w:rPr>
      </w:pPr>
      <w:r>
        <w:rPr>
          <w:rFonts w:ascii="Times New Roman;serif" w:hAnsi="Times New Roman;serif"/>
          <w:b w:val="false"/>
          <w:sz w:val="20"/>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As a condition of accelerated approval, the FDA will generally require the sponsor to perform adequate and well-controlled confirmatory clinical studies to verify and describe the anticipated effect on irreversible morbidity or mortality or other clinical benefit. Products receiving accelerated approval may be subject to expedited withdrawal procedures if the sponsor fails to conduct the required confirmatory studies in a timely manner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confirmatory clinical trials, and we may be required to remove the product from the market or amend the product label in a way that adversely impacts its marketing.</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seek Orphan Drug Designation for some of our product candidates, and we may be unsuccessful or may be unable to maintain the benefits associated with Orphan Drug Designation, including the potential for market exclusivity.</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disease or condition or seven years, except in limited circumstances, such as a showing of clinical superiority to the product with orphan drug exclusivity or where the manufacturer is unable to assure sufficient product quantity.</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disease or condition. Even after an orphan product is approved, the FDA can subsequently approve the same drug or therapeutic biologic for the same disease or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Ownership of Our Common Stock</w:t>
      </w:r>
    </w:p>
    <w:p>
      <w:pPr>
        <w:pStyle w:val="TextBody"/>
        <w:spacing w:before="0" w:after="0"/>
        <w:jc w:val="left"/>
        <w:rPr>
          <w:rFonts w:ascii="Times New Roman;serif" w:hAnsi="Times New Roman;serif"/>
          <w:b/>
          <w:i/>
          <w:sz w:val="20"/>
        </w:rPr>
      </w:pPr>
      <w:r>
        <w:rPr>
          <w:rFonts w:ascii="Times New Roman;serif" w:hAnsi="Times New Roman;serif"/>
          <w:b/>
          <w:i/>
          <w:sz w:val="20"/>
        </w:rPr>
        <w:t>Our quarterly operating results may fluctuate significantly or may fall below the expectations of investors or securities analysts, each of which may cause our stock price to fluctuate or decline.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expect our operating results to be subject to quarterly fluctuations. Our net loss and other operating results will be affected by numerous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variations in the level of expense related to the ongoing development of our Probody platform, our product candidates or future development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results of clinical trials, or the addition or termination of clinical trials or funding support by us, or existing or future collaborators or licensing partners;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execution of any additional collaboration, licensing or similar arrangements, and the timing of payments we may make or receive under existing or future arrangements or the termination or modification of any such existing or future arrangements;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developments or disputes concerning patents or other proprietary rights, including patents, litigation matters and our ability to obtain patent protection for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intellectual property infringement lawsuit or opposition, interference or cancellation proceeding in which we may become involved, including the ongoing patent infringement lawsuit brought by Vytacera against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additions and departures of key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strategic decisions by us or our competitors, such as acquisitions, divestitures, spin-offs, joint ventures, strategic investments or changes in business strategy;</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if any of our product candidates receives regulatory approval, the terms of such approval and market acceptance and demand for such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developments affecting our product candidates or those of our competitors;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changes in general market and economic conditions.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Section 404 of the Sarbanes-Oxley Act of 2002 requires that we evaluate and determine the effectiveness of our internal controls over financial reporting and provide a management report on the internal control over financial reporting.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to furnish a report by our management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If we are no longer a “smaller reporting company,” our auditors will be required to issue an attestation report on the effectiveness of our internal controls on an annual basis.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connection with the implementation of the necessary practices and procedures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its attestation report. Our testing, or the subsequent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consolidated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Although we initiated plans to remediate the material weakness, there can be no assurance that we will be successful or that we will not identify additional material weaknesses in the future.</w:t>
      </w:r>
    </w:p>
    <w:p>
      <w:pPr>
        <w:pStyle w:val="TextBody"/>
        <w:spacing w:before="0" w:after="0"/>
        <w:jc w:val="left"/>
        <w:rPr>
          <w:rFonts w:ascii="Times New Roman" w:hAnsi="Times New Roman"/>
          <w:sz w:val="20"/>
        </w:rPr>
      </w:pPr>
      <w:r>
        <w:rPr>
          <w:rFonts w:ascii="Times New Roman;serif" w:hAnsi="Times New Roman;serif"/>
          <w:b w:val="false"/>
          <w:sz w:val="20"/>
        </w:rPr>
        <w:t>In future periods, if our management is unable to conclude that we have effective internal control over financial reporting, or to certify the effectiveness of such controls, or if additional material weaknesses in our internal control over financial reporting are identified, or such material weaknesses are not remediated on a timely basis,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stock price may be volatile and purchasers of our common stock could incur substantial losses.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stock price is volatile. Since our initial public offering (“IPO”), our stock had low and high sales prices in the range of $1.17 and $35.00 per share. The market price for our common stock may be influenced by many factors, including the other risks described in this section titled “Risk Factors” and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results of clinical trials and preclinical studies of our product candidates, or those of our competitors or our collaborators;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or legal developments in the U.S. and other countries, especially changes in laws or regulations applicable to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competitive products or technologies;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introductions and announcements of new products by us, our future commercialization partners, or our competitors, and the timing of these introductions or announcements;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actions taken by regulatory agencies with respect to our products, clinical studies, manufacturing process or sales and marketing terms;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actual or anticipated variations in our financial results or those of companies that are perceived to be similar to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our efforts to acquire or in-license additional technologies, products or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developments concerning any existing or future collaborations, including but not limited to those with our sources of manufacturing supply and our commercialization partners;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market conditions in the pharmaceutical and biotechnology sectors;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by us or our competitors of significant acquisitions, strategic collaborations, joint ventures or capital commitments;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developments or disputes concerning patents or other proprietary rights, including patents, litigation matters and our ability to obtain patent protection for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or inability to raise additional capital and the terms on which we raise it;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recruitment or departure of key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structure of healthcare payment systems;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actual or anticipated changes in earnings estimates or changes in stock market analyst recommendations regarding our common stock, other comparable companies or our industry generally;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failure or the failure of our competitors to meet analysts’ projections or guidance that we or our competitors may give to the market;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the valuation of companies perceived by investors to be comparable to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 and expectation of additional financing efforts;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speculation in the press or investment community;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trading volume of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sales of our common stock by us or our stockholders;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concentrated ownership of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accounting principles;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terrorist acts, acts of war or periods of widespread civil unrest;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natural disasters and other calamities;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general economic, industry and market conditions.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the spread of COVID-19 may negatively impact the trading price of shares of our common stock and could further severely impact our ability to raise additional capital on a timely basis or at all.</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future issuance of equity or of debt securities that are convertible into equity will dilute our share capital.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employment agreements with our executive officers may require us to pay severance benefits to officers in connection with termination of employment or upon a change of control of us, which could harm our financial condition.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An active market for our common stock may not be maintained.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Our principal stockholders and management own a significant percentage of our stock and will be able to exert significant control over matters subject to stockholder approval.</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March 31, 2023, our executive officers, directors, holders of 5% or more of our capital stock based on publicly available filings made with the SEC and their respective affiliates beneficially owned approximately 23%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spacing w:before="0" w:after="0"/>
        <w:jc w:val="left"/>
        <w:rPr>
          <w:rFonts w:ascii="Times New Roman" w:hAnsi="Times New Roman"/>
          <w:sz w:val="20"/>
        </w:rPr>
      </w:pPr>
      <w:r>
        <w:rPr>
          <w:rFonts w:ascii="Times New Roman;serif" w:hAnsi="Times New Roman;serif"/>
          <w:b w:val="false"/>
          <w:sz w:val="20"/>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of directors is responsible for appointing the members of our management team, these provisions could in turn affect any attempt by our stockholders to replace current members of our management team. These provisions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prohibition on actions by our stockholders by written consent;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advance notice requirements for election to our board of directors and for proposing matters that can be acted upon at stockholder meetings;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division of our board of directors into three classes, serving staggered terms of three years each;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authority of the board of directors to issue preferred stock with such terms as the board of directors may determine.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incur increased costs as a result of operating as a public company, and our management is required to devote substantial time to new compliance initiatives and corporate governance practices.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Because we do not anticipate paying any cash dividends on our capital stock in the foreseeable future, capital appreciation, if any, will be your sole source of gain.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incur significant costs from class action litigation due to our expected stock volatility.</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General Risk Factors</w:t>
      </w:r>
    </w:p>
    <w:p>
      <w:pPr>
        <w:pStyle w:val="TextBody"/>
        <w:spacing w:before="0" w:after="0"/>
        <w:jc w:val="left"/>
        <w:rPr>
          <w:rFonts w:ascii="Times New Roman" w:hAnsi="Times New Roman"/>
          <w:sz w:val="20"/>
        </w:rPr>
      </w:pPr>
      <w:r>
        <w:rPr>
          <w:rFonts w:ascii="Times New Roman;serif" w:hAnsi="Times New Roman;serif"/>
          <w:b/>
          <w:i/>
          <w:sz w:val="20"/>
        </w:rPr>
        <w:t>The COVID-19 pandemic or any future pandemic could adversely impact our business, including our research, clinical trials, including clinical trial site initiation and patient enrollment, and financial condition.</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December 2019, a novel strain of coronavirus, COVID-19, was reported to have surfaced in Wuhan, China. Since then, COVID-19 has spread to multiple countries, including the United States and European and Asia-Pacific countries, including countries in which we have planned or active clinical trial sites. As COVID-19 and its variants continue to spread around the globe, we will likely continue to experience disruptions that could severely impact our business, research, including research for our partners or research of our partners, and clinical trials, including ongoing or planned clinical trials for CX-2029, CX-904, praluzatamab ravtansine, and clinical trials of our partners, including Bristol Myers Squibb. These disruptions and impacts may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or difficulties in enrolling patients in our clinical trials or the clinical trials of our partners;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or difficulties in clinical site initiation for CX-2029, CX-904 or any other clinical trials we or our partners decide to initiate, including difficulties in recruiting clinical site investigators and clinical site staff;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diversion of healthcare resources away from the conduct of clinical trials, including the diversion of hospitals serving as our or our partners’ clinical trial sites and hospital staff supporting the conduct of our or our partners’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interruption of key clinical trial activities, such as clinical trial site monitoring, due to limitations on travel imposed or recommended by federal or state governments, employers and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difficulty in interpreting clinical data due to patients being infected by COVID-19;</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receiving approval from local regulatory authorities to initiate our or our partners’ planned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clinical sites receiving the supplies and materials needed to conduct our or our partners’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interruption in manufacturing or global shipping that may affect the timely delivery or transport of research materials or clinical trial materials, such as investigational drug product used in our or our partners’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necessary interactions with local regulators, ethics committees and other important agencies and contractors due to limitations in employee resources or forced furlough of government employees;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refusal of the FDA to accept data from clinical trials in affected geographies outside the United States.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cannot be certain of the continuing impact of the COVID-19 pandemic, including COVID-19 variants on clinical trial planning, or that site initiation, patient recruitment or other clinical trial activities for any of our product candidates will not continue to be delayed, discontinued or otherwise impacted.</w:t>
      </w:r>
    </w:p>
    <w:p>
      <w:pPr>
        <w:pStyle w:val="TextBody"/>
        <w:spacing w:before="0" w:after="0"/>
        <w:jc w:val="left"/>
        <w:rPr>
          <w:rFonts w:ascii="Times New Roman" w:hAnsi="Times New Roman"/>
          <w:sz w:val="20"/>
        </w:rPr>
      </w:pPr>
      <w:r>
        <w:rPr>
          <w:rFonts w:ascii="Times New Roman;serif" w:hAnsi="Times New Roman;serif"/>
          <w:b w:val="false"/>
          <w:sz w:val="20"/>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In March 2020 we initiated a mandatory work-from-home program, limiting onsite activity to a substantially reduced level of laboratory research activities. Although we have gradually increased levels of such laboratory research activities to a satisfactory level, we continue to operate in a hybrid, work-from-home environment and there can be no assurance that we will be able to maintain current levels of such activity. Furthermore, China from time to time, including in March 2022, has implemented additional regional lockdowns which may continue to impact our ability to obtain some research and clinical trial materials on a timely basis. The COVID-19 pandemic and government limitations could further impact our ability to conduct business generally, including making timely payments, filing timely governmental and other business reports and filings, and otherwise comply with our obligations.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the spread of COVID-19 may negatively impact the trading price of shares of our common stock and could further severely impact our ability to raise additional capital on a timely basis or at all.</w:t>
      </w:r>
    </w:p>
    <w:p>
      <w:pPr>
        <w:pStyle w:val="TextBody"/>
        <w:spacing w:before="0" w:after="0"/>
        <w:jc w:val="left"/>
        <w:rPr>
          <w:rFonts w:ascii="Times New Roman" w:hAnsi="Times New Roman"/>
          <w:sz w:val="20"/>
        </w:rPr>
      </w:pPr>
      <w:r>
        <w:rPr>
          <w:rFonts w:ascii="Times New Roman;serif" w:hAnsi="Times New Roman;serif"/>
          <w:b w:val="false"/>
          <w:sz w:val="20"/>
        </w:rPr>
        <w:t>The global outbreak of COVID-19 continues to rapidly evolve, including with the discovery of new variants/mutations of the virus. The extent to which the COVID-19 pandemic continues to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Adverse U.S. and multi-national financial market conditions may adversely affect our business and financial position.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maintains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spacing w:before="0" w:after="0"/>
        <w:jc w:val="left"/>
        <w:rPr>
          <w:rFonts w:ascii="Times New Roman" w:hAnsi="Times New Roman"/>
          <w:sz w:val="20"/>
        </w:rPr>
      </w:pPr>
      <w:r>
        <w:rPr>
          <w:rFonts w:ascii="Times New Roman;serif" w:hAnsi="Times New Roman;serif"/>
          <w:b/>
          <w:i/>
          <w:sz w:val="20"/>
        </w:rPr>
        <w:t>We may acquire assets or form strategic alliances in the future, and we may not realize the benefits of such acquisitions</w:t>
      </w:r>
      <w:r>
        <w:rPr>
          <w:rFonts w:ascii="Times New Roman;serif" w:hAnsi="Times New Roman;serif"/>
          <w:b w:val="false"/>
          <w:sz w:val="20"/>
        </w:rPr>
        <w:t>.</w:t>
      </w:r>
    </w:p>
    <w:p>
      <w:pPr>
        <w:pStyle w:val="TextBody"/>
        <w:spacing w:before="0" w:after="0"/>
        <w:jc w:val="left"/>
        <w:rPr>
          <w:rFonts w:ascii="Times New Roman" w:hAnsi="Times New Roman"/>
          <w:sz w:val="20"/>
        </w:rPr>
      </w:pPr>
      <w:r>
        <w:rPr>
          <w:rFonts w:ascii="Times New Roman;serif" w:hAnsi="Times New Roman;serif"/>
          <w:b w:val="false"/>
          <w:sz w:val="20"/>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integration of a product, product candidate, program or company gives rise to unforeseen difficulties and expenditures. Any failure in identifying and managing these risks and uncertainties would have a material adverse effect on our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high acquisition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need to incur substantial debt or engage in dilutive issuances of equity securities to pay for acquisitions;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disruption of our historical business and our activities under our collaboration agreements;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strain on, and need to expand, our existing operational, technical, financial and administrative infrastructure;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lack of experience in late-stage product development and commercialization;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difficulties in assimilating employees and corporate cultures;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difficulties in hiring qualified personnel and establishing necessary development and/or commercialization capabilities;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failure to retain key management and other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challenges in controlling additional costs and expenses in connection with and as a result of the acquisition;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need to write down assets or recognize impairment charges;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diversion of our management’s attention to integration of operations and corporate and administrative infrastructures;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unanticipated liabilities for activities of or related to the acquired business or its operations, products or product candidates.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future growth may depend, in part, on our ability to operate in foreign markets, where we would be subject to additional regulatory burdens and other risks and uncertainties.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information technology systems, or those of our CROs or other contractors or consultants we may utilize, may fail, suffer disruptions or suffer security breaches, which could result in a material disruption of our product development programs.</w:t>
      </w:r>
    </w:p>
    <w:p>
      <w:pPr>
        <w:pStyle w:val="TextBody"/>
        <w:spacing w:before="0" w:after="0"/>
        <w:jc w:val="left"/>
        <w:rPr>
          <w:rFonts w:ascii="Times New Roman" w:hAnsi="Times New Roman"/>
          <w:sz w:val="20"/>
        </w:rPr>
      </w:pPr>
      <w:r>
        <w:rPr>
          <w:rFonts w:ascii="Times New Roman;serif" w:hAnsi="Times New Roman;serif"/>
          <w:b w:val="false"/>
          <w:sz w:val="20"/>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Attacks upon information technology systems are also increasing in their frequency, levels of persistence, sophistication and intensity, and are being conducted by sophisticated and organized groups and individuals with a wide range of motives and expertise. As a result of the COVID-19 pandemic and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pStyle w:val="TextBody"/>
        <w:spacing w:before="0" w:after="0"/>
        <w:jc w:val="left"/>
        <w:rPr>
          <w:rFonts w:ascii="Times New Roman" w:hAnsi="Times New Roman"/>
          <w:sz w:val="20"/>
        </w:rPr>
      </w:pPr>
      <w:r>
        <w:rPr>
          <w:rFonts w:ascii="Times New Roman;serif" w:hAnsi="Times New Roman;serif"/>
          <w:b w:val="false"/>
          <w:sz w:val="20"/>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ongoing armed conflict between Russia and Ukraine could adversely affect our business, financial condition,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pStyle w:val="TextBody"/>
        <w:spacing w:before="0" w:after="0"/>
        <w:jc w:val="left"/>
        <w:rPr>
          <w:rFonts w:ascii="Times New Roman" w:hAnsi="Times New Roman"/>
          <w:sz w:val="20"/>
        </w:rPr>
      </w:pPr>
      <w:r>
        <w:rPr>
          <w:rFonts w:ascii="Times New Roman;serif" w:hAnsi="Times New Roman;serif"/>
          <w:b w:val="false"/>
          <w:sz w:val="20"/>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r>
        <w:rPr>
          <w:rFonts w:ascii="Times New Roman" w:hAnsi="Times New Roman"/>
          <w:sz w:val="20"/>
        </w:rPr>
        <w:t xml:space="preserve">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blocking sanctions against Russian and Belarusian individuals, including the Russian President, other politicians, and those with government connections or involved in Russian military activities;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blocking of Russia’s foreign currency reserves as well as expansion of sectoral sanctions and export and trade restrictions, limitations on investments and access to capital markets, and bans on various Russian imports. </w:t>
      </w:r>
    </w:p>
    <w:p>
      <w:pPr>
        <w:pStyle w:val="TextBody"/>
        <w:spacing w:before="0" w:after="0"/>
        <w:jc w:val="left"/>
        <w:rPr>
          <w:rFonts w:ascii="Times New Roman" w:hAnsi="Times New Roman"/>
          <w:sz w:val="20"/>
        </w:rPr>
      </w:pPr>
      <w:r>
        <w:rPr>
          <w:rFonts w:ascii="Times New Roman;serif" w:hAnsi="Times New Roman;serif"/>
          <w:b w:val="false"/>
          <w:sz w:val="20"/>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do not comply with laws regulating the protection of the environment and health and human safety, our business could be adversely affected.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Changes in U.S. or foreign tax laws or regulations that are applied adversely to us may have a material adverse effect on our business, cash flow, financial condition or results of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securities or industry analysts do not publish research or reports about our business, or if they issue adverse or misleading opinions regarding our stock, our stock price and trading volume could decline.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3" w:name="item_2_unregistered_sales_equity_securit"/>
      <w:bookmarkEnd w:id="13"/>
      <w:r>
        <w:rPr>
          <w:rFonts w:ascii="Times New Roman;serif" w:hAnsi="Times New Roman;serif"/>
          <w:b/>
          <w:sz w:val="20"/>
        </w:rPr>
        <w:t>Item 2. Unregistered Sales of Equity Securities and Use of Proceeds.</w:t>
      </w:r>
    </w:p>
    <w:p>
      <w:pPr>
        <w:pStyle w:val="TextBody"/>
        <w:spacing w:before="120" w:after="0"/>
        <w:jc w:val="left"/>
        <w:rPr>
          <w:rFonts w:ascii="Times New Roman" w:hAnsi="Times New Roman"/>
          <w:sz w:val="20"/>
        </w:rPr>
      </w:pPr>
      <w:r>
        <w:rPr>
          <w:rFonts w:ascii="Times New Roman;serif" w:hAnsi="Times New Roman;serif"/>
          <w:b/>
          <w:i/>
          <w:sz w:val="20"/>
        </w:rPr>
        <w:t>Recent Sales of Unregistered Equity Securities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 w:hAnsi="Times New Roman"/>
          <w:sz w:val="20"/>
        </w:rPr>
      </w:pPr>
      <w:r>
        <w:rPr>
          <w:rFonts w:ascii="Times New Roman;serif" w:hAnsi="Times New Roman;serif"/>
          <w:b/>
          <w:i/>
          <w:sz w:val="20"/>
        </w:rPr>
        <w:t>Use of Proceeds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i/>
          <w:sz w:val="20"/>
        </w:rPr>
      </w:pPr>
      <w:r>
        <w:rPr>
          <w:rFonts w:ascii="Times New Roman;serif" w:hAnsi="Times New Roman;serif"/>
          <w:b/>
          <w:i/>
          <w:sz w:val="20"/>
        </w:rPr>
        <w:t>Repurchases of Shares or of Company Equity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 w:hAnsi="Times New Roman"/>
          <w:sz w:val="20"/>
        </w:rPr>
      </w:pPr>
      <w:bookmarkStart w:id="14" w:name="item_3_defaults_upon_senior_securities"/>
      <w:bookmarkEnd w:id="14"/>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15" w:name="item_4_mine_safety_disclosures"/>
      <w:bookmarkEnd w:id="15"/>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360" w:after="0"/>
        <w:jc w:val="left"/>
        <w:rPr>
          <w:rFonts w:ascii="Times New Roman" w:hAnsi="Times New Roman"/>
          <w:sz w:val="20"/>
        </w:rPr>
      </w:pPr>
      <w:bookmarkStart w:id="16" w:name="item_5_or_information"/>
      <w:bookmarkEnd w:id="16"/>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7" w:name="item_6_exhibits"/>
      <w:bookmarkEnd w:id="17"/>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sz w:val="20"/>
        </w:rPr>
        <w:t>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65"/>
        <w:gridCol w:w="146"/>
        <w:gridCol w:w="5924"/>
        <w:gridCol w:w="146"/>
        <w:gridCol w:w="532"/>
        <w:gridCol w:w="146"/>
        <w:gridCol w:w="719"/>
        <w:gridCol w:w="146"/>
        <w:gridCol w:w="691"/>
        <w:gridCol w:w="146"/>
        <w:gridCol w:w="844"/>
      </w:tblGrid>
      <w:tr>
        <w:trPr/>
        <w:tc>
          <w:tcPr>
            <w:tcW w:w="7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r>
      <w:tr>
        <w:trPr/>
        <w:tc>
          <w:tcPr>
            <w:tcW w:w="7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4" w:type="dxa"/>
            <w:gridSpan w:val="5"/>
            <w:tcBorders/>
            <w:shd w:fill="auto" w:val="clear"/>
            <w:vAlign w:val="center"/>
          </w:tcPr>
          <w:p>
            <w:pPr>
              <w:pStyle w:val="TableContents"/>
              <w:pBdr>
                <w:bottom w:val="single" w:sz="4"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left"/>
              <w:rPr/>
            </w:pPr>
            <w:r>
              <w:rPr/>
              <w:t> </w:t>
            </w:r>
          </w:p>
        </w:tc>
      </w:tr>
      <w:tr>
        <w:trPr/>
        <w:tc>
          <w:tcPr>
            <w:tcW w:w="765" w:type="dxa"/>
            <w:tcBorders/>
            <w:shd w:fill="auto" w:val="clear"/>
            <w:vAlign w:val="center"/>
          </w:tcPr>
          <w:p>
            <w:pPr>
              <w:pStyle w:val="TableContents"/>
              <w:pBdr>
                <w:bottom w:val="single" w:sz="4"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Exhibit</w:t>
              <w:br/>
              <w:t>Number</w:t>
            </w:r>
          </w:p>
        </w:tc>
        <w:tc>
          <w:tcPr>
            <w:tcW w:w="146" w:type="dxa"/>
            <w:tcBorders/>
            <w:shd w:fill="auto" w:val="clear"/>
            <w:vAlign w:val="center"/>
          </w:tcPr>
          <w:p>
            <w:pPr>
              <w:pStyle w:val="TableContents"/>
              <w:spacing w:before="0" w:after="0"/>
              <w:ind w:left="0" w:right="0" w:hanging="0"/>
              <w:jc w:val="center"/>
              <w:rPr/>
            </w:pPr>
            <w:r>
              <w:rPr/>
              <w:t> </w:t>
            </w:r>
          </w:p>
        </w:tc>
        <w:tc>
          <w:tcPr>
            <w:tcW w:w="5924" w:type="dxa"/>
            <w:tcBorders/>
            <w:shd w:fill="auto" w:val="clear"/>
            <w:vAlign w:val="center"/>
          </w:tcPr>
          <w:p>
            <w:pPr>
              <w:pStyle w:val="TableContents"/>
              <w:pBdr>
                <w:bottom w:val="single" w:sz="4" w:space="1" w:color="000000"/>
              </w:pBdr>
              <w:spacing w:before="0" w:after="0"/>
              <w:ind w:left="0" w:right="0" w:hanging="0"/>
              <w:jc w:val="center"/>
              <w:rPr>
                <w:rFonts w:ascii="Times New Roman" w:hAnsi="Times New Roman"/>
                <w:sz w:val="16"/>
              </w:rPr>
            </w:pPr>
            <w:r>
              <w:rPr>
                <w:rFonts w:ascii="Times New Roman;serif" w:hAnsi="Times New Roman;serif"/>
                <w:b/>
                <w:sz w:val="16"/>
              </w:rPr>
              <w:t>Exhibit Description</w:t>
            </w:r>
            <w:r>
              <w:rPr>
                <w:rFonts w:ascii="Times New Roman" w:hAnsi="Times New Roman"/>
                <w:sz w:val="16"/>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pBdr>
                <w:bottom w:val="single" w:sz="4"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pBdr>
                <w:bottom w:val="single" w:sz="4"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Date</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pBdr>
                <w:bottom w:val="single" w:sz="4"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pBdr>
                <w:bottom w:val="single" w:sz="4" w:space="1" w:color="000000"/>
              </w:pBdr>
              <w:spacing w:before="0" w:after="0"/>
              <w:ind w:left="0" w:right="0" w:hanging="0"/>
              <w:jc w:val="center"/>
              <w:rPr>
                <w:rFonts w:ascii="Times New Roman" w:hAnsi="Times New Roman"/>
                <w:sz w:val="16"/>
              </w:rPr>
            </w:pPr>
            <w:r>
              <w:rPr>
                <w:rFonts w:ascii="Times New Roman;serif" w:hAnsi="Times New Roman;serif"/>
                <w:b/>
                <w:sz w:val="16"/>
              </w:rPr>
              <w:t>Filed</w:t>
              <w:br/>
              <w:t>Herewith</w:t>
            </w:r>
            <w:r>
              <w:rPr>
                <w:rFonts w:ascii="Times New Roman" w:hAnsi="Times New Roman"/>
                <w:sz w:val="16"/>
              </w:rPr>
              <w:t xml:space="preserve"> </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w:t>
              </w:r>
            </w:hyperlink>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10/19/2015</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Certificate of Amendment to Amended and Restated Certificate of Incorporation of CytomX Therapeutics, Inc.</w:t>
              </w:r>
            </w:hyperlink>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firstLine="6"/>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6/23/2020</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Amended and Restated Bylaws.</w:t>
              </w:r>
            </w:hyperlink>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10/19/2015</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Reference is made to Exhibits 3.1 through 3.2.</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Specimen Common Stock Certificate</w:t>
              </w:r>
            </w:hyperlink>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9/28/2015</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hyperlink w:anchor="ctmx-ex10_1.htm">
              <w:r>
                <w:rPr>
                  <w:rStyle w:val="InternetLink"/>
                  <w:rFonts w:ascii="Times New Roman;serif" w:hAnsi="Times New Roman;serif"/>
                  <w:b w:val="false"/>
                  <w:sz w:val="20"/>
                  <w:u w:val="single"/>
                </w:rPr>
                <w:t>Sublease Agreement dated as of March 24, 2023, by and between CytomX Therapeutics, Inc and Atomic AI, Inc.</w:t>
              </w:r>
            </w:hyperlink>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hyperlink w:anchor="ctmx-ex31_1.htm">
              <w:r>
                <w:rPr>
                  <w:rStyle w:val="InternetLink"/>
                  <w:rFonts w:ascii="Times New Roman;serif" w:hAnsi="Times New Roman;serif"/>
                  <w:b w:val="false"/>
                  <w:sz w:val="20"/>
                  <w:u w:val="single"/>
                </w:rPr>
                <w:t>Certification of Chief Executive Principal required by Rule 13a-14(a) or Rule 15d-14(a).</w:t>
              </w:r>
            </w:hyperlink>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hyperlink w:anchor="ctmx-ex31_2.htm">
              <w:r>
                <w:rPr>
                  <w:rStyle w:val="InternetLink"/>
                  <w:rFonts w:ascii="Times New Roman;serif" w:hAnsi="Times New Roman;serif"/>
                  <w:b w:val="false"/>
                  <w:sz w:val="20"/>
                  <w:u w:val="single"/>
                </w:rPr>
                <w:t>Certification of Chief Financial Principal required by Rule 13a-14(a) or Rule 15d-14(a).</w:t>
              </w:r>
            </w:hyperlink>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hyperlink w:anchor="ctmx-ex32_1.htm">
              <w:r>
                <w:rPr>
                  <w:rStyle w:val="InternetLink"/>
                  <w:rFonts w:ascii="Times New Roman;serif" w:hAnsi="Times New Roman;serif"/>
                  <w:b w:val="false"/>
                  <w:sz w:val="20"/>
                  <w:u w:val="single"/>
                </w:rPr>
                <w:t>Certification of Chief Executive Officer required by Rule 13a-14(b) or Rule 15d-14(b) and Section 1350 of Chapter 63 of Title 18 of the United States Code (18 U.S.C. §1350).</w:t>
              </w:r>
            </w:hyperlink>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hyperlink w:anchor="ctmx-ex32_2.htm">
              <w:r>
                <w:rPr>
                  <w:rStyle w:val="InternetLink"/>
                  <w:rFonts w:ascii="Times New Roman;serif" w:hAnsi="Times New Roman;serif"/>
                  <w:b w:val="false"/>
                  <w:sz w:val="20"/>
                  <w:u w:val="single"/>
                </w:rPr>
                <w:t>Certification of Chief Financial Officer required by Rule 13a-14(b) or Rule 15d-14(b) and Section 1350 of Chapter 63 of Title 18 of the United States Code (18 U.S.C. §1350).</w:t>
              </w:r>
            </w:hyperlink>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59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8" w:name="signatures"/>
      <w:bookmarkEnd w:id="18"/>
      <w:r>
        <w:rPr>
          <w:rFonts w:ascii="Times New Roman;serif" w:hAnsi="Times New Roman;serif"/>
          <w:b/>
          <w:sz w:val="20"/>
        </w:rPr>
        <w:t>SIGNATURES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p>
      <w:pPr>
        <w:pStyle w:val="TextBody"/>
        <w:spacing w:before="0" w:after="0"/>
        <w:jc w:val="left"/>
        <w:rPr/>
      </w:pPr>
      <w:r>
        <w:rPr/>
        <w:t> </w:t>
      </w:r>
    </w:p>
    <w:tbl>
      <w:tblPr>
        <w:tblW w:w="7645" w:type="dxa"/>
        <w:jc w:val="left"/>
        <w:tblInd w:w="0" w:type="dxa"/>
        <w:tblCellMar>
          <w:top w:w="28" w:type="dxa"/>
          <w:left w:w="28" w:type="dxa"/>
          <w:bottom w:w="28" w:type="dxa"/>
          <w:right w:w="28" w:type="dxa"/>
        </w:tblCellMar>
      </w:tblPr>
      <w:tblGrid>
        <w:gridCol w:w="1636"/>
        <w:gridCol w:w="146"/>
        <w:gridCol w:w="406"/>
        <w:gridCol w:w="146"/>
        <w:gridCol w:w="531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1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3" w:type="dxa"/>
            <w:gridSpan w:val="3"/>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CytomX Therapeutics, Inc.</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1" w:type="dxa"/>
            <w:tcBorders/>
            <w:shd w:fill="auto" w:val="clear"/>
            <w:vAlign w:val="center"/>
          </w:tcPr>
          <w:p>
            <w:pPr>
              <w:pStyle w:val="TableContents"/>
              <w:spacing w:before="0" w:after="0"/>
              <w:ind w:left="0" w:right="0" w:hanging="0"/>
              <w:jc w:val="center"/>
              <w:rPr/>
            </w:pPr>
            <w:r>
              <w:rPr/>
              <w:t> </w:t>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5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Sean A. McCarthy</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Sean A. McCarthy, D. Phil.</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 and Chairman</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1" w:type="dxa"/>
            <w:tcBorders/>
            <w:shd w:fill="auto" w:val="clear"/>
            <w:vAlign w:val="center"/>
          </w:tcPr>
          <w:p>
            <w:pPr>
              <w:pStyle w:val="TableContents"/>
              <w:spacing w:before="0" w:after="0"/>
              <w:ind w:left="0" w:right="0" w:hanging="0"/>
              <w:jc w:val="center"/>
              <w:rPr/>
            </w:pPr>
            <w:r>
              <w:rPr/>
              <w:t> </w:t>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5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Christopher W. Ogden</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Christopher W. Ogden</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Senior Vice President, Finance and Accounting</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Officer and Principal Accounting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r>
        <w:br w:type="page"/>
      </w:r>
    </w:p>
    <w:p>
      <w:pPr>
        <w:pStyle w:val="TextBody"/>
        <w:spacing w:before="120" w:after="0"/>
        <w:jc w:val="right"/>
        <w:rPr>
          <w:rFonts w:ascii="Times New Roman;serif" w:hAnsi="Times New Roman;serif"/>
          <w:b/>
          <w:sz w:val="22"/>
        </w:rPr>
      </w:pPr>
      <w:bookmarkStart w:id="19" w:name="ctmx-ex10_1.htm"/>
      <w:bookmarkStart w:id="20" w:name="ksctmxex10_1"/>
      <w:bookmarkEnd w:id="19"/>
      <w:bookmarkEnd w:id="20"/>
      <w:r>
        <w:rPr>
          <w:rFonts w:ascii="Times New Roman;serif" w:hAnsi="Times New Roman;serif"/>
          <w:b/>
          <w:sz w:val="22"/>
        </w:rPr>
        <w:t>Exhibit 10.1</w:t>
      </w:r>
    </w:p>
    <w:p>
      <w:pPr>
        <w:pStyle w:val="TextBody"/>
        <w:spacing w:before="120" w:after="0"/>
        <w:jc w:val="center"/>
        <w:rPr/>
      </w:pPr>
      <w:r>
        <w:rPr/>
        <w:t> </w:t>
      </w:r>
    </w:p>
    <w:p>
      <w:pPr>
        <w:pStyle w:val="TextBody"/>
        <w:spacing w:before="120" w:after="0"/>
        <w:jc w:val="center"/>
        <w:rPr>
          <w:rFonts w:ascii="Times New Roman;serif" w:hAnsi="Times New Roman;serif"/>
          <w:b/>
          <w:sz w:val="22"/>
          <w:u w:val="single"/>
        </w:rPr>
      </w:pPr>
      <w:r>
        <w:rPr>
          <w:rFonts w:ascii="Times New Roman;serif" w:hAnsi="Times New Roman;serif"/>
          <w:b/>
          <w:sz w:val="22"/>
          <w:u w:val="single"/>
        </w:rPr>
        <w:t>SUBLEASE</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THIS SUBLEASE (this “Sublease”) is dated for reference purposes as of March 24, 2023, and is made by and between CytomX Therapeutics, Inc., a Delaware corporation (“Sublessor”), and Atomic AI, Inc., a Delaware corporation (“Sublessee”). Sublessor and Sublessee hereby agree as follows:</w:t>
      </w:r>
    </w:p>
    <w:p>
      <w:pPr>
        <w:pStyle w:val="TextBody"/>
        <w:spacing w:before="120" w:after="0"/>
        <w:jc w:val="left"/>
        <w:rPr>
          <w:rFonts w:ascii="Times New Roman" w:hAnsi="Times New Roman"/>
          <w:b w:val="false"/>
          <w:sz w:val="22"/>
        </w:rPr>
      </w:pPr>
      <w:r>
        <w:rPr>
          <w:rFonts w:ascii="Times New Roman" w:hAnsi="Times New Roman"/>
          <w:b w:val="false"/>
          <w:sz w:val="22"/>
        </w:rPr>
        <w:t>1.</w:t>
      </w:r>
    </w:p>
    <w:p>
      <w:pPr>
        <w:pStyle w:val="TextBody"/>
        <w:spacing w:before="120" w:after="283"/>
        <w:jc w:val="left"/>
        <w:rPr/>
      </w:pPr>
      <w:r>
        <w:rPr>
          <w:rFonts w:ascii="Times New Roman;serif" w:hAnsi="Times New Roman;serif"/>
          <w:b/>
          <w:sz w:val="22"/>
          <w:u w:val="single"/>
        </w:rPr>
        <w:t>Recitals</w:t>
      </w:r>
      <w:r>
        <w:rPr>
          <w:rFonts w:ascii="Times New Roman;serif" w:hAnsi="Times New Roman;serif"/>
          <w:b w:val="false"/>
          <w:sz w:val="22"/>
        </w:rPr>
        <w:t xml:space="preserve">: This Sublease is made with reference to the fact that HCP Oyster Point Ill LLC, as landlord (“Master Lessor”), and Sublessor, as tenant, entered into that certain lease, dated as of December 10, 2015 (the “Master Lease”), with respect to premises consisting of approximately 76,173 rentable square feet (“RSF”) of space, located on the third and fourth floors (the “Premises”) of a building being constructed at 151 Oyster Point Boulevard, South San Francisco, California (the “Building”). A copy of the Master Lease is attached hereto as </w:t>
      </w:r>
      <w:r>
        <w:rPr>
          <w:rFonts w:ascii="Times New Roman;serif" w:hAnsi="Times New Roman;serif"/>
          <w:b w:val="false"/>
          <w:sz w:val="22"/>
          <w:u w:val="single"/>
        </w:rPr>
        <w:t>Exhibit A</w:t>
      </w:r>
      <w:r>
        <w:rPr>
          <w:rFonts w:ascii="Times New Roman;serif" w:hAnsi="Times New Roman;serif"/>
          <w:b w:val="false"/>
          <w:sz w:val="22"/>
        </w:rPr>
        <w:t>.</w:t>
      </w:r>
    </w:p>
    <w:p>
      <w:pPr>
        <w:pStyle w:val="TextBody"/>
        <w:spacing w:before="120" w:after="0"/>
        <w:jc w:val="left"/>
        <w:rPr>
          <w:rFonts w:ascii="Times New Roman" w:hAnsi="Times New Roman"/>
          <w:b w:val="false"/>
          <w:sz w:val="22"/>
        </w:rPr>
      </w:pPr>
      <w:r>
        <w:rPr>
          <w:rFonts w:ascii="Times New Roman" w:hAnsi="Times New Roman"/>
          <w:b w:val="false"/>
          <w:sz w:val="22"/>
        </w:rPr>
        <w:t>2.</w:t>
      </w:r>
    </w:p>
    <w:p>
      <w:pPr>
        <w:pStyle w:val="TextBody"/>
        <w:spacing w:before="120" w:after="0"/>
        <w:jc w:val="left"/>
        <w:rPr/>
      </w:pPr>
      <w:r>
        <w:rPr>
          <w:rFonts w:ascii="Times New Roman;serif" w:hAnsi="Times New Roman;serif"/>
          <w:b/>
          <w:sz w:val="22"/>
          <w:u w:val="single"/>
        </w:rPr>
        <w:t>Premises</w:t>
      </w:r>
      <w:r>
        <w:rPr>
          <w:rFonts w:ascii="Times New Roman;serif" w:hAnsi="Times New Roman;serif"/>
          <w:b w:val="false"/>
          <w:sz w:val="22"/>
        </w:rPr>
        <w:t>:</w:t>
      </w:r>
    </w:p>
    <w:p>
      <w:pPr>
        <w:pStyle w:val="TextBody"/>
        <w:spacing w:before="120" w:after="0"/>
        <w:jc w:val="left"/>
        <w:rPr>
          <w:rFonts w:ascii="Times New Roman" w:hAnsi="Times New Roman"/>
          <w:b w:val="false"/>
          <w:sz w:val="22"/>
        </w:rPr>
      </w:pPr>
      <w:r>
        <w:rPr>
          <w:rFonts w:ascii="Times New Roman" w:hAnsi="Times New Roman"/>
          <w:b w:val="false"/>
          <w:sz w:val="22"/>
        </w:rPr>
        <w:t>A.</w:t>
      </w:r>
    </w:p>
    <w:p>
      <w:pPr>
        <w:pStyle w:val="TextBody"/>
        <w:spacing w:before="120" w:after="0"/>
        <w:jc w:val="left"/>
        <w:rPr/>
      </w:pPr>
      <w:r>
        <w:rPr>
          <w:rFonts w:ascii="Times New Roman;serif" w:hAnsi="Times New Roman;serif"/>
          <w:b w:val="false"/>
          <w:sz w:val="22"/>
          <w:u w:val="single"/>
        </w:rPr>
        <w:t>Subleased Premises</w:t>
      </w:r>
      <w:r>
        <w:rPr>
          <w:rFonts w:ascii="Times New Roman;serif" w:hAnsi="Times New Roman;serif"/>
          <w:b w:val="false"/>
          <w:sz w:val="22"/>
        </w:rPr>
        <w:t xml:space="preserve">. Sublessor hereby subleases to Sublessee, and Sublessee hereby subleases from Sublessor, a portion of the Premises consisting of approximately 14,432 RSF of space consisting of a portion of the third floor identified as the “office” and “lab” areas on </w:t>
      </w:r>
      <w:r>
        <w:rPr>
          <w:rFonts w:ascii="Times New Roman;serif" w:hAnsi="Times New Roman;serif"/>
          <w:b w:val="false"/>
          <w:sz w:val="22"/>
          <w:u w:val="single"/>
        </w:rPr>
        <w:t>Exhibit B</w:t>
      </w:r>
      <w:r>
        <w:rPr/>
        <w:t xml:space="preserve"> </w:t>
      </w:r>
      <w:r>
        <w:rPr>
          <w:rFonts w:ascii="Times New Roman;serif" w:hAnsi="Times New Roman;serif"/>
          <w:b w:val="false"/>
          <w:sz w:val="22"/>
        </w:rPr>
        <w:t xml:space="preserve">attached hereto (hereinafter, the “Subleased Premises”). Sublessor and Sublessee acknowledge that Master Lessor has a one-time right to remeasure the Premises as described in </w:t>
      </w:r>
      <w:r>
        <w:rPr>
          <w:rFonts w:ascii="Times New Roman;serif" w:hAnsi="Times New Roman;serif"/>
          <w:b w:val="false"/>
          <w:sz w:val="22"/>
          <w:u w:val="single"/>
        </w:rPr>
        <w:t>Section 1.2</w:t>
      </w:r>
      <w:r>
        <w:rPr/>
        <w:t xml:space="preserve"> </w:t>
      </w:r>
      <w:r>
        <w:rPr>
          <w:rFonts w:ascii="Times New Roman;serif" w:hAnsi="Times New Roman;serif"/>
          <w:b w:val="false"/>
          <w:sz w:val="22"/>
        </w:rPr>
        <w:t xml:space="preserve">of the Master Lease. If Master Lessor exercises such right and the square footage of the Premises and/or Building are different from those set forth in the Master Lease, the square footage of the Subleased Premises and the related amounts and percentages set forth herein shall be correspondingly adjusted (including the Base Rent) as provided in </w:t>
      </w:r>
      <w:r>
        <w:rPr>
          <w:rFonts w:ascii="Times New Roman;serif" w:hAnsi="Times New Roman;serif"/>
          <w:b w:val="false"/>
          <w:sz w:val="22"/>
          <w:u w:val="single"/>
        </w:rPr>
        <w:t>Section 1.2</w:t>
      </w:r>
      <w:r>
        <w:rPr/>
        <w:t xml:space="preserve"> </w:t>
      </w:r>
      <w:r>
        <w:rPr>
          <w:rFonts w:ascii="Times New Roman;serif" w:hAnsi="Times New Roman;serif"/>
          <w:b w:val="false"/>
          <w:sz w:val="22"/>
        </w:rPr>
        <w:t xml:space="preserve">of the Master Lease, as incorporated herein. Sublessor and Sublessee hereby acknowledge and agree that the rentable square footage of the Subleased Premises shall not increase by more than one percent (1%) from the rentable square footage stated herein as a result of the remeasurement by Master Lessor pursuant to </w:t>
      </w:r>
      <w:r>
        <w:rPr>
          <w:rFonts w:ascii="Times New Roman;serif" w:hAnsi="Times New Roman;serif"/>
          <w:b w:val="false"/>
          <w:sz w:val="22"/>
          <w:u w:val="single"/>
        </w:rPr>
        <w:t>Section 1.2</w:t>
      </w:r>
      <w:r>
        <w:rPr/>
        <w:t xml:space="preserve"> </w:t>
      </w:r>
      <w:r>
        <w:rPr>
          <w:rFonts w:ascii="Times New Roman;serif" w:hAnsi="Times New Roman;serif"/>
          <w:b w:val="false"/>
          <w:sz w:val="22"/>
        </w:rPr>
        <w:t>of the Master Lease.</w:t>
      </w:r>
    </w:p>
    <w:p>
      <w:pPr>
        <w:pStyle w:val="TextBody"/>
        <w:spacing w:before="120" w:after="0"/>
        <w:jc w:val="left"/>
        <w:rPr>
          <w:rFonts w:ascii="Times New Roman" w:hAnsi="Times New Roman"/>
          <w:b w:val="false"/>
          <w:sz w:val="22"/>
        </w:rPr>
      </w:pPr>
      <w:r>
        <w:rPr>
          <w:rFonts w:ascii="Times New Roman" w:hAnsi="Times New Roman"/>
          <w:b w:val="false"/>
          <w:sz w:val="22"/>
        </w:rPr>
        <w:t>B.</w:t>
      </w:r>
    </w:p>
    <w:p>
      <w:pPr>
        <w:pStyle w:val="TextBody"/>
        <w:spacing w:before="120" w:after="283"/>
        <w:jc w:val="left"/>
        <w:rPr/>
      </w:pPr>
      <w:r>
        <w:rPr>
          <w:rFonts w:ascii="Times New Roman;serif" w:hAnsi="Times New Roman;serif"/>
          <w:b w:val="false"/>
          <w:sz w:val="22"/>
          <w:u w:val="single"/>
        </w:rPr>
        <w:t>Shared Areas</w:t>
      </w:r>
      <w:r>
        <w:rPr>
          <w:rFonts w:ascii="Times New Roman;serif" w:hAnsi="Times New Roman;serif"/>
          <w:b w:val="false"/>
          <w:sz w:val="22"/>
        </w:rPr>
        <w:t xml:space="preserve">. In connection with its use of the Subleased Premises, and subject to Sublessor’s reasonable rules and regulations, Sublessee shall have the non-exclusive right to use (i) its pro rata share based on the square footage of the Subleased Premises to the square footage of the Premises (“Pro Rata Share”) of the portions of the first floor chemical storage area, service yard and penthouse (“Zone 2”) serving the Premises (except that Sublessee’s Pro Rata Share of Zone 2 shall be determined based on the square footage of the Subleased Premises to the square footage of the portion of the Premises located on the third floor), on the terms set forth in the Master Lease, as incorporated herein and (ii) those certain areas marked as “common” on </w:t>
      </w:r>
      <w:r>
        <w:rPr>
          <w:rFonts w:ascii="Times New Roman;serif" w:hAnsi="Times New Roman;serif"/>
          <w:b w:val="false"/>
          <w:sz w:val="22"/>
          <w:u w:val="single"/>
        </w:rPr>
        <w:t>Exhibit B</w:t>
      </w:r>
      <w:r>
        <w:rPr/>
        <w:t xml:space="preserve"> </w:t>
      </w:r>
      <w:r>
        <w:rPr>
          <w:rFonts w:ascii="Times New Roman;serif" w:hAnsi="Times New Roman;serif"/>
          <w:b w:val="false"/>
          <w:sz w:val="22"/>
        </w:rPr>
        <w:t>attached hereto, including, without limitation, Sublessor’s glass wash/autoclave facility adjacent to the Subleased Premises, subject to Sublessor’s reasonable scheduling requirements, the freight elevator at the Premises and the vivarium (the “Shared Areas”). Sublessee shall also have the non-exclusive right to use the Common Areas (as defined in the Master Lease) of the Building and Project in accordance with the terms and conditions of the Master Lease.</w:t>
      </w:r>
    </w:p>
    <w:p>
      <w:pPr>
        <w:pStyle w:val="TextBody"/>
        <w:spacing w:before="120" w:after="0"/>
        <w:jc w:val="left"/>
        <w:rPr>
          <w:rFonts w:ascii="Times New Roman" w:hAnsi="Times New Roman"/>
          <w:b w:val="false"/>
          <w:sz w:val="22"/>
        </w:rPr>
      </w:pPr>
      <w:r>
        <w:rPr>
          <w:rFonts w:ascii="Times New Roman" w:hAnsi="Times New Roman"/>
          <w:b w:val="false"/>
          <w:sz w:val="22"/>
        </w:rPr>
        <w:t>3.</w:t>
      </w:r>
    </w:p>
    <w:p>
      <w:pPr>
        <w:pStyle w:val="TextBody"/>
        <w:spacing w:before="120" w:after="0"/>
        <w:jc w:val="left"/>
        <w:rPr/>
      </w:pPr>
      <w:r>
        <w:rPr>
          <w:rFonts w:ascii="Times New Roman;serif" w:hAnsi="Times New Roman;serif"/>
          <w:b/>
          <w:sz w:val="22"/>
          <w:u w:val="single"/>
        </w:rPr>
        <w:t>Term</w:t>
      </w:r>
      <w:r>
        <w:rPr>
          <w:rFonts w:ascii="Times New Roman;serif" w:hAnsi="Times New Roman;serif"/>
          <w:b w:val="false"/>
          <w:sz w:val="22"/>
        </w:rPr>
        <w:t>:</w:t>
      </w:r>
    </w:p>
    <w:p>
      <w:pPr>
        <w:pStyle w:val="TextBody"/>
        <w:spacing w:before="120" w:after="0"/>
        <w:jc w:val="left"/>
        <w:rPr>
          <w:rFonts w:ascii="Times New Roman" w:hAnsi="Times New Roman"/>
          <w:b w:val="false"/>
          <w:sz w:val="22"/>
        </w:rPr>
      </w:pPr>
      <w:r>
        <w:rPr>
          <w:rFonts w:ascii="Times New Roman" w:hAnsi="Times New Roman"/>
          <w:b w:val="false"/>
          <w:sz w:val="22"/>
        </w:rPr>
        <w:t>A.</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The term (the “Term”) of this Sublease shall be for the period commencing on the later to occur of (i) March 22, 2023, (ii) Sublessor’s completion of a door and wall installation separating the Premises from the Subleased Premises in accordance with applicable law and the applicable terms and conditions of the Master Lease, (iii) Sublessor’s delivery of possession of the Subleased Premises to Sublessee in vacant, broom cleaned condition and otherwise in the condition described in Paragraph 7 below and with Sublessor having performed all of the obligations in clauses (i) through (iii) of Section 5.3.3 of the Master Lease with respect to the Subleased Premises and (iv) receipt of Master Lessor’s written consent to this Sublease in the form required in Paragraph 19 below (such date, the “Sublease Commencement Date”) through September 30, 2026 (the “Expiration Date”), unless this Sublease is sooner terminated pursuant to its terms or the Master Lease is sooner terminated pursuant to its terms.</w:t>
      </w:r>
    </w:p>
    <w:p>
      <w:pPr>
        <w:pStyle w:val="TextBody"/>
        <w:spacing w:before="120" w:after="0"/>
        <w:jc w:val="left"/>
        <w:rPr>
          <w:rFonts w:ascii="Times New Roman" w:hAnsi="Times New Roman"/>
          <w:b w:val="false"/>
          <w:sz w:val="22"/>
        </w:rPr>
      </w:pPr>
      <w:r>
        <w:rPr>
          <w:rFonts w:ascii="Times New Roman" w:hAnsi="Times New Roman"/>
          <w:b w:val="false"/>
          <w:sz w:val="22"/>
        </w:rPr>
        <w:t>B.</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 xml:space="preserve">Early Access. To the extent permitted under the Master Lease and so long as such access does not interfere with Master Lessor’s or Sublessor’s work in the Premises or the Building, Sublessor shall permit Sublessee to enter the </w:t>
      </w:r>
    </w:p>
    <w:p>
      <w:pPr>
        <w:pStyle w:val="HorizontalLine"/>
        <w:rPr/>
      </w:pPr>
      <w:r>
        <w:rPr/>
      </w:r>
    </w:p>
    <w:p>
      <w:pPr>
        <w:pStyle w:val="TextBody"/>
        <w:spacing w:before="120" w:after="283"/>
        <w:jc w:val="left"/>
        <w:rPr/>
      </w:pPr>
      <w:r>
        <w:rPr>
          <w:rFonts w:ascii="Times New Roman;serif" w:hAnsi="Times New Roman;serif"/>
          <w:b w:val="false"/>
          <w:sz w:val="22"/>
        </w:rPr>
        <w:t>Subleased Premises prior to the Commencement Date solely for the purpose of preparing the Subleased Premises for occupancy and not for the purpose of conducting business therein, provided (i) Master Lessor’s consent to this Sublease has been received, (ii) Sublessee has delivered to Sublessor the Security Deposit and the initial Base Rent as required under Paragraph 4 and (iii) Sublessee has delivered to Sublessor evidence of all insurance required under this Sublease.</w:t>
      </w:r>
      <w:r>
        <w:rPr/>
        <w:t xml:space="preserve"> </w:t>
      </w:r>
    </w:p>
    <w:p>
      <w:pPr>
        <w:pStyle w:val="TextBody"/>
        <w:spacing w:before="120" w:after="0"/>
        <w:jc w:val="left"/>
        <w:rPr>
          <w:rFonts w:ascii="Times New Roman" w:hAnsi="Times New Roman"/>
          <w:b w:val="false"/>
          <w:sz w:val="22"/>
        </w:rPr>
      </w:pPr>
      <w:r>
        <w:rPr>
          <w:rFonts w:ascii="Times New Roman" w:hAnsi="Times New Roman"/>
          <w:b w:val="false"/>
          <w:sz w:val="22"/>
        </w:rPr>
        <w:t>4.</w:t>
      </w:r>
    </w:p>
    <w:p>
      <w:pPr>
        <w:pStyle w:val="TextBody"/>
        <w:spacing w:before="120" w:after="0"/>
        <w:jc w:val="left"/>
        <w:rPr>
          <w:rFonts w:ascii="Times New Roman;serif" w:hAnsi="Times New Roman;serif"/>
          <w:b/>
          <w:sz w:val="22"/>
          <w:u w:val="single"/>
        </w:rPr>
      </w:pPr>
      <w:r>
        <w:rPr>
          <w:rFonts w:ascii="Times New Roman;serif" w:hAnsi="Times New Roman;serif"/>
          <w:b/>
          <w:sz w:val="22"/>
          <w:u w:val="single"/>
        </w:rPr>
        <w:t>Rent:</w:t>
      </w:r>
    </w:p>
    <w:p>
      <w:pPr>
        <w:pStyle w:val="TextBody"/>
        <w:spacing w:before="120" w:after="0"/>
        <w:jc w:val="left"/>
        <w:rPr>
          <w:rFonts w:ascii="Times New Roman" w:hAnsi="Times New Roman"/>
          <w:b w:val="false"/>
          <w:sz w:val="22"/>
        </w:rPr>
      </w:pPr>
      <w:r>
        <w:rPr>
          <w:rFonts w:ascii="Times New Roman" w:hAnsi="Times New Roman"/>
          <w:b w:val="false"/>
          <w:sz w:val="22"/>
        </w:rPr>
        <w:t>A.</w:t>
      </w:r>
    </w:p>
    <w:p>
      <w:pPr>
        <w:pStyle w:val="TextBody"/>
        <w:spacing w:before="120" w:after="283"/>
        <w:jc w:val="left"/>
        <w:rPr>
          <w:rFonts w:ascii="Times New Roman;serif" w:hAnsi="Times New Roman;serif"/>
          <w:b w:val="false"/>
          <w:sz w:val="22"/>
        </w:rPr>
      </w:pPr>
      <w:r>
        <w:rPr>
          <w:rFonts w:ascii="Times New Roman;serif" w:hAnsi="Times New Roman;serif"/>
          <w:b w:val="false"/>
          <w:sz w:val="22"/>
        </w:rPr>
        <w:t>Base Rent. Commencing on the Commencement Date, Sublessee shall pay to Sublessor the following amounts as monthly rent for the Subleased Premises the “Base Rent”):</w:t>
      </w:r>
    </w:p>
    <w:tbl>
      <w:tblPr>
        <w:tblW w:w="10205" w:type="dxa"/>
        <w:jc w:val="left"/>
        <w:tblInd w:w="0" w:type="dxa"/>
        <w:tblCellMar>
          <w:top w:w="28" w:type="dxa"/>
          <w:left w:w="28" w:type="dxa"/>
          <w:bottom w:w="28" w:type="dxa"/>
          <w:right w:w="28" w:type="dxa"/>
        </w:tblCellMar>
      </w:tblPr>
      <w:tblGrid>
        <w:gridCol w:w="2831"/>
        <w:gridCol w:w="2845"/>
        <w:gridCol w:w="2562"/>
        <w:gridCol w:w="1967"/>
      </w:tblGrid>
      <w:tr>
        <w:trPr/>
        <w:tc>
          <w:tcPr>
            <w:tcW w:w="2831" w:type="dxa"/>
            <w:tcBorders/>
            <w:shd w:fill="auto" w:val="clear"/>
            <w:vAlign w:val="center"/>
          </w:tcPr>
          <w:p>
            <w:pPr>
              <w:pStyle w:val="TableContents"/>
              <w:spacing w:before="0" w:after="283"/>
              <w:rPr>
                <w:sz w:val="4"/>
                <w:szCs w:val="4"/>
              </w:rPr>
            </w:pPr>
            <w:r>
              <w:rPr>
                <w:sz w:val="4"/>
                <w:szCs w:val="4"/>
              </w:rPr>
            </w:r>
          </w:p>
        </w:tc>
        <w:tc>
          <w:tcPr>
            <w:tcW w:w="2845" w:type="dxa"/>
            <w:tcBorders/>
            <w:shd w:fill="auto" w:val="clear"/>
            <w:vAlign w:val="center"/>
          </w:tcPr>
          <w:p>
            <w:pPr>
              <w:pStyle w:val="TableContents"/>
              <w:spacing w:before="0" w:after="283"/>
              <w:rPr>
                <w:sz w:val="4"/>
                <w:szCs w:val="4"/>
              </w:rPr>
            </w:pPr>
            <w:r>
              <w:rPr>
                <w:sz w:val="4"/>
                <w:szCs w:val="4"/>
              </w:rPr>
            </w:r>
          </w:p>
        </w:tc>
        <w:tc>
          <w:tcPr>
            <w:tcW w:w="2562"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r>
      <w:tr>
        <w:trPr/>
        <w:tc>
          <w:tcPr>
            <w:tcW w:w="2831" w:type="dxa"/>
            <w:tcBorders>
              <w:top w:val="single" w:sz="4" w:space="0" w:color="000000"/>
              <w:left w:val="single" w:sz="4" w:space="0" w:color="000000"/>
              <w:bottom w:val="single" w:sz="4" w:space="0" w:color="000000"/>
              <w:right w:val="single" w:sz="4" w:space="0" w:color="000000"/>
            </w:tcBorders>
            <w:shd w:fill="auto" w:val="clear"/>
            <w:tcMar>
              <w:left w:w="115" w:type="dxa"/>
              <w:right w:w="115" w:type="dxa"/>
            </w:tcMar>
            <w:vAlign w:val="center"/>
          </w:tcPr>
          <w:p>
            <w:pPr>
              <w:pStyle w:val="TableContents"/>
              <w:spacing w:before="120" w:after="0"/>
              <w:ind w:left="0" w:right="0" w:hanging="0"/>
              <w:jc w:val="center"/>
              <w:rPr>
                <w:rFonts w:ascii="Times New Roman;serif" w:hAnsi="Times New Roman;serif"/>
                <w:b/>
                <w:sz w:val="22"/>
              </w:rPr>
            </w:pPr>
            <w:r>
              <w:rPr>
                <w:rFonts w:ascii="Times New Roman;serif" w:hAnsi="Times New Roman;serif"/>
                <w:b/>
                <w:sz w:val="22"/>
              </w:rPr>
              <w:t>Month</w:t>
            </w:r>
          </w:p>
        </w:tc>
        <w:tc>
          <w:tcPr>
            <w:tcW w:w="2845" w:type="dxa"/>
            <w:tcBorders>
              <w:top w:val="single" w:sz="4" w:space="0" w:color="000000"/>
              <w:bottom w:val="single" w:sz="4" w:space="0" w:color="000000"/>
              <w:right w:val="single" w:sz="4" w:space="0" w:color="000000"/>
            </w:tcBorders>
            <w:shd w:fill="auto" w:val="clear"/>
            <w:tcMar>
              <w:left w:w="0" w:type="dxa"/>
              <w:right w:w="115" w:type="dxa"/>
            </w:tcMar>
            <w:vAlign w:val="center"/>
          </w:tcPr>
          <w:p>
            <w:pPr>
              <w:pStyle w:val="TableContents"/>
              <w:spacing w:before="120" w:after="0"/>
              <w:ind w:left="0" w:right="0" w:hanging="0"/>
              <w:jc w:val="center"/>
              <w:rPr>
                <w:rFonts w:ascii="Times New Roman;serif" w:hAnsi="Times New Roman;serif"/>
                <w:b/>
                <w:sz w:val="22"/>
              </w:rPr>
            </w:pPr>
            <w:r>
              <w:rPr>
                <w:rFonts w:ascii="Times New Roman;serif" w:hAnsi="Times New Roman;serif"/>
                <w:b/>
                <w:sz w:val="22"/>
              </w:rPr>
              <w:t>Monthly Base Rent per RSF</w:t>
            </w:r>
          </w:p>
        </w:tc>
        <w:tc>
          <w:tcPr>
            <w:tcW w:w="2562" w:type="dxa"/>
            <w:tcBorders>
              <w:top w:val="single" w:sz="4" w:space="0" w:color="000000"/>
              <w:bottom w:val="single" w:sz="4" w:space="0" w:color="000000"/>
              <w:right w:val="single" w:sz="4" w:space="0" w:color="000000"/>
            </w:tcBorders>
            <w:shd w:fill="auto" w:val="clear"/>
            <w:tcMar>
              <w:left w:w="0" w:type="dxa"/>
              <w:right w:w="115" w:type="dxa"/>
            </w:tcMar>
            <w:vAlign w:val="center"/>
          </w:tcPr>
          <w:p>
            <w:pPr>
              <w:pStyle w:val="TableContents"/>
              <w:spacing w:before="120" w:after="0"/>
              <w:ind w:left="0" w:right="0" w:hanging="0"/>
              <w:jc w:val="center"/>
              <w:rPr>
                <w:rFonts w:ascii="Times New Roman;serif" w:hAnsi="Times New Roman;serif"/>
                <w:b/>
                <w:sz w:val="22"/>
              </w:rPr>
            </w:pPr>
            <w:r>
              <w:rPr>
                <w:rFonts w:ascii="Times New Roman;serif" w:hAnsi="Times New Roman;serif"/>
                <w:b/>
                <w:sz w:val="22"/>
              </w:rPr>
              <w:t>Total Monthly Base Rent</w:t>
            </w:r>
          </w:p>
        </w:tc>
        <w:tc>
          <w:tcPr>
            <w:tcW w:w="1967" w:type="dxa"/>
            <w:tcBorders>
              <w:top w:val="single" w:sz="4" w:space="0" w:color="000000"/>
              <w:bottom w:val="single" w:sz="4" w:space="0" w:color="000000"/>
              <w:right w:val="single" w:sz="4" w:space="0" w:color="000000"/>
            </w:tcBorders>
            <w:shd w:fill="auto" w:val="clear"/>
            <w:tcMar>
              <w:left w:w="0" w:type="dxa"/>
              <w:right w:w="115" w:type="dxa"/>
            </w:tcMar>
            <w:vAlign w:val="center"/>
          </w:tcPr>
          <w:p>
            <w:pPr>
              <w:pStyle w:val="TableContents"/>
              <w:spacing w:before="120" w:after="0"/>
              <w:ind w:left="0" w:right="0" w:hanging="0"/>
              <w:jc w:val="center"/>
              <w:rPr>
                <w:rFonts w:ascii="Times New Roman;serif" w:hAnsi="Times New Roman;serif"/>
                <w:b/>
                <w:sz w:val="22"/>
              </w:rPr>
            </w:pPr>
            <w:r>
              <w:rPr>
                <w:rFonts w:ascii="Times New Roman;serif" w:hAnsi="Times New Roman;serif"/>
                <w:b/>
                <w:sz w:val="22"/>
              </w:rPr>
              <w:t>Total Annual Rent</w:t>
            </w:r>
          </w:p>
        </w:tc>
      </w:tr>
      <w:tr>
        <w:trPr/>
        <w:tc>
          <w:tcPr>
            <w:tcW w:w="2831" w:type="dxa"/>
            <w:tcBorders>
              <w:left w:val="single" w:sz="4" w:space="0" w:color="000000"/>
              <w:bottom w:val="single" w:sz="4" w:space="0" w:color="000000"/>
              <w:right w:val="single" w:sz="4" w:space="0" w:color="000000"/>
            </w:tcBorders>
            <w:shd w:fill="auto" w:val="clear"/>
            <w:tcMar>
              <w:top w:w="0" w:type="dxa"/>
              <w:left w:w="115" w:type="dxa"/>
              <w:right w:w="115" w:type="dxa"/>
            </w:tcM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Months 1 – 12</w:t>
            </w:r>
          </w:p>
        </w:tc>
        <w:tc>
          <w:tcPr>
            <w:tcW w:w="2845"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$7.50</w:t>
            </w:r>
            <w:r>
              <w:rPr>
                <w:rFonts w:ascii="Times New Roman" w:hAnsi="Times New Roman"/>
                <w:sz w:val="22"/>
              </w:rPr>
              <w:t xml:space="preserve"> </w:t>
            </w:r>
          </w:p>
        </w:tc>
        <w:tc>
          <w:tcPr>
            <w:tcW w:w="2562"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$108,240.00</w:t>
            </w:r>
            <w:r>
              <w:rPr>
                <w:rFonts w:ascii="Times New Roman" w:hAnsi="Times New Roman"/>
                <w:sz w:val="22"/>
              </w:rPr>
              <w:t xml:space="preserve"> </w:t>
            </w:r>
          </w:p>
        </w:tc>
        <w:tc>
          <w:tcPr>
            <w:tcW w:w="1967"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$1,298,880.00</w:t>
            </w:r>
            <w:r>
              <w:rPr>
                <w:rFonts w:ascii="Times New Roman" w:hAnsi="Times New Roman"/>
                <w:sz w:val="22"/>
              </w:rPr>
              <w:t xml:space="preserve"> </w:t>
            </w:r>
          </w:p>
        </w:tc>
      </w:tr>
      <w:tr>
        <w:trPr/>
        <w:tc>
          <w:tcPr>
            <w:tcW w:w="2831" w:type="dxa"/>
            <w:tcBorders>
              <w:left w:val="single" w:sz="4" w:space="0" w:color="000000"/>
              <w:bottom w:val="single" w:sz="4" w:space="0" w:color="000000"/>
              <w:right w:val="single" w:sz="4" w:space="0" w:color="000000"/>
            </w:tcBorders>
            <w:shd w:fill="auto" w:val="clear"/>
            <w:tcMar>
              <w:top w:w="0" w:type="dxa"/>
              <w:left w:w="115" w:type="dxa"/>
              <w:right w:w="115" w:type="dxa"/>
            </w:tcM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Months 13 – 24</w:t>
            </w:r>
          </w:p>
        </w:tc>
        <w:tc>
          <w:tcPr>
            <w:tcW w:w="2845"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$7.76</w:t>
            </w:r>
            <w:r>
              <w:rPr>
                <w:rFonts w:ascii="Times New Roman" w:hAnsi="Times New Roman"/>
                <w:sz w:val="22"/>
              </w:rPr>
              <w:t xml:space="preserve"> </w:t>
            </w:r>
          </w:p>
        </w:tc>
        <w:tc>
          <w:tcPr>
            <w:tcW w:w="2562"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$111,992.32</w:t>
            </w:r>
            <w:r>
              <w:rPr>
                <w:rFonts w:ascii="Times New Roman" w:hAnsi="Times New Roman"/>
                <w:sz w:val="22"/>
              </w:rPr>
              <w:t xml:space="preserve"> </w:t>
            </w:r>
          </w:p>
        </w:tc>
        <w:tc>
          <w:tcPr>
            <w:tcW w:w="1967"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$1,343,907.94</w:t>
            </w:r>
            <w:r>
              <w:rPr>
                <w:rFonts w:ascii="Times New Roman" w:hAnsi="Times New Roman"/>
                <w:sz w:val="22"/>
              </w:rPr>
              <w:t xml:space="preserve"> </w:t>
            </w:r>
          </w:p>
        </w:tc>
      </w:tr>
      <w:tr>
        <w:trPr/>
        <w:tc>
          <w:tcPr>
            <w:tcW w:w="2831" w:type="dxa"/>
            <w:tcBorders>
              <w:left w:val="single" w:sz="4" w:space="0" w:color="000000"/>
              <w:bottom w:val="single" w:sz="4" w:space="0" w:color="000000"/>
              <w:right w:val="single" w:sz="4" w:space="0" w:color="000000"/>
            </w:tcBorders>
            <w:shd w:fill="auto" w:val="clear"/>
            <w:tcMar>
              <w:top w:w="0" w:type="dxa"/>
              <w:left w:w="115" w:type="dxa"/>
              <w:right w:w="115" w:type="dxa"/>
            </w:tcM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Months 25 – 36</w:t>
            </w:r>
          </w:p>
        </w:tc>
        <w:tc>
          <w:tcPr>
            <w:tcW w:w="2845"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$8.03</w:t>
            </w:r>
            <w:r>
              <w:rPr>
                <w:rFonts w:ascii="Times New Roman" w:hAnsi="Times New Roman"/>
                <w:sz w:val="22"/>
              </w:rPr>
              <w:t xml:space="preserve"> </w:t>
            </w:r>
          </w:p>
        </w:tc>
        <w:tc>
          <w:tcPr>
            <w:tcW w:w="2562"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$115,888.96</w:t>
            </w:r>
            <w:r>
              <w:rPr>
                <w:rFonts w:ascii="Times New Roman" w:hAnsi="Times New Roman"/>
                <w:sz w:val="22"/>
              </w:rPr>
              <w:t xml:space="preserve"> </w:t>
            </w:r>
          </w:p>
        </w:tc>
        <w:tc>
          <w:tcPr>
            <w:tcW w:w="1967"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$1,390,667.52</w:t>
            </w:r>
            <w:r>
              <w:rPr>
                <w:rFonts w:ascii="Times New Roman" w:hAnsi="Times New Roman"/>
                <w:sz w:val="22"/>
              </w:rPr>
              <w:t xml:space="preserve"> </w:t>
            </w:r>
          </w:p>
        </w:tc>
      </w:tr>
      <w:tr>
        <w:trPr/>
        <w:tc>
          <w:tcPr>
            <w:tcW w:w="2831" w:type="dxa"/>
            <w:tcBorders>
              <w:left w:val="single" w:sz="4" w:space="0" w:color="000000"/>
              <w:bottom w:val="single" w:sz="4" w:space="0" w:color="000000"/>
              <w:right w:val="single" w:sz="4" w:space="0" w:color="000000"/>
            </w:tcBorders>
            <w:shd w:fill="auto" w:val="clear"/>
            <w:tcMar>
              <w:top w:w="0" w:type="dxa"/>
              <w:left w:w="115" w:type="dxa"/>
              <w:right w:w="115" w:type="dxa"/>
            </w:tcM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Months 37 – Expiration Date</w:t>
            </w:r>
          </w:p>
        </w:tc>
        <w:tc>
          <w:tcPr>
            <w:tcW w:w="2845"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$8.31</w:t>
            </w:r>
            <w:r>
              <w:rPr>
                <w:rFonts w:ascii="Times New Roman" w:hAnsi="Times New Roman"/>
                <w:sz w:val="22"/>
              </w:rPr>
              <w:t xml:space="preserve"> </w:t>
            </w:r>
          </w:p>
        </w:tc>
        <w:tc>
          <w:tcPr>
            <w:tcW w:w="2562"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$119,929.92</w:t>
            </w:r>
            <w:r>
              <w:rPr>
                <w:rFonts w:ascii="Times New Roman" w:hAnsi="Times New Roman"/>
                <w:sz w:val="22"/>
              </w:rPr>
              <w:t xml:space="preserve"> </w:t>
            </w:r>
          </w:p>
        </w:tc>
        <w:tc>
          <w:tcPr>
            <w:tcW w:w="1967" w:type="dxa"/>
            <w:tcBorders>
              <w:bottom w:val="single" w:sz="4" w:space="0" w:color="000000"/>
              <w:right w:val="single" w:sz="4" w:space="0" w:color="000000"/>
            </w:tcBorders>
            <w:shd w:fill="auto" w:val="clear"/>
            <w:tcMar>
              <w:top w:w="0" w:type="dxa"/>
              <w:left w:w="0" w:type="dxa"/>
              <w:right w:w="115" w:type="dxa"/>
            </w:tcMar>
            <w:vAlign w:val="center"/>
          </w:tcPr>
          <w:p>
            <w:pPr>
              <w:pStyle w:val="TableContents"/>
              <w:spacing w:before="120" w:after="0"/>
              <w:ind w:left="0" w:right="0" w:hanging="0"/>
              <w:jc w:val="left"/>
              <w:rPr/>
            </w:pPr>
            <w:r>
              <w:rPr/>
              <w:t>   </w:t>
            </w:r>
            <w:r>
              <w:rPr>
                <w:rFonts w:ascii="Times New Roman;serif" w:hAnsi="Times New Roman;serif"/>
                <w:b w:val="false"/>
                <w:sz w:val="22"/>
              </w:rPr>
              <w:t>$839,509.44</w:t>
            </w:r>
          </w:p>
        </w:tc>
      </w:tr>
    </w:tbl>
    <w:p>
      <w:pPr>
        <w:pStyle w:val="TextBody"/>
        <w:spacing w:before="120" w:after="240"/>
        <w:jc w:val="left"/>
        <w:rPr>
          <w:rFonts w:ascii="Times New Roman;serif" w:hAnsi="Times New Roman;serif"/>
          <w:b w:val="false"/>
          <w:sz w:val="22"/>
        </w:rPr>
      </w:pPr>
      <w:r>
        <w:rPr>
          <w:rFonts w:ascii="Times New Roman;serif" w:hAnsi="Times New Roman;serif"/>
          <w:b w:val="false"/>
          <w:sz w:val="22"/>
        </w:rPr>
        <w:t>Base Rent and Additional Rent, as defined in Paragraph 4.B below, with the exception of the initial Base Rent as provided in Paragraph 4.C below, shall be paid on or before the first (1st) day of each month. Base Rent and Additional Rent shall be payable without notice or demand and without any deduction, offset, or abatement, in lawful money of the United States of America. Base Rent and Additional Rent shall be paid directly to Sublessor at the applicable address set forth below Sublessor’s signature to this Sublease or such other address as may be designated in writing by Sublessor. Base Rent and Additional Rent for any period during the Term hereof which is for less than one (1) month of the Term shall be a pro rata portion of the monthly installment based on a thirty (30) day month. If an increase in Base Rent becomes effective on a date other than the first day of a calendar month, the Base Rent for that month shall be the sum of the two applicable rates, each prorated for the portion of the month during which the rate is in effect.</w:t>
      </w:r>
    </w:p>
    <w:p>
      <w:pPr>
        <w:pStyle w:val="TextBody"/>
        <w:spacing w:before="120" w:after="240"/>
        <w:jc w:val="left"/>
        <w:rPr>
          <w:rFonts w:ascii="Times New Roman" w:hAnsi="Times New Roman"/>
          <w:b w:val="false"/>
          <w:sz w:val="22"/>
        </w:rPr>
      </w:pPr>
      <w:r>
        <w:rPr>
          <w:rFonts w:ascii="Times New Roman" w:hAnsi="Times New Roman"/>
          <w:b w:val="false"/>
          <w:sz w:val="22"/>
        </w:rPr>
        <w:t>B.</w:t>
      </w:r>
    </w:p>
    <w:p>
      <w:pPr>
        <w:pStyle w:val="TextBody"/>
        <w:spacing w:before="120" w:after="240"/>
        <w:jc w:val="left"/>
        <w:rPr>
          <w:rFonts w:ascii="Times New Roman;serif" w:hAnsi="Times New Roman;serif"/>
          <w:b w:val="false"/>
          <w:sz w:val="22"/>
        </w:rPr>
      </w:pPr>
      <w:r>
        <w:rPr>
          <w:rFonts w:ascii="Times New Roman;serif" w:hAnsi="Times New Roman;serif"/>
          <w:b w:val="false"/>
          <w:sz w:val="22"/>
        </w:rPr>
        <w:t>Additional Rent. Sublessee shall also pay to Sublessor Sublessee’s Pro Rata Share of any amounts payable by Sublessor to Master Lessor as “Direct Expenses” (as defined in Section 4.2.2 of the Master Lease) and costs of utilities under Section 6.2 of the Master Lease, as incorporated herein, with respect to the Subleased Premises shall be paid by Sublessee hereunder as and when such amounts are due under the Master Lease, as incorporated herein. Sublessee shall be entitled to its Pro Rata Share of all credits, if any, given by Master Lessor to Sublessor for Sublessor’s overpayment of such expenses. Sublessee shall also pay Sublessor its Pro Rata Share, within thirty (30) days of request by Sublessor, of Sublessor’s actual and reasonable cost of maintaining and operating the autoclave/glass wash facility and in performing any repairs or providing other services to the Shared Areas (such as maintenance of any systems therein but excluding any capital improvements or expenditure), and shall pay the entire cost of such amounts to the extent due to the misuse or excess use or negligence, willful misconduct or violation of this Sublease by Sublessee or its agent, employee, or contractor. All such amounts shall be deemed additional rent (“Additional Rent”). Base Rent and Additional Rent hereinafter collectively shall be referred to as “Rent.” Notwithstanding anything to the contrary in the Sublease, Sublessee shall not be required to pay any Rent or perform any obligation that is required as a result of a default by Sublessor of any of its obligations under the Master Lease (except to the extent such default was due to the negligence, willful misconduct or violation of this Sublease by Sublessee) or the misuse, negligence or willful misconduct of Sublessor or its agents, contractors or invitees or the violation of law by Sublessor.</w:t>
      </w:r>
    </w:p>
    <w:p>
      <w:pPr>
        <w:pStyle w:val="TextBody"/>
        <w:spacing w:before="120" w:after="0"/>
        <w:jc w:val="left"/>
        <w:rPr>
          <w:rFonts w:ascii="Times New Roman" w:hAnsi="Times New Roman"/>
          <w:b w:val="false"/>
          <w:sz w:val="22"/>
        </w:rPr>
      </w:pPr>
      <w:r>
        <w:rPr>
          <w:rFonts w:ascii="Times New Roman" w:hAnsi="Times New Roman"/>
          <w:b w:val="false"/>
          <w:sz w:val="22"/>
        </w:rPr>
        <w:t>C.</w:t>
      </w:r>
    </w:p>
    <w:p>
      <w:pPr>
        <w:pStyle w:val="TextBody"/>
        <w:spacing w:before="120" w:after="283"/>
        <w:jc w:val="left"/>
        <w:rPr/>
      </w:pPr>
      <w:r>
        <w:rPr>
          <w:rFonts w:ascii="Times New Roman;serif" w:hAnsi="Times New Roman;serif"/>
          <w:b w:val="false"/>
          <w:sz w:val="22"/>
          <w:u w:val="single"/>
        </w:rPr>
        <w:t>Payment of Initial Base Rent</w:t>
      </w:r>
      <w:r>
        <w:rPr>
          <w:rFonts w:ascii="Times New Roman;serif" w:hAnsi="Times New Roman;serif"/>
          <w:b w:val="false"/>
          <w:sz w:val="22"/>
        </w:rPr>
        <w:t>. Upon execution hereof by Sublessee and assuming the Sublease Commencement Date occurs before April 1, 2023, Sublessee shall pay to Sublessor the appropriate Initial Base Rent for the month of March calculated on the pro rata portion of the monthly installment using a thirty (30) day month.</w:t>
      </w:r>
    </w:p>
    <w:p>
      <w:pPr>
        <w:pStyle w:val="TextBody"/>
        <w:spacing w:before="120" w:after="0"/>
        <w:jc w:val="left"/>
        <w:rPr>
          <w:rFonts w:ascii="Times New Roman" w:hAnsi="Times New Roman"/>
          <w:b w:val="false"/>
          <w:sz w:val="22"/>
        </w:rPr>
      </w:pPr>
      <w:r>
        <w:rPr>
          <w:rFonts w:ascii="Times New Roman" w:hAnsi="Times New Roman"/>
          <w:b w:val="false"/>
          <w:sz w:val="22"/>
        </w:rPr>
        <w:t>5.</w:t>
      </w:r>
    </w:p>
    <w:p>
      <w:pPr>
        <w:pStyle w:val="TextBody"/>
        <w:spacing w:before="120" w:after="0"/>
        <w:jc w:val="left"/>
        <w:rPr/>
      </w:pPr>
      <w:r>
        <w:rPr>
          <w:rFonts w:ascii="Times New Roman;serif" w:hAnsi="Times New Roman;serif"/>
          <w:b/>
          <w:sz w:val="22"/>
          <w:u w:val="single"/>
        </w:rPr>
        <w:t>Security Deposit</w:t>
      </w:r>
      <w:r>
        <w:rPr>
          <w:rFonts w:ascii="Times New Roman;serif" w:hAnsi="Times New Roman;serif"/>
          <w:b w:val="false"/>
          <w:sz w:val="22"/>
        </w:rPr>
        <w:t xml:space="preserve">: </w:t>
      </w:r>
    </w:p>
    <w:p>
      <w:pPr>
        <w:pStyle w:val="TextBody"/>
        <w:spacing w:before="120" w:after="0"/>
        <w:jc w:val="both"/>
        <w:rPr>
          <w:rFonts w:ascii="Times New Roman" w:hAnsi="Times New Roman"/>
          <w:b w:val="false"/>
          <w:sz w:val="22"/>
        </w:rPr>
      </w:pPr>
      <w:r>
        <w:rPr>
          <w:rFonts w:ascii="Times New Roman" w:hAnsi="Times New Roman"/>
          <w:b w:val="false"/>
          <w:sz w:val="22"/>
        </w:rPr>
        <w:t>A.</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 xml:space="preserve">Upon execution hereof by Sublessee, Sublessee shall provide a cash security deposit equal to Four Hundred Thirty-Two Thousand Nine Hundred Sixty Dollars ($432,960) (the “Security Deposit”), in cash, as security for the performance by Sublessee of the terms and conditions of this Sublease. If Sublessee fails to pay Rent or other charges due </w:t>
      </w:r>
    </w:p>
    <w:p>
      <w:pPr>
        <w:pStyle w:val="HorizontalLine"/>
        <w:rPr/>
      </w:pPr>
      <w:r>
        <w:rPr/>
      </w:r>
    </w:p>
    <w:p>
      <w:pPr>
        <w:pStyle w:val="TextBody"/>
        <w:spacing w:before="120" w:after="283"/>
        <w:jc w:val="both"/>
        <w:rPr/>
      </w:pPr>
      <w:r>
        <w:rPr>
          <w:rFonts w:ascii="Times New Roman;serif" w:hAnsi="Times New Roman;serif"/>
          <w:b w:val="false"/>
          <w:sz w:val="22"/>
        </w:rPr>
        <w:t>hereunder or otherwise defaults with respect to any provision of this Sublease beyond any applicable notice and cure period, then Sublessor may draw upon, use, apply or retain all or any portion of the Security Deposit for the payment of any Rent or other charge in default, for the payment of any other sum which Sublessor has become obligated to pay by reason of Sublessee’s default, or to compensate Sublessor for any loss or damage which Sublessor has suffered thereby. If Sublessor so uses or applies all or any portion of the Security Deposit, then Sublessee, within ten (10) days after demand therefor, shall deposit cash with Sublessor in the amount required to restore the Security Deposit to the full amount stated above. Upon the expiration of this Sublease, Sublessor shall return to Sublessee so much of the Security Deposit as has not been applied by Sublessor pursuant to this paragraph, or which is not otherwise required to cure Sublessee’s defaults. Notwithstanding anything to the contrary contained herein, the amount of the Security Deposit required hereunder will be reduced to Two Hundred Sixteen Thousand Four Hundred Eighty Dollars ($216,480), for the first sixty (60) days following the Commencement Date provided that Sublessee shall provide the Letter of Credit or a cash Security Deposit equal to the full amount prior to the expiration of such sixty (60) day period. If Sublessee elects to provide a Letter of Credit, Sublessor shall return the Security Deposit to Sublessee within ten (10) days of delivery of the Letter of Credit.</w:t>
      </w:r>
      <w:r>
        <w:rPr/>
        <w:t xml:space="preserve"> </w:t>
      </w:r>
    </w:p>
    <w:p>
      <w:pPr>
        <w:pStyle w:val="TextBody"/>
        <w:spacing w:before="120" w:after="0"/>
        <w:jc w:val="both"/>
        <w:rPr/>
      </w:pPr>
      <w:r>
        <w:rPr/>
        <w:t> </w:t>
      </w:r>
    </w:p>
    <w:p>
      <w:pPr>
        <w:pStyle w:val="TextBody"/>
        <w:spacing w:before="120" w:after="0"/>
        <w:jc w:val="left"/>
        <w:rPr>
          <w:rFonts w:ascii="Times New Roman" w:hAnsi="Times New Roman"/>
          <w:b w:val="false"/>
          <w:sz w:val="22"/>
        </w:rPr>
      </w:pPr>
      <w:r>
        <w:rPr>
          <w:rFonts w:ascii="Times New Roman" w:hAnsi="Times New Roman"/>
          <w:b w:val="false"/>
          <w:sz w:val="22"/>
        </w:rPr>
        <w:t>B.</w:t>
      </w:r>
    </w:p>
    <w:p>
      <w:pPr>
        <w:pStyle w:val="TextBody"/>
        <w:spacing w:before="120" w:after="283"/>
        <w:jc w:val="left"/>
        <w:rPr>
          <w:rFonts w:ascii="Times New Roman;serif" w:hAnsi="Times New Roman;serif"/>
          <w:b w:val="false"/>
          <w:sz w:val="22"/>
        </w:rPr>
      </w:pPr>
      <w:r>
        <w:rPr>
          <w:rFonts w:ascii="Times New Roman;serif" w:hAnsi="Times New Roman;serif"/>
          <w:b w:val="false"/>
          <w:sz w:val="22"/>
        </w:rPr>
        <w:t>In lieu of the cash Security Deposit described above, the Security Deposit may be in the form of an irrevocable letter of credit (the “Letter of Credit”) in an amount equal to Four Hundred Thirty-Two Thousand Nine Hundred Sixty Dollars ($432,960), issued to Sublessor, as beneficiary, in form and substance reasonably satisfactory to Sublessor, by a bank reasonably approved by Sublessor, in which case, the Letter of Credit shall serve as the Security Deposit under this Sublease. Sublessee shall maintain the Letter of Credit for the entire Term, provided that Sublessee may at any time substitute a cash Security Deposit for the Letter of Credit, and upon such substitution, Sublessor shall return the Letter of Credit to Sublessee. The Letter of Credit shall provide that it will be automatically renewed until thirty (30) days after the Expiration Date unless the issuer provides Sublessor with written notice of non-renewal at the notice address herein at least sixty (60) days prior to the expiration thereof. If, not later than thirty (30) days prior to the expiration of the Letter of Credit, Sublessee fails to furnish Sublessor with a replacement Letter of Credit pursuant to this section, Sublessor shall have the right to draw the full amount of the Letter of Credit, and shall hold the proceeds of the Letter of Credit as a cash Security Deposit pursuant to Paragraph 5.A above. Except as set forth in the preceding sentence, Sublessor shall only draw upon the Letter of Credit following an Event of Default and only to the extent required to cure an Event of Default. If Sublessor draws upon the Letter of Credit (i) solely due to Sublessee’s failure to renew the Letter of Credit at least thirty (30) days before its expiration, such failure to renew shall not constitute a default hereunder and (ii) Sublessee shall at any time thereafter be entitled to provide Sublessor with a replacement Letter of Credit that satisfies the requirements hereunder, at which time Sublessor shall return the cash proceeds of the original Letter of Credit drawn by Sublessor. If Sublessor improperly draws upon the Letter of Credit or misapplies the Letter of Credit proceeds, Sublessee shall have the right to offset such amounts against rent.</w:t>
      </w:r>
    </w:p>
    <w:p>
      <w:pPr>
        <w:pStyle w:val="TextBody"/>
        <w:spacing w:before="120" w:after="0"/>
        <w:jc w:val="left"/>
        <w:rPr>
          <w:rFonts w:ascii="Times New Roman" w:hAnsi="Times New Roman"/>
          <w:b w:val="false"/>
          <w:sz w:val="22"/>
        </w:rPr>
      </w:pPr>
      <w:r>
        <w:rPr>
          <w:rFonts w:ascii="Times New Roman" w:hAnsi="Times New Roman"/>
          <w:b w:val="false"/>
          <w:sz w:val="22"/>
        </w:rPr>
        <w:t>6.</w:t>
      </w:r>
    </w:p>
    <w:p>
      <w:pPr>
        <w:pStyle w:val="TextBody"/>
        <w:spacing w:before="120" w:after="283"/>
        <w:jc w:val="left"/>
        <w:rPr/>
      </w:pPr>
      <w:r>
        <w:rPr>
          <w:rFonts w:ascii="Times New Roman;serif" w:hAnsi="Times New Roman;serif"/>
          <w:b/>
          <w:sz w:val="22"/>
          <w:u w:val="single"/>
        </w:rPr>
        <w:t>Holdover</w:t>
      </w:r>
      <w:r>
        <w:rPr>
          <w:rFonts w:ascii="Times New Roman;serif" w:hAnsi="Times New Roman;serif"/>
          <w:b w:val="false"/>
          <w:sz w:val="22"/>
        </w:rPr>
        <w:t xml:space="preserve">: In the event that Sublessee does not surrender the Subleased Premises by the Expiration Date in accordance with the terms of this Sublease, Sublessee shall indemnify, defend, protect and hold harmless Sublessor from and against all loss and liability resulting from Sublessee’s delay in surrendering the Subleased Premises and pay Sublessor holdover rent with respect to the Subleased Premises as provided in </w:t>
      </w:r>
      <w:r>
        <w:rPr>
          <w:rFonts w:ascii="Times New Roman;serif" w:hAnsi="Times New Roman;serif"/>
          <w:b w:val="false"/>
          <w:sz w:val="22"/>
          <w:u w:val="single"/>
        </w:rPr>
        <w:t>Section 16</w:t>
      </w:r>
      <w:r>
        <w:rPr/>
        <w:t xml:space="preserve"> </w:t>
      </w:r>
      <w:r>
        <w:rPr>
          <w:rFonts w:ascii="Times New Roman;serif" w:hAnsi="Times New Roman;serif"/>
          <w:b w:val="false"/>
          <w:sz w:val="22"/>
        </w:rPr>
        <w:t>of the Master Lease, as incorporated herein.</w:t>
      </w:r>
    </w:p>
    <w:p>
      <w:pPr>
        <w:pStyle w:val="TextBody"/>
        <w:spacing w:before="120" w:after="0"/>
        <w:jc w:val="left"/>
        <w:rPr>
          <w:rFonts w:ascii="Times New Roman" w:hAnsi="Times New Roman"/>
          <w:b w:val="false"/>
          <w:sz w:val="22"/>
        </w:rPr>
      </w:pPr>
      <w:r>
        <w:rPr>
          <w:rFonts w:ascii="Times New Roman" w:hAnsi="Times New Roman"/>
          <w:b w:val="false"/>
          <w:sz w:val="22"/>
        </w:rPr>
        <w:t>7.</w:t>
      </w:r>
    </w:p>
    <w:p>
      <w:pPr>
        <w:pStyle w:val="TextBody"/>
        <w:spacing w:before="120" w:after="0"/>
        <w:jc w:val="left"/>
        <w:rPr/>
      </w:pPr>
      <w:r>
        <w:rPr>
          <w:rFonts w:ascii="Times New Roman;serif" w:hAnsi="Times New Roman;serif"/>
          <w:b/>
          <w:sz w:val="22"/>
          <w:u w:val="single"/>
        </w:rPr>
        <w:t>Conditions of the Subleased Premise; Repairs</w:t>
      </w:r>
      <w:r>
        <w:rPr>
          <w:rFonts w:ascii="Times New Roman;serif" w:hAnsi="Times New Roman;serif"/>
          <w:b w:val="false"/>
          <w:sz w:val="22"/>
        </w:rPr>
        <w:t xml:space="preserve">: Sublessor shall deliver the Subleased Premises in broom-clean condition and with all Building systems, including but not limited to, HVAC, plumbing, roof/roof membrane, emergency generator, and electrical systems in good working condition and repair. Sublessee shall otherwise accept the premises in as-is condition, subject to Paragraph 3.A above. The parties acknowledge and agree that Sublessor has made no representations or warranties with respect to the condition of the Subleased Premises. Except as provided in this Sublease, Sublessor shall have no obligation whatsoever to make or pay the cost of any alterations, improvements or repairs to the Subleased Premises, including, without limitation, any improvement or repair required to comply with any law. Master Lessor shall be solely responsible for performance of any repairs required to be performed by Master Lessor under the terms of the Master Lease. Sublessor shall, however, upon written request by Sublessee, use Sublessor’s reasonable efforts (without requiring Sublessor to spend more than a nominal sum) to obtain Master Lessor’s performance. Sublessor shall continue to repair and maintain in good condition and working order (i) the Shared Areas and equipment and fixtures located therein, including, without limitation, the autoclave/glass wash facility, (ii) the security system serving the Premises and Subleased Premises and (iii) any other systems serving the Premises and the Subleased Premises in common (except for Landlord Repair Obligations). Sublessor shall further be responsible for the repair and maintenance </w:t>
      </w:r>
    </w:p>
    <w:p>
      <w:pPr>
        <w:pStyle w:val="HorizontalLine"/>
        <w:rPr/>
      </w:pPr>
      <w:r>
        <w:rPr/>
      </w:r>
    </w:p>
    <w:p>
      <w:pPr>
        <w:pStyle w:val="TextBody"/>
        <w:spacing w:before="120" w:after="283"/>
        <w:jc w:val="left"/>
        <w:rPr>
          <w:rFonts w:ascii="Times New Roman;serif" w:hAnsi="Times New Roman;serif"/>
          <w:b w:val="false"/>
          <w:sz w:val="22"/>
        </w:rPr>
      </w:pPr>
      <w:r>
        <w:rPr>
          <w:rFonts w:ascii="Times New Roman;serif" w:hAnsi="Times New Roman;serif"/>
          <w:b w:val="false"/>
          <w:sz w:val="22"/>
        </w:rPr>
        <w:t>obligations of “Tenant” under the Master Lease with respect to the Subleased Premises, except to the extent the same result from the misuse or excess use or negligence, willful misconduct or violation of this Sublease by Sublessee, and, subject to Paragraph 4.B above, Sublessee shall reimburse Sublessor for the actual and reasonable cost thereof (except for any capital improvements) upon not less than thirty (30) days prior written request from Sublessor accompanied by reasonably detailed invoices and supporting documentation for such costs.</w:t>
      </w:r>
    </w:p>
    <w:p>
      <w:pPr>
        <w:pStyle w:val="TextBody"/>
        <w:spacing w:before="120" w:after="0"/>
        <w:jc w:val="left"/>
        <w:rPr>
          <w:rFonts w:ascii="Times New Roman" w:hAnsi="Times New Roman"/>
          <w:b w:val="false"/>
          <w:sz w:val="22"/>
        </w:rPr>
      </w:pPr>
      <w:r>
        <w:rPr>
          <w:rFonts w:ascii="Times New Roman" w:hAnsi="Times New Roman"/>
          <w:b w:val="false"/>
          <w:sz w:val="22"/>
        </w:rPr>
        <w:t>8.</w:t>
      </w:r>
    </w:p>
    <w:p>
      <w:pPr>
        <w:pStyle w:val="TextBody"/>
        <w:spacing w:before="120" w:after="283"/>
        <w:jc w:val="left"/>
        <w:rPr/>
      </w:pPr>
      <w:r>
        <w:rPr>
          <w:rFonts w:ascii="Times New Roman;serif" w:hAnsi="Times New Roman;serif"/>
          <w:b/>
          <w:sz w:val="22"/>
          <w:u w:val="single"/>
        </w:rPr>
        <w:t>Assignment and Subletting</w:t>
      </w:r>
      <w:r>
        <w:rPr>
          <w:rFonts w:ascii="Times New Roman;serif" w:hAnsi="Times New Roman;serif"/>
          <w:b w:val="false"/>
          <w:sz w:val="22"/>
        </w:rPr>
        <w:t xml:space="preserve">. Sublessee may not assign this Sublease, sublet the Subleased Premises, transfer any interest of Sublessee therein or permit any use of the Subleased Premises by another party (collectively, “Transfer”), without the prior written consent of Sublessor and Master Lessor (to the extent required under the Master Lease), which consent of Sublessor shall not be unreasonably withheld, conditioned or delayed (unless Master Lessor withholds its consent); provided, however, Sublessor’s consent shall not be required for a transfer as described in the first sentence of </w:t>
      </w:r>
      <w:r>
        <w:rPr>
          <w:rFonts w:ascii="Times New Roman;serif" w:hAnsi="Times New Roman;serif"/>
          <w:b w:val="false"/>
          <w:sz w:val="22"/>
          <w:u w:val="single"/>
        </w:rPr>
        <w:t>Section 14.8</w:t>
      </w:r>
      <w:r>
        <w:rPr/>
        <w:t xml:space="preserve"> </w:t>
      </w:r>
      <w:r>
        <w:rPr>
          <w:rFonts w:ascii="Times New Roman;serif" w:hAnsi="Times New Roman;serif"/>
          <w:b w:val="false"/>
          <w:sz w:val="22"/>
        </w:rPr>
        <w:t xml:space="preserve">of the Master Lease, as incorporated herein. Any Transfer shall be subject to the terms of </w:t>
      </w:r>
      <w:r>
        <w:rPr>
          <w:rFonts w:ascii="Times New Roman;serif" w:hAnsi="Times New Roman;serif"/>
          <w:b w:val="false"/>
          <w:sz w:val="22"/>
          <w:u w:val="single"/>
        </w:rPr>
        <w:t>Section 14</w:t>
      </w:r>
      <w:r>
        <w:rPr/>
        <w:t xml:space="preserve"> </w:t>
      </w:r>
      <w:r>
        <w:rPr>
          <w:rFonts w:ascii="Times New Roman;serif" w:hAnsi="Times New Roman;serif"/>
          <w:b w:val="false"/>
          <w:sz w:val="22"/>
        </w:rPr>
        <w:t>of the Master Lease, as incorporated herein.</w:t>
      </w:r>
    </w:p>
    <w:p>
      <w:pPr>
        <w:pStyle w:val="TextBody"/>
        <w:spacing w:before="120" w:after="0"/>
        <w:jc w:val="left"/>
        <w:rPr>
          <w:rFonts w:ascii="Times New Roman" w:hAnsi="Times New Roman"/>
          <w:b w:val="false"/>
          <w:sz w:val="22"/>
        </w:rPr>
      </w:pPr>
      <w:r>
        <w:rPr>
          <w:rFonts w:ascii="Times New Roman" w:hAnsi="Times New Roman"/>
          <w:b w:val="false"/>
          <w:sz w:val="22"/>
        </w:rPr>
        <w:t>9.</w:t>
      </w:r>
    </w:p>
    <w:p>
      <w:pPr>
        <w:pStyle w:val="TextBody"/>
        <w:spacing w:before="120" w:after="283"/>
        <w:jc w:val="left"/>
        <w:rPr/>
      </w:pPr>
      <w:r>
        <w:rPr>
          <w:rFonts w:ascii="Times New Roman;serif" w:hAnsi="Times New Roman;serif"/>
          <w:b/>
          <w:sz w:val="22"/>
          <w:u w:val="single"/>
        </w:rPr>
        <w:t>Use</w:t>
      </w:r>
      <w:r>
        <w:rPr>
          <w:rFonts w:ascii="Times New Roman;serif" w:hAnsi="Times New Roman;serif"/>
          <w:b w:val="false"/>
          <w:sz w:val="22"/>
        </w:rPr>
        <w:t xml:space="preserve">: Sublessee may use the Subleased Premises only for the following uses: all uses permitted under the Master Lease, including, without limitation, general office, laboratory, research and development, engineering, lab scale manufacturing activities and vivarium uses and related uses and other lawful uses reasonably related to or incidental to such specified uses, all consistent with first class life sciences projects in South San Francisco, California and further in compliance with, and subject to, applicable laws and the terms of the Master Lease and this Sublease. Sublessee shall not use, store, transport or dispose of any Hazardous Materials (as defined in the Master Lease) in or about the Premises except as permitted pursuant to the terms and conditions of </w:t>
      </w:r>
      <w:r>
        <w:rPr>
          <w:rFonts w:ascii="Times New Roman;serif" w:hAnsi="Times New Roman;serif"/>
          <w:b w:val="false"/>
          <w:sz w:val="22"/>
          <w:u w:val="single"/>
        </w:rPr>
        <w:t>Section 5.3</w:t>
      </w:r>
      <w:r>
        <w:rPr/>
        <w:t xml:space="preserve"> </w:t>
      </w:r>
      <w:r>
        <w:rPr>
          <w:rFonts w:ascii="Times New Roman;serif" w:hAnsi="Times New Roman;serif"/>
          <w:b w:val="false"/>
          <w:sz w:val="22"/>
        </w:rPr>
        <w:t>of the Master Lease, as incorporated herein. Sublessee shall comply with all reasonable rules and regulations promulgated from time to time by Sublessor and Master Lessor.</w:t>
      </w:r>
    </w:p>
    <w:p>
      <w:pPr>
        <w:pStyle w:val="TextBody"/>
        <w:spacing w:before="120" w:after="0"/>
        <w:jc w:val="left"/>
        <w:rPr>
          <w:rFonts w:ascii="Times New Roman" w:hAnsi="Times New Roman"/>
          <w:b w:val="false"/>
          <w:sz w:val="22"/>
        </w:rPr>
      </w:pPr>
      <w:r>
        <w:rPr>
          <w:rFonts w:ascii="Times New Roman" w:hAnsi="Times New Roman"/>
          <w:b w:val="false"/>
          <w:sz w:val="22"/>
        </w:rPr>
        <w:t>10.</w:t>
      </w:r>
    </w:p>
    <w:p>
      <w:pPr>
        <w:pStyle w:val="TextBody"/>
        <w:spacing w:before="120" w:after="283"/>
        <w:jc w:val="left"/>
        <w:rPr/>
      </w:pPr>
      <w:r>
        <w:rPr>
          <w:rFonts w:ascii="Times New Roman;serif" w:hAnsi="Times New Roman;serif"/>
          <w:b/>
          <w:sz w:val="22"/>
          <w:u w:val="single"/>
        </w:rPr>
        <w:t>Delivery and Acceptance</w:t>
      </w:r>
      <w:r>
        <w:rPr>
          <w:rFonts w:ascii="Times New Roman;serif" w:hAnsi="Times New Roman;serif"/>
          <w:b w:val="false"/>
          <w:sz w:val="22"/>
        </w:rPr>
        <w:t xml:space="preserve">: If Sublessor fails to deliver possession of the Subleased Premises to Sublessee on or before the date set forth in Paragraph 3.A hereof for any reason whatsoever, then this Sublease shall not be void or voidable, nor shall Sublessor be liable to Sublessee for any loss or damage; provided, however, that in such event, Rent shall abate until Sublessor delivers possession of the Subleased Premises to Sublessee and causes the Sublease Commencement Date to occur. In addition, the provisions of the last sentence of </w:t>
      </w:r>
      <w:r>
        <w:rPr>
          <w:rFonts w:ascii="Times New Roman;serif" w:hAnsi="Times New Roman;serif"/>
          <w:b w:val="false"/>
          <w:sz w:val="22"/>
          <w:u w:val="single"/>
        </w:rPr>
        <w:t>Section 2.1</w:t>
      </w:r>
      <w:r>
        <w:rPr/>
        <w:t xml:space="preserve"> </w:t>
      </w:r>
      <w:r>
        <w:rPr>
          <w:rFonts w:ascii="Times New Roman;serif" w:hAnsi="Times New Roman;serif"/>
          <w:b w:val="false"/>
          <w:sz w:val="22"/>
        </w:rPr>
        <w:t xml:space="preserve">of the Master Lease, as incorporated herein, shall apply (but the applicable deadline dates shall not be extended by any “Tenant Delay” under the Master Lease except to the extent caused by an act or omission by Sublessee). If the Subleased Premises are not delivered in good condition and in compliance with all laws as set forth in the last two sentences of </w:t>
      </w:r>
      <w:r>
        <w:rPr>
          <w:rFonts w:ascii="Times New Roman;serif" w:hAnsi="Times New Roman;serif"/>
          <w:b w:val="false"/>
          <w:sz w:val="22"/>
          <w:u w:val="single"/>
        </w:rPr>
        <w:t>Section 1.1.1</w:t>
      </w:r>
      <w:r>
        <w:rPr/>
        <w:t xml:space="preserve"> </w:t>
      </w:r>
      <w:r>
        <w:rPr>
          <w:rFonts w:ascii="Times New Roman;serif" w:hAnsi="Times New Roman;serif"/>
          <w:b w:val="false"/>
          <w:sz w:val="22"/>
        </w:rPr>
        <w:t>of the Master Lease incorporated herein, upon written request by Sublessee, Sublessor shall use commercially reasonable efforts to cause Master Lessor to correct the same at no cost to Sublessee (through Direct Expenses or otherwise).</w:t>
      </w:r>
    </w:p>
    <w:p>
      <w:pPr>
        <w:pStyle w:val="TextBody"/>
        <w:spacing w:before="120" w:after="0"/>
        <w:jc w:val="left"/>
        <w:rPr>
          <w:rFonts w:ascii="Times New Roman" w:hAnsi="Times New Roman"/>
          <w:b w:val="false"/>
          <w:sz w:val="22"/>
        </w:rPr>
      </w:pPr>
      <w:r>
        <w:rPr>
          <w:rFonts w:ascii="Times New Roman" w:hAnsi="Times New Roman"/>
          <w:b w:val="false"/>
          <w:sz w:val="22"/>
        </w:rPr>
        <w:t>11.</w:t>
      </w:r>
    </w:p>
    <w:p>
      <w:pPr>
        <w:pStyle w:val="TextBody"/>
        <w:spacing w:before="120" w:after="283"/>
        <w:jc w:val="left"/>
        <w:rPr/>
      </w:pPr>
      <w:r>
        <w:rPr>
          <w:rFonts w:ascii="Times New Roman;serif" w:hAnsi="Times New Roman;serif"/>
          <w:b/>
          <w:sz w:val="22"/>
          <w:u w:val="single"/>
        </w:rPr>
        <w:t>Improvements</w:t>
      </w:r>
      <w:r>
        <w:rPr>
          <w:rFonts w:ascii="Times New Roman;serif" w:hAnsi="Times New Roman;serif"/>
          <w:b w:val="false"/>
          <w:sz w:val="22"/>
        </w:rPr>
        <w:t>: No alteration or improvements shall be made to the Subleased Premises, except in accordance with the Master Lease, and with the prior written consent of both Master Lessor and Sublessor. Sublessor’s consent shall not be unreasonably withheld, conditioned or delayed, but the consent of Sublessor may be withheld if Master Lessor’s consent is not obtained.</w:t>
      </w:r>
    </w:p>
    <w:p>
      <w:pPr>
        <w:pStyle w:val="TextBody"/>
        <w:spacing w:before="120" w:after="0"/>
        <w:jc w:val="left"/>
        <w:rPr>
          <w:rFonts w:ascii="Times New Roman" w:hAnsi="Times New Roman"/>
          <w:b w:val="false"/>
          <w:sz w:val="22"/>
        </w:rPr>
      </w:pPr>
      <w:r>
        <w:rPr>
          <w:rFonts w:ascii="Times New Roman" w:hAnsi="Times New Roman"/>
          <w:b w:val="false"/>
          <w:sz w:val="22"/>
        </w:rPr>
        <w:t>12.</w:t>
      </w:r>
    </w:p>
    <w:p>
      <w:pPr>
        <w:pStyle w:val="TextBody"/>
        <w:spacing w:before="120" w:after="283"/>
        <w:jc w:val="left"/>
        <w:rPr/>
      </w:pPr>
      <w:r>
        <w:rPr>
          <w:rFonts w:ascii="Times New Roman;serif" w:hAnsi="Times New Roman;serif"/>
          <w:b/>
          <w:sz w:val="22"/>
          <w:u w:val="single"/>
        </w:rPr>
        <w:t>Insurance: Waiver of Subrogation</w:t>
      </w:r>
      <w:r>
        <w:rPr>
          <w:rFonts w:ascii="Times New Roman;serif" w:hAnsi="Times New Roman;serif"/>
          <w:b w:val="false"/>
          <w:sz w:val="22"/>
        </w:rPr>
        <w:t xml:space="preserve">: Sublessee shall obtain and keep in full force and effect, at Sublessee’s sole cost and expense, during the Term, the insurance required under </w:t>
      </w:r>
      <w:r>
        <w:rPr>
          <w:rFonts w:ascii="Times New Roman;serif" w:hAnsi="Times New Roman;serif"/>
          <w:b w:val="false"/>
          <w:sz w:val="22"/>
          <w:u w:val="single"/>
        </w:rPr>
        <w:t>Section 10</w:t>
      </w:r>
      <w:r>
        <w:rPr/>
        <w:t xml:space="preserve"> </w:t>
      </w:r>
      <w:r>
        <w:rPr>
          <w:rFonts w:ascii="Times New Roman;serif" w:hAnsi="Times New Roman;serif"/>
          <w:b w:val="false"/>
          <w:sz w:val="22"/>
        </w:rPr>
        <w:t xml:space="preserve">of the Master Lease. Sublessee shall name Master Lessor and Sublessor as additional insureds under its liability insurance policy. The release and waiver of subrogation set forth in </w:t>
      </w:r>
      <w:r>
        <w:rPr>
          <w:rFonts w:ascii="Times New Roman;serif" w:hAnsi="Times New Roman;serif"/>
          <w:b w:val="false"/>
          <w:sz w:val="22"/>
          <w:u w:val="single"/>
        </w:rPr>
        <w:t>Section 10.5</w:t>
      </w:r>
      <w:r>
        <w:rPr/>
        <w:t xml:space="preserve"> </w:t>
      </w:r>
      <w:r>
        <w:rPr>
          <w:rFonts w:ascii="Times New Roman;serif" w:hAnsi="Times New Roman;serif"/>
          <w:b w:val="false"/>
          <w:sz w:val="22"/>
        </w:rPr>
        <w:t>of the Master Lease, as incorporated herein, shall be binding on the parties.</w:t>
      </w:r>
    </w:p>
    <w:p>
      <w:pPr>
        <w:pStyle w:val="TextBody"/>
        <w:spacing w:before="120" w:after="0"/>
        <w:jc w:val="left"/>
        <w:rPr>
          <w:rFonts w:ascii="Times New Roman" w:hAnsi="Times New Roman"/>
          <w:b w:val="false"/>
          <w:sz w:val="22"/>
        </w:rPr>
      </w:pPr>
      <w:r>
        <w:rPr>
          <w:rFonts w:ascii="Times New Roman" w:hAnsi="Times New Roman"/>
          <w:b w:val="false"/>
          <w:sz w:val="22"/>
        </w:rPr>
        <w:t>13.</w:t>
      </w:r>
    </w:p>
    <w:p>
      <w:pPr>
        <w:pStyle w:val="TextBody"/>
        <w:spacing w:before="120" w:after="0"/>
        <w:jc w:val="left"/>
        <w:rPr/>
      </w:pPr>
      <w:r>
        <w:rPr>
          <w:rFonts w:ascii="Times New Roman;serif" w:hAnsi="Times New Roman;serif"/>
          <w:b/>
          <w:sz w:val="22"/>
          <w:u w:val="single"/>
        </w:rPr>
        <w:t>Default; Remedies</w:t>
      </w:r>
      <w:r>
        <w:rPr>
          <w:rFonts w:ascii="Times New Roman;serif" w:hAnsi="Times New Roman;serif"/>
          <w:b w:val="false"/>
          <w:sz w:val="22"/>
        </w:rPr>
        <w:t xml:space="preserve">: Sublessee shall be in material default of its obligations under this Sublease if Sublessee commits any act or omission which constitutes an event of default under the Master Lease, which has not been cured after delivery of written notice and passage of any applicable grace period provided in the Master Lease as modified, if at all, by the provisions of this Sublease. In the event of any default by Sublessee, Sublessor shall have all remedies provided pursuant to </w:t>
      </w:r>
      <w:r>
        <w:rPr>
          <w:rFonts w:ascii="Times New Roman;serif" w:hAnsi="Times New Roman;serif"/>
          <w:b w:val="false"/>
          <w:sz w:val="22"/>
          <w:u w:val="single"/>
        </w:rPr>
        <w:t>Section 19.2</w:t>
      </w:r>
      <w:r>
        <w:rPr/>
        <w:t xml:space="preserve"> </w:t>
      </w:r>
      <w:r>
        <w:rPr>
          <w:rFonts w:ascii="Times New Roman;serif" w:hAnsi="Times New Roman;serif"/>
          <w:b w:val="false"/>
          <w:sz w:val="22"/>
        </w:rPr>
        <w:t>of the Master Lease and by applicable law.</w:t>
      </w:r>
    </w:p>
    <w:p>
      <w:pPr>
        <w:pStyle w:val="HorizontalLine"/>
        <w:rPr/>
      </w:pPr>
      <w:r>
        <w:rPr/>
      </w:r>
    </w:p>
    <w:p>
      <w:pPr>
        <w:pStyle w:val="TextBody"/>
        <w:spacing w:before="120" w:after="0"/>
        <w:jc w:val="both"/>
        <w:rPr>
          <w:rFonts w:ascii="Times New Roman" w:hAnsi="Times New Roman"/>
          <w:b w:val="false"/>
          <w:sz w:val="22"/>
        </w:rPr>
      </w:pPr>
      <w:r>
        <w:rPr>
          <w:rFonts w:ascii="Times New Roman" w:hAnsi="Times New Roman"/>
          <w:b w:val="false"/>
          <w:sz w:val="22"/>
        </w:rPr>
        <w:t>14.</w:t>
      </w:r>
    </w:p>
    <w:p>
      <w:pPr>
        <w:pStyle w:val="TextBody"/>
        <w:spacing w:before="120" w:after="283"/>
        <w:jc w:val="both"/>
        <w:rPr/>
      </w:pPr>
      <w:r>
        <w:rPr>
          <w:rFonts w:ascii="Times New Roman;serif" w:hAnsi="Times New Roman;serif"/>
          <w:b/>
          <w:sz w:val="22"/>
          <w:u w:val="single"/>
        </w:rPr>
        <w:t>Surrender</w:t>
      </w:r>
      <w:r>
        <w:rPr>
          <w:rFonts w:ascii="Times New Roman;serif" w:hAnsi="Times New Roman;serif"/>
          <w:b w:val="false"/>
          <w:sz w:val="22"/>
        </w:rPr>
        <w:t>: Prior to expiration of this Sublease, Sublessee shall remove all of its trade fixtures and shall surrender the Subleased Premises to Sublessor in good condition, with any clean-up required under the Master Lease with respect to Hazardous Materials (as defined in the Master Lease) caused by Sublessee completed, reasonable wear and tear, casualty and condemnation excepted. If the Subleased Premises are not so surrendered, then Sublessee shall be liable to Sublessor for all costs incurred by Sublessor in returning the Subleased Premises to the required condition.</w:t>
      </w:r>
    </w:p>
    <w:p>
      <w:pPr>
        <w:pStyle w:val="TextBody"/>
        <w:spacing w:before="120" w:after="0"/>
        <w:jc w:val="left"/>
        <w:rPr>
          <w:rFonts w:ascii="Times New Roman" w:hAnsi="Times New Roman"/>
          <w:b w:val="false"/>
          <w:sz w:val="22"/>
        </w:rPr>
      </w:pPr>
      <w:r>
        <w:rPr>
          <w:rFonts w:ascii="Times New Roman" w:hAnsi="Times New Roman"/>
          <w:b w:val="false"/>
          <w:sz w:val="22"/>
        </w:rPr>
        <w:t>15.</w:t>
      </w:r>
    </w:p>
    <w:p>
      <w:pPr>
        <w:pStyle w:val="TextBody"/>
        <w:spacing w:before="120" w:after="283"/>
        <w:jc w:val="left"/>
        <w:rPr/>
      </w:pPr>
      <w:r>
        <w:rPr>
          <w:rFonts w:ascii="Times New Roman;serif" w:hAnsi="Times New Roman;serif"/>
          <w:b/>
          <w:sz w:val="22"/>
          <w:u w:val="single"/>
        </w:rPr>
        <w:t>Dual Representation; Broker</w:t>
      </w:r>
      <w:r>
        <w:rPr>
          <w:rFonts w:ascii="Times New Roman;serif" w:hAnsi="Times New Roman;serif"/>
          <w:b w:val="false"/>
          <w:sz w:val="22"/>
        </w:rPr>
        <w:t>: Sublessor and Sublessee each represent to the other that they have dealt with no real estate brokers, finders, agents or salespersons other than CBRE and that Chris Jacobs and Matt Jacobs of CBRE represent the Sublessor while Damon Schor of CBRE represents the Sublessee, respectively in the Sublease transaction and therefore CBRE is acting as a dual agent. Sublessee and Sublessor hereby confirm that each party was timely advised of the dual representation, consents to the same, and do not expect CBRE to disclose to either party the confidential information of the other. Both parties agree to hold the other party harmless and shall indemnify and defend the other against from and against all claims for brokerage commissions, finder’s fees or other compensation made by any other agent, broker, salesperson or finder as a consequence of such party’s actions or dealings with such agent, broker, salesperson, or finder.</w:t>
      </w:r>
    </w:p>
    <w:p>
      <w:pPr>
        <w:pStyle w:val="TextBody"/>
        <w:spacing w:before="120" w:after="0"/>
        <w:jc w:val="left"/>
        <w:rPr>
          <w:rFonts w:ascii="Times New Roman" w:hAnsi="Times New Roman"/>
          <w:b w:val="false"/>
          <w:sz w:val="22"/>
        </w:rPr>
      </w:pPr>
      <w:r>
        <w:rPr>
          <w:rFonts w:ascii="Times New Roman" w:hAnsi="Times New Roman"/>
          <w:b w:val="false"/>
          <w:sz w:val="22"/>
        </w:rPr>
        <w:t>16.</w:t>
      </w:r>
    </w:p>
    <w:p>
      <w:pPr>
        <w:pStyle w:val="TextBody"/>
        <w:spacing w:before="120" w:after="283"/>
        <w:jc w:val="left"/>
        <w:rPr/>
      </w:pPr>
      <w:r>
        <w:rPr>
          <w:rFonts w:ascii="Times New Roman;serif" w:hAnsi="Times New Roman;serif"/>
          <w:b/>
          <w:sz w:val="22"/>
          <w:u w:val="single"/>
        </w:rPr>
        <w:t>Notices</w:t>
      </w:r>
      <w:r>
        <w:rPr>
          <w:rFonts w:ascii="Times New Roman;serif" w:hAnsi="Times New Roman;serif"/>
          <w:b w:val="false"/>
          <w:sz w:val="22"/>
        </w:rPr>
        <w:t>: Unless at least five (5) days’ prior written notice is given in the manner set forth in this paragraph, the address of each party for all purposes connected with this Sublease shall be the applicable address set forth below its signature at the end of this Sublease. All notices, demands or communications in connection with this Sublease shall be (a) personally delivered; or (b) properly addressed and (i) submitted to an overnight courier service, charges prepaid, or (ii) deposited in the mail (certified, return receipt requested, and postage prepaid). Notices shall be deemed delivered upon receipt, if personally delivered, one (1) business day after being submitted to an overnight courier service and three (3) business days after mailing, if mailed as set forth above. All notices given to Master Lessor under the Master Lease shall be considered received only when delivered in accordance with the Master Lease.</w:t>
      </w:r>
    </w:p>
    <w:p>
      <w:pPr>
        <w:pStyle w:val="TextBody"/>
        <w:spacing w:before="120" w:after="0"/>
        <w:jc w:val="left"/>
        <w:rPr>
          <w:rFonts w:ascii="Times New Roman" w:hAnsi="Times New Roman"/>
          <w:b w:val="false"/>
          <w:sz w:val="22"/>
        </w:rPr>
      </w:pPr>
      <w:r>
        <w:rPr>
          <w:rFonts w:ascii="Times New Roman" w:hAnsi="Times New Roman"/>
          <w:b w:val="false"/>
          <w:sz w:val="22"/>
        </w:rPr>
        <w:t>17.</w:t>
      </w:r>
    </w:p>
    <w:p>
      <w:pPr>
        <w:pStyle w:val="TextBody"/>
        <w:spacing w:before="120" w:after="283"/>
        <w:jc w:val="left"/>
        <w:rPr/>
      </w:pPr>
      <w:r>
        <w:rPr>
          <w:rFonts w:ascii="Times New Roman;serif" w:hAnsi="Times New Roman;serif"/>
          <w:b/>
          <w:sz w:val="22"/>
          <w:u w:val="single"/>
        </w:rPr>
        <w:t>Miscellaneous</w:t>
      </w:r>
      <w:r>
        <w:rPr>
          <w:rFonts w:ascii="Times New Roman;serif" w:hAnsi="Times New Roman;serif"/>
          <w:b w:val="false"/>
          <w:sz w:val="22"/>
        </w:rPr>
        <w:t>: Sublessor has not had an inspection of the Premises performed by a Certified Access Specialist as described in California Civil Code § 1938.</w:t>
      </w:r>
    </w:p>
    <w:p>
      <w:pPr>
        <w:pStyle w:val="TextBody"/>
        <w:spacing w:before="120" w:after="0"/>
        <w:jc w:val="left"/>
        <w:rPr>
          <w:rFonts w:ascii="Times New Roman" w:hAnsi="Times New Roman"/>
          <w:b w:val="false"/>
          <w:sz w:val="22"/>
        </w:rPr>
      </w:pPr>
      <w:r>
        <w:rPr>
          <w:rFonts w:ascii="Times New Roman" w:hAnsi="Times New Roman"/>
          <w:b w:val="false"/>
          <w:sz w:val="22"/>
        </w:rPr>
        <w:t>18.</w:t>
      </w:r>
    </w:p>
    <w:p>
      <w:pPr>
        <w:pStyle w:val="TextBody"/>
        <w:spacing w:before="120" w:after="0"/>
        <w:jc w:val="left"/>
        <w:rPr/>
      </w:pPr>
      <w:r>
        <w:rPr>
          <w:rFonts w:ascii="Times New Roman;serif" w:hAnsi="Times New Roman;serif"/>
          <w:b/>
          <w:sz w:val="22"/>
          <w:u w:val="single"/>
        </w:rPr>
        <w:t>Other Sublease Terms</w:t>
      </w:r>
      <w:r>
        <w:rPr>
          <w:rFonts w:ascii="Times New Roman;serif" w:hAnsi="Times New Roman;serif"/>
          <w:b w:val="false"/>
          <w:sz w:val="22"/>
        </w:rPr>
        <w:t>:</w:t>
      </w:r>
    </w:p>
    <w:p>
      <w:pPr>
        <w:pStyle w:val="TextBody"/>
        <w:spacing w:before="120" w:after="0"/>
        <w:jc w:val="left"/>
        <w:rPr>
          <w:rFonts w:ascii="Times New Roman" w:hAnsi="Times New Roman"/>
          <w:b w:val="false"/>
          <w:sz w:val="22"/>
        </w:rPr>
      </w:pPr>
      <w:r>
        <w:rPr>
          <w:rFonts w:ascii="Times New Roman" w:hAnsi="Times New Roman"/>
          <w:b w:val="false"/>
          <w:sz w:val="22"/>
        </w:rPr>
        <w:t>A.</w:t>
      </w:r>
    </w:p>
    <w:p>
      <w:pPr>
        <w:pStyle w:val="TextBody"/>
        <w:spacing w:before="120" w:after="0"/>
        <w:jc w:val="left"/>
        <w:rPr/>
      </w:pPr>
      <w:r>
        <w:rPr>
          <w:rFonts w:ascii="Times New Roman;serif" w:hAnsi="Times New Roman;serif"/>
          <w:b w:val="false"/>
          <w:sz w:val="22"/>
          <w:u w:val="single"/>
        </w:rPr>
        <w:t>Incorporation By Reference.</w:t>
      </w:r>
      <w:r>
        <w:rPr/>
        <w:t xml:space="preserve"> </w:t>
      </w:r>
      <w:r>
        <w:rPr>
          <w:rFonts w:ascii="Times New Roman;serif" w:hAnsi="Times New Roman;serif"/>
          <w:b w:val="false"/>
          <w:sz w:val="22"/>
        </w:rPr>
        <w:t xml:space="preserve">Except as set forth below, the terms and conditions of this Sublease shall include all of the terms of the Master Lease and such terms are incorporated into this Sublease as if fully set forth herein, except that: (i) each reference in such incorporated sections to “Lease” shall be deemed a reference to “Sublease”; (ii) each reference to the “Premises”, “Lease Term” and “Base Rent” shall be deemed a reference to the “Subleased Premises”, “Term” and Base Rent under this Sublease, respectively; (iii) each reference to “Landlord” and “Tenant” shall be deemed a reference to “Sublessor” and “Sublessee”, respectively, except as otherwise expressly set forth herein; (iv) with respect to work, services, repairs, restoration, insurance, indemnities (except for the indemnity by Sublessor pursuant to the second to last sentence of Section 10.1 of the Master Lease, incorporated herein), representations, warranties or the performance of any other obligation of Master Lessor under the Master Lease, the sole obligation of Sublessor shall be to request the same in writing from Master Lessor as and when requested to do so by Sublessee, and to use Sublessor’s reasonable efforts (without requiring Sublessor to spend more than a nominal sum) to obtain Master Lessor’s performance; (v) with respect to any obligation of Sublessee to be performed under this Sublease, wherever the Master Lease grants to Sublessor a specified number of days to perform its obligations under the Master Lease, except as otherwise provided herein, Sublessee shall have three (3) fewer days to perform the obligation, including, without limitation, curing any defaults, or one-half the time period permitted under the Master Lease (rounding up for partial days), which ever allows Sublessee the greater amount of time; (vi) with respect to any approval required to be obtained from the “Landlord” under the Master Lease, such consent must be obtained from both Master Lessor and Sublessor, and the approval of Sublessor may be withheld if Master Lessor’s consent is not obtained; (vii) in any case where the “Landlord” reserves or is granted the right to manage, supervise, control, repair, alter, regulate the use of, enter or use the Premises or any areas beneath, above or adjacent thereto, perform any actions or cure any failures, such reservation or right shall be deemed to be for the benefit of both Master Lessor and Sublessor; (viii) in any case where “Tenant” is to indemnify, release or waive claims against “Landlord”, such indemnity, release or waiver shall be deemed to run from </w:t>
      </w:r>
    </w:p>
    <w:p>
      <w:pPr>
        <w:pStyle w:val="HorizontalLine"/>
        <w:rPr/>
      </w:pPr>
      <w:r>
        <w:rPr/>
      </w:r>
    </w:p>
    <w:p>
      <w:pPr>
        <w:pStyle w:val="TextBody"/>
        <w:spacing w:before="120" w:after="283"/>
        <w:jc w:val="left"/>
        <w:rPr>
          <w:rFonts w:ascii="Times New Roman;serif" w:hAnsi="Times New Roman;serif"/>
          <w:b w:val="false"/>
          <w:sz w:val="22"/>
        </w:rPr>
      </w:pPr>
      <w:r>
        <w:rPr>
          <w:rFonts w:ascii="Times New Roman;serif" w:hAnsi="Times New Roman;serif"/>
          <w:b w:val="false"/>
          <w:sz w:val="22"/>
        </w:rPr>
        <w:t>Sublessee to both Master Lessor and Sublessor; (ix) in any case where “Tenant” is to execute and deliver certain documents or notices to “Landlord”, such obligation shall be deemed to run from Sublessee to both Master Lessor and Sublessor, (x) all payments shall be made to Sublessor; and (xi) Sublessee shall pay all consent and review fees set forth in the Master Lease (with respect to a further subleasing of the Subleased Premises, an assignment of the Sublease or alterations constructed by Sublessee) to Master Lessor only, subject to any caps.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Notwithstanding the foregoing, (a) the following provisions of the Master Lease shall not be incorporated herein: Summary of Basic Lease Information (except for item 2.1), Sections 1.1.1(the first two sentences only), 1.1.2 (the first sentence only), 1.3,2.1, 2.2, 4.1.2, 4.6, 5.3.1.4.3 (except with respect to the indemnity for Hazardous Materials Released by Sublessor and the nonliability provisions with respect to Hazardous Materials that exist in, on or about the Project as of the date hereof or Hazardous Materials Released by Master Lessor or any “Landlord Parties” under the Master Lease), 6.2(the last sentence only), 7.3, 10.7, 10.8, 14.4, 18(first and third sentences only), 21, 23.1 (subpart (iv) and the second to last sentence only), 29.18 and 29.24 and Exhibits B(except Section 9, as to which Sublessee may only use its Pro Rata Share as designated by Sublessor) and G-H; (b) references in the following provisions to “Landlord” shall mean Master Lessor only: Sections 1.1.1(the last sentence only), 1.1.2(iv), 1.1.3, 1.2 (except the last sentence), 4.2.3, 4.2.4, 4.3, 5.2, 6.1(the first sentence only), 6.5 (the first two sentences only), 6.6(the first two sentences only), 7.2, 8.4 (the last reference in the first sentence only), 10.2, 11.1 (the second and third sentences only), 11.2 (except the last reference), 13 (the first sentence only), 23.1 (subpart (1) and the last sentence only), 28,29.13 (the first sentence only), 29.26 (the first sentence only) and 29.29.1; (c) references in the following provisions to “Landlord” shall mean Master Lessor and Sublessor: Sections 4.5, 5.3.1.2-4, 5.3.2,6.4, 8.5 (the last sentence only); 10.4, 17, 24(the third sentence only) and 26.2; (d) the last two (2) references to “Landlord” in the second sentence of Section 10.1 of the Master Lease shall mean Master Lessor or Sublessor; (e) references to the “Permitted Use” shall mean the use permitted under Section 9 above; (f) the number of parking spaces in Section 9 of the Summary of Basic Lease Information (as referenced in Section 28 of the Master Lease) shall be 42; (g) Tenant’s Share shall mean 9.84% as to the Building and 18.95% as to the Premises; (h) subject to Master Lessor’s approval, Sublessor agrees that Atomic AI and Atomic AI, Inc. are not Objectionable Names; and (i) in Section 14.3, Sublessee shall pay Sublessor the entire premium payable to Master Lessor under the Master Lease, plus fifty percent (50%) of any remaining Transfer Premium.</w:t>
      </w:r>
    </w:p>
    <w:p>
      <w:pPr>
        <w:pStyle w:val="TextBody"/>
        <w:spacing w:before="120" w:after="0"/>
        <w:jc w:val="left"/>
        <w:rPr>
          <w:rFonts w:ascii="Times New Roman" w:hAnsi="Times New Roman"/>
          <w:b w:val="false"/>
          <w:sz w:val="22"/>
        </w:rPr>
      </w:pPr>
      <w:r>
        <w:rPr>
          <w:rFonts w:ascii="Times New Roman" w:hAnsi="Times New Roman"/>
          <w:b w:val="false"/>
          <w:sz w:val="22"/>
        </w:rPr>
        <w:t>B.</w:t>
      </w:r>
    </w:p>
    <w:p>
      <w:pPr>
        <w:pStyle w:val="TextBody"/>
        <w:spacing w:before="120" w:after="283"/>
        <w:jc w:val="left"/>
        <w:rPr/>
      </w:pPr>
      <w:r>
        <w:rPr>
          <w:rFonts w:ascii="Times New Roman;serif" w:hAnsi="Times New Roman;serif"/>
          <w:b w:val="false"/>
          <w:sz w:val="22"/>
          <w:u w:val="single"/>
        </w:rPr>
        <w:t>Assumption of Obligations</w:t>
      </w:r>
      <w:r>
        <w:rPr>
          <w:rFonts w:ascii="Times New Roman;serif" w:hAnsi="Times New Roman;serif"/>
          <w:b w:val="false"/>
          <w:sz w:val="22"/>
        </w:rPr>
        <w:t>. This Sublease is and at all times shall be subject and subordinate to the Master Lease and the rights of Master Lessor thereunder. Sublessee hereby expressly assumes and agrees: (i) to comply with all provisions of the Master Lease which are incorporated hereunder; and (ii) to perform all the obligations on the part of the “Tenant” to be performed under the terms of the Master Lease during the Term of this Sublease which are incorporated hereunder. In the event the Master Lease is terminated for any reason whatsoever, this Sublease shall terminate simultaneously with such termination without any liability of Sublessor to Sublessee. Notwithstanding the foregoing, Sublessor shall not, without Sublessee’s prior written consent, terminate the Master Lease (except as set forth in Paragraph 20 below or if Master Lessor agrees to allow Sublessee to continue to occupy the Subleased Premises for the remaining Term on the terms of this Sublease), commit any acts that would entitle Master Lessor to terminate the Master Lease, or amend or waive any provisions of the Master Lease or make any elections, exercise any right or remedy or give any consent or approval under the Master Lease in each case that would adversely affect Sublessee’s use or occupancy of the Subleased Premises or increase Sublessee’s liability hereunder. In the event of a conflict between the provisions of this Sublease and the Master Lease, as between Sublessor and Sublessee, the provisions of this Sublease shall control. In the event of a conflict between the express provisions of this Sublease and the provisions of the Master Lease, as incorporated herein, the express provisions of this Sublease shall prevail.</w:t>
      </w:r>
    </w:p>
    <w:p>
      <w:pPr>
        <w:pStyle w:val="TextBody"/>
        <w:spacing w:before="120" w:after="0"/>
        <w:jc w:val="left"/>
        <w:rPr>
          <w:rFonts w:ascii="Times New Roman" w:hAnsi="Times New Roman"/>
          <w:b w:val="false"/>
          <w:sz w:val="22"/>
        </w:rPr>
      </w:pPr>
      <w:r>
        <w:rPr>
          <w:rFonts w:ascii="Times New Roman" w:hAnsi="Times New Roman"/>
          <w:b w:val="false"/>
          <w:sz w:val="22"/>
        </w:rPr>
        <w:t>19.</w:t>
      </w:r>
    </w:p>
    <w:p>
      <w:pPr>
        <w:pStyle w:val="TextBody"/>
        <w:spacing w:before="120" w:after="0"/>
        <w:jc w:val="left"/>
        <w:rPr/>
      </w:pPr>
      <w:r>
        <w:rPr>
          <w:rFonts w:ascii="Times New Roman;serif" w:hAnsi="Times New Roman;serif"/>
          <w:b/>
          <w:sz w:val="22"/>
          <w:u w:val="single"/>
        </w:rPr>
        <w:t>Conditions Precedent</w:t>
      </w:r>
      <w:r>
        <w:rPr>
          <w:rFonts w:ascii="Times New Roman;serif" w:hAnsi="Times New Roman;serif"/>
          <w:b w:val="false"/>
          <w:sz w:val="22"/>
        </w:rPr>
        <w:t xml:space="preserve">: This Sublease and Sublessor’s and Sublessee’s obligations hereunder are conditioned upon the written consent of Master Lessor. Unless waived by Sublessee in writing (which waiver shall be deemed to have been made upon Sublessee’s and Sublessor’s execution of Master Lessor’s consent form), such consent shall provide that (i) Sublessee shall be permitted to use the Hazardous Materials specifically listed on the Environmental Questionnaire completed by Sublessee as attached hereto as </w:t>
      </w:r>
      <w:r>
        <w:rPr>
          <w:rFonts w:ascii="Times New Roman;serif" w:hAnsi="Times New Roman;serif"/>
          <w:b w:val="false"/>
          <w:sz w:val="22"/>
          <w:u w:val="single"/>
        </w:rPr>
        <w:t>Exhibit D</w:t>
      </w:r>
      <w:r>
        <w:rPr/>
        <w:t xml:space="preserve"> </w:t>
      </w:r>
      <w:r>
        <w:rPr>
          <w:rFonts w:ascii="Times New Roman;serif" w:hAnsi="Times New Roman;serif"/>
          <w:b w:val="false"/>
          <w:sz w:val="22"/>
        </w:rPr>
        <w:t xml:space="preserve">(as the same may be updated from time to time as permitted in </w:t>
      </w:r>
      <w:r>
        <w:rPr>
          <w:rFonts w:ascii="Times New Roman;serif" w:hAnsi="Times New Roman;serif"/>
          <w:b w:val="false"/>
          <w:sz w:val="22"/>
          <w:u w:val="single"/>
        </w:rPr>
        <w:t>Section 5.3</w:t>
      </w:r>
      <w:r>
        <w:rPr/>
        <w:t xml:space="preserve"> </w:t>
      </w:r>
      <w:r>
        <w:rPr>
          <w:rFonts w:ascii="Times New Roman;serif" w:hAnsi="Times New Roman;serif"/>
          <w:b w:val="false"/>
          <w:sz w:val="22"/>
        </w:rPr>
        <w:t xml:space="preserve">of the Master Lease), (ii) the terms of </w:t>
      </w:r>
      <w:r>
        <w:rPr>
          <w:rFonts w:ascii="Times New Roman;serif" w:hAnsi="Times New Roman;serif"/>
          <w:b w:val="false"/>
          <w:sz w:val="22"/>
          <w:u w:val="single"/>
        </w:rPr>
        <w:t>Section 10.5</w:t>
      </w:r>
      <w:r>
        <w:rPr/>
        <w:t xml:space="preserve"> </w:t>
      </w:r>
      <w:r>
        <w:rPr>
          <w:rFonts w:ascii="Times New Roman;serif" w:hAnsi="Times New Roman;serif"/>
          <w:b w:val="false"/>
          <w:sz w:val="22"/>
        </w:rPr>
        <w:t xml:space="preserve">of the Master Lease (Mutual Waiver of Subrogation) shall also apply as between Master Lessor and Sublessee, (iii) the terms of </w:t>
      </w:r>
      <w:r>
        <w:rPr>
          <w:rFonts w:ascii="Times New Roman;serif" w:hAnsi="Times New Roman;serif"/>
          <w:b w:val="false"/>
          <w:sz w:val="22"/>
          <w:u w:val="single"/>
        </w:rPr>
        <w:t>Section 14.8</w:t>
      </w:r>
      <w:r>
        <w:rPr/>
        <w:t xml:space="preserve"> </w:t>
      </w:r>
      <w:r>
        <w:rPr>
          <w:rFonts w:ascii="Times New Roman;serif" w:hAnsi="Times New Roman;serif"/>
          <w:b w:val="false"/>
          <w:sz w:val="22"/>
        </w:rPr>
        <w:t xml:space="preserve">of the Master Lease shall also apply to Sublessee such that an assignment or subletting of the Subleased Premises to a Permitted Transferee of Sublessee shall not be deemed a Transfer under the Master Lease so long as the conditions set forth in </w:t>
      </w:r>
      <w:r>
        <w:rPr>
          <w:rFonts w:ascii="Times New Roman;serif" w:hAnsi="Times New Roman;serif"/>
          <w:b w:val="false"/>
          <w:sz w:val="22"/>
          <w:u w:val="single"/>
        </w:rPr>
        <w:t>Section 14.8</w:t>
      </w:r>
      <w:r>
        <w:rPr/>
        <w:t xml:space="preserve"> </w:t>
      </w:r>
      <w:r>
        <w:rPr>
          <w:rFonts w:ascii="Times New Roman;serif" w:hAnsi="Times New Roman;serif"/>
          <w:b w:val="false"/>
          <w:sz w:val="22"/>
        </w:rPr>
        <w:t xml:space="preserve">of the Master Lease, as incorporated herein, are satisfied, (iv) Sublessee shall have the signage rights described in </w:t>
      </w:r>
      <w:r>
        <w:rPr>
          <w:rFonts w:ascii="Times New Roman;serif" w:hAnsi="Times New Roman;serif"/>
          <w:b w:val="false"/>
          <w:sz w:val="22"/>
          <w:u w:val="single"/>
        </w:rPr>
        <w:t>Section 23.1(i)-(iii)</w:t>
      </w:r>
      <w:r>
        <w:rPr/>
        <w:t xml:space="preserve"> </w:t>
      </w:r>
      <w:r>
        <w:rPr>
          <w:rFonts w:ascii="Times New Roman;serif" w:hAnsi="Times New Roman;serif"/>
          <w:b w:val="false"/>
          <w:sz w:val="22"/>
        </w:rPr>
        <w:t xml:space="preserve">of the Master Lease and Atomic AI and Atomic AI, Inc. are not Objectionable Names. If Sublessor fails to obtain Master Lessor’s consent within thirty (30) days after execution of this Sublease by Sublessor, then Sublessor or Sublessee may terminate this Sublease by giving the other party written notice thereof, and Sublessor shall return to Sublessee its </w:t>
      </w:r>
    </w:p>
    <w:p>
      <w:pPr>
        <w:pStyle w:val="HorizontalLine"/>
        <w:rPr/>
      </w:pPr>
      <w:r>
        <w:rPr/>
      </w:r>
    </w:p>
    <w:p>
      <w:pPr>
        <w:pStyle w:val="TextBody"/>
        <w:spacing w:before="120" w:after="283"/>
        <w:jc w:val="left"/>
        <w:rPr>
          <w:rFonts w:ascii="Times New Roman;serif" w:hAnsi="Times New Roman;serif"/>
          <w:b w:val="false"/>
          <w:sz w:val="22"/>
        </w:rPr>
      </w:pPr>
      <w:r>
        <w:rPr>
          <w:rFonts w:ascii="Times New Roman;serif" w:hAnsi="Times New Roman;serif"/>
          <w:b w:val="false"/>
          <w:sz w:val="22"/>
        </w:rPr>
        <w:t>payment of the initial Base Rent paid by Sublessee pursuant to Paragraph 4.C hereof and the Security Deposit. Sublessor shall pay all consent and review fees set forth in the Master Lease for Master Lessor’s consent to the subletting hereunder.</w:t>
      </w:r>
    </w:p>
    <w:p>
      <w:pPr>
        <w:pStyle w:val="TextBody"/>
        <w:spacing w:before="120" w:after="0"/>
        <w:jc w:val="left"/>
        <w:rPr>
          <w:rFonts w:ascii="Times New Roman" w:hAnsi="Times New Roman"/>
          <w:b w:val="false"/>
          <w:sz w:val="22"/>
        </w:rPr>
      </w:pPr>
      <w:r>
        <w:rPr>
          <w:rFonts w:ascii="Times New Roman" w:hAnsi="Times New Roman"/>
          <w:b w:val="false"/>
          <w:sz w:val="22"/>
        </w:rPr>
        <w:t>20.</w:t>
      </w:r>
    </w:p>
    <w:p>
      <w:pPr>
        <w:pStyle w:val="TextBody"/>
        <w:spacing w:before="120" w:after="283"/>
        <w:jc w:val="left"/>
        <w:rPr/>
      </w:pPr>
      <w:r>
        <w:rPr>
          <w:rFonts w:ascii="Times New Roman;serif" w:hAnsi="Times New Roman;serif"/>
          <w:b/>
          <w:sz w:val="22"/>
          <w:u w:val="single"/>
        </w:rPr>
        <w:t>Termination; Recapture</w:t>
      </w:r>
      <w:r>
        <w:rPr>
          <w:rFonts w:ascii="Times New Roman;serif" w:hAnsi="Times New Roman;serif"/>
          <w:b w:val="false"/>
          <w:sz w:val="22"/>
        </w:rPr>
        <w:t xml:space="preserve">: Notwithstanding anything to the contrary herein, Sublessee acknowledges that, under the Master Lease, both Master Lessor and Sublessor have certain termination and recapture rights, including, without limitation, in </w:t>
      </w:r>
      <w:r>
        <w:rPr>
          <w:rFonts w:ascii="Times New Roman;serif" w:hAnsi="Times New Roman;serif"/>
          <w:b w:val="false"/>
          <w:sz w:val="22"/>
          <w:u w:val="single"/>
        </w:rPr>
        <w:t>Sections 11</w:t>
      </w:r>
      <w:r>
        <w:rPr>
          <w:rFonts w:ascii="Times New Roman;serif" w:hAnsi="Times New Roman;serif"/>
          <w:b w:val="false"/>
          <w:sz w:val="22"/>
        </w:rPr>
        <w:t xml:space="preserve">, </w:t>
      </w:r>
      <w:r>
        <w:rPr>
          <w:rFonts w:ascii="Times New Roman;serif" w:hAnsi="Times New Roman;serif"/>
          <w:b w:val="false"/>
          <w:sz w:val="22"/>
          <w:u w:val="single"/>
        </w:rPr>
        <w:t>13</w:t>
      </w:r>
      <w:r>
        <w:rPr/>
        <w:t xml:space="preserve"> </w:t>
      </w:r>
      <w:r>
        <w:rPr>
          <w:rFonts w:ascii="Times New Roman;serif" w:hAnsi="Times New Roman;serif"/>
          <w:b w:val="false"/>
          <w:sz w:val="22"/>
        </w:rPr>
        <w:t xml:space="preserve">and </w:t>
      </w:r>
      <w:r>
        <w:rPr>
          <w:rFonts w:ascii="Times New Roman;serif" w:hAnsi="Times New Roman;serif"/>
          <w:b w:val="false"/>
          <w:sz w:val="22"/>
          <w:u w:val="single"/>
        </w:rPr>
        <w:t>14</w:t>
      </w:r>
      <w:r>
        <w:rPr/>
        <w:t xml:space="preserve"> </w:t>
      </w:r>
      <w:r>
        <w:rPr>
          <w:rFonts w:ascii="Times New Roman;serif" w:hAnsi="Times New Roman;serif"/>
          <w:b w:val="false"/>
          <w:sz w:val="22"/>
        </w:rPr>
        <w:t>(Master Lessor only). Nothing herein shall prohibit Master Lessor or Sublessor from exercising any such rights and neither Master Lessor nor Sublessor shall have any liability to Sublessee as a result thereof. In the event Master Lessor or Sublessor exercise any such termination or recapture rights, this Sublease shall terminate without any liability to Master Lessor or Sublessor.</w:t>
      </w:r>
    </w:p>
    <w:p>
      <w:pPr>
        <w:pStyle w:val="TextBody"/>
        <w:spacing w:before="120" w:after="0"/>
        <w:jc w:val="both"/>
        <w:rPr>
          <w:rFonts w:ascii="Times New Roman" w:hAnsi="Times New Roman"/>
          <w:b w:val="false"/>
          <w:sz w:val="22"/>
        </w:rPr>
      </w:pPr>
      <w:r>
        <w:rPr>
          <w:rFonts w:ascii="Times New Roman" w:hAnsi="Times New Roman"/>
          <w:b w:val="false"/>
          <w:sz w:val="22"/>
        </w:rPr>
        <w:t>21.</w:t>
      </w:r>
    </w:p>
    <w:p>
      <w:pPr>
        <w:pStyle w:val="TextBody"/>
        <w:spacing w:before="120" w:after="283"/>
        <w:jc w:val="both"/>
        <w:rPr/>
      </w:pPr>
      <w:r>
        <w:rPr>
          <w:rFonts w:ascii="Times New Roman;serif" w:hAnsi="Times New Roman;serif"/>
          <w:b/>
          <w:sz w:val="22"/>
          <w:u w:val="single"/>
        </w:rPr>
        <w:t>Parking, and Signage</w:t>
      </w:r>
      <w:r>
        <w:rPr>
          <w:rFonts w:ascii="Times New Roman;serif" w:hAnsi="Times New Roman;serif"/>
          <w:b w:val="false"/>
          <w:sz w:val="22"/>
        </w:rPr>
        <w:t xml:space="preserve">. Sublessee shall have the right to park in 36 parking spaces in the on-site parking lot and garage that serves the Building as provided in </w:t>
      </w:r>
      <w:r>
        <w:rPr>
          <w:rFonts w:ascii="Times New Roman;serif" w:hAnsi="Times New Roman;serif"/>
          <w:b w:val="false"/>
          <w:sz w:val="22"/>
          <w:u w:val="single"/>
        </w:rPr>
        <w:t>Section 28</w:t>
      </w:r>
      <w:r>
        <w:rPr/>
        <w:t xml:space="preserve"> </w:t>
      </w:r>
      <w:r>
        <w:rPr>
          <w:rFonts w:ascii="Times New Roman;serif" w:hAnsi="Times New Roman;serif"/>
          <w:b w:val="false"/>
          <w:sz w:val="22"/>
        </w:rPr>
        <w:t xml:space="preserve">of the Master Lease, as incorporated herein. Subject to Master Lessor’s and Sublessor’s consent (with Sublessor’s consent not to be unreasonably withheld, conditioned or delayed), and provided that the same violate any applicable regulations governing signage on the property, including the City of South San Francisco, Sublessee shall have the signage rights described in </w:t>
      </w:r>
      <w:r>
        <w:rPr>
          <w:rFonts w:ascii="Times New Roman;serif" w:hAnsi="Times New Roman;serif"/>
          <w:b w:val="false"/>
          <w:sz w:val="22"/>
          <w:u w:val="single"/>
        </w:rPr>
        <w:t>Section 23.1(i)-(iii)</w:t>
      </w:r>
      <w:r>
        <w:rPr/>
        <w:t xml:space="preserve"> </w:t>
      </w:r>
      <w:r>
        <w:rPr>
          <w:rFonts w:ascii="Times New Roman;serif" w:hAnsi="Times New Roman;serif"/>
          <w:b w:val="false"/>
          <w:sz w:val="22"/>
        </w:rPr>
        <w:t>of the Master Lease, as incorporated herein. Furthermore, Sublessee may, at its sole cost and expense, install its signs in the third-floor lobby and directional signage in the building lobby. Additionally, Sublessee shall have the right to install a reception kiosk in the third-floor lobby.</w:t>
      </w:r>
    </w:p>
    <w:p>
      <w:pPr>
        <w:pStyle w:val="TextBody"/>
        <w:spacing w:before="120" w:after="0"/>
        <w:jc w:val="left"/>
        <w:rPr>
          <w:rFonts w:ascii="Times New Roman" w:hAnsi="Times New Roman"/>
          <w:b w:val="false"/>
          <w:sz w:val="22"/>
        </w:rPr>
      </w:pPr>
      <w:r>
        <w:rPr>
          <w:rFonts w:ascii="Times New Roman" w:hAnsi="Times New Roman"/>
          <w:b w:val="false"/>
          <w:sz w:val="22"/>
        </w:rPr>
        <w:t>22.</w:t>
      </w:r>
    </w:p>
    <w:p>
      <w:pPr>
        <w:pStyle w:val="TextBody"/>
        <w:spacing w:before="120" w:after="283"/>
        <w:jc w:val="left"/>
        <w:rPr/>
      </w:pPr>
      <w:r>
        <w:rPr>
          <w:rFonts w:ascii="Times New Roman;serif" w:hAnsi="Times New Roman;serif"/>
          <w:b/>
          <w:sz w:val="22"/>
          <w:u w:val="single"/>
        </w:rPr>
        <w:t>Furniture, Fixtures and Equipment</w:t>
      </w:r>
      <w:r>
        <w:rPr>
          <w:rFonts w:ascii="Times New Roman;serif" w:hAnsi="Times New Roman;serif"/>
          <w:b w:val="false"/>
          <w:sz w:val="22"/>
        </w:rPr>
        <w:t xml:space="preserve">: Sublessee shall have the right to use the existing furnishings and equipment within the Subleased Premises, as such furniture and other equipment and their quantities are enumerated and listed on </w:t>
      </w:r>
      <w:r>
        <w:rPr>
          <w:rFonts w:ascii="Times New Roman;serif" w:hAnsi="Times New Roman;serif"/>
          <w:b w:val="false"/>
          <w:sz w:val="22"/>
          <w:u w:val="single"/>
        </w:rPr>
        <w:t>Exhibit C.I</w:t>
      </w:r>
      <w:r>
        <w:rPr/>
        <w:t xml:space="preserve"> </w:t>
      </w:r>
      <w:r>
        <w:rPr>
          <w:rFonts w:ascii="Times New Roman;serif" w:hAnsi="Times New Roman;serif"/>
          <w:b w:val="false"/>
          <w:sz w:val="22"/>
        </w:rPr>
        <w:t xml:space="preserve">attached hereto (the “At No Cost Furniture and Equipment”), at no additional cost through the Term. Sublessee shall be responsible for removing and storing any unwanted said At No Cost Furniture and Equipment. The At No Cost Furniture and Equipment is provided in its “AS IS, WHERE IS” condition, without representation or warranty whatsoever. Sublessee shall insure the At No Cost Furniture and Equipment under the property insurance policy required under the Master Lease, as incorporated herein, and pay all taxes with respect to the At No Cost Furniture and Equipment. Sublessee shall maintain the At No Cost Furniture and Equipment in good condition and repair, reasonable wear and tear excepted, and shall be responsible for any loss or damage to the same occurring during the Term. Sublessee shall surrender the At No Cost Furniture and Equipment to Sublessor upon the termination of this Sublease in the same condition as exists as of the Commencement Date, reasonable wear and tear excepted. </w:t>
      </w:r>
    </w:p>
    <w:p>
      <w:pPr>
        <w:pStyle w:val="TextBody"/>
        <w:spacing w:before="120" w:after="0"/>
        <w:jc w:val="left"/>
        <w:rPr>
          <w:rFonts w:ascii="Times New Roman" w:hAnsi="Times New Roman"/>
          <w:b w:val="false"/>
          <w:sz w:val="22"/>
        </w:rPr>
      </w:pPr>
      <w:r>
        <w:rPr>
          <w:rFonts w:ascii="Times New Roman" w:hAnsi="Times New Roman"/>
          <w:b w:val="false"/>
          <w:sz w:val="22"/>
        </w:rPr>
        <w:t>23.</w:t>
      </w:r>
    </w:p>
    <w:p>
      <w:pPr>
        <w:pStyle w:val="TextBody"/>
        <w:spacing w:before="120" w:after="283"/>
        <w:jc w:val="left"/>
        <w:rPr/>
      </w:pPr>
      <w:r>
        <w:rPr>
          <w:rFonts w:ascii="Times New Roman;serif" w:hAnsi="Times New Roman;serif"/>
          <w:b/>
          <w:sz w:val="22"/>
          <w:u w:val="single"/>
        </w:rPr>
        <w:t>HVAC, Janitorial and Other Operational Services</w:t>
      </w:r>
      <w:r>
        <w:rPr>
          <w:rFonts w:ascii="Times New Roman;serif" w:hAnsi="Times New Roman;serif"/>
          <w:b w:val="false"/>
          <w:sz w:val="22"/>
        </w:rPr>
        <w:t xml:space="preserve">: Sublessee acknowledges that HVAC service is not separately zoned to the Subleased Premises. Subject to </w:t>
      </w:r>
      <w:r>
        <w:rPr>
          <w:rFonts w:ascii="Times New Roman;serif" w:hAnsi="Times New Roman;serif"/>
          <w:b w:val="false"/>
          <w:sz w:val="22"/>
          <w:u w:val="single"/>
        </w:rPr>
        <w:t>Section 6.3</w:t>
      </w:r>
      <w:r>
        <w:rPr/>
        <w:t xml:space="preserve"> </w:t>
      </w:r>
      <w:r>
        <w:rPr>
          <w:rFonts w:ascii="Times New Roman;serif" w:hAnsi="Times New Roman;serif"/>
          <w:b w:val="false"/>
          <w:sz w:val="22"/>
        </w:rPr>
        <w:t xml:space="preserve">of the Master Lease, as incorporated herein, HVAC shall be provided (a) to the vivarium on a 24/7 basis and to the remainder of the Subleased Premises during normal business hours as reasonably determined by Sublessor, at levels reasonably determined by Sublessor to be normal for vivarium use in the vivarium and for office or laboratory use, as applicable, in the office and laboratory areas, and (b) at Sublessee’s sole cost and upon reasonable advance notice to Sublessor, at such other times as Sublessee may request. Sublessee acknowledges that HVAC service outside of normal business hours it requests may include service to portions of the Premises outside the Subleased Premises and Sublessee shall be responsible for the full cost of all such service. Sublessor shall provide janitorial services to the Premises (including, without limitation, the Subleased Premises) as required under </w:t>
      </w:r>
      <w:r>
        <w:rPr>
          <w:rFonts w:ascii="Times New Roman;serif" w:hAnsi="Times New Roman;serif"/>
          <w:b w:val="false"/>
          <w:sz w:val="22"/>
          <w:u w:val="single"/>
        </w:rPr>
        <w:t>Section 6.1</w:t>
      </w:r>
      <w:r>
        <w:rPr/>
        <w:t xml:space="preserve"> </w:t>
      </w:r>
      <w:r>
        <w:rPr>
          <w:rFonts w:ascii="Times New Roman;serif" w:hAnsi="Times New Roman;serif"/>
          <w:b w:val="false"/>
          <w:sz w:val="22"/>
        </w:rPr>
        <w:t xml:space="preserve">of the Master Lease (at least five nights per week), and Sublessee shall pay to Sublessor as Additional Rent Sublessee’s Pro Rata Share of the cost thereof in accordance with Paragraph 4.B above. Sublessee shall be responsible for any unique operational services that it elects to utilize at the Subleased Premises, such as telecommunications, environmental, health and safety monitoring, shipping and receiving. </w:t>
      </w:r>
    </w:p>
    <w:p>
      <w:pPr>
        <w:pStyle w:val="TextBody"/>
        <w:spacing w:before="120" w:after="0"/>
        <w:jc w:val="left"/>
        <w:rPr>
          <w:rFonts w:ascii="Times New Roman" w:hAnsi="Times New Roman"/>
          <w:b w:val="false"/>
          <w:sz w:val="22"/>
        </w:rPr>
      </w:pPr>
      <w:r>
        <w:rPr>
          <w:rFonts w:ascii="Times New Roman" w:hAnsi="Times New Roman"/>
          <w:b w:val="false"/>
          <w:sz w:val="22"/>
        </w:rPr>
        <w:t>24.</w:t>
      </w:r>
    </w:p>
    <w:p>
      <w:pPr>
        <w:pStyle w:val="TextBody"/>
        <w:spacing w:before="120" w:after="283"/>
        <w:jc w:val="left"/>
        <w:rPr/>
      </w:pPr>
      <w:r>
        <w:rPr>
          <w:rFonts w:ascii="Times New Roman;serif" w:hAnsi="Times New Roman;serif"/>
          <w:b/>
          <w:sz w:val="22"/>
          <w:u w:val="single"/>
        </w:rPr>
        <w:t>Sublessor Representations</w:t>
      </w:r>
      <w:r>
        <w:rPr>
          <w:rFonts w:ascii="Times New Roman;serif" w:hAnsi="Times New Roman;serif"/>
          <w:b w:val="false"/>
          <w:sz w:val="22"/>
        </w:rPr>
        <w:t xml:space="preserve">: Sublessor represents and warrants that (a) the Master Lease is in full force and effect, and there exists under the Master Lease no default beyond applicable notice and cure periods by either Sublessor, or to Sublessor’s knowledge, Master Lessor, nor, to Sublessor’s knowledge, has there occurred any event which, with the giving of notice or passage of time or both, could constitute such a default, and (b) the copy of the Master Lease attached hereto as </w:t>
      </w:r>
      <w:r>
        <w:rPr>
          <w:rFonts w:ascii="Times New Roman;serif" w:hAnsi="Times New Roman;serif"/>
          <w:b w:val="false"/>
          <w:sz w:val="22"/>
          <w:u w:val="single"/>
        </w:rPr>
        <w:t>Exhibit A</w:t>
      </w:r>
      <w:r>
        <w:rPr/>
        <w:t xml:space="preserve"> </w:t>
      </w:r>
      <w:r>
        <w:rPr>
          <w:rFonts w:ascii="Times New Roman;serif" w:hAnsi="Times New Roman;serif"/>
          <w:b w:val="false"/>
          <w:sz w:val="22"/>
        </w:rPr>
        <w:t>is a true, correct and complete copy of the Master Lease.</w:t>
      </w:r>
    </w:p>
    <w:p>
      <w:pPr>
        <w:pStyle w:val="HorizontalLine"/>
        <w:rPr/>
      </w:pPr>
      <w:r>
        <w:rPr/>
      </w:r>
    </w:p>
    <w:p>
      <w:pPr>
        <w:pStyle w:val="TextBody"/>
        <w:spacing w:before="120" w:after="0"/>
        <w:jc w:val="left"/>
        <w:rPr>
          <w:rFonts w:ascii="Times New Roman" w:hAnsi="Times New Roman"/>
          <w:b w:val="false"/>
          <w:sz w:val="22"/>
        </w:rPr>
      </w:pPr>
      <w:r>
        <w:rPr>
          <w:rFonts w:ascii="Times New Roman" w:hAnsi="Times New Roman"/>
          <w:b w:val="false"/>
          <w:sz w:val="22"/>
        </w:rPr>
        <w:t>25.</w:t>
      </w:r>
    </w:p>
    <w:p>
      <w:pPr>
        <w:pStyle w:val="TextBody"/>
        <w:spacing w:before="120" w:after="283"/>
        <w:jc w:val="left"/>
        <w:rPr/>
      </w:pPr>
      <w:r>
        <w:rPr>
          <w:rFonts w:ascii="Times New Roman;serif" w:hAnsi="Times New Roman;serif"/>
          <w:b/>
          <w:sz w:val="22"/>
          <w:u w:val="single"/>
        </w:rPr>
        <w:t>Access</w:t>
      </w:r>
      <w:r>
        <w:rPr>
          <w:rFonts w:ascii="Times New Roman;serif" w:hAnsi="Times New Roman;serif"/>
          <w:b w:val="false"/>
          <w:sz w:val="22"/>
        </w:rPr>
        <w:t>: Sublessee shall have access to the Subleased Premises twenty-four (24) hours a day, seven (7) days a week to the extent Sublessor is permitted such access under the Master Lease to the Premises.</w:t>
      </w:r>
    </w:p>
    <w:p>
      <w:pPr>
        <w:pStyle w:val="TextBody"/>
        <w:spacing w:before="120" w:after="0"/>
        <w:jc w:val="left"/>
        <w:rPr>
          <w:rFonts w:ascii="Times New Roman" w:hAnsi="Times New Roman"/>
          <w:b w:val="false"/>
          <w:sz w:val="22"/>
        </w:rPr>
      </w:pPr>
      <w:r>
        <w:rPr>
          <w:rFonts w:ascii="Times New Roman" w:hAnsi="Times New Roman"/>
          <w:b w:val="false"/>
          <w:sz w:val="22"/>
        </w:rPr>
        <w:t>26.</w:t>
      </w:r>
    </w:p>
    <w:p>
      <w:pPr>
        <w:pStyle w:val="TextBody"/>
        <w:spacing w:before="120" w:after="283"/>
        <w:jc w:val="left"/>
        <w:rPr/>
      </w:pPr>
      <w:r>
        <w:rPr>
          <w:rFonts w:ascii="Times New Roman;serif" w:hAnsi="Times New Roman;serif"/>
          <w:b/>
          <w:sz w:val="22"/>
          <w:u w:val="single"/>
        </w:rPr>
        <w:t>Confidentiality</w:t>
      </w:r>
      <w:r>
        <w:rPr>
          <w:rFonts w:ascii="Times New Roman;serif" w:hAnsi="Times New Roman;serif"/>
          <w:b/>
          <w:sz w:val="22"/>
        </w:rPr>
        <w:t>:</w:t>
      </w:r>
      <w:r>
        <w:rPr/>
        <w:t xml:space="preserve"> </w:t>
      </w:r>
      <w:r>
        <w:rPr>
          <w:rFonts w:ascii="Times New Roman;serif" w:hAnsi="Times New Roman;serif"/>
          <w:b w:val="false"/>
          <w:sz w:val="22"/>
        </w:rPr>
        <w:t>Sublessor and Sublessee agree that the terms and conditions of this Sublease are sensitive and confidential information of the parties and agree not to disclose any terms of the Sublease or any information related to the Sublease to any third party unless both parties have agreed to such disclosure, if required by laws and regulations, any judicial proceeding and/or if such disclosure is required for the performance of the obligations of a party under this Sublease; provided, that, both parties may disclose this Sublease to its agents, employees, contractors, brokers, financial advisors and actual and potential lenders, investors, subtenants, sub-subtenants, assignees and purchasers.</w:t>
      </w:r>
    </w:p>
    <w:p>
      <w:pPr>
        <w:pStyle w:val="TextBody"/>
        <w:spacing w:before="120" w:after="0"/>
        <w:jc w:val="left"/>
        <w:rPr>
          <w:rFonts w:ascii="Times New Roman" w:hAnsi="Times New Roman"/>
          <w:sz w:val="20"/>
        </w:rPr>
      </w:pPr>
      <w:r>
        <w:rPr>
          <w:rFonts w:ascii="Times New Roman;serif" w:hAnsi="Times New Roman;serif"/>
          <w:b/>
          <w:sz w:val="22"/>
        </w:rPr>
        <w:br/>
      </w:r>
      <w:r>
        <w:rPr>
          <w:rFonts w:ascii="Times New Roman" w:hAnsi="Times New Roman"/>
          <w:sz w:val="20"/>
        </w:rPr>
        <w:t> </w:t>
      </w:r>
    </w:p>
    <w:p>
      <w:pPr>
        <w:pStyle w:val="TextBody"/>
        <w:spacing w:before="0" w:after="0"/>
        <w:jc w:val="left"/>
        <w:rPr/>
      </w:pPr>
      <w:r>
        <w:rPr/>
        <w:t>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sz w:val="22"/>
        </w:rPr>
        <w:t>IN WITNESS WHEREOF</w:t>
      </w:r>
      <w:r>
        <w:rPr>
          <w:rFonts w:ascii="Times New Roman;serif" w:hAnsi="Times New Roman;serif"/>
          <w:b w:val="false"/>
          <w:sz w:val="22"/>
        </w:rPr>
        <w:t>, the parties have executed this Sublease as of the day and year first above written.</w:t>
      </w:r>
    </w:p>
    <w:tbl>
      <w:tblPr>
        <w:tblW w:w="7975" w:type="dxa"/>
        <w:jc w:val="left"/>
        <w:tblInd w:w="0" w:type="dxa"/>
        <w:tblCellMar>
          <w:top w:w="28" w:type="dxa"/>
          <w:left w:w="28" w:type="dxa"/>
          <w:bottom w:w="28" w:type="dxa"/>
          <w:right w:w="28" w:type="dxa"/>
        </w:tblCellMar>
      </w:tblPr>
      <w:tblGrid>
        <w:gridCol w:w="1007"/>
        <w:gridCol w:w="2728"/>
        <w:gridCol w:w="1536"/>
        <w:gridCol w:w="1147"/>
        <w:gridCol w:w="1148"/>
        <w:gridCol w:w="255"/>
        <w:gridCol w:w="154"/>
      </w:tblGrid>
      <w:tr>
        <w:trPr/>
        <w:tc>
          <w:tcPr>
            <w:tcW w:w="1007" w:type="dxa"/>
            <w:tcBorders/>
            <w:shd w:fill="auto" w:val="clear"/>
            <w:vAlign w:val="center"/>
          </w:tcPr>
          <w:p>
            <w:pPr>
              <w:pStyle w:val="TableContents"/>
              <w:spacing w:before="0" w:after="283"/>
              <w:rPr>
                <w:sz w:val="4"/>
                <w:szCs w:val="4"/>
              </w:rPr>
            </w:pPr>
            <w:r>
              <w:rPr>
                <w:sz w:val="4"/>
                <w:szCs w:val="4"/>
              </w:rPr>
            </w:r>
          </w:p>
        </w:tc>
        <w:tc>
          <w:tcPr>
            <w:tcW w:w="2728"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2"/>
            <w:tcBorders/>
            <w:shd w:fill="auto" w:val="clear"/>
            <w:vAlign w:val="center"/>
          </w:tcPr>
          <w:p>
            <w:pPr>
              <w:pStyle w:val="TableContents"/>
              <w:spacing w:before="120" w:after="0"/>
              <w:ind w:left="0" w:right="0" w:hanging="0"/>
              <w:jc w:val="left"/>
              <w:rPr>
                <w:rFonts w:ascii="Times New Roman;serif" w:hAnsi="Times New Roman;serif"/>
                <w:b/>
                <w:sz w:val="22"/>
              </w:rPr>
            </w:pPr>
            <w:r>
              <w:rPr>
                <w:rFonts w:ascii="Times New Roman;serif" w:hAnsi="Times New Roman;serif"/>
                <w:b/>
                <w:sz w:val="22"/>
              </w:rPr>
              <w:t>SUBLESSOR:</w:t>
            </w:r>
          </w:p>
        </w:tc>
        <w:tc>
          <w:tcPr>
            <w:tcW w:w="4086" w:type="dxa"/>
            <w:gridSpan w:val="4"/>
            <w:tcBorders/>
            <w:shd w:fill="auto" w:val="clear"/>
            <w:vAlign w:val="center"/>
          </w:tcPr>
          <w:p>
            <w:pPr>
              <w:pStyle w:val="TableContents"/>
              <w:spacing w:before="120" w:after="0"/>
              <w:ind w:left="0" w:right="0" w:hanging="0"/>
              <w:jc w:val="left"/>
              <w:rPr>
                <w:rFonts w:ascii="Times New Roman;serif" w:hAnsi="Times New Roman;serif"/>
                <w:b/>
                <w:sz w:val="22"/>
              </w:rPr>
            </w:pPr>
            <w:r>
              <w:rPr>
                <w:rFonts w:ascii="Times New Roman;serif" w:hAnsi="Times New Roman;serif"/>
                <w:b/>
                <w:sz w:val="22"/>
              </w:rPr>
              <w:t>SUBLESSEE:</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3735" w:type="dxa"/>
            <w:gridSpan w:val="2"/>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CYTOMX THERAPEUTICS, INC.,</w:t>
            </w:r>
          </w:p>
        </w:tc>
        <w:tc>
          <w:tcPr>
            <w:tcW w:w="4086" w:type="dxa"/>
            <w:gridSpan w:val="4"/>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ATOMIC AI, INC.</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3735" w:type="dxa"/>
            <w:gridSpan w:val="2"/>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a Delaware corporation</w:t>
            </w:r>
          </w:p>
        </w:tc>
        <w:tc>
          <w:tcPr>
            <w:tcW w:w="4086" w:type="dxa"/>
            <w:gridSpan w:val="4"/>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a Delaware corporation</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1007" w:type="dxa"/>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2728" w:type="dxa"/>
            <w:tcBorders>
              <w:bottom w:val="single" w:sz="8" w:space="0" w:color="000000"/>
            </w:tcBorders>
            <w:shd w:fill="auto" w:val="clear"/>
            <w:tcMar>
              <w:top w:w="0" w:type="dxa"/>
              <w:left w:w="0" w:type="dxa"/>
              <w:right w:w="0" w:type="dxa"/>
            </w:tcM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/s/ Lloyd Rowland</w:t>
            </w:r>
          </w:p>
        </w:tc>
        <w:tc>
          <w:tcPr>
            <w:tcW w:w="1536" w:type="dxa"/>
            <w:tcBorders>
              <w:bottom w:val="single" w:sz="8" w:space="0" w:color="000000"/>
            </w:tcBorders>
            <w:shd w:fill="auto" w:val="clear"/>
            <w:tcMar>
              <w:top w:w="0" w:type="dxa"/>
              <w:left w:w="0" w:type="dxa"/>
              <w:right w:w="0" w:type="dxa"/>
            </w:tcM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2295" w:type="dxa"/>
            <w:gridSpan w:val="2"/>
            <w:tcBorders>
              <w:bottom w:val="single" w:sz="8" w:space="0" w:color="000000"/>
            </w:tcBorders>
            <w:shd w:fill="auto" w:val="clear"/>
            <w:tcMar>
              <w:top w:w="0" w:type="dxa"/>
              <w:left w:w="0" w:type="dxa"/>
              <w:right w:w="0" w:type="dxa"/>
            </w:tcM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/s/ Raphael Townshend</w:t>
            </w:r>
          </w:p>
        </w:tc>
        <w:tc>
          <w:tcPr>
            <w:tcW w:w="255"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1007" w:type="dxa"/>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2728" w:type="dxa"/>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:Lloyd Rowland</w:t>
            </w:r>
          </w:p>
        </w:tc>
        <w:tc>
          <w:tcPr>
            <w:tcW w:w="1536" w:type="dxa"/>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2295" w:type="dxa"/>
            <w:gridSpan w:val="2"/>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Raphael Townshend</w:t>
            </w:r>
          </w:p>
        </w:tc>
        <w:tc>
          <w:tcPr>
            <w:tcW w:w="255"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1007" w:type="dxa"/>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Its:</w:t>
            </w:r>
          </w:p>
        </w:tc>
        <w:tc>
          <w:tcPr>
            <w:tcW w:w="2728" w:type="dxa"/>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General Counsel</w:t>
            </w:r>
          </w:p>
        </w:tc>
        <w:tc>
          <w:tcPr>
            <w:tcW w:w="1536" w:type="dxa"/>
            <w:tcBorders/>
            <w:shd w:fill="auto" w:val="cle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Its:</w:t>
            </w:r>
            <w:r>
              <w:rPr>
                <w:rFonts w:ascii="Times New Roman" w:hAnsi="Times New Roman"/>
                <w:sz w:val="22"/>
              </w:rPr>
              <w:t xml:space="preserve"> </w:t>
            </w:r>
          </w:p>
        </w:tc>
        <w:tc>
          <w:tcPr>
            <w:tcW w:w="2295" w:type="dxa"/>
            <w:gridSpan w:val="2"/>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CEO</w:t>
            </w:r>
          </w:p>
        </w:tc>
        <w:tc>
          <w:tcPr>
            <w:tcW w:w="255"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3735" w:type="dxa"/>
            <w:gridSpan w:val="2"/>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Address for Notices:</w:t>
            </w:r>
          </w:p>
        </w:tc>
        <w:tc>
          <w:tcPr>
            <w:tcW w:w="4086" w:type="dxa"/>
            <w:gridSpan w:val="4"/>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Address for Notices:</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3735" w:type="dxa"/>
            <w:gridSpan w:val="2"/>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151 Oyster Point Boulevard, Suite 400</w:t>
            </w:r>
          </w:p>
        </w:tc>
        <w:tc>
          <w:tcPr>
            <w:tcW w:w="4086" w:type="dxa"/>
            <w:gridSpan w:val="4"/>
            <w:tcBorders/>
            <w:shd w:fill="auto" w:val="clear"/>
            <w:vAlign w:val="center"/>
          </w:tcPr>
          <w:p>
            <w:pPr>
              <w:pStyle w:val="TableContents"/>
              <w:spacing w:before="120" w:after="0"/>
              <w:ind w:left="0" w:right="0" w:hanging="0"/>
              <w:jc w:val="left"/>
              <w:rPr>
                <w:rFonts w:ascii="Times New Roman" w:hAnsi="Times New Roman"/>
                <w:sz w:val="22"/>
              </w:rPr>
            </w:pPr>
            <w:r>
              <w:rPr>
                <w:rFonts w:ascii="Times New Roman;serif" w:hAnsi="Times New Roman;serif"/>
                <w:b w:val="false"/>
                <w:sz w:val="22"/>
              </w:rPr>
              <w:t>329 Oyster Point Boulevard, 3</w:t>
            </w:r>
            <w:r>
              <w:rPr>
                <w:rFonts w:ascii="Times New Roman;serif" w:hAnsi="Times New Roman;serif"/>
                <w:b w:val="false"/>
                <w:sz w:val="15"/>
              </w:rPr>
              <w:t>rd</w:t>
            </w:r>
            <w:r>
              <w:rPr>
                <w:rFonts w:ascii="Times New Roman" w:hAnsi="Times New Roman"/>
                <w:sz w:val="22"/>
              </w:rPr>
              <w:t> </w:t>
            </w:r>
            <w:r>
              <w:rPr>
                <w:rFonts w:ascii="Times New Roman;serif" w:hAnsi="Times New Roman;serif"/>
                <w:b w:val="false"/>
                <w:sz w:val="22"/>
              </w:rPr>
              <w:t>floor</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3735" w:type="dxa"/>
            <w:gridSpan w:val="2"/>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South San Francisco, California 94080</w:t>
            </w:r>
          </w:p>
        </w:tc>
        <w:tc>
          <w:tcPr>
            <w:tcW w:w="4086" w:type="dxa"/>
            <w:gridSpan w:val="4"/>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South San Francisco, California 94080</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3735" w:type="dxa"/>
            <w:gridSpan w:val="2"/>
            <w:vMerge w:val="restart"/>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Attention: General Counsel</w:t>
            </w:r>
          </w:p>
        </w:tc>
        <w:tc>
          <w:tcPr>
            <w:tcW w:w="4086" w:type="dxa"/>
            <w:gridSpan w:val="4"/>
            <w:tcBorders/>
            <w:shd w:fill="auto" w:val="clear"/>
            <w:vAlign w:val="center"/>
          </w:tcPr>
          <w:p>
            <w:pPr>
              <w:pStyle w:val="TableContents"/>
              <w:spacing w:before="120" w:after="0"/>
              <w:ind w:left="0" w:right="0" w:hanging="0"/>
              <w:jc w:val="left"/>
              <w:rPr>
                <w:rFonts w:ascii="Times New Roman;serif" w:hAnsi="Times New Roman;serif"/>
                <w:b w:val="false"/>
                <w:sz w:val="22"/>
              </w:rPr>
            </w:pPr>
            <w:r>
              <w:rPr>
                <w:rFonts w:ascii="Times New Roman;serif" w:hAnsi="Times New Roman;serif"/>
                <w:b w:val="false"/>
                <w:sz w:val="22"/>
              </w:rPr>
              <w:t>Attention: Raphael Townshend</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3735" w:type="dxa"/>
            <w:gridSpan w:val="2"/>
            <w:vMerge w:val="continue"/>
            <w:tcBorders/>
            <w:shd w:fill="auto" w:val="clear"/>
            <w:vAlign w:val="center"/>
          </w:tcPr>
          <w:p>
            <w:pPr>
              <w:pStyle w:val="Normal"/>
              <w:rPr/>
            </w:pPr>
            <w:r>
              <w:rPr/>
            </w:r>
          </w:p>
        </w:tc>
        <w:tc>
          <w:tcPr>
            <w:tcW w:w="2683"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03" w:type="dxa"/>
            <w:gridSpan w:val="2"/>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bl>
    <w:p>
      <w:pPr>
        <w:pStyle w:val="TextBody"/>
        <w:spacing w:before="120" w:after="0"/>
        <w:jc w:val="left"/>
        <w:rPr>
          <w:rFonts w:ascii="Times New Roman;serif" w:hAnsi="Times New Roman;serif"/>
          <w:b w:val="false"/>
          <w:sz w:val="22"/>
        </w:rPr>
      </w:pPr>
      <w:r>
        <w:rPr>
          <w:rFonts w:ascii="Times New Roman;serif" w:hAnsi="Times New Roman;serif"/>
          <w:b w:val="false"/>
          <w:sz w:val="22"/>
        </w:rPr>
        <w:t>Address for Payments: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151 Oyster Point Boulevard</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South San Francisco, California 94080</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Attention: Accounts Receivable</w:t>
      </w:r>
    </w:p>
    <w:p>
      <w:pPr>
        <w:pStyle w:val="TextBody"/>
        <w:spacing w:before="0" w:after="0"/>
        <w:jc w:val="left"/>
        <w:rPr/>
      </w:pPr>
      <w:r>
        <w:rPr/>
        <w:t>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2"/>
        </w:rPr>
        <w:br/>
      </w:r>
      <w:r>
        <w:rPr>
          <w:rFonts w:ascii="Times New Roman" w:hAnsi="Times New Roman"/>
          <w:sz w:val="20"/>
        </w:rPr>
        <w:t> </w:t>
      </w:r>
    </w:p>
    <w:p>
      <w:pPr>
        <w:pStyle w:val="TextBody"/>
        <w:spacing w:before="120" w:after="0"/>
        <w:jc w:val="center"/>
        <w:rPr>
          <w:rFonts w:ascii="Times New Roman;serif" w:hAnsi="Times New Roman;serif"/>
          <w:b/>
          <w:sz w:val="22"/>
          <w:u w:val="single"/>
        </w:rPr>
      </w:pPr>
      <w:r>
        <w:rPr>
          <w:rFonts w:ascii="Times New Roman;serif" w:hAnsi="Times New Roman;serif"/>
          <w:b/>
          <w:sz w:val="22"/>
          <w:u w:val="single"/>
        </w:rPr>
        <w:t>EXHIBIT A</w:t>
      </w:r>
    </w:p>
    <w:p>
      <w:pPr>
        <w:pStyle w:val="TextBody"/>
        <w:spacing w:before="120" w:after="0"/>
        <w:jc w:val="center"/>
        <w:rPr>
          <w:rFonts w:ascii="Times New Roman;serif" w:hAnsi="Times New Roman;serif"/>
          <w:b/>
          <w:sz w:val="22"/>
        </w:rPr>
      </w:pPr>
      <w:r>
        <w:rPr>
          <w:rFonts w:ascii="Times New Roman;serif" w:hAnsi="Times New Roman;serif"/>
          <w:b/>
          <w:sz w:val="22"/>
        </w:rPr>
        <w:t>Master Lease</w:t>
      </w:r>
    </w:p>
    <w:p>
      <w:pPr>
        <w:pStyle w:val="TextBody"/>
        <w:spacing w:before="120" w:after="0"/>
        <w:jc w:val="left"/>
        <w:rPr>
          <w:rFonts w:ascii="Times New Roman" w:hAnsi="Times New Roman"/>
          <w:sz w:val="20"/>
        </w:rPr>
      </w:pPr>
      <w:r>
        <w:rPr>
          <w:rFonts w:ascii="Times New Roman;serif" w:hAnsi="Times New Roman;serif"/>
          <w:b w:val="false"/>
          <w:sz w:val="22"/>
        </w:rPr>
        <w:br/>
      </w:r>
      <w:r>
        <w:rPr>
          <w:rFonts w:ascii="Times New Roman" w:hAnsi="Times New Roman"/>
          <w:sz w:val="20"/>
        </w:rPr>
        <w:t> </w:t>
      </w:r>
    </w:p>
    <w:p>
      <w:pPr>
        <w:pStyle w:val="TextBody"/>
        <w:spacing w:before="0" w:after="0"/>
        <w:jc w:val="left"/>
        <w:rPr/>
      </w:pPr>
      <w:r>
        <w:rPr/>
        <w:t> </w:t>
      </w:r>
    </w:p>
    <w:p>
      <w:pPr>
        <w:pStyle w:val="HorizontalLine"/>
        <w:rPr/>
      </w:pPr>
      <w:r>
        <w:rPr/>
      </w:r>
    </w:p>
    <w:p>
      <w:pPr>
        <w:pStyle w:val="TextBody"/>
        <w:spacing w:before="120" w:after="0"/>
        <w:jc w:val="center"/>
        <w:rPr>
          <w:rFonts w:ascii="Times New Roman;serif" w:hAnsi="Times New Roman;serif"/>
          <w:b/>
          <w:sz w:val="22"/>
          <w:u w:val="single"/>
        </w:rPr>
      </w:pPr>
      <w:r>
        <w:rPr>
          <w:rFonts w:ascii="Times New Roman;serif" w:hAnsi="Times New Roman;serif"/>
          <w:b/>
          <w:sz w:val="22"/>
          <w:u w:val="single"/>
        </w:rPr>
        <w:t>EXHIBIT B</w:t>
      </w:r>
    </w:p>
    <w:p>
      <w:pPr>
        <w:pStyle w:val="TextBody"/>
        <w:spacing w:before="120" w:after="0"/>
        <w:jc w:val="center"/>
        <w:rPr>
          <w:rFonts w:ascii="Times New Roman;serif" w:hAnsi="Times New Roman;serif"/>
          <w:b/>
          <w:sz w:val="22"/>
        </w:rPr>
      </w:pPr>
      <w:r>
        <w:rPr>
          <w:rFonts w:ascii="Times New Roman;serif" w:hAnsi="Times New Roman;serif"/>
          <w:b/>
          <w:sz w:val="22"/>
        </w:rPr>
        <w:t>Floor Plan</w:t>
      </w:r>
    </w:p>
    <w:p>
      <w:pPr>
        <w:pStyle w:val="TextBody"/>
        <w:spacing w:before="120" w:after="0"/>
        <w:jc w:val="center"/>
        <w:rPr>
          <w:rFonts w:ascii="Times New Roman;serif" w:hAnsi="Times New Roman;serif"/>
          <w:b w:val="false"/>
          <w:sz w:val="22"/>
        </w:rPr>
      </w:pPr>
      <w:r>
        <w:rPr>
          <w:rFonts w:ascii="Times New Roman;serif" w:hAnsi="Times New Roman;serif"/>
          <w:b w:val="false"/>
          <w:sz w:val="22"/>
        </w:rPr>
        <w:t>[See attached]</w:t>
      </w:r>
    </w:p>
    <w:p>
      <w:pPr>
        <w:pStyle w:val="TextBody"/>
        <w:spacing w:before="120" w:after="0"/>
        <w:jc w:val="left"/>
        <w:rPr/>
      </w:pPr>
      <w:r>
        <w:rPr/>
        <w:t> </w:t>
      </w:r>
    </w:p>
    <w:p>
      <w:pPr>
        <w:pStyle w:val="HorizontalLine"/>
        <w:rPr/>
      </w:pPr>
      <w:r>
        <w:rPr/>
      </w:r>
    </w:p>
    <w:p>
      <w:pPr>
        <w:pStyle w:val="TextBody"/>
        <w:spacing w:before="120" w:after="0"/>
        <w:jc w:val="left"/>
        <w:rPr/>
      </w:pPr>
      <w:r>
        <w:rPr/>
        <w:drawing>
          <wp:inline distT="0" distB="0" distL="0" distR="0">
            <wp:extent cx="6181725" cy="854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6181725" cy="8543925"/>
                    </a:xfrm>
                    <a:prstGeom prst="rect">
                      <a:avLst/>
                    </a:prstGeom>
                  </pic:spPr>
                </pic:pic>
              </a:graphicData>
            </a:graphic>
          </wp:inline>
        </w:drawing>
      </w:r>
      <w:r>
        <w:rPr/>
        <w:t> </w:t>
      </w:r>
    </w:p>
    <w:p>
      <w:pPr>
        <w:pStyle w:val="TextBody"/>
        <w:spacing w:before="120" w:after="0"/>
        <w:jc w:val="left"/>
        <w:rPr/>
      </w:pPr>
      <w:r>
        <w:rPr/>
        <w:t> </w:t>
      </w:r>
    </w:p>
    <w:p>
      <w:pPr>
        <w:pStyle w:val="TextBody"/>
        <w:spacing w:before="120" w:after="0"/>
        <w:jc w:val="left"/>
        <w:rPr/>
      </w:pPr>
      <w:r>
        <w:rPr/>
        <w:t> </w:t>
      </w:r>
    </w:p>
    <w:p>
      <w:pPr>
        <w:pStyle w:val="HorizontalLine"/>
        <w:rPr/>
      </w:pPr>
      <w:r>
        <w:rPr/>
      </w:r>
    </w:p>
    <w:p>
      <w:pPr>
        <w:pStyle w:val="TextBody"/>
        <w:spacing w:before="120" w:after="0"/>
        <w:jc w:val="left"/>
        <w:rPr/>
      </w:pPr>
      <w:r>
        <w:rPr/>
        <w:t> </w:t>
      </w:r>
    </w:p>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120" w:after="0"/>
        <w:jc w:val="center"/>
        <w:rPr>
          <w:rFonts w:ascii="Times New Roman;serif" w:hAnsi="Times New Roman;serif"/>
          <w:b/>
          <w:sz w:val="22"/>
          <w:u w:val="single"/>
        </w:rPr>
      </w:pPr>
      <w:r>
        <w:rPr>
          <w:rFonts w:ascii="Times New Roman;serif" w:hAnsi="Times New Roman;serif"/>
          <w:b/>
          <w:sz w:val="22"/>
          <w:u w:val="single"/>
        </w:rPr>
        <w:t>EXHIBIT C</w:t>
      </w:r>
    </w:p>
    <w:p>
      <w:pPr>
        <w:pStyle w:val="TextBody"/>
        <w:spacing w:before="120" w:after="0"/>
        <w:jc w:val="center"/>
        <w:rPr/>
      </w:pPr>
      <w:r>
        <w:rPr/>
        <w:t> </w:t>
      </w:r>
    </w:p>
    <w:p>
      <w:pPr>
        <w:pStyle w:val="TextBody"/>
        <w:spacing w:before="120" w:after="0"/>
        <w:jc w:val="left"/>
        <w:rPr>
          <w:rFonts w:ascii="Times New Roman" w:hAnsi="Times New Roman"/>
          <w:b/>
          <w:sz w:val="22"/>
          <w:u w:val="single"/>
        </w:rPr>
      </w:pPr>
      <w:r>
        <w:rPr>
          <w:rFonts w:ascii="Times New Roman" w:hAnsi="Times New Roman"/>
          <w:b/>
          <w:sz w:val="22"/>
          <w:u w:val="single"/>
        </w:rPr>
        <w:t>I.</w:t>
      </w:r>
    </w:p>
    <w:p>
      <w:pPr>
        <w:pStyle w:val="TextBody"/>
        <w:spacing w:before="120" w:after="283"/>
        <w:jc w:val="left"/>
        <w:rPr>
          <w:rFonts w:ascii="Times New Roman;serif" w:hAnsi="Times New Roman;serif"/>
          <w:b/>
          <w:sz w:val="22"/>
          <w:u w:val="single"/>
        </w:rPr>
      </w:pPr>
      <w:r>
        <w:rPr>
          <w:rFonts w:ascii="Times New Roman;serif" w:hAnsi="Times New Roman;serif"/>
          <w:b/>
          <w:sz w:val="22"/>
          <w:u w:val="single"/>
        </w:rPr>
        <w:t>Furniture and Equipment Provided at No Additional Cost</w:t>
      </w:r>
    </w:p>
    <w:p>
      <w:pPr>
        <w:pStyle w:val="TextBody"/>
        <w:spacing w:before="120" w:after="0"/>
        <w:jc w:val="left"/>
        <w:rPr>
          <w:rFonts w:ascii="Times New Roman;serif" w:hAnsi="Times New Roman;serif"/>
          <w:b/>
          <w:sz w:val="22"/>
        </w:rPr>
      </w:pPr>
      <w:r>
        <w:rPr>
          <w:rFonts w:ascii="Times New Roman;serif" w:hAnsi="Times New Roman;serif"/>
          <w:b/>
          <w:sz w:val="22"/>
        </w:rPr>
        <w:t>Office Furniture</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68 standing desks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107 office chairs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4 small circle office tables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3 long conference tables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78 under desk filing cabinets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6 tall filing cabinets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5 large filing drawers</w:t>
      </w:r>
    </w:p>
    <w:p>
      <w:pPr>
        <w:pStyle w:val="TextBody"/>
        <w:spacing w:before="120" w:after="0"/>
        <w:jc w:val="left"/>
        <w:rPr>
          <w:rFonts w:ascii="Times New Roman;serif" w:hAnsi="Times New Roman;serif"/>
          <w:b/>
          <w:sz w:val="22"/>
        </w:rPr>
      </w:pPr>
      <w:r>
        <w:rPr>
          <w:rFonts w:ascii="Times New Roman;serif" w:hAnsi="Times New Roman;serif"/>
          <w:b/>
          <w:sz w:val="22"/>
        </w:rPr>
        <w:t>Lab Furniture/Equipment</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1 Ice Maker Machine</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1 Flammables Cabinet</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1 -20 freezer</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2 -30 freezers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2 4c deli fridge</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1 large portable incubator</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1 water bath</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2 Fume Hoods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9 lab tables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21 lab stools</w:t>
      </w:r>
    </w:p>
    <w:p>
      <w:pPr>
        <w:pStyle w:val="TextBody"/>
        <w:spacing w:before="120" w:after="0"/>
        <w:jc w:val="left"/>
        <w:rPr>
          <w:rFonts w:ascii="Times New Roman;serif" w:hAnsi="Times New Roman;serif"/>
          <w:b/>
          <w:sz w:val="22"/>
        </w:rPr>
      </w:pPr>
      <w:r>
        <w:rPr>
          <w:rFonts w:ascii="Times New Roman;serif" w:hAnsi="Times New Roman;serif"/>
          <w:b/>
          <w:sz w:val="22"/>
        </w:rPr>
        <w:t>Yosemite</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3 large TV</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Intel NUC PC (GPU enhanced)</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DSP</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iPad (Room controller)</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iPad (Room scheduler)</w:t>
      </w:r>
    </w:p>
    <w:p>
      <w:pPr>
        <w:pStyle w:val="TextBody"/>
        <w:spacing w:before="120" w:after="0"/>
        <w:jc w:val="left"/>
        <w:rPr>
          <w:rFonts w:ascii="Times New Roman;serif" w:hAnsi="Times New Roman;serif"/>
          <w:b/>
          <w:sz w:val="22"/>
        </w:rPr>
      </w:pPr>
      <w:r>
        <w:rPr>
          <w:rFonts w:ascii="Times New Roman;serif" w:hAnsi="Times New Roman;serif"/>
          <w:b/>
          <w:sz w:val="22"/>
        </w:rPr>
        <w:t>Joshua Tree</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1 large TV</w:t>
      </w:r>
    </w:p>
    <w:p>
      <w:pPr>
        <w:pStyle w:val="HorizontalLine"/>
        <w:rPr/>
      </w:pPr>
      <w:r>
        <w:rPr/>
      </w:r>
    </w:p>
    <w:p>
      <w:pPr>
        <w:pStyle w:val="TextBody"/>
        <w:spacing w:before="120" w:after="0"/>
        <w:jc w:val="left"/>
        <w:rPr>
          <w:rFonts w:ascii="Times New Roman;serif" w:hAnsi="Times New Roman;serif"/>
          <w:b w:val="false"/>
          <w:sz w:val="22"/>
        </w:rPr>
      </w:pPr>
      <w:r>
        <w:rPr>
          <w:rFonts w:ascii="Times New Roman;serif" w:hAnsi="Times New Roman;serif"/>
          <w:b w:val="false"/>
          <w:sz w:val="22"/>
        </w:rPr>
        <w:t>Intel NUC PC</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iPad (Room controller)</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iPad (Room scheduler)</w:t>
      </w:r>
    </w:p>
    <w:p>
      <w:pPr>
        <w:pStyle w:val="TextBody"/>
        <w:spacing w:before="120" w:after="0"/>
        <w:jc w:val="left"/>
        <w:rPr>
          <w:rFonts w:ascii="Times New Roman;serif" w:hAnsi="Times New Roman;serif"/>
          <w:b/>
          <w:sz w:val="22"/>
        </w:rPr>
      </w:pPr>
      <w:r>
        <w:rPr>
          <w:rFonts w:ascii="Times New Roman;serif" w:hAnsi="Times New Roman;serif"/>
          <w:b/>
          <w:sz w:val="22"/>
        </w:rPr>
        <w:t>IP Room</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1 large TV</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Intel NUC PC</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iPad (Room controller)</w:t>
      </w:r>
    </w:p>
    <w:p>
      <w:pPr>
        <w:pStyle w:val="TextBody"/>
        <w:spacing w:before="120" w:after="0"/>
        <w:jc w:val="left"/>
        <w:rPr>
          <w:rFonts w:ascii="Times New Roman;serif" w:hAnsi="Times New Roman;serif"/>
          <w:b/>
          <w:sz w:val="22"/>
        </w:rPr>
      </w:pPr>
      <w:r>
        <w:rPr>
          <w:rFonts w:ascii="Times New Roman;serif" w:hAnsi="Times New Roman;serif"/>
          <w:b/>
          <w:sz w:val="22"/>
        </w:rPr>
        <w:t>Monitors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53</w:t>
      </w:r>
    </w:p>
    <w:p>
      <w:pPr>
        <w:pStyle w:val="TextBody"/>
        <w:spacing w:before="120" w:after="0"/>
        <w:jc w:val="left"/>
        <w:rPr>
          <w:rFonts w:ascii="Times New Roman;serif" w:hAnsi="Times New Roman;serif"/>
          <w:b/>
          <w:sz w:val="22"/>
        </w:rPr>
      </w:pPr>
      <w:r>
        <w:rPr>
          <w:rFonts w:ascii="Times New Roman;serif" w:hAnsi="Times New Roman;serif"/>
          <w:b/>
          <w:sz w:val="22"/>
        </w:rPr>
        <w:t>Desk monitor arms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46</w:t>
      </w:r>
    </w:p>
    <w:p>
      <w:pPr>
        <w:pStyle w:val="TextBody"/>
        <w:spacing w:before="120" w:after="0"/>
        <w:jc w:val="left"/>
        <w:rPr>
          <w:rFonts w:ascii="Times New Roman;serif" w:hAnsi="Times New Roman;serif"/>
          <w:b/>
          <w:sz w:val="22"/>
        </w:rPr>
      </w:pPr>
      <w:r>
        <w:rPr>
          <w:rFonts w:ascii="Times New Roman;serif" w:hAnsi="Times New Roman;serif"/>
          <w:b/>
          <w:sz w:val="22"/>
        </w:rPr>
        <w:t>Kitchen</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Large TV</w:t>
      </w:r>
    </w:p>
    <w:p>
      <w:pPr>
        <w:pStyle w:val="TextBody"/>
        <w:spacing w:before="120" w:after="0"/>
        <w:jc w:val="left"/>
        <w:rPr>
          <w:rFonts w:ascii="Times New Roman;serif" w:hAnsi="Times New Roman;serif"/>
          <w:b/>
          <w:sz w:val="22"/>
        </w:rPr>
      </w:pPr>
      <w:r>
        <w:rPr>
          <w:rFonts w:ascii="Times New Roman;serif" w:hAnsi="Times New Roman;serif"/>
          <w:b/>
          <w:sz w:val="22"/>
        </w:rPr>
        <w:t>The items in the IDF and in the ceiling grid are:</w:t>
      </w:r>
    </w:p>
    <w:p>
      <w:pPr>
        <w:pStyle w:val="TextBody"/>
        <w:spacing w:before="120" w:after="0"/>
        <w:jc w:val="left"/>
        <w:rPr/>
      </w:pPr>
      <w:r>
        <w:rPr/>
        <w:t>•</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9 Meraki MR53 wireless access points</w:t>
      </w:r>
    </w:p>
    <w:p>
      <w:pPr>
        <w:pStyle w:val="TextBody"/>
        <w:spacing w:before="120" w:after="0"/>
        <w:jc w:val="left"/>
        <w:rPr/>
      </w:pPr>
      <w:r>
        <w:rPr/>
        <w:t>•</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2 Meraki MS350-48FP 48 port network switches</w:t>
      </w:r>
    </w:p>
    <w:p>
      <w:pPr>
        <w:pStyle w:val="TextBody"/>
        <w:spacing w:before="120" w:after="0"/>
        <w:jc w:val="left"/>
        <w:rPr/>
      </w:pPr>
      <w:r>
        <w:rPr/>
        <w:t>•</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1 APC SRT3000RMXLT-NC UPS</w:t>
      </w:r>
    </w:p>
    <w:p>
      <w:pPr>
        <w:pStyle w:val="TextBody"/>
        <w:spacing w:before="120" w:after="0"/>
        <w:jc w:val="left"/>
        <w:rPr/>
      </w:pPr>
      <w:r>
        <w:rPr/>
        <w:t>•</w:t>
      </w:r>
    </w:p>
    <w:p>
      <w:pPr>
        <w:pStyle w:val="TextBody"/>
        <w:spacing w:before="120" w:after="283"/>
        <w:jc w:val="left"/>
        <w:rPr>
          <w:rFonts w:ascii="Times New Roman;serif" w:hAnsi="Times New Roman;serif"/>
          <w:b w:val="false"/>
          <w:sz w:val="22"/>
        </w:rPr>
      </w:pPr>
      <w:r>
        <w:rPr>
          <w:rFonts w:ascii="Times New Roman;serif" w:hAnsi="Times New Roman;serif"/>
          <w:b w:val="false"/>
          <w:sz w:val="22"/>
        </w:rPr>
        <w:t>2 APC AP8858NA3 PDUs</w:t>
      </w:r>
    </w:p>
    <w:p>
      <w:pPr>
        <w:pStyle w:val="TextBody"/>
        <w:spacing w:before="120" w:after="0"/>
        <w:jc w:val="left"/>
        <w:rPr>
          <w:rFonts w:ascii="Times New Roman;serif" w:hAnsi="Times New Roman;serif"/>
          <w:b w:val="false"/>
          <w:sz w:val="22"/>
        </w:rPr>
      </w:pPr>
      <w:r>
        <w:rPr>
          <w:rFonts w:ascii="Times New Roman;serif" w:hAnsi="Times New Roman;serif"/>
          <w:b w:val="false"/>
          <w:sz w:val="22"/>
        </w:rPr>
        <w:t>3 Chatsworth racks with cable management</w:t>
      </w:r>
    </w:p>
    <w:p>
      <w:pPr>
        <w:pStyle w:val="TextBody"/>
        <w:spacing w:before="12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0" w:after="0"/>
        <w:jc w:val="left"/>
        <w:rPr/>
      </w:pPr>
      <w:r>
        <w:rPr/>
        <w:t> </w:t>
      </w:r>
    </w:p>
    <w:p>
      <w:pPr>
        <w:pStyle w:val="HorizontalLine"/>
        <w:rPr/>
      </w:pPr>
      <w:r>
        <w:rPr/>
      </w:r>
    </w:p>
    <w:p>
      <w:pPr>
        <w:pStyle w:val="TextBody"/>
        <w:spacing w:before="120" w:after="0"/>
        <w:jc w:val="center"/>
        <w:rPr>
          <w:rFonts w:ascii="Times New Roman;serif" w:hAnsi="Times New Roman;serif"/>
          <w:b/>
          <w:sz w:val="22"/>
          <w:u w:val="single"/>
        </w:rPr>
      </w:pPr>
      <w:r>
        <w:rPr>
          <w:rFonts w:ascii="Times New Roman;serif" w:hAnsi="Times New Roman;serif"/>
          <w:b/>
          <w:sz w:val="22"/>
          <w:u w:val="single"/>
        </w:rPr>
        <w:t>EXHIBIT D</w:t>
      </w:r>
    </w:p>
    <w:p>
      <w:pPr>
        <w:pStyle w:val="TextBody"/>
        <w:spacing w:before="120" w:after="0"/>
        <w:jc w:val="center"/>
        <w:rPr>
          <w:rFonts w:ascii="Times New Roman;serif" w:hAnsi="Times New Roman;serif"/>
          <w:b/>
          <w:sz w:val="22"/>
        </w:rPr>
      </w:pPr>
      <w:r>
        <w:rPr>
          <w:rFonts w:ascii="Times New Roman;serif" w:hAnsi="Times New Roman;serif"/>
          <w:b/>
          <w:sz w:val="22"/>
        </w:rPr>
        <w:t>Environmental Questionnaire</w:t>
      </w:r>
    </w:p>
    <w:p>
      <w:pPr>
        <w:pStyle w:val="HorizontalLine"/>
        <w:rPr/>
      </w:pPr>
      <w:r>
        <w:rPr/>
      </w:r>
      <w:r>
        <w:br w:type="page"/>
      </w:r>
    </w:p>
    <w:p>
      <w:pPr>
        <w:pStyle w:val="TextBody"/>
        <w:spacing w:before="0" w:after="0"/>
        <w:jc w:val="left"/>
        <w:rPr/>
      </w:pPr>
      <w:bookmarkStart w:id="21" w:name="ctmx-ex31_1.htm"/>
      <w:bookmarkStart w:id="22" w:name="ksctmxex31_1"/>
      <w:bookmarkEnd w:id="21"/>
      <w:bookmarkEnd w:id="22"/>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CERTIFICATION OF THE CHIEF EXECUTIVE OFFICER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Sean A. McCarthy, Chief Executive Officer of CytomX Therapeutics, Inc.,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CytomX Therapeutics,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5065" w:type="dxa"/>
        <w:jc w:val="left"/>
        <w:tblInd w:w="0" w:type="dxa"/>
        <w:tblCellMar>
          <w:top w:w="28" w:type="dxa"/>
          <w:left w:w="28" w:type="dxa"/>
          <w:bottom w:w="28" w:type="dxa"/>
          <w:right w:w="28" w:type="dxa"/>
        </w:tblCellMar>
      </w:tblPr>
      <w:tblGrid>
        <w:gridCol w:w="1636"/>
        <w:gridCol w:w="146"/>
        <w:gridCol w:w="631"/>
        <w:gridCol w:w="2461"/>
        <w:gridCol w:w="19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Sean A. McCarthy</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4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Sean A. McCarthy, D. Phil.</w:t>
            </w:r>
          </w:p>
        </w:tc>
        <w:tc>
          <w:tcPr>
            <w:tcW w:w="191"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4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Executive Officer</w:t>
            </w:r>
          </w:p>
        </w:tc>
        <w:tc>
          <w:tcPr>
            <w:tcW w:w="191"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3" w:name="ctmx-ex31_2.htm"/>
      <w:bookmarkStart w:id="24" w:name="ksctmxex31_2"/>
      <w:bookmarkEnd w:id="23"/>
      <w:bookmarkEnd w:id="24"/>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CERTIFICATION OF THE PRINCIPAL FINANCIAL OFFICER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Christopher W. Ogden, Senior Vice President, Finance and Accounting of CytomX Therapeutics, Inc.,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CytomX Therapeutics,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6700" w:type="dxa"/>
        <w:jc w:val="left"/>
        <w:tblInd w:w="0" w:type="dxa"/>
        <w:tblCellMar>
          <w:top w:w="28" w:type="dxa"/>
          <w:left w:w="28" w:type="dxa"/>
          <w:bottom w:w="28" w:type="dxa"/>
          <w:right w:w="28" w:type="dxa"/>
        </w:tblCellMar>
      </w:tblPr>
      <w:tblGrid>
        <w:gridCol w:w="1636"/>
        <w:gridCol w:w="146"/>
        <w:gridCol w:w="631"/>
        <w:gridCol w:w="4096"/>
        <w:gridCol w:w="19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0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Christopher W. Ogden</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40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Christopher W. Ogden</w:t>
            </w:r>
          </w:p>
        </w:tc>
        <w:tc>
          <w:tcPr>
            <w:tcW w:w="191"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409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Senior Vice President, Finance and Accounting</w:t>
            </w:r>
            <w:r>
              <w:rPr>
                <w:rFonts w:ascii="Times New Roman" w:hAnsi="Times New Roman"/>
                <w:sz w:val="20"/>
              </w:rPr>
              <w:t xml:space="preserve"> </w:t>
            </w:r>
          </w:p>
        </w:tc>
        <w:tc>
          <w:tcPr>
            <w:tcW w:w="191"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409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Accounting Officer)</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5" w:name="ctmx-ex32_1.htm"/>
      <w:bookmarkStart w:id="26" w:name="ksctmxex32_1"/>
      <w:bookmarkEnd w:id="25"/>
      <w:bookmarkEnd w:id="26"/>
      <w:r>
        <w:rPr/>
        <w:t> </w:t>
      </w:r>
    </w:p>
    <w:p>
      <w:pPr>
        <w:pStyle w:val="TextBody"/>
        <w:spacing w:before="0" w:after="240"/>
        <w:jc w:val="right"/>
        <w:rPr>
          <w:rFonts w:ascii="Times New Roman;serif" w:hAnsi="Times New Roman;serif"/>
          <w:b/>
          <w:sz w:val="20"/>
        </w:rPr>
      </w:pPr>
      <w:r>
        <w:rPr>
          <w:rFonts w:ascii="Times New Roman;serif" w:hAnsi="Times New Roman;serif"/>
          <w:b/>
          <w:sz w:val="20"/>
        </w:rPr>
        <w:t>Exhibit 32.1</w:t>
      </w:r>
    </w:p>
    <w:p>
      <w:pPr>
        <w:pStyle w:val="TextBody"/>
        <w:spacing w:before="0" w:after="240"/>
        <w:jc w:val="center"/>
        <w:rPr>
          <w:rFonts w:ascii="Times New Roman;serif" w:hAnsi="Times New Roman;serif"/>
          <w:b/>
          <w:sz w:val="20"/>
        </w:rPr>
      </w:pPr>
      <w:r>
        <w:rPr>
          <w:rFonts w:ascii="Times New Roman;serif" w:hAnsi="Times New Roman;serif"/>
          <w:b/>
          <w:sz w:val="20"/>
        </w:rPr>
        <w:t>CERTIFICATION PURSUANT TO</w:t>
        <w:br/>
        <w:t>18 U.S.C. SECTION 1350,</w:t>
        <w:br/>
        <w:t>AS ADOPTED PURSUANT TO</w:t>
        <w:br/>
        <w:t>SECTION 906 OF THE SARBANES-OXLEY ACT OF 2002</w:t>
      </w:r>
    </w:p>
    <w:p>
      <w:pPr>
        <w:pStyle w:val="TextBody"/>
        <w:spacing w:before="0" w:after="0"/>
        <w:jc w:val="left"/>
        <w:rPr>
          <w:rFonts w:ascii="Times New Roman" w:hAnsi="Times New Roman"/>
          <w:sz w:val="20"/>
        </w:rPr>
      </w:pPr>
      <w:r>
        <w:rPr>
          <w:rFonts w:ascii="Times New Roman;serif" w:hAnsi="Times New Roman;serif"/>
          <w:b w:val="false"/>
          <w:sz w:val="20"/>
        </w:rPr>
        <w:t>In connection with the Quarterly Report of CytomX Therapeutics, Inc. (the “</w:t>
      </w:r>
      <w:r>
        <w:rPr>
          <w:rFonts w:ascii="Times New Roman;serif" w:hAnsi="Times New Roman;serif"/>
          <w:b w:val="false"/>
          <w:sz w:val="20"/>
          <w:u w:val="single"/>
        </w:rPr>
        <w:t>Company</w:t>
      </w:r>
      <w:r>
        <w:rPr>
          <w:rFonts w:ascii="Times New Roman" w:hAnsi="Times New Roman"/>
          <w:sz w:val="20"/>
        </w:rPr>
        <w:t>”</w:t>
      </w:r>
      <w:r>
        <w:rPr>
          <w:rFonts w:ascii="Times New Roman;serif" w:hAnsi="Times New Roman;serif"/>
          <w:b w:val="false"/>
          <w:sz w:val="20"/>
        </w:rPr>
        <w:t>) on Form 10-Q for the quarter ended March 31, 2023, as filed with the Securities and Exchange Commission on the date hereof (the “</w:t>
      </w:r>
      <w:r>
        <w:rPr>
          <w:rFonts w:ascii="Times New Roman;serif" w:hAnsi="Times New Roman;serif"/>
          <w:b w:val="false"/>
          <w:sz w:val="20"/>
          <w:u w:val="single"/>
        </w:rPr>
        <w:t>Report</w:t>
      </w:r>
      <w:r>
        <w:rPr>
          <w:rFonts w:ascii="Times New Roman" w:hAnsi="Times New Roman"/>
          <w:sz w:val="20"/>
        </w:rPr>
        <w:t>”</w:t>
      </w:r>
      <w:r>
        <w:rPr>
          <w:rFonts w:ascii="Times New Roman;serif" w:hAnsi="Times New Roman;serif"/>
          <w:b w:val="false"/>
          <w:sz w:val="20"/>
        </w:rPr>
        <w:t>), I, Sean A. McCarthy, Chief Executive Officer of the Company, certify, pursuant to 18 U.S.C. Section 1350, as adopted pursuant to Section 906 of the Sarbanes-Oxley Act of 2002 (the “</w:t>
      </w:r>
      <w:r>
        <w:rPr>
          <w:rFonts w:ascii="Times New Roman;serif" w:hAnsi="Times New Roman;serif"/>
          <w:b w:val="false"/>
          <w:sz w:val="20"/>
          <w:u w:val="single"/>
        </w:rPr>
        <w:t>Act</w:t>
      </w:r>
      <w:r>
        <w:rPr>
          <w:rFonts w:ascii="Times New Roman" w:hAnsi="Times New Roman"/>
          <w:sz w:val="20"/>
        </w:rPr>
        <w:t>”</w:t>
      </w:r>
      <w:r>
        <w:rPr>
          <w:rFonts w:ascii="Times New Roman;serif" w:hAnsi="Times New Roman;serif"/>
          <w:b w:val="false"/>
          <w:sz w:val="20"/>
        </w:rPr>
        <w:t>),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w:t>
      </w:r>
    </w:p>
    <w:p>
      <w:pPr>
        <w:pStyle w:val="TextBody"/>
        <w:spacing w:before="0" w:after="0"/>
        <w:jc w:val="left"/>
        <w:rPr/>
      </w:pPr>
      <w:r>
        <w:rPr/>
        <w:t> </w:t>
      </w:r>
    </w:p>
    <w:tbl>
      <w:tblPr>
        <w:tblW w:w="5065" w:type="dxa"/>
        <w:jc w:val="left"/>
        <w:tblInd w:w="0" w:type="dxa"/>
        <w:tblCellMar>
          <w:top w:w="28" w:type="dxa"/>
          <w:left w:w="28" w:type="dxa"/>
          <w:bottom w:w="28" w:type="dxa"/>
          <w:right w:w="28" w:type="dxa"/>
        </w:tblCellMar>
      </w:tblPr>
      <w:tblGrid>
        <w:gridCol w:w="1636"/>
        <w:gridCol w:w="146"/>
        <w:gridCol w:w="631"/>
        <w:gridCol w:w="2461"/>
        <w:gridCol w:w="19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6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Sean A. McCarthy</w:t>
            </w:r>
          </w:p>
        </w:tc>
        <w:tc>
          <w:tcPr>
            <w:tcW w:w="191"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4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Sean A. McCarthy, D. Phil.</w:t>
            </w:r>
          </w:p>
        </w:tc>
        <w:tc>
          <w:tcPr>
            <w:tcW w:w="1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4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Executive Officer</w:t>
            </w:r>
          </w:p>
        </w:tc>
        <w:tc>
          <w:tcPr>
            <w:tcW w:w="1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ctmx-ex32_2.htm"/>
      <w:bookmarkStart w:id="28" w:name="ksctmxex32_2"/>
      <w:bookmarkEnd w:id="27"/>
      <w:bookmarkEnd w:id="28"/>
      <w:r>
        <w:rPr/>
        <w:t> </w:t>
      </w:r>
    </w:p>
    <w:p>
      <w:pPr>
        <w:pStyle w:val="TextBody"/>
        <w:spacing w:before="0" w:after="240"/>
        <w:jc w:val="right"/>
        <w:rPr>
          <w:rFonts w:ascii="Times New Roman;serif" w:hAnsi="Times New Roman;serif"/>
          <w:b/>
          <w:sz w:val="20"/>
        </w:rPr>
      </w:pPr>
      <w:r>
        <w:rPr>
          <w:rFonts w:ascii="Times New Roman;serif" w:hAnsi="Times New Roman;serif"/>
          <w:b/>
          <w:sz w:val="20"/>
        </w:rPr>
        <w:t>Exhibit 32.2</w:t>
      </w:r>
    </w:p>
    <w:p>
      <w:pPr>
        <w:pStyle w:val="TextBody"/>
        <w:spacing w:before="0" w:after="240"/>
        <w:jc w:val="center"/>
        <w:rPr>
          <w:rFonts w:ascii="Times New Roman;serif" w:hAnsi="Times New Roman;serif"/>
          <w:b/>
          <w:sz w:val="20"/>
        </w:rPr>
      </w:pPr>
      <w:r>
        <w:rPr>
          <w:rFonts w:ascii="Times New Roman;serif" w:hAnsi="Times New Roman;serif"/>
          <w:b/>
          <w:sz w:val="20"/>
        </w:rPr>
        <w:t>CERTIFICATION PURSUANT TO</w:t>
        <w:br/>
        <w:t>18 U.S.C. SECTION 1350,</w:t>
        <w:br/>
        <w:t>AS ADOPTED PURSUANT TO</w:t>
        <w:br/>
        <w:t>SECTION 906 OF THE SARBANES-OXLEY ACT OF 2002</w:t>
      </w:r>
    </w:p>
    <w:p>
      <w:pPr>
        <w:pStyle w:val="TextBody"/>
        <w:spacing w:before="0" w:after="0"/>
        <w:jc w:val="left"/>
        <w:rPr>
          <w:rFonts w:ascii="Times New Roman" w:hAnsi="Times New Roman"/>
          <w:sz w:val="20"/>
        </w:rPr>
      </w:pPr>
      <w:r>
        <w:rPr>
          <w:rFonts w:ascii="Times New Roman;serif" w:hAnsi="Times New Roman;serif"/>
          <w:b w:val="false"/>
          <w:sz w:val="20"/>
        </w:rPr>
        <w:t>In connection with the Quarterly Report of CytomX Therapeutics, Inc. (the “</w:t>
      </w:r>
      <w:r>
        <w:rPr>
          <w:rFonts w:ascii="Times New Roman;serif" w:hAnsi="Times New Roman;serif"/>
          <w:b w:val="false"/>
          <w:sz w:val="20"/>
          <w:u w:val="single"/>
        </w:rPr>
        <w:t>Company</w:t>
      </w:r>
      <w:r>
        <w:rPr>
          <w:rFonts w:ascii="Times New Roman" w:hAnsi="Times New Roman"/>
          <w:sz w:val="20"/>
        </w:rPr>
        <w:t>”</w:t>
      </w:r>
      <w:r>
        <w:rPr>
          <w:rFonts w:ascii="Times New Roman;serif" w:hAnsi="Times New Roman;serif"/>
          <w:b w:val="false"/>
          <w:sz w:val="20"/>
        </w:rPr>
        <w:t>) on Form 10-Q for the quarter ended March 31, 2023, as filed with the Securities and Exchange Commission on the date hereof (the “</w:t>
      </w:r>
      <w:r>
        <w:rPr>
          <w:rFonts w:ascii="Times New Roman;serif" w:hAnsi="Times New Roman;serif"/>
          <w:b w:val="false"/>
          <w:sz w:val="20"/>
          <w:u w:val="single"/>
        </w:rPr>
        <w:t>Report</w:t>
      </w:r>
      <w:r>
        <w:rPr>
          <w:rFonts w:ascii="Times New Roman" w:hAnsi="Times New Roman"/>
          <w:sz w:val="20"/>
        </w:rPr>
        <w:t>”</w:t>
      </w:r>
      <w:r>
        <w:rPr>
          <w:rFonts w:ascii="Times New Roman;serif" w:hAnsi="Times New Roman;serif"/>
          <w:b w:val="false"/>
          <w:sz w:val="20"/>
        </w:rPr>
        <w:t>), I, Christopher W. Ogden, Senior Vice President, Finance and Accounting of the Company, certify, pursuant to 18 U.S.C. Section 1350, as adopted pursuant to Section 906 of the Sarbanes-Oxley Act of 2002 (the “</w:t>
      </w:r>
      <w:r>
        <w:rPr>
          <w:rFonts w:ascii="Times New Roman;serif" w:hAnsi="Times New Roman;serif"/>
          <w:b w:val="false"/>
          <w:sz w:val="20"/>
          <w:u w:val="single"/>
        </w:rPr>
        <w:t>Act</w:t>
      </w:r>
      <w:r>
        <w:rPr>
          <w:rFonts w:ascii="Times New Roman" w:hAnsi="Times New Roman"/>
          <w:sz w:val="20"/>
        </w:rPr>
        <w:t>”</w:t>
      </w:r>
      <w:r>
        <w:rPr>
          <w:rFonts w:ascii="Times New Roman;serif" w:hAnsi="Times New Roman;serif"/>
          <w:b w:val="false"/>
          <w:sz w:val="20"/>
        </w:rPr>
        <w:t>),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w:t>
      </w:r>
    </w:p>
    <w:p>
      <w:pPr>
        <w:pStyle w:val="TextBody"/>
        <w:spacing w:before="0" w:after="0"/>
        <w:jc w:val="left"/>
        <w:rPr/>
      </w:pPr>
      <w:r>
        <w:rPr/>
        <w:t> </w:t>
      </w:r>
    </w:p>
    <w:tbl>
      <w:tblPr>
        <w:tblW w:w="6655" w:type="dxa"/>
        <w:jc w:val="left"/>
        <w:tblInd w:w="0" w:type="dxa"/>
        <w:tblCellMar>
          <w:top w:w="28" w:type="dxa"/>
          <w:left w:w="28" w:type="dxa"/>
          <w:bottom w:w="28" w:type="dxa"/>
          <w:right w:w="28" w:type="dxa"/>
        </w:tblCellMar>
      </w:tblPr>
      <w:tblGrid>
        <w:gridCol w:w="1636"/>
        <w:gridCol w:w="146"/>
        <w:gridCol w:w="631"/>
        <w:gridCol w:w="4051"/>
        <w:gridCol w:w="19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405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05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Christopher W. Ogden</w:t>
            </w:r>
          </w:p>
        </w:tc>
        <w:tc>
          <w:tcPr>
            <w:tcW w:w="191"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40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Christopher W. Ogden</w:t>
            </w:r>
          </w:p>
        </w:tc>
        <w:tc>
          <w:tcPr>
            <w:tcW w:w="1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40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Senior Vice President, Finance and Accounting</w:t>
            </w:r>
          </w:p>
        </w:tc>
        <w:tc>
          <w:tcPr>
            <w:tcW w:w="1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Accounting Officer)</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spacing w:before="24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501989/000119312515347080/d78795dex31.htm" TargetMode="External"/><Relationship Id="rId3" Type="http://schemas.openxmlformats.org/officeDocument/2006/relationships/hyperlink" Target="https://www.sec.gov/Archives/edgar/data/1501989/000119312520176532/d920733dex31.htm" TargetMode="External"/><Relationship Id="rId4" Type="http://schemas.openxmlformats.org/officeDocument/2006/relationships/hyperlink" Target="https://www.sec.gov/Archives/edgar/data/0001501989/000119312515347080/d78795dex32.htm" TargetMode="External"/><Relationship Id="rId5" Type="http://schemas.openxmlformats.org/officeDocument/2006/relationships/hyperlink" Target="https://www.sec.gov/Archives/edgar/data/0001501989/000119312515329662/d948537dex41.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61189</Words>
  <CharactersWithSpaces>404306</CharactersWithSpaces>
  <Paragraphs>4890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