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480" w:right="260" w:hanging="459"/>
        <w:spacing w:after="0" w:line="234"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480" w:right="260" w:hanging="459"/>
        <w:spacing w:after="0" w:line="243"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1"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CytomX Therapeutics, Inc.</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Pr>
          <w:p>
            <w:pPr>
              <w:jc w:val="center"/>
              <w:ind w:left="1759"/>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right="1701"/>
              <w:spacing w:after="0"/>
              <w:rPr>
                <w:sz w:val="20"/>
                <w:szCs w:val="20"/>
                <w:color w:val="auto"/>
              </w:rPr>
            </w:pPr>
            <w:r>
              <w:rPr>
                <w:rFonts w:ascii="Arial" w:cs="Arial" w:eastAsia="Arial" w:hAnsi="Arial"/>
                <w:sz w:val="18"/>
                <w:szCs w:val="18"/>
                <w:b w:val="1"/>
                <w:bCs w:val="1"/>
                <w:color w:val="auto"/>
                <w:w w:val="89"/>
              </w:rPr>
              <w:t>27-3521219</w:t>
            </w:r>
          </w:p>
        </w:tc>
      </w:tr>
      <w:tr>
        <w:trPr>
          <w:trHeight w:val="149"/>
        </w:trPr>
        <w:tc>
          <w:tcPr>
            <w:tcW w:w="3800" w:type="dxa"/>
            <w:vAlign w:val="bottom"/>
          </w:tcPr>
          <w:p>
            <w:pPr>
              <w:jc w:val="center"/>
              <w:ind w:lef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720" w:type="dxa"/>
            <w:vAlign w:val="bottom"/>
          </w:tcPr>
          <w:p>
            <w:pPr>
              <w:jc w:val="center"/>
              <w:ind w:righ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tcPr>
          <w:p>
            <w:pPr>
              <w:jc w:val="center"/>
              <w:ind w:left="1759"/>
              <w:spacing w:after="0"/>
              <w:rPr>
                <w:sz w:val="20"/>
                <w:szCs w:val="20"/>
                <w:color w:val="auto"/>
              </w:rPr>
            </w:pPr>
            <w:r>
              <w:rPr>
                <w:rFonts w:ascii="Arial" w:cs="Arial" w:eastAsia="Arial" w:hAnsi="Arial"/>
                <w:sz w:val="14"/>
                <w:szCs w:val="14"/>
                <w:b w:val="1"/>
                <w:bCs w:val="1"/>
                <w:color w:val="auto"/>
                <w:w w:val="94"/>
              </w:rPr>
              <w:t>incorporation or organization)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20" w:type="dxa"/>
            <w:vAlign w:val="bottom"/>
          </w:tcPr>
          <w:p>
            <w:pPr>
              <w:jc w:val="center"/>
              <w:ind w:right="170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3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0"/>
              </w:rPr>
              <w:t>151 Oyster Point Blvd., Suite 400</w:t>
            </w:r>
          </w:p>
        </w:tc>
        <w:tc>
          <w:tcPr>
            <w:tcW w:w="3720" w:type="dxa"/>
            <w:vAlign w:val="bottom"/>
          </w:tcPr>
          <w:p>
            <w:pPr>
              <w:spacing w:after="0"/>
              <w:rPr>
                <w:sz w:val="24"/>
                <w:szCs w:val="24"/>
                <w:color w:val="auto"/>
              </w:rPr>
            </w:pPr>
          </w:p>
        </w:tc>
      </w:tr>
      <w:tr>
        <w:trPr>
          <w:trHeight w:val="198"/>
        </w:trPr>
        <w:tc>
          <w:tcPr>
            <w:tcW w:w="3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5"/>
          </w:tcPr>
          <w:p>
            <w:pPr>
              <w:jc w:val="center"/>
              <w:ind w:right="660"/>
              <w:spacing w:after="0" w:line="198" w:lineRule="exact"/>
              <w:rPr>
                <w:sz w:val="20"/>
                <w:szCs w:val="20"/>
                <w:color w:val="auto"/>
              </w:rPr>
            </w:pPr>
            <w:r>
              <w:rPr>
                <w:rFonts w:ascii="Arial" w:cs="Arial" w:eastAsia="Arial" w:hAnsi="Arial"/>
                <w:sz w:val="18"/>
                <w:szCs w:val="18"/>
                <w:b w:val="1"/>
                <w:bCs w:val="1"/>
                <w:color w:val="auto"/>
                <w:w w:val="89"/>
              </w:rPr>
              <w:t>South San Francisco, CA 94080</w:t>
            </w:r>
          </w:p>
        </w:tc>
        <w:tc>
          <w:tcPr>
            <w:tcW w:w="3720" w:type="dxa"/>
            <w:vAlign w:val="bottom"/>
          </w:tcPr>
          <w:p>
            <w:pPr>
              <w:spacing w:after="0"/>
              <w:rPr>
                <w:sz w:val="17"/>
                <w:szCs w:val="17"/>
                <w:color w:val="auto"/>
              </w:rPr>
            </w:pPr>
          </w:p>
        </w:tc>
      </w:tr>
      <w:tr>
        <w:trPr>
          <w:trHeight w:val="144"/>
        </w:trPr>
        <w:tc>
          <w:tcPr>
            <w:tcW w:w="3800" w:type="dxa"/>
            <w:vAlign w:val="bottom"/>
          </w:tcPr>
          <w:p>
            <w:pPr>
              <w:spacing w:after="0"/>
              <w:rPr>
                <w:sz w:val="12"/>
                <w:szCs w:val="12"/>
                <w:color w:val="auto"/>
              </w:rPr>
            </w:pPr>
          </w:p>
        </w:tc>
        <w:tc>
          <w:tcPr>
            <w:tcW w:w="3720" w:type="dxa"/>
            <w:vAlign w:val="bottom"/>
            <w:gridSpan w:val="7"/>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720" w:type="dxa"/>
            <w:vAlign w:val="bottom"/>
          </w:tcPr>
          <w:p>
            <w:pPr>
              <w:spacing w:after="0"/>
              <w:rPr>
                <w:sz w:val="12"/>
                <w:szCs w:val="12"/>
                <w:color w:val="auto"/>
              </w:rPr>
            </w:pPr>
          </w:p>
        </w:tc>
      </w:tr>
      <w:tr>
        <w:trPr>
          <w:trHeight w:val="193"/>
        </w:trPr>
        <w:tc>
          <w:tcPr>
            <w:tcW w:w="3800" w:type="dxa"/>
            <w:vAlign w:val="bottom"/>
          </w:tcPr>
          <w:p>
            <w:pPr>
              <w:spacing w:after="0"/>
              <w:rPr>
                <w:sz w:val="16"/>
                <w:szCs w:val="16"/>
                <w:color w:val="auto"/>
              </w:rPr>
            </w:pPr>
          </w:p>
        </w:tc>
        <w:tc>
          <w:tcPr>
            <w:tcW w:w="2940" w:type="dxa"/>
            <w:vAlign w:val="bottom"/>
            <w:gridSpan w:val="4"/>
          </w:tcPr>
          <w:p>
            <w:pPr>
              <w:jc w:val="right"/>
              <w:ind w:right="499"/>
              <w:spacing w:after="0" w:line="194" w:lineRule="exact"/>
              <w:rPr>
                <w:sz w:val="20"/>
                <w:szCs w:val="20"/>
                <w:color w:val="auto"/>
              </w:rPr>
            </w:pPr>
            <w:r>
              <w:rPr>
                <w:rFonts w:ascii="Arial" w:cs="Arial" w:eastAsia="Arial" w:hAnsi="Arial"/>
                <w:sz w:val="18"/>
                <w:szCs w:val="18"/>
                <w:b w:val="1"/>
                <w:bCs w:val="1"/>
                <w:color w:val="auto"/>
              </w:rPr>
              <w:t>(650) 515-3185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186"/>
        </w:trPr>
        <w:tc>
          <w:tcPr>
            <w:tcW w:w="3800" w:type="dxa"/>
            <w:vAlign w:val="bottom"/>
          </w:tcPr>
          <w:p>
            <w:pPr>
              <w:spacing w:after="0"/>
              <w:rPr>
                <w:sz w:val="16"/>
                <w:szCs w:val="16"/>
                <w:color w:val="auto"/>
              </w:rPr>
            </w:pPr>
          </w:p>
        </w:tc>
        <w:tc>
          <w:tcPr>
            <w:tcW w:w="37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20" w:type="dxa"/>
            <w:vAlign w:val="bottom"/>
          </w:tcPr>
          <w:p>
            <w:pPr>
              <w:spacing w:after="0"/>
              <w:rPr>
                <w:sz w:val="16"/>
                <w:szCs w:val="16"/>
                <w:color w:val="auto"/>
              </w:rPr>
            </w:pPr>
          </w:p>
        </w:tc>
      </w:tr>
      <w:tr>
        <w:trPr>
          <w:trHeight w:val="241"/>
        </w:trPr>
        <w:tc>
          <w:tcPr>
            <w:tcW w:w="42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290"/>
        </w:trPr>
        <w:tc>
          <w:tcPr>
            <w:tcW w:w="752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20" w:type="dxa"/>
            <w:vAlign w:val="bottom"/>
          </w:tcPr>
          <w:p>
            <w:pPr>
              <w:spacing w:after="0"/>
              <w:rPr>
                <w:sz w:val="24"/>
                <w:szCs w:val="24"/>
                <w:color w:val="auto"/>
              </w:rPr>
            </w:pPr>
          </w:p>
        </w:tc>
      </w:tr>
      <w:tr>
        <w:trPr>
          <w:trHeight w:val="213"/>
        </w:trPr>
        <w:tc>
          <w:tcPr>
            <w:tcW w:w="3800" w:type="dxa"/>
            <w:vAlign w:val="bottom"/>
          </w:tcPr>
          <w:p>
            <w:pPr>
              <w:jc w:val="center"/>
              <w:ind w:left="419"/>
              <w:spacing w:after="0"/>
              <w:rPr>
                <w:sz w:val="20"/>
                <w:szCs w:val="20"/>
                <w:color w:val="auto"/>
              </w:rPr>
            </w:pPr>
            <w:r>
              <w:rPr>
                <w:rFonts w:ascii="Arial" w:cs="Arial" w:eastAsia="Arial" w:hAnsi="Arial"/>
                <w:sz w:val="16"/>
                <w:szCs w:val="16"/>
                <w:b w:val="1"/>
                <w:bCs w:val="1"/>
                <w:color w:val="auto"/>
                <w:w w:val="88"/>
              </w:rPr>
              <w:t>Title of each class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4"/>
          </w:tcPr>
          <w:p>
            <w:pPr>
              <w:jc w:val="center"/>
              <w:ind w:right="740"/>
              <w:spacing w:after="0"/>
              <w:rPr>
                <w:sz w:val="20"/>
                <w:szCs w:val="20"/>
                <w:color w:val="auto"/>
              </w:rPr>
            </w:pPr>
            <w:r>
              <w:rPr>
                <w:rFonts w:ascii="Arial" w:cs="Arial" w:eastAsia="Arial" w:hAnsi="Arial"/>
                <w:sz w:val="16"/>
                <w:szCs w:val="16"/>
                <w:b w:val="1"/>
                <w:bCs w:val="1"/>
                <w:color w:val="auto"/>
                <w:w w:val="91"/>
              </w:rPr>
              <w:t>Trading Symbol(s)</w:t>
            </w:r>
          </w:p>
        </w:tc>
        <w:tc>
          <w:tcPr>
            <w:tcW w:w="3720" w:type="dxa"/>
            <w:vAlign w:val="bottom"/>
          </w:tcPr>
          <w:p>
            <w:pPr>
              <w:jc w:val="center"/>
              <w:ind w:right="441"/>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3800" w:type="dxa"/>
            <w:vAlign w:val="bottom"/>
            <w:tcBorders>
              <w:top w:val="single" w:sz="8" w:color="auto"/>
            </w:tcBorders>
          </w:tcPr>
          <w:p>
            <w:pPr>
              <w:jc w:val="center"/>
              <w:ind w:left="379"/>
              <w:spacing w:after="0"/>
              <w:rPr>
                <w:sz w:val="20"/>
                <w:szCs w:val="20"/>
                <w:color w:val="auto"/>
              </w:rPr>
            </w:pPr>
            <w:r>
              <w:rPr>
                <w:rFonts w:ascii="Arial" w:cs="Arial" w:eastAsia="Arial" w:hAnsi="Arial"/>
                <w:sz w:val="16"/>
                <w:szCs w:val="16"/>
                <w:color w:val="auto"/>
                <w:w w:val="91"/>
              </w:rPr>
              <w:t>Common Stock, $0.00001 par value per share</w:t>
            </w: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CTMX</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jc w:val="center"/>
              <w:ind w:right="441"/>
              <w:spacing w:after="0"/>
              <w:rPr>
                <w:sz w:val="20"/>
                <w:szCs w:val="20"/>
                <w:color w:val="auto"/>
              </w:rPr>
            </w:pPr>
            <w:r>
              <w:rPr>
                <w:rFonts w:ascii="Arial" w:cs="Arial" w:eastAsia="Arial" w:hAnsi="Arial"/>
                <w:sz w:val="16"/>
                <w:szCs w:val="16"/>
                <w:color w:val="auto"/>
                <w:w w:val="92"/>
              </w:rPr>
              <w:t>Nasdaq Global Select Market</w:t>
            </w:r>
          </w:p>
        </w:tc>
      </w:tr>
    </w:tbl>
    <w:p>
      <w:pPr>
        <w:spacing w:after="0" w:line="90" w:lineRule="exact"/>
        <w:rPr>
          <w:sz w:val="24"/>
          <w:szCs w:val="24"/>
          <w:color w:val="auto"/>
        </w:rPr>
      </w:pPr>
    </w:p>
    <w:p>
      <w:pPr>
        <w:ind w:right="40"/>
        <w:spacing w:after="0" w:line="223"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1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32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720"/>
        <w:spacing w:after="0" w:line="28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31, 2022, the registrant had 66,084,367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FORM 10-Q FOR THE QUARTER ENDED SEPTEMBER 30, 2022</w:t>
      </w: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7"/>
          </w:tcPr>
          <w:p>
            <w:pPr>
              <w:ind w:left="460"/>
              <w:spacing w:after="0"/>
              <w:rPr>
                <w:sz w:val="20"/>
                <w:szCs w:val="20"/>
                <w:color w:val="auto"/>
              </w:rPr>
            </w:pPr>
            <w:r>
              <w:rPr>
                <w:rFonts w:ascii="Arial" w:cs="Arial" w:eastAsia="Arial" w:hAnsi="Arial"/>
                <w:sz w:val="18"/>
                <w:szCs w:val="18"/>
                <w:b w:val="1"/>
                <w:bCs w:val="1"/>
                <w:color w:val="auto"/>
              </w:rPr>
              <w:t>PART I – FINANCIAL INFORMATION</w:t>
            </w:r>
          </w:p>
        </w:tc>
        <w:tc>
          <w:tcPr>
            <w:tcW w:w="194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8220" w:type="dxa"/>
            <w:vAlign w:val="bottom"/>
            <w:gridSpan w:val="10"/>
          </w:tcPr>
          <w:p>
            <w:pPr>
              <w:spacing w:after="0"/>
              <w:rPr>
                <w:sz w:val="20"/>
                <w:szCs w:val="20"/>
                <w:color w:val="auto"/>
              </w:rPr>
            </w:pPr>
            <w:r>
              <w:rPr>
                <w:rFonts w:ascii="Arial" w:cs="Arial" w:eastAsia="Arial" w:hAnsi="Arial"/>
                <w:sz w:val="18"/>
                <w:szCs w:val="18"/>
                <w:color w:val="0000FF"/>
              </w:rPr>
              <w:t>Condensed Financial Statements (Unaudited)</w:t>
            </w: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8220" w:type="dxa"/>
            <w:vAlign w:val="bottom"/>
            <w:gridSpan w:val="10"/>
          </w:tcPr>
          <w:p>
            <w:pPr>
              <w:spacing w:after="0"/>
              <w:rPr>
                <w:sz w:val="20"/>
                <w:szCs w:val="20"/>
                <w:color w:val="auto"/>
              </w:rPr>
            </w:pPr>
            <w:r>
              <w:rPr>
                <w:rFonts w:ascii="Arial" w:cs="Arial" w:eastAsia="Arial" w:hAnsi="Arial"/>
                <w:sz w:val="18"/>
                <w:szCs w:val="18"/>
                <w:color w:val="0000FF"/>
              </w:rPr>
              <w:t>Condensed Balance Sheets</w:t>
            </w: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8220" w:type="dxa"/>
            <w:vAlign w:val="bottom"/>
            <w:gridSpan w:val="10"/>
          </w:tcPr>
          <w:p>
            <w:pPr>
              <w:spacing w:after="0"/>
              <w:rPr>
                <w:sz w:val="20"/>
                <w:szCs w:val="20"/>
                <w:color w:val="auto"/>
              </w:rPr>
            </w:pPr>
            <w:r>
              <w:rPr>
                <w:rFonts w:ascii="Arial" w:cs="Arial" w:eastAsia="Arial" w:hAnsi="Arial"/>
                <w:sz w:val="18"/>
                <w:szCs w:val="18"/>
                <w:color w:val="0000FF"/>
              </w:rPr>
              <w:t>Condensed Statements of Operations and Comprehensive Loss</w:t>
            </w:r>
          </w:p>
        </w:tc>
        <w:tc>
          <w:tcPr>
            <w:tcW w:w="1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220" w:type="dxa"/>
            <w:vAlign w:val="bottom"/>
            <w:gridSpan w:val="10"/>
          </w:tcPr>
          <w:p>
            <w:pPr>
              <w:spacing w:after="0" w:line="196" w:lineRule="exact"/>
              <w:rPr>
                <w:sz w:val="20"/>
                <w:szCs w:val="20"/>
                <w:color w:val="auto"/>
              </w:rPr>
            </w:pPr>
            <w:r>
              <w:rPr>
                <w:rFonts w:ascii="Arial" w:cs="Arial" w:eastAsia="Arial" w:hAnsi="Arial"/>
                <w:sz w:val="18"/>
                <w:szCs w:val="18"/>
                <w:color w:val="0000FF"/>
              </w:rPr>
              <w:t>Condensed Statements of Stockholders’ Equity</w:t>
            </w: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220" w:type="dxa"/>
            <w:vAlign w:val="bottom"/>
            <w:gridSpan w:val="10"/>
          </w:tcPr>
          <w:p>
            <w:pPr>
              <w:spacing w:after="0" w:line="196" w:lineRule="exact"/>
              <w:rPr>
                <w:sz w:val="20"/>
                <w:szCs w:val="20"/>
                <w:color w:val="auto"/>
              </w:rPr>
            </w:pPr>
            <w:r>
              <w:rPr>
                <w:rFonts w:ascii="Arial" w:cs="Arial" w:eastAsia="Arial" w:hAnsi="Arial"/>
                <w:sz w:val="18"/>
                <w:szCs w:val="18"/>
                <w:color w:val="0000FF"/>
              </w:rPr>
              <w:t>Condensed Statements of Cash Flows</w:t>
            </w: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8220" w:type="dxa"/>
            <w:vAlign w:val="bottom"/>
            <w:gridSpan w:val="10"/>
          </w:tcPr>
          <w:p>
            <w:pPr>
              <w:spacing w:after="0"/>
              <w:rPr>
                <w:sz w:val="20"/>
                <w:szCs w:val="20"/>
                <w:color w:val="auto"/>
              </w:rPr>
            </w:pPr>
            <w:r>
              <w:rPr>
                <w:rFonts w:ascii="Arial" w:cs="Arial" w:eastAsia="Arial" w:hAnsi="Arial"/>
                <w:sz w:val="18"/>
                <w:szCs w:val="18"/>
                <w:color w:val="0000FF"/>
              </w:rPr>
              <w:t>Notes to Condensed Financial Statements (Unaudited)</w:t>
            </w:r>
          </w:p>
        </w:tc>
        <w:tc>
          <w:tcPr>
            <w:tcW w:w="1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160" w:type="dxa"/>
            <w:vAlign w:val="bottom"/>
            <w:tcBorders>
              <w:right w:val="single" w:sz="8" w:color="0000EE"/>
            </w:tcBorders>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220" w:type="dxa"/>
            <w:vAlign w:val="bottom"/>
            <w:gridSpan w:val="1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8220" w:type="dxa"/>
            <w:vAlign w:val="bottom"/>
            <w:gridSpan w:val="1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822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c>
          <w:tcPr>
            <w:tcW w:w="1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60" w:type="dxa"/>
            <w:vAlign w:val="bottom"/>
            <w:gridSpan w:val="2"/>
          </w:tcPr>
          <w:p>
            <w:pPr>
              <w:jc w:val="right"/>
              <w:ind w:right="1900"/>
              <w:spacing w:after="0"/>
              <w:rPr>
                <w:sz w:val="20"/>
                <w:szCs w:val="20"/>
                <w:color w:val="auto"/>
              </w:rPr>
            </w:pPr>
            <w:r>
              <w:rPr>
                <w:rFonts w:ascii="Arial" w:cs="Arial" w:eastAsia="Arial" w:hAnsi="Arial"/>
                <w:sz w:val="18"/>
                <w:szCs w:val="18"/>
                <w:b w:val="1"/>
                <w:bCs w:val="1"/>
                <w:color w:val="auto"/>
              </w:rPr>
              <w:t>PART II – OTHER INFORMATION</w:t>
            </w:r>
          </w:p>
        </w:tc>
        <w:tc>
          <w:tcPr>
            <w:tcW w:w="2100" w:type="dxa"/>
            <w:vAlign w:val="bottom"/>
          </w:tcPr>
          <w:p>
            <w:pPr>
              <w:spacing w:after="0"/>
              <w:rPr>
                <w:sz w:val="20"/>
                <w:szCs w:val="20"/>
                <w:color w:val="auto"/>
              </w:rPr>
            </w:pPr>
          </w:p>
        </w:tc>
      </w:tr>
      <w:tr>
        <w:trPr>
          <w:trHeight w:val="418"/>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080" w:type="dxa"/>
            <w:vAlign w:val="bottom"/>
            <w:gridSpan w:val="7"/>
          </w:tcPr>
          <w:p>
            <w:pPr>
              <w:spacing w:after="0"/>
              <w:rPr>
                <w:sz w:val="20"/>
                <w:szCs w:val="20"/>
                <w:color w:val="auto"/>
              </w:rPr>
            </w:pPr>
            <w:r>
              <w:rPr>
                <w:rFonts w:ascii="Arial" w:cs="Arial" w:eastAsia="Arial" w:hAnsi="Arial"/>
                <w:sz w:val="18"/>
                <w:szCs w:val="18"/>
                <w:color w:val="0000FF"/>
              </w:rPr>
              <w:t>Legal Proceedings</w:t>
            </w:r>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08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080" w:type="dxa"/>
            <w:vAlign w:val="bottom"/>
            <w:gridSpan w:val="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080" w:type="dxa"/>
            <w:vAlign w:val="bottom"/>
            <w:gridSpan w:val="7"/>
          </w:tcPr>
          <w:p>
            <w:pPr>
              <w:spacing w:after="0"/>
              <w:rPr>
                <w:sz w:val="20"/>
                <w:szCs w:val="20"/>
                <w:color w:val="auto"/>
              </w:rPr>
            </w:pPr>
            <w:r>
              <w:rPr>
                <w:rFonts w:ascii="Arial" w:cs="Arial" w:eastAsia="Arial" w:hAnsi="Arial"/>
                <w:sz w:val="18"/>
                <w:szCs w:val="18"/>
                <w:color w:val="0000FF"/>
              </w:rPr>
              <w:t>Defaults Upon Senior Securities</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080" w:type="dxa"/>
            <w:vAlign w:val="bottom"/>
            <w:gridSpan w:val="7"/>
          </w:tcPr>
          <w:p>
            <w:pPr>
              <w:spacing w:after="0"/>
              <w:rPr>
                <w:sz w:val="20"/>
                <w:szCs w:val="20"/>
                <w:color w:val="auto"/>
              </w:rPr>
            </w:pPr>
            <w:r>
              <w:rPr>
                <w:rFonts w:ascii="Arial" w:cs="Arial" w:eastAsia="Arial" w:hAnsi="Arial"/>
                <w:sz w:val="18"/>
                <w:szCs w:val="18"/>
                <w:color w:val="0000FF"/>
              </w:rPr>
              <w:t>Mine Safety Disclosures</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08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080" w:type="dxa"/>
            <w:vAlign w:val="bottom"/>
            <w:gridSpan w:val="7"/>
          </w:tcPr>
          <w:p>
            <w:pPr>
              <w:spacing w:after="0"/>
              <w:rPr>
                <w:sz w:val="20"/>
                <w:szCs w:val="20"/>
                <w:color w:val="auto"/>
              </w:rPr>
            </w:pPr>
            <w:r>
              <w:rPr>
                <w:rFonts w:ascii="Arial" w:cs="Arial" w:eastAsia="Arial" w:hAnsi="Arial"/>
                <w:sz w:val="18"/>
                <w:szCs w:val="18"/>
                <w:color w:val="0000FF"/>
              </w:rPr>
              <w:t>Exhibits</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1060" w:type="dxa"/>
            <w:vAlign w:val="bottom"/>
            <w:gridSpan w:val="3"/>
          </w:tcPr>
          <w:p>
            <w:pPr>
              <w:ind w:left="20"/>
              <w:spacing w:after="0" w:line="196" w:lineRule="exact"/>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65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080" w:type="dxa"/>
            <w:vAlign w:val="bottom"/>
            <w:gridSpan w:val="7"/>
          </w:tcPr>
          <w:p>
            <w:pPr>
              <w:jc w:val="right"/>
              <w:ind w:right="348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48"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124" w:lineRule="exact"/>
        <w:rPr>
          <w:sz w:val="20"/>
          <w:szCs w:val="20"/>
          <w:color w:val="auto"/>
        </w:rPr>
      </w:pPr>
    </w:p>
    <w:p>
      <w:pPr>
        <w:jc w:val="both"/>
        <w:ind w:left="1020" w:right="26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extent to which the COVID-19 or any future pandemic and related governmental regulations and restrictions may impact our business, including our research, clinical trials, which include ongoing site initiation and patient enrollment, manufacturing and financial condition;</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170" w:lineRule="exact"/>
        <w:rPr>
          <w:rFonts w:ascii="Arial" w:cs="Arial" w:eastAsia="Arial" w:hAnsi="Arial"/>
          <w:sz w:val="18"/>
          <w:szCs w:val="18"/>
          <w:color w:val="auto"/>
        </w:rPr>
      </w:pPr>
    </w:p>
    <w:p>
      <w:pPr>
        <w:ind w:left="1020" w:right="14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1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98" w:lineRule="exact"/>
        <w:rPr>
          <w:rFonts w:ascii="Arial" w:cs="Arial" w:eastAsia="Arial" w:hAnsi="Arial"/>
          <w:sz w:val="18"/>
          <w:szCs w:val="18"/>
          <w:color w:val="auto"/>
        </w:rPr>
      </w:pPr>
    </w:p>
    <w:p>
      <w:pPr>
        <w:ind w:left="1020" w:right="8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221"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223"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211"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 including our estimate of cash flow savings as a result of our restructuring plan announced in July 2022;</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98"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211"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11"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 or to international conflict and uncertainties.</w:t>
      </w:r>
    </w:p>
    <w:p>
      <w:pPr>
        <w:spacing w:after="0" w:line="18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1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612"/>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99,254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200,280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226,492</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61,325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97,841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liabilities - long term</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198,018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line="175" w:lineRule="exact"/>
              <w:rPr>
                <w:sz w:val="20"/>
                <w:szCs w:val="20"/>
                <w:color w:val="auto"/>
              </w:rPr>
            </w:pPr>
            <w:r>
              <w:rPr>
                <w:rFonts w:ascii="Arial" w:cs="Arial" w:eastAsia="Arial" w:hAnsi="Arial"/>
                <w:sz w:val="18"/>
                <w:szCs w:val="18"/>
                <w:color w:val="auto"/>
                <w:w w:val="93"/>
              </w:rPr>
              <w:t>Convertible preferred stock, $0.00001 par value; 10,000,000 shares authorized and no shares issued</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and outstanding at September 30, 2022 and December 31, 2021.</w:t>
            </w:r>
          </w:p>
        </w:tc>
        <w:tc>
          <w:tcPr>
            <w:tcW w:w="2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Common stock, $0.00001 par value; 150,000,000 shares authorized and 65,950,242 and</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rPr>
              <w:t>65,392,758 shares issued and outstanding at September 30, 2022 and December 31, 2021,</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634,357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623,344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(795 )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(605,089 )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(533,724 )</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226,492</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-3196590</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-2339340</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-307975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ind w:left="520" w:right="80" w:hanging="512"/>
        <w:spacing w:after="0" w:line="215" w:lineRule="auto"/>
        <w:tabs>
          <w:tab w:leader="none" w:pos="5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The condensed balance sheet as of December 31, 2021 was derived from the audited financial statements included in the Company's Annual Report on Form 10-K for the year ended December 31,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180"/>
        <w:spacing w:after="0"/>
        <w:rPr>
          <w:sz w:val="20"/>
          <w:szCs w:val="20"/>
          <w:color w:val="auto"/>
        </w:rPr>
      </w:pPr>
      <w:r>
        <w:rPr>
          <w:rFonts w:ascii="Arial" w:cs="Arial" w:eastAsia="Arial" w:hAnsi="Arial"/>
          <w:sz w:val="18"/>
          <w:szCs w:val="18"/>
          <w:b w:val="1"/>
          <w:bCs w:val="1"/>
          <w:color w:val="auto"/>
        </w:rPr>
        <w:t>CYTOMX THERAPEUTICS, INC.</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ind w:right="20"/>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38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right"/>
              <w:ind w:right="98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38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7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52,217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49,846</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92,085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40,857</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40,228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124,867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 xml:space="preserve">(23,942 </w:t>
            </w:r>
            <w:r>
              <w:rPr>
                <w:rFonts w:ascii="Arial" w:cs="Arial" w:eastAsia="Arial" w:hAnsi="Arial"/>
                <w:sz w:val="18"/>
                <w:szCs w:val="18"/>
                <w:color w:val="auto"/>
                <w:highlight w:val="white"/>
              </w:rPr>
              <w:t>)</w:t>
            </w:r>
          </w:p>
        </w:tc>
        <w:tc>
          <w:tcPr>
            <w:tcW w:w="2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(22,641 </w:t>
            </w:r>
            <w:r>
              <w:rPr>
                <w:rFonts w:ascii="Arial" w:cs="Arial" w:eastAsia="Arial" w:hAnsi="Arial"/>
                <w:sz w:val="18"/>
                <w:szCs w:val="18"/>
                <w:color w:val="auto"/>
                <w:highlight w:val="white"/>
              </w:rPr>
              <w:t>)</w:t>
            </w:r>
          </w:p>
        </w:tc>
        <w:tc>
          <w:tcPr>
            <w:tcW w:w="18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(72,650 </w:t>
            </w:r>
            <w:r>
              <w:rPr>
                <w:rFonts w:ascii="Arial" w:cs="Arial" w:eastAsia="Arial" w:hAnsi="Arial"/>
                <w:sz w:val="18"/>
                <w:szCs w:val="18"/>
                <w:color w:val="auto"/>
                <w:highlight w:val="white"/>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xml:space="preserve">(57,473 </w:t>
            </w:r>
            <w:r>
              <w:rPr>
                <w:rFonts w:ascii="Arial" w:cs="Arial" w:eastAsia="Arial" w:hAnsi="Arial"/>
                <w:sz w:val="18"/>
                <w:szCs w:val="18"/>
                <w:color w:val="auto"/>
                <w:highlight w:val="white"/>
              </w:rPr>
              <w:t>)</w:t>
            </w:r>
          </w:p>
        </w:tc>
      </w:tr>
      <w:tr>
        <w:trPr>
          <w:trHeight w:val="216"/>
        </w:trPr>
        <w:tc>
          <w:tcPr>
            <w:tcW w:w="5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(71,365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780" w:type="dxa"/>
            <w:vAlign w:val="bottom"/>
          </w:tcPr>
          <w:p>
            <w:pPr>
              <w:spacing w:after="0" w:line="196" w:lineRule="exact"/>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Unrealized gain (loss) on investments, net of tax</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(553 )</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8"/>
                <w:szCs w:val="18"/>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8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 xml:space="preserve">(22,929 </w:t>
            </w:r>
            <w:r>
              <w:rPr>
                <w:rFonts w:ascii="Arial" w:cs="Arial" w:eastAsia="Arial" w:hAnsi="Arial"/>
                <w:sz w:val="18"/>
                <w:szCs w:val="18"/>
                <w:color w:val="auto"/>
                <w:highlight w:val="white"/>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(22,547 </w:t>
            </w:r>
            <w:r>
              <w:rPr>
                <w:rFonts w:ascii="Arial" w:cs="Arial" w:eastAsia="Arial" w:hAnsi="Arial"/>
                <w:sz w:val="18"/>
                <w:szCs w:val="18"/>
                <w:color w:val="auto"/>
                <w:highlight w:val="white"/>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(71,918 </w:t>
            </w:r>
            <w:r>
              <w:rPr>
                <w:rFonts w:ascii="Arial" w:cs="Arial" w:eastAsia="Arial" w:hAnsi="Arial"/>
                <w:sz w:val="18"/>
                <w:szCs w:val="18"/>
                <w:color w:val="auto"/>
                <w:highlight w:val="white"/>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xml:space="preserve">(57,282 </w:t>
            </w:r>
            <w:r>
              <w:rPr>
                <w:rFonts w:ascii="Arial" w:cs="Arial" w:eastAsia="Arial" w:hAnsi="Arial"/>
                <w:sz w:val="18"/>
                <w:szCs w:val="18"/>
                <w:color w:val="auto"/>
                <w:highlight w:val="white"/>
              </w:rPr>
              <w:t>)</w:t>
            </w: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(0.35 )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(0.35 )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(1.09 )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(0.90 )</w:t>
            </w:r>
          </w:p>
        </w:tc>
      </w:tr>
      <w:tr>
        <w:trPr>
          <w:trHeight w:val="196"/>
        </w:trPr>
        <w:tc>
          <w:tcPr>
            <w:tcW w:w="578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Shares used in computing basic and diluted net loss per share</w:t>
            </w: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65,912,334</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65,208,066</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65,618,162</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63,759,585</w:t>
            </w:r>
          </w:p>
        </w:tc>
        <w:tc>
          <w:tcPr>
            <w:tcW w:w="100" w:type="dxa"/>
            <w:vAlign w:val="bottom"/>
            <w:tcBorders>
              <w:top w:val="single" w:sz="8" w:color="CFF0FC"/>
            </w:tcBorders>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-1071245</wp:posOffset>
            </wp:positionV>
            <wp:extent cx="266573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573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-187960</wp:posOffset>
            </wp:positionV>
            <wp:extent cx="266573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5730" cy="188595"/>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4" w:right="399" w:bottom="1440" w:gutter="0" w:footer="0" w:header="0"/>
        </w:sectPr>
      </w:pPr>
    </w:p>
    <w:bookmarkStart w:id="6" w:name="page7"/>
    <w:bookmarkEnd w:id="6"/>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80" w:type="dxa"/>
            <w:vAlign w:val="bottom"/>
          </w:tcPr>
          <w:p>
            <w:pPr>
              <w:spacing w:after="0"/>
              <w:rPr>
                <w:sz w:val="16"/>
                <w:szCs w:val="16"/>
                <w:color w:val="auto"/>
              </w:rPr>
            </w:pPr>
          </w:p>
        </w:tc>
        <w:tc>
          <w:tcPr>
            <w:tcW w:w="2280" w:type="dxa"/>
            <w:vAlign w:val="bottom"/>
            <w:gridSpan w:val="3"/>
            <w:vMerge w:val="restart"/>
          </w:tcPr>
          <w:p>
            <w:pPr>
              <w:jc w:val="right"/>
              <w:ind w:right="47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228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5"/>
                <w:szCs w:val="15"/>
                <w:color w:val="auto"/>
              </w:rPr>
            </w:pPr>
          </w:p>
        </w:tc>
        <w:tc>
          <w:tcPr>
            <w:tcW w:w="126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5"/>
                <w:szCs w:val="15"/>
                <w:color w:val="auto"/>
              </w:rPr>
            </w:pPr>
          </w:p>
        </w:tc>
        <w:tc>
          <w:tcPr>
            <w:tcW w:w="120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65,392,758</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623,344</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(533,724</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(677 )</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(23,885 )</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(23,885 )</w:t>
            </w:r>
          </w:p>
        </w:tc>
        <w:tc>
          <w:tcPr>
            <w:tcW w:w="0" w:type="dxa"/>
            <w:vAlign w:val="bottom"/>
          </w:tcPr>
          <w:p>
            <w:pPr>
              <w:spacing w:after="0"/>
              <w:rPr>
                <w:sz w:val="1"/>
                <w:szCs w:val="1"/>
                <w:color w:val="auto"/>
              </w:rPr>
            </w:pPr>
          </w:p>
        </w:tc>
      </w:tr>
      <w:tr>
        <w:trPr>
          <w:trHeight w:val="210"/>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65,398,355</w:t>
            </w: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626,721</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(557,609</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95,393</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w w:val="96"/>
              </w:rPr>
              <w:t>Issuance of common stock under the ESPP</w:t>
            </w:r>
          </w:p>
        </w:tc>
        <w:tc>
          <w:tcPr>
            <w:tcW w:w="1080" w:type="dxa"/>
            <w:vAlign w:val="bottom"/>
          </w:tcPr>
          <w:p>
            <w:pPr>
              <w:jc w:val="right"/>
              <w:spacing w:after="0"/>
              <w:rPr>
                <w:sz w:val="20"/>
                <w:szCs w:val="20"/>
                <w:color w:val="auto"/>
              </w:rPr>
            </w:pPr>
            <w:r>
              <w:rPr>
                <w:rFonts w:ascii="Arial" w:cs="Arial" w:eastAsia="Arial" w:hAnsi="Arial"/>
                <w:sz w:val="18"/>
                <w:szCs w:val="18"/>
                <w:color w:val="auto"/>
              </w:rPr>
              <w:t>262,744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(243 )</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(24,184 )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(24,184 )</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65,756,492</w:t>
            </w:r>
          </w:p>
        </w:tc>
        <w:tc>
          <w:tcPr>
            <w:tcW w:w="240" w:type="dxa"/>
            <w:vAlign w:val="bottom"/>
          </w:tcPr>
          <w:p>
            <w:pPr>
              <w:spacing w:after="0"/>
              <w:rPr>
                <w:sz w:val="18"/>
                <w:szCs w:val="18"/>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631,662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(1,162 )</w:t>
            </w:r>
          </w:p>
        </w:tc>
        <w:tc>
          <w:tcPr>
            <w:tcW w:w="2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(581,793 )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Release of PSUs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193,750</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gain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(23,296 )</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(23,296 )</w:t>
            </w:r>
          </w:p>
        </w:tc>
        <w:tc>
          <w:tcPr>
            <w:tcW w:w="0" w:type="dxa"/>
            <w:vAlign w:val="bottom"/>
          </w:tcPr>
          <w:p>
            <w:pPr>
              <w:spacing w:after="0"/>
              <w:rPr>
                <w:sz w:val="1"/>
                <w:szCs w:val="1"/>
                <w:color w:val="auto"/>
              </w:rPr>
            </w:pPr>
          </w:p>
        </w:tc>
      </w:tr>
      <w:tr>
        <w:trPr>
          <w:trHeight w:val="249"/>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65,950,242</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634,357</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(605,089</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63"/>
        </w:trPr>
        <w:tc>
          <w:tcPr>
            <w:tcW w:w="3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80" w:type="dxa"/>
            <w:vAlign w:val="bottom"/>
          </w:tcPr>
          <w:p>
            <w:pPr>
              <w:spacing w:after="0"/>
              <w:rPr>
                <w:sz w:val="16"/>
                <w:szCs w:val="16"/>
                <w:color w:val="auto"/>
              </w:rPr>
            </w:pPr>
          </w:p>
        </w:tc>
        <w:tc>
          <w:tcPr>
            <w:tcW w:w="2280" w:type="dxa"/>
            <w:vAlign w:val="bottom"/>
            <w:gridSpan w:val="3"/>
            <w:vMerge w:val="restart"/>
          </w:tcPr>
          <w:p>
            <w:pPr>
              <w:jc w:val="right"/>
              <w:ind w:right="47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228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5"/>
                <w:szCs w:val="15"/>
                <w:color w:val="auto"/>
              </w:rPr>
            </w:pPr>
          </w:p>
        </w:tc>
        <w:tc>
          <w:tcPr>
            <w:tcW w:w="126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5"/>
                <w:szCs w:val="15"/>
                <w:color w:val="auto"/>
              </w:rPr>
            </w:pPr>
          </w:p>
        </w:tc>
        <w:tc>
          <w:tcPr>
            <w:tcW w:w="120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2"/>
              </w:rPr>
              <w:t>Income/(Loss)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48,251,819</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499,964</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(450,115</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Issuance of common stock in follow-on</w:t>
            </w: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 net of issuance costs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16,428,571</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107,712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322,507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(15,554 )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(15,554 )</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80" w:type="dxa"/>
            <w:vAlign w:val="bottom"/>
          </w:tcPr>
          <w:p>
            <w:pPr>
              <w:jc w:val="right"/>
              <w:spacing w:after="0"/>
              <w:rPr>
                <w:sz w:val="20"/>
                <w:szCs w:val="20"/>
                <w:color w:val="auto"/>
              </w:rPr>
            </w:pPr>
            <w:r>
              <w:rPr>
                <w:rFonts w:ascii="Arial" w:cs="Arial" w:eastAsia="Arial" w:hAnsi="Arial"/>
                <w:sz w:val="18"/>
                <w:szCs w:val="18"/>
                <w:color w:val="auto"/>
              </w:rPr>
              <w:t>65,002,897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611,733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(43 )</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(465,669 )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68,971</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w w:val="96"/>
              </w:rPr>
              <w:t>Issuance of common stock under the ESPP</w:t>
            </w:r>
          </w:p>
        </w:tc>
        <w:tc>
          <w:tcPr>
            <w:tcW w:w="1080" w:type="dxa"/>
            <w:vAlign w:val="bottom"/>
          </w:tcPr>
          <w:p>
            <w:pPr>
              <w:jc w:val="right"/>
              <w:spacing w:after="0"/>
              <w:rPr>
                <w:sz w:val="20"/>
                <w:szCs w:val="20"/>
                <w:color w:val="auto"/>
              </w:rPr>
            </w:pPr>
            <w:r>
              <w:rPr>
                <w:rFonts w:ascii="Arial" w:cs="Arial" w:eastAsia="Arial" w:hAnsi="Arial"/>
                <w:sz w:val="18"/>
                <w:szCs w:val="18"/>
                <w:color w:val="auto"/>
              </w:rPr>
              <w:t>85,135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(19,243 )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(19,243 )</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080" w:type="dxa"/>
            <w:vAlign w:val="bottom"/>
          </w:tcPr>
          <w:p>
            <w:pPr>
              <w:jc w:val="right"/>
              <w:spacing w:after="0"/>
              <w:rPr>
                <w:sz w:val="20"/>
                <w:szCs w:val="20"/>
                <w:color w:val="auto"/>
              </w:rPr>
            </w:pPr>
            <w:r>
              <w:rPr>
                <w:rFonts w:ascii="Arial" w:cs="Arial" w:eastAsia="Arial" w:hAnsi="Arial"/>
                <w:sz w:val="18"/>
                <w:szCs w:val="18"/>
                <w:color w:val="auto"/>
              </w:rPr>
              <w:t>65,157,003</w:t>
            </w:r>
          </w:p>
        </w:tc>
        <w:tc>
          <w:tcPr>
            <w:tcW w:w="240" w:type="dxa"/>
            <w:vAlign w:val="bottom"/>
          </w:tcPr>
          <w:p>
            <w:pPr>
              <w:spacing w:after="0"/>
              <w:rPr>
                <w:sz w:val="18"/>
                <w:szCs w:val="18"/>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615,849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(484,912 )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92,113</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(22,584 )</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(22,584 )</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65,249,116</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619,117</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(507,496</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-4105275</wp:posOffset>
            </wp:positionV>
            <wp:extent cx="7683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-4105275</wp:posOffset>
            </wp:positionV>
            <wp:extent cx="7747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-4105275</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-4105275</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-4105275</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-3265170</wp:posOffset>
            </wp:positionV>
            <wp:extent cx="4303395" cy="763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03395" cy="76327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-1696720</wp:posOffset>
            </wp:positionV>
            <wp:extent cx="7683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-1696720</wp:posOffset>
            </wp:positionV>
            <wp:extent cx="7747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-1696720</wp:posOffset>
            </wp:positionV>
            <wp:extent cx="6858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-1696720</wp:posOffset>
            </wp:positionV>
            <wp:extent cx="6858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-1696720</wp:posOffset>
            </wp:positionV>
            <wp:extent cx="6858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-864870</wp:posOffset>
            </wp:positionV>
            <wp:extent cx="7683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-864870</wp:posOffset>
            </wp:positionV>
            <wp:extent cx="7747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-864870</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-864870</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-864870</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(71,365 )</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(57,381 )</w:t>
            </w:r>
          </w:p>
        </w:tc>
      </w:tr>
      <w:tr>
        <w:trPr>
          <w:trHeight w:val="216"/>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380"/>
              <w:spacing w:after="0"/>
              <w:rPr>
                <w:sz w:val="20"/>
                <w:szCs w:val="20"/>
                <w:color w:val="auto"/>
              </w:rPr>
            </w:pPr>
            <w:r>
              <w:rPr>
                <w:rFonts w:ascii="Arial" w:cs="Arial" w:eastAsia="Arial" w:hAnsi="Arial"/>
                <w:sz w:val="18"/>
                <w:szCs w:val="18"/>
                <w:color w:val="auto"/>
              </w:rPr>
              <w:t>Amortization of premium (accretion of discounts) on investments</w:t>
            </w:r>
          </w:p>
        </w:tc>
        <w:tc>
          <w:tcPr>
            <w:tcW w:w="34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(47 )</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10,555</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9,623</w:t>
            </w: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(986 )</w:t>
            </w: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(89 )</w:t>
            </w:r>
          </w:p>
        </w:tc>
      </w:tr>
      <w:tr>
        <w:trPr>
          <w:trHeight w:val="216"/>
        </w:trPr>
        <w:tc>
          <w:tcPr>
            <w:tcW w:w="79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(1,358 )</w:t>
            </w:r>
          </w:p>
        </w:tc>
      </w:tr>
      <w:tr>
        <w:trPr>
          <w:trHeight w:val="216"/>
        </w:trPr>
        <w:tc>
          <w:tcPr>
            <w:tcW w:w="7960" w:type="dxa"/>
            <w:vAlign w:val="bottom"/>
          </w:tcPr>
          <w:p>
            <w:pPr>
              <w:ind w:left="560"/>
              <w:spacing w:after="0"/>
              <w:rPr>
                <w:sz w:val="20"/>
                <w:szCs w:val="20"/>
                <w:color w:val="auto"/>
              </w:rPr>
            </w:pPr>
            <w:r>
              <w:rPr>
                <w:rFonts w:ascii="Arial" w:cs="Arial" w:eastAsia="Arial" w:hAnsi="Arial"/>
                <w:sz w:val="18"/>
                <w:szCs w:val="18"/>
                <w:color w:val="auto"/>
              </w:rPr>
              <w:t>Accrued liabilities and other long-term liabilities</w:t>
            </w:r>
          </w:p>
        </w:tc>
        <w:tc>
          <w:tcPr>
            <w:tcW w:w="34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(5,897 )</w:t>
            </w: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(550 )</w:t>
            </w:r>
          </w:p>
        </w:tc>
      </w:tr>
      <w:tr>
        <w:trPr>
          <w:trHeight w:val="216"/>
        </w:trPr>
        <w:tc>
          <w:tcPr>
            <w:tcW w:w="79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(48,475 )</w:t>
            </w: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(47,271 )</w:t>
            </w:r>
          </w:p>
        </w:tc>
      </w:tr>
      <w:tr>
        <w:trPr>
          <w:trHeight w:val="20"/>
        </w:trPr>
        <w:tc>
          <w:tcPr>
            <w:tcW w:w="79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96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(109,394 )</w:t>
            </w: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(87,839 )</w:t>
            </w:r>
          </w:p>
        </w:tc>
      </w:tr>
      <w:tr>
        <w:trPr>
          <w:trHeight w:val="20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(1,558 )</w:t>
            </w: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(1,364 )</w:t>
            </w:r>
          </w:p>
        </w:tc>
      </w:tr>
      <w:tr>
        <w:trPr>
          <w:trHeight w:val="216"/>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(99,898 )</w:t>
            </w: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Maturities of investments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123,996</w:t>
            </w:r>
          </w:p>
        </w:tc>
        <w:tc>
          <w:tcPr>
            <w:tcW w:w="100" w:type="dxa"/>
            <w:vAlign w:val="bottom"/>
          </w:tcPr>
          <w:p>
            <w:pPr>
              <w:spacing w:after="0"/>
              <w:rPr>
                <w:sz w:val="18"/>
                <w:szCs w:val="18"/>
                <w:color w:val="auto"/>
              </w:rPr>
            </w:pPr>
          </w:p>
        </w:tc>
      </w:tr>
      <w:tr>
        <w:trPr>
          <w:trHeight w:val="209"/>
        </w:trPr>
        <w:tc>
          <w:tcPr>
            <w:tcW w:w="79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107,712</w:t>
            </w: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Proceeds from employee stock purchase plan and exercise of stock options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r>
      <w:tr>
        <w:trPr>
          <w:trHeight w:val="210"/>
        </w:trPr>
        <w:tc>
          <w:tcPr>
            <w:tcW w:w="79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6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(110,494 )</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44,425</w:t>
            </w:r>
          </w:p>
        </w:tc>
        <w:tc>
          <w:tcPr>
            <w:tcW w:w="100" w:type="dxa"/>
            <w:vAlign w:val="bottom"/>
          </w:tcPr>
          <w:p>
            <w:pPr>
              <w:spacing w:after="0"/>
              <w:rPr>
                <w:sz w:val="18"/>
                <w:szCs w:val="18"/>
                <w:color w:val="auto"/>
              </w:rPr>
            </w:pPr>
          </w:p>
        </w:tc>
      </w:tr>
      <w:tr>
        <w:trPr>
          <w:trHeight w:val="216"/>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206,447</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95,953</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237,201</w:t>
            </w:r>
          </w:p>
        </w:tc>
        <w:tc>
          <w:tcPr>
            <w:tcW w:w="100" w:type="dxa"/>
            <w:vAlign w:val="bottom"/>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-2005330</wp:posOffset>
            </wp:positionV>
            <wp:extent cx="7683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-1156970</wp:posOffset>
            </wp:positionV>
            <wp:extent cx="7683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-590550</wp:posOffset>
            </wp:positionV>
            <wp:extent cx="7683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-307975</wp:posOffset>
            </wp:positionV>
            <wp:extent cx="7683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0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CytomX Therapeutics, Inc. (the “Company”) is a clinical-stage, oncology-focused biopharmaceutical company dedicated to destroying cancer differently.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spacing w:after="0" w:line="114" w:lineRule="exact"/>
        <w:rPr>
          <w:sz w:val="20"/>
          <w:szCs w:val="20"/>
          <w:color w:val="auto"/>
        </w:rPr>
      </w:pPr>
    </w:p>
    <w:p>
      <w:pPr>
        <w:ind w:right="5680" w:firstLine="8"/>
        <w:spacing w:after="0" w:line="362"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5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condensed results of operations for the three and nine months ended September 30, 2022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2021 filed with the SEC.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3"/>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1480" w:type="dxa"/>
            <w:vAlign w:val="bottom"/>
            <w:gridSpan w:val="3"/>
          </w:tcPr>
          <w:p>
            <w:pPr>
              <w:jc w:val="right"/>
              <w:ind w:right="837"/>
              <w:spacing w:after="0"/>
              <w:rPr>
                <w:sz w:val="20"/>
                <w:szCs w:val="20"/>
                <w:color w:val="auto"/>
              </w:rPr>
            </w:pPr>
            <w:r>
              <w:rPr>
                <w:rFonts w:ascii="Arial" w:cs="Arial" w:eastAsia="Arial" w:hAnsi="Arial"/>
                <w:sz w:val="13"/>
                <w:szCs w:val="13"/>
                <w:b w:val="1"/>
                <w:bCs w:val="1"/>
                <w:color w:val="auto"/>
                <w:w w:val="77"/>
              </w:rPr>
              <w:t>thousands)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6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5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205,530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236,284</w:t>
            </w: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191,859</w:t>
            </w:r>
          </w:p>
        </w:tc>
        <w:tc>
          <w:tcPr>
            <w:tcW w:w="100" w:type="dxa"/>
            <w:vAlign w:val="bottom"/>
            <w:shd w:val="clear" w:color="auto" w:fill="CFF0FC"/>
          </w:tcPr>
          <w:p>
            <w:pPr>
              <w:spacing w:after="0"/>
              <w:rPr>
                <w:sz w:val="19"/>
                <w:szCs w:val="19"/>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8"/>
                <w:szCs w:val="18"/>
                <w:color w:val="auto"/>
              </w:rPr>
              <w:t>Restricted cash - non-current assets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206,447</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237,201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192,776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-24765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1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75"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18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AbbVie Ireland Unlimited Company (“AbbVie”), one of the Company’s collaboration partners, entered into a license agreement with Seagen Inc., formerly Seattle Genetics, Inc. (“SGEN”) to license certain intellectual property rights. As part of the Company’s collaboration agreement with AbbVie, the Company was required to pay SGEN sublicense fees for certain milestone achievements and an annual maintenance fee. These sublicense fees are treated as reductions to the transaction price and combined with the performance obligation to which they relate.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5"/>
                <w:szCs w:val="15"/>
                <w:color w:val="auto"/>
              </w:rPr>
            </w:pPr>
          </w:p>
        </w:tc>
        <w:tc>
          <w:tcPr>
            <w:tcW w:w="2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64"/>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744"/>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RSUs and ESPP to purchase common stock</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16,438,937</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11,847,069</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15,560,598</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11,840,661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Investments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6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17" w:lineRule="exact"/>
        <w:rPr>
          <w:rFonts w:ascii="Arial" w:cs="Arial" w:eastAsia="Arial" w:hAnsi="Arial"/>
          <w:sz w:val="18"/>
          <w:szCs w:val="18"/>
          <w:color w:val="auto"/>
        </w:rPr>
      </w:pPr>
    </w:p>
    <w:p>
      <w:pPr>
        <w:ind w:left="1020" w:right="500" w:hanging="503"/>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7"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Treasury securities that are included in cash equivalent or short-term investments.</w:t>
      </w:r>
    </w:p>
    <w:p>
      <w:pPr>
        <w:spacing w:after="0" w:line="16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tables set forth the fair value of the Company’s investments subject to fair value measurements on a recurring basis and the level of inputs used in such measurements: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260" w:type="dxa"/>
            <w:vAlign w:val="bottom"/>
          </w:tcPr>
          <w:p>
            <w:pPr>
              <w:spacing w:after="0"/>
              <w:rPr>
                <w:sz w:val="11"/>
                <w:szCs w:val="11"/>
                <w:color w:val="auto"/>
              </w:rPr>
            </w:pPr>
          </w:p>
        </w:tc>
        <w:tc>
          <w:tcPr>
            <w:tcW w:w="130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5"/>
              </w:rPr>
              <w:t>Valuation</w:t>
            </w:r>
          </w:p>
        </w:tc>
        <w:tc>
          <w:tcPr>
            <w:tcW w:w="180" w:type="dxa"/>
            <w:vAlign w:val="bottom"/>
          </w:tcPr>
          <w:p>
            <w:pPr>
              <w:spacing w:after="0"/>
              <w:rPr>
                <w:sz w:val="11"/>
                <w:szCs w:val="11"/>
                <w:color w:val="auto"/>
              </w:rPr>
            </w:pPr>
          </w:p>
        </w:tc>
        <w:tc>
          <w:tcPr>
            <w:tcW w:w="96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5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2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ind w:left="760"/>
              <w:spacing w:after="0"/>
              <w:rPr>
                <w:sz w:val="20"/>
                <w:szCs w:val="20"/>
                <w:color w:val="auto"/>
              </w:rPr>
            </w:pPr>
            <w:r>
              <w:rPr>
                <w:rFonts w:ascii="Arial" w:cs="Arial" w:eastAsia="Arial" w:hAnsi="Arial"/>
                <w:sz w:val="14"/>
                <w:szCs w:val="14"/>
                <w:b w:val="1"/>
                <w:bCs w:val="1"/>
                <w:color w:val="auto"/>
              </w:rPr>
              <w:t>(in</w:t>
            </w:r>
          </w:p>
        </w:tc>
        <w:tc>
          <w:tcPr>
            <w:tcW w:w="1460" w:type="dxa"/>
            <w:vAlign w:val="bottom"/>
            <w:gridSpan w:val="3"/>
          </w:tcPr>
          <w:p>
            <w:pPr>
              <w:jc w:val="right"/>
              <w:ind w:right="836"/>
              <w:spacing w:after="0"/>
              <w:rPr>
                <w:sz w:val="20"/>
                <w:szCs w:val="20"/>
                <w:color w:val="auto"/>
              </w:rPr>
            </w:pPr>
            <w:r>
              <w:rPr>
                <w:rFonts w:ascii="Arial" w:cs="Arial" w:eastAsia="Arial" w:hAnsi="Arial"/>
                <w:sz w:val="13"/>
                <w:szCs w:val="13"/>
                <w:b w:val="1"/>
                <w:bCs w:val="1"/>
                <w:color w:val="auto"/>
                <w:w w:val="74"/>
              </w:rPr>
              <w:t>thousands)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Level I</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36,312</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36,312</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7"/>
              </w:rPr>
              <w:t>Level I</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Level I</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140,001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(795 )</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139,206</w:t>
            </w:r>
          </w:p>
        </w:tc>
        <w:tc>
          <w:tcPr>
            <w:tcW w:w="100" w:type="dxa"/>
            <w:vAlign w:val="bottom"/>
          </w:tcPr>
          <w:p>
            <w:pPr>
              <w:spacing w:after="0"/>
              <w:rPr>
                <w:sz w:val="18"/>
                <w:szCs w:val="18"/>
                <w:color w:val="auto"/>
              </w:rPr>
            </w:pPr>
          </w:p>
        </w:tc>
      </w:tr>
      <w:tr>
        <w:trPr>
          <w:trHeight w:val="250"/>
        </w:trPr>
        <w:tc>
          <w:tcPr>
            <w:tcW w:w="4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177,230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4260" w:type="dxa"/>
            <w:vAlign w:val="bottom"/>
          </w:tcPr>
          <w:p>
            <w:pPr>
              <w:spacing w:after="0"/>
              <w:rPr>
                <w:sz w:val="12"/>
                <w:szCs w:val="12"/>
                <w:color w:val="auto"/>
              </w:rPr>
            </w:pPr>
          </w:p>
        </w:tc>
        <w:tc>
          <w:tcPr>
            <w:tcW w:w="13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5"/>
              </w:rPr>
              <w:t>Valuation</w:t>
            </w:r>
          </w:p>
        </w:tc>
        <w:tc>
          <w:tcPr>
            <w:tcW w:w="180" w:type="dxa"/>
            <w:vAlign w:val="bottom"/>
          </w:tcPr>
          <w:p>
            <w:pPr>
              <w:spacing w:after="0"/>
              <w:rPr>
                <w:sz w:val="12"/>
                <w:szCs w:val="12"/>
                <w:color w:val="auto"/>
              </w:rPr>
            </w:pPr>
          </w:p>
        </w:tc>
        <w:tc>
          <w:tcPr>
            <w:tcW w:w="96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19"/>
              <w:spacing w:after="0" w:line="147"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50"/>
              <w:spacing w:after="0" w:line="147"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2"/>
                <w:szCs w:val="12"/>
                <w:color w:val="auto"/>
              </w:rPr>
            </w:pPr>
          </w:p>
        </w:tc>
      </w:tr>
      <w:tr>
        <w:trPr>
          <w:trHeight w:val="171"/>
        </w:trPr>
        <w:tc>
          <w:tcPr>
            <w:tcW w:w="42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169"/>
        </w:trPr>
        <w:tc>
          <w:tcPr>
            <w:tcW w:w="4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ind w:left="760"/>
              <w:spacing w:after="0"/>
              <w:rPr>
                <w:sz w:val="20"/>
                <w:szCs w:val="20"/>
                <w:color w:val="auto"/>
              </w:rPr>
            </w:pPr>
            <w:r>
              <w:rPr>
                <w:rFonts w:ascii="Arial" w:cs="Arial" w:eastAsia="Arial" w:hAnsi="Arial"/>
                <w:sz w:val="14"/>
                <w:szCs w:val="14"/>
                <w:b w:val="1"/>
                <w:bCs w:val="1"/>
                <w:color w:val="auto"/>
              </w:rPr>
              <w:t>(in</w:t>
            </w:r>
          </w:p>
        </w:tc>
        <w:tc>
          <w:tcPr>
            <w:tcW w:w="1460" w:type="dxa"/>
            <w:vAlign w:val="bottom"/>
            <w:gridSpan w:val="3"/>
          </w:tcPr>
          <w:p>
            <w:pPr>
              <w:jc w:val="right"/>
              <w:ind w:right="836"/>
              <w:spacing w:after="0"/>
              <w:rPr>
                <w:sz w:val="20"/>
                <w:szCs w:val="20"/>
                <w:color w:val="auto"/>
              </w:rPr>
            </w:pPr>
            <w:r>
              <w:rPr>
                <w:rFonts w:ascii="Arial" w:cs="Arial" w:eastAsia="Arial" w:hAnsi="Arial"/>
                <w:sz w:val="13"/>
                <w:szCs w:val="13"/>
                <w:b w:val="1"/>
                <w:bCs w:val="1"/>
                <w:color w:val="auto"/>
                <w:w w:val="74"/>
              </w:rPr>
              <w:t>thousands)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Level I</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165,736</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165,736</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7"/>
              </w:rPr>
              <w:t>Level I</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Level I</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99,938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(242 )</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99,696</w:t>
            </w:r>
          </w:p>
        </w:tc>
        <w:tc>
          <w:tcPr>
            <w:tcW w:w="100" w:type="dxa"/>
            <w:vAlign w:val="bottom"/>
          </w:tcPr>
          <w:p>
            <w:pPr>
              <w:spacing w:after="0"/>
              <w:rPr>
                <w:sz w:val="18"/>
                <w:szCs w:val="18"/>
                <w:color w:val="auto"/>
              </w:rPr>
            </w:pPr>
          </w:p>
        </w:tc>
      </w:tr>
      <w:tr>
        <w:trPr>
          <w:trHeight w:val="250"/>
        </w:trPr>
        <w:tc>
          <w:tcPr>
            <w:tcW w:w="4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266,591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-1344930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-1327785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-1344930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-1327785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-1344930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-1327785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color w:val="auto"/>
        </w:rPr>
        <w:t>As of September 30, 2022, the unrealized losses on the Company’s investment in U.S. Treasury securities were caused by interest rate changes and were not attributable to credit losses. The remaining contractual terms of those investments are less than a year. The Company does not intend to sell the investments and it is not more likely than not that the Company will be required to sell the investments before recovery of their amortized cost bases.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7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5"/>
                <w:szCs w:val="15"/>
                <w:color w:val="auto"/>
              </w:rPr>
            </w:pPr>
          </w:p>
        </w:tc>
      </w:tr>
      <w:tr>
        <w:trPr>
          <w:trHeight w:val="185"/>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clinical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15,252</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Payroll and related expenses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9,576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Legal and professional expenses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liabilities - short term</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expenses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Research and Collaboration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85"/>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8"/>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79"/>
              </w:rPr>
              <w:t>thousands)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ind w:left="680"/>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8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11,253</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Amgen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6,884</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5,712</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14,575</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22,215</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22,215</w:t>
            </w:r>
          </w:p>
        </w:tc>
        <w:tc>
          <w:tcPr>
            <w:tcW w:w="100" w:type="dxa"/>
            <w:vAlign w:val="bottom"/>
          </w:tcPr>
          <w:p>
            <w:pPr>
              <w:spacing w:after="0"/>
              <w:rPr>
                <w:sz w:val="18"/>
                <w:szCs w:val="18"/>
                <w:color w:val="auto"/>
              </w:rPr>
            </w:pPr>
          </w:p>
        </w:tc>
      </w:tr>
      <w:tr>
        <w:trPr>
          <w:trHeight w:val="249"/>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16,915</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17,587</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52,217</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center"/>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conditionally activated antibody-drug conjugate (“ADC”)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and commercialization unless it opts-out. If the Company opts-out from participation of co-development of the CD71 conditionally activated ADC, which includes CX-2029, AbbVie will have sole right and responsibility for the further development, manufacturing and commercialization of such CD71 conditionally activated ADC.</w:t>
      </w:r>
    </w:p>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Under the CD71 Agreement, the Company received an upfront payment of $20.0 million in April 2016, and was eligible to initially receive up to $470.0 million in development, regulatory and commercial milestone payments, a 35% profit split on U.S. sales, and royalties on ex-U.S. sales at percentages in the high teens to low twenties if the Company participates in the co-development of the CD71 conditionally activated ADC subject to a reversion to a royalty on U.S. sales, and reduction in royalties on ex-U.S. sales, if the Company opts-out from the co-development of the CD71 conditionally activated ADC. The Company’s share of later stage co-development costs for each CD71 conditionally activated ADC is capped, provided that AbbVie may offset the Company’s co-development cost above the capped amounts from future payments such as milestone payments and royalties. Inclusive of payments received in 2017, 2018 and 2020, as of September 30, 2022, the Company has received $100.0 million in milestone payments under the CD71 Agreement.</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terms of the Discovery Agreement, AbbVie receives exclusive worldwide rights to develop and commercialize conditionally activated ADCs against up to two targets, one of which was selected in March 2017. The Company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150"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1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 receive up to $265.0 million for each target, in development, regulatory and commercial milestone payments and royalties at percentages in the high single to low teens from commercial sales of any resulting conditionally activated ADCs. The second target was selected under the Discovery Agreement that allows AbbVie to select a target for developing a conditionally activated ADC or a Probody.</w:t>
      </w:r>
    </w:p>
    <w:p>
      <w:pPr>
        <w:spacing w:after="0" w:line="16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Company determined that the remaining potential milestone payments of both agreements, if recognized, are probable of significant revenue reversal as their achievement is highly dependent on factors outside the Company’s control. Therefore, these payments continue to be fully constrained and are not included in the transaction price as of September 30, 2022.</w:t>
      </w:r>
    </w:p>
    <w:p>
      <w:pPr>
        <w:spacing w:after="0" w:line="13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of September 30, 2022 and December 31, 2021, deferred revenue related to the CD71 Agreement performance obligation was $6.6 million and $16.1 million, respectively, and deferred revenue related to the Discovery Agreement performance obligation was $3.5 million and $5.2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0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5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 In January 2022, the IND for the EGFR product (CX-904) was allowed to proceed by the U.S. Food and Drug Administration (“FDA”).</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was initially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5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As of September 30, 2022 and December 31, 2021, deferred revenue related to the EGFR Products performance obligation was $19.4 million and $21.8 million, respectively. As of September 30, 2022 and December 31, 2021, deferred revenue related to the Amgen Other Products performance obligation was $0.8 million and $1.4 million, respectively.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0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4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14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 time employee ("FTE") rate.</w:t>
      </w:r>
    </w:p>
    <w:p>
      <w:pPr>
        <w:spacing w:after="0" w:line="18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As of September 30, 2022 and December 31, 2021, deferred revenue relating to the Astellas Agreement was $39.6 million and $51.6 million, respectively. The amount due from Astellas under the Astellas Agreement was $1.7 million and $0.8 million as of September 30, 2022 and December 31, 2021, respectively.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17"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7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was entitled to royalty payments in the mid-single digits to low double-digit percentages from potential future sales. The Company also received research and development service fees based on a prescribed FTE rate that was capped.</w:t>
      </w:r>
    </w:p>
    <w:p>
      <w:pPr>
        <w:spacing w:after="0" w:line="123"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15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Pursuant to Amendment 1, the financial consideration from Bristol Myers Squibb was comprised of an upfront payment of $200.0 million and the Company was initially eligible to receive contingent payments for development, regulatory and sales milestones of up to an aggregate of $3,586.0 million for the eight targets. The Company was also entitled to tiered mid-single to low double-digit percentage royalties from potential future sales. Amendment 1 did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licensed product in a country, or (iii) the expiration of any applicable regulatory, pediatric, orphan drug or data exclusivity with respect to such product.</w:t>
      </w:r>
    </w:p>
    <w:p>
      <w:pPr>
        <w:spacing w:after="0" w:line="22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initial transaction price for the BMS Agreement and Amendment 1, collectively, was $272.8 million consisting of the upfront fees of $250.0 million, research and development service fees of $10.8 million and milestone payments received of $12.0 million upon the adoption of ASC 606 on January 1, 2018.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February 2021, the Company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the Company will continue to collaborate with Bristol Myers Squibb to discover and conduct preclinical development of Probody therapeutics against targets selected by Bristol Myers Squibb over the estimated research period, which ends in April 2025. Pursuant to Amendment 2, the Company is eligible to receive contingent payments for development, regulatory and sales milestones of up to an aggregate of $1,779.0 million. It is also entitled to tiered mid-single to low double-digit percentage of royalties from potential future sales. In addition, the Company will no longer be entitled to receive the research and development service fee as part of the arrangement.</w:t>
      </w:r>
    </w:p>
    <w:p>
      <w:pPr>
        <w:spacing w:after="0" w:line="175"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The Company reevaluated the remaining potential milestone payments and determined that significant revenue reversal was still probable as the achievement of such milestones was highly dependent on factors outside the Company’s control. As a result, these payments continued to be fully constrained and are not included in the transaction price as of September 30, 2022.</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and December 31, 2021, deferred revenue relating to the BMS Agreement was $76.5 million and $98.8 million,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during the nine months ended September 30, 2022:</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Deductions</w:t>
            </w:r>
          </w:p>
        </w:tc>
        <w:tc>
          <w:tcPr>
            <w:tcW w:w="28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12/31/2021</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ind w:left="920"/>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74"/>
              </w:rPr>
              <w:t>thousands)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194,922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(48,475 )   $</w:t>
            </w:r>
          </w:p>
        </w:tc>
        <w:tc>
          <w:tcPr>
            <w:tcW w:w="1220" w:type="dxa"/>
            <w:vAlign w:val="bottom"/>
          </w:tcPr>
          <w:p>
            <w:pPr>
              <w:jc w:val="right"/>
              <w:spacing w:after="0"/>
              <w:rPr>
                <w:sz w:val="20"/>
                <w:szCs w:val="20"/>
                <w:color w:val="auto"/>
              </w:rPr>
            </w:pPr>
            <w:r>
              <w:rPr>
                <w:rFonts w:ascii="Arial" w:cs="Arial" w:eastAsia="Arial" w:hAnsi="Arial"/>
                <w:sz w:val="18"/>
                <w:szCs w:val="18"/>
                <w:color w:val="auto"/>
              </w:rPr>
              <w:t>146,447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expects that the $146.4 million of deferred revenue related to the following contracts as of September 30, 2022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73" w:lineRule="exact"/>
        <w:rPr>
          <w:sz w:val="20"/>
          <w:szCs w:val="20"/>
          <w:color w:val="auto"/>
        </w:rPr>
      </w:pPr>
    </w:p>
    <w:p>
      <w:pPr>
        <w:ind w:left="1020" w:right="24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$6.6 million of deferred revenue related to the CD71 Agreement with AbbVie is expected to be recognized based on actual FTE effort and program progress until 2023.</w:t>
      </w:r>
    </w:p>
    <w:p>
      <w:pPr>
        <w:spacing w:after="0" w:line="76"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$3.5 million of deferred revenue related to the second target under the Discovery Agreement with AbbVie is expected to be recognized ratably until 2024.</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$19.4 million of deferred revenue related to the Amgen EGFR Products is expected to be recognized based on actual FTE effort and program progress until 2026.</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$0.8 million of deferred revenue related to the Amgen Other Products is expected to be recognized ratably until 2023.</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$39.6 million of deferred revenue related to the Astellas Agreement is expected to be recognized ratably until 2025.</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$76.5 million of deferred revenue related to the BMS Agreement is expected to be recognized ratably until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40" w:lineRule="exact"/>
        <w:rPr>
          <w:sz w:val="20"/>
          <w:szCs w:val="20"/>
          <w:color w:val="auto"/>
        </w:rPr>
      </w:pPr>
    </w:p>
    <w:p>
      <w:pPr>
        <w:ind w:right="8940" w:firstLine="8"/>
        <w:spacing w:after="0" w:line="407" w:lineRule="auto"/>
        <w:tabs>
          <w:tab w:leader="none" w:pos="1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Stock Options</w:t>
      </w:r>
    </w:p>
    <w:p>
      <w:pPr>
        <w:spacing w:after="0"/>
        <w:rPr>
          <w:rFonts w:ascii="Arial" w:cs="Arial" w:eastAsia="Arial" w:hAnsi="Arial"/>
          <w:sz w:val="16"/>
          <w:szCs w:val="16"/>
          <w:b w:val="1"/>
          <w:bCs w:val="1"/>
          <w:color w:val="auto"/>
        </w:rPr>
      </w:pPr>
      <w:r>
        <w:rPr>
          <w:rFonts w:ascii="Arial" w:cs="Arial" w:eastAsia="Arial" w:hAnsi="Arial"/>
          <w:sz w:val="18"/>
          <w:szCs w:val="18"/>
          <w:color w:val="auto"/>
        </w:rPr>
        <w:t>Activities for the Company’s stock option plans for the nine months ended September 30,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998"/>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680" w:type="dxa"/>
            <w:vAlign w:val="bottom"/>
          </w:tcPr>
          <w:p>
            <w:pPr>
              <w:spacing w:after="0"/>
              <w:rPr>
                <w:sz w:val="13"/>
                <w:szCs w:val="13"/>
                <w:color w:val="auto"/>
              </w:rPr>
            </w:pPr>
          </w:p>
        </w:tc>
        <w:tc>
          <w:tcPr>
            <w:tcW w:w="184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3"/>
                <w:szCs w:val="13"/>
                <w:color w:val="auto"/>
              </w:rPr>
            </w:pPr>
          </w:p>
        </w:tc>
        <w:tc>
          <w:tcPr>
            <w:tcW w:w="1380" w:type="dxa"/>
            <w:vAlign w:val="bottom"/>
          </w:tcPr>
          <w:p>
            <w:pPr>
              <w:jc w:val="center"/>
              <w:ind w:right="198"/>
              <w:spacing w:after="0" w:line="158" w:lineRule="exact"/>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138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12,192,216</w:t>
            </w:r>
          </w:p>
        </w:tc>
        <w:tc>
          <w:tcPr>
            <w:tcW w:w="2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granted</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4,962,418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(100,990 )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 forfeited/expired</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(2,792,227 )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14,261,417</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Company recorded $2.3 million and $3.0 million of stock-based compensation expense related to the stock options for the three months ended September 30, 2022 and 2021, respectively.</w:t>
      </w:r>
    </w:p>
    <w:p>
      <w:pPr>
        <w:spacing w:after="0" w:line="17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Company recorded $8.0 million and $9.3 million of stock-based compensation expense related to the stock options for the nine months ended September 30, 2022 and 2021,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RSUs ("TRSU")</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the Company’s TRSUs for the nine months ended September 30, 2022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1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97"/>
              </w:rPr>
              <w:t>Weighted Average Grant</w:t>
            </w:r>
          </w:p>
        </w:tc>
        <w:tc>
          <w:tcPr>
            <w:tcW w:w="100" w:type="dxa"/>
            <w:vAlign w:val="bottom"/>
          </w:tcPr>
          <w:p>
            <w:pPr>
              <w:spacing w:after="0"/>
              <w:rPr>
                <w:sz w:val="14"/>
                <w:szCs w:val="14"/>
                <w:color w:val="auto"/>
              </w:rPr>
            </w:pPr>
          </w:p>
        </w:tc>
      </w:tr>
      <w:tr>
        <w:trPr>
          <w:trHeight w:val="185"/>
        </w:trPr>
        <w:tc>
          <w:tcPr>
            <w:tcW w:w="7360" w:type="dxa"/>
            <w:vAlign w:val="bottom"/>
          </w:tcPr>
          <w:p>
            <w:pPr>
              <w:spacing w:after="0"/>
              <w:rPr>
                <w:sz w:val="16"/>
                <w:szCs w:val="16"/>
                <w:color w:val="auto"/>
              </w:rPr>
            </w:pPr>
          </w:p>
        </w:tc>
        <w:tc>
          <w:tcPr>
            <w:tcW w:w="20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Date Fair Value Per Share</w:t>
            </w:r>
          </w:p>
        </w:tc>
        <w:tc>
          <w:tcPr>
            <w:tcW w:w="100" w:type="dxa"/>
            <w:vAlign w:val="bottom"/>
          </w:tcPr>
          <w:p>
            <w:pPr>
              <w:spacing w:after="0"/>
              <w:rPr>
                <w:sz w:val="16"/>
                <w:szCs w:val="16"/>
                <w:color w:val="auto"/>
              </w:rPr>
            </w:pPr>
          </w:p>
        </w:tc>
      </w:tr>
      <w:tr>
        <w:trPr>
          <w:trHeight w:val="385"/>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433,250</w:t>
            </w:r>
          </w:p>
        </w:tc>
        <w:tc>
          <w:tcPr>
            <w:tcW w:w="300" w:type="dxa"/>
            <w:vAlign w:val="bottom"/>
          </w:tcPr>
          <w:p>
            <w:pPr>
              <w:spacing w:after="0"/>
              <w:rPr>
                <w:sz w:val="24"/>
                <w:szCs w:val="24"/>
                <w:color w:val="auto"/>
              </w:rPr>
            </w:pPr>
          </w:p>
        </w:tc>
        <w:tc>
          <w:tcPr>
            <w:tcW w:w="76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4"/>
                <w:szCs w:val="24"/>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RSUs awarded</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1,314,210</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RSUs cancelled</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(348,152 )</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r>
      <w:tr>
        <w:trPr>
          <w:trHeight w:val="250"/>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1,399,308</w:t>
            </w: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Company recorded $0.1 million and $0.8 million of stock-based compensation expense related to the TRSUs for the three and nine months ended September 30, 2022, respectively. The Company began granting TRSUs in the fourth quarter of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 ("PSUs")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October 2021, the Company granted 435,000 PSUs to executive employees with an aggregated grant date fair value of $2.3 million. 50% of the PSUs granted will vest within one year of the grant date upon achievement of certain specific milestones ("2021-Tranche 1") and the remaining 50% will vest within two years of the grant date upon achievement of additional company objectives ("2021-Tranche 2"). The Company determined that it is not probable that the performance conditions will be satisfied for each of these Tranches and hence no compensation cost was recorded for these awards for the year ended December 31, 2021.</w:t>
      </w:r>
    </w:p>
    <w:p>
      <w:pPr>
        <w:spacing w:after="0" w:line="15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During the second quarter of 2022, the Company determined that the achievement of the milestones for 2021-Tranche 1 was probable and hence recorded $1.0 million of stock-based compensation expense. In July 2022, the Company determined that the performance condition for 2021-Tranche 1 was met and recorded $32,000 and $1.0 million of stock-based compensation expense for the three and nine months ended September 30, 2022, respectively. As the achievement of the milestones for Tranche 2 was not considered probable, no compensation cost was recorded for Tranche 2 of these awards for the three and nine months ended September 30, 2022.</w:t>
      </w:r>
    </w:p>
    <w:p>
      <w:pPr>
        <w:spacing w:after="0" w:line="15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August 2022, the Company granted 250,000 PSUs to executive employees with an aggregated grant date fair value of approximately $0.4 million. Vesting for 50% of the PSUs granted will occur upon attaining certain specific milestones by December 2023 (“2022-Tranche 1”), and the remaining 50% will vest upon attaining certain specific milestones by December 2024 (“2022-Tranche 2”). As of September 30, 2022, the Company determined that it is probable that the performance conditions for 2022-Tranche 1 will be satisfied and hence recorded $20,000 compensation cost for those awards for the three and nine months ended September 30, 2022. As of September 30, 2022,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Company determined that it is not probable that the performance conditions for 2022-Tranche 2 will be satisfied and hence recorded no compensation cost for those awards for the three and nine months ended September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the Company’s PSUs for the nine months ended September 30, 2022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1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97"/>
              </w:rPr>
              <w:t>Weighted Average Grant</w:t>
            </w:r>
          </w:p>
        </w:tc>
        <w:tc>
          <w:tcPr>
            <w:tcW w:w="100" w:type="dxa"/>
            <w:vAlign w:val="bottom"/>
          </w:tcPr>
          <w:p>
            <w:pPr>
              <w:spacing w:after="0"/>
              <w:rPr>
                <w:sz w:val="14"/>
                <w:szCs w:val="14"/>
                <w:color w:val="auto"/>
              </w:rPr>
            </w:pPr>
          </w:p>
        </w:tc>
      </w:tr>
      <w:tr>
        <w:trPr>
          <w:trHeight w:val="185"/>
        </w:trPr>
        <w:tc>
          <w:tcPr>
            <w:tcW w:w="7360" w:type="dxa"/>
            <w:vAlign w:val="bottom"/>
          </w:tcPr>
          <w:p>
            <w:pPr>
              <w:spacing w:after="0"/>
              <w:rPr>
                <w:sz w:val="16"/>
                <w:szCs w:val="16"/>
                <w:color w:val="auto"/>
              </w:rPr>
            </w:pPr>
          </w:p>
        </w:tc>
        <w:tc>
          <w:tcPr>
            <w:tcW w:w="20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Date Fair Value Per Share</w:t>
            </w:r>
          </w:p>
        </w:tc>
        <w:tc>
          <w:tcPr>
            <w:tcW w:w="100" w:type="dxa"/>
            <w:vAlign w:val="bottom"/>
          </w:tcPr>
          <w:p>
            <w:pPr>
              <w:spacing w:after="0"/>
              <w:rPr>
                <w:sz w:val="16"/>
                <w:szCs w:val="16"/>
                <w:color w:val="auto"/>
              </w:rPr>
            </w:pPr>
          </w:p>
        </w:tc>
      </w:tr>
      <w:tr>
        <w:trPr>
          <w:trHeight w:val="385"/>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435,000</w:t>
            </w:r>
          </w:p>
        </w:tc>
        <w:tc>
          <w:tcPr>
            <w:tcW w:w="300" w:type="dxa"/>
            <w:vAlign w:val="bottom"/>
          </w:tcPr>
          <w:p>
            <w:pPr>
              <w:spacing w:after="0"/>
              <w:rPr>
                <w:sz w:val="24"/>
                <w:szCs w:val="24"/>
                <w:color w:val="auto"/>
              </w:rPr>
            </w:pPr>
          </w:p>
        </w:tc>
        <w:tc>
          <w:tcPr>
            <w:tcW w:w="76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4"/>
                <w:szCs w:val="24"/>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PSUs awarded</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PSUs vested</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(193,750 )</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PSUs cancelled</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(93,750 )</w:t>
            </w:r>
          </w:p>
        </w:tc>
        <w:tc>
          <w:tcPr>
            <w:tcW w:w="7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18"/>
                <w:szCs w:val="18"/>
                <w:color w:val="auto"/>
              </w:rPr>
            </w:pPr>
          </w:p>
        </w:tc>
      </w:tr>
      <w:tr>
        <w:trPr>
          <w:trHeight w:val="209"/>
        </w:trPr>
        <w:tc>
          <w:tcPr>
            <w:tcW w:w="73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397,500</w:t>
            </w:r>
          </w:p>
        </w:tc>
        <w:tc>
          <w:tcPr>
            <w:tcW w:w="30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jc w:val="right"/>
              <w:ind w:right="57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FF0FC"/>
            </w:tcBorders>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ind w:right="600"/>
        <w:spacing w:after="0" w:line="256" w:lineRule="auto"/>
        <w:rPr>
          <w:sz w:val="20"/>
          <w:szCs w:val="20"/>
          <w:color w:val="auto"/>
        </w:rPr>
      </w:pPr>
      <w:r>
        <w:rPr>
          <w:rFonts w:ascii="Arial" w:cs="Arial" w:eastAsia="Arial" w:hAnsi="Arial"/>
          <w:sz w:val="18"/>
          <w:szCs w:val="18"/>
          <w:color w:val="auto"/>
        </w:rPr>
        <w:t>The total stock-based compensation expense for each of the three and nine months ended September 30, 2022 included $0.1 million in research and development expense, and $0.1 million in general and administrative expenses related to the modification of certain awards in connection with the restructuring in the third quarter of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recorded related to options, TRSUs, PSUs and the ESPP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080" w:type="dxa"/>
            <w:vAlign w:val="bottom"/>
            <w:gridSpan w:val="2"/>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1,328</w:t>
            </w:r>
          </w:p>
        </w:tc>
        <w:tc>
          <w:tcPr>
            <w:tcW w:w="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w:t>
            </w:r>
          </w:p>
        </w:tc>
        <w:tc>
          <w:tcPr>
            <w:tcW w:w="7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1,836</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3,164</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10,555</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-25400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9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In September 2022, the Company filed a motion to dismiss the case and the Court granted the parties’ stipulation to stay all pending case deadlines until that motion is finally resolved. The Company believes that the lawsuit is without merit and intends to vigorously defend itself, and has not recorded any amount for claims associated with this lawsuit as of September 30, 2022.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maintains a full valuation allowance against its net deferred tax assets due to the Company’s history of losses as of September 30, 2022 and December 31, 2021</w:t>
      </w:r>
      <w:r>
        <w:rPr>
          <w:rFonts w:ascii="Arial" w:cs="Arial" w:eastAsia="Arial" w:hAnsi="Arial"/>
          <w:sz w:val="18"/>
          <w:szCs w:val="18"/>
          <w:i w:val="1"/>
          <w:iCs w:val="1"/>
          <w:color w:val="auto"/>
        </w:rPr>
        <w:t>.</w:t>
      </w:r>
    </w:p>
    <w:p>
      <w:pPr>
        <w:spacing w:after="0" w:line="14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Company files income taxes in the U.S. federal jurisdiction, the state of California and various other U.S. states. The Company is currently under examination by the state of California for the years 2017 and 2018. The examination contests the Company’s tax position on revenue apportionment for upfront and milestone payments resulting from the Company’s collaboration and licensing agreements. As of the date of this filing, the state of California has not proposed adjustments to the tax returns. Due to the ongoing nature of the examination and discussions with the state of California, the Company is unable to estimate a date by which this matter will be resolved or reasonably estimate the potential impact should the tax position be revised. Based on the Company's current expectations and understanding of the reasonably possible outcomes, the Company does not anticipate that the resolution of this matter would result in a material impact on its financial position or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44"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w:t>
      </w:r>
    </w:p>
    <w:p>
      <w:pPr>
        <w:spacing w:after="0" w:line="19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On July 13, 2022, the Company announced a restructuring plan to prioritize its resources on its emerging pre-clinical and early clinical pipeline as well as its existing collaboration partnerships. The restructuring plan resulted in a reduction to its workforce of approximately 40%. Restructuring costs of $2.0 million and $5.1 million were recorded in general and administrative expense and research and development expense, respectively, for the three- and nine-months ended September 30, 2022. In connection with the restructuring, the Company has recorded a total of $0.2 million stock-based compensation related to the modification of awards, of which $0.1 million was recorded in general and administrative expense and $0.1 million in research and development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accrued restructuring costs as of September 30, 2022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5"/>
              </w:rPr>
              <w:t>Severance and</w:t>
            </w:r>
          </w:p>
        </w:tc>
        <w:tc>
          <w:tcPr>
            <w:tcW w:w="15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Contract Termination</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Stock Based</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480" w:type="dxa"/>
            <w:vAlign w:val="bottom"/>
            <w:vMerge w:val="restart"/>
          </w:tcPr>
          <w:p>
            <w:pPr>
              <w:ind w:left="16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16"/>
                <w:szCs w:val="16"/>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Benefits Costs</w:t>
            </w: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Compensation</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6,817</w:t>
            </w:r>
          </w:p>
        </w:tc>
        <w:tc>
          <w:tcPr>
            <w:tcW w:w="300" w:type="dxa"/>
            <w:vAlign w:val="bottom"/>
          </w:tcPr>
          <w:p>
            <w:pPr>
              <w:spacing w:after="0"/>
              <w:rPr>
                <w:sz w:val="18"/>
                <w:szCs w:val="18"/>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 payment</w:t>
            </w: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(3,119 )</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(3,119 )</w:t>
            </w:r>
          </w:p>
        </w:tc>
        <w:tc>
          <w:tcPr>
            <w:tcW w:w="0" w:type="dxa"/>
            <w:vAlign w:val="bottom"/>
          </w:tcPr>
          <w:p>
            <w:pPr>
              <w:spacing w:after="0"/>
              <w:rPr>
                <w:sz w:val="1"/>
                <w:szCs w:val="1"/>
                <w:color w:val="auto"/>
              </w:rPr>
            </w:pP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Non-cash charges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(151 )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total costs expected to be incurred in connection with the restructuring are estimated to be approximately $7.9 million. The Company expects to incur an additional $0.8 million of restructuring costs related to severance and benefits in the three months ended December 31, 2022. The restructuring is expected to be substantially complete by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2021, included in our Annual Report on Form 10-K as filed with the U.S. Securities and Exchange Commission (“SEC”) on March 1, 2022.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are a clinical-stage, oncology-focused biopharmaceutical company dedicated to destroying cancer differently. We aim to build a commercial enterprise to maximize our impact on the treatment of cancer. By pioneering a novel class of conditionally activated biologic candidates, powered by our Probody® therapeutic technology platform, we lead the field of conditionally activated oncology therapeutics and have established conditional activation as a strategic area of biologics research and development. Our goal is to transcend the limits of current cancer treatments by successfully leveraging therapeutic targets and strategies that were once thought to be inaccessible.</w:t>
      </w:r>
    </w:p>
    <w:p>
      <w:pPr>
        <w:spacing w:after="0" w:line="186"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Our proprietary, unique and versatile Probody technology platform is designed to enable conditional activation of biologic therapeutic candidates within the tumor microenvironment, while minimizing drug activity in healthy tissues and circulation. Our industry-leading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w:t>
      </w:r>
    </w:p>
    <w:p>
      <w:pPr>
        <w:spacing w:after="0" w:line="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 We believe this innovative approach has the potential to improve cancer treatment in three ways:</w:t>
      </w:r>
    </w:p>
    <w:p>
      <w:pPr>
        <w:spacing w:after="0" w:line="81" w:lineRule="exact"/>
        <w:rPr>
          <w:sz w:val="20"/>
          <w:szCs w:val="20"/>
          <w:color w:val="auto"/>
        </w:rPr>
      </w:pPr>
    </w:p>
    <w:p>
      <w:pPr>
        <w:ind w:left="1020" w:right="2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Allowing the pursuit of high potential targets that were previously considered “undruggable” due to their ubiquitous expression on healthy tissues;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an experimental treatment’s “therapeutic window,” the balance between tolerability and anti-tumor activity;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Enabling the development of new combination therapies, including immunotherapies, by improving tolerability.</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employing our conditional activation platform technology to advance novel investigational medicines in some of the most needed areas of cancer research and development including antibody-drug conjugates (“ADCs”), T-cell engaging bispecific antibodies (“TCBs”), and immune modulators such as cytokines and checkpoint inhibitors (“CPIs”).</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robust portfolio of differentiated, experimental treatments includes a broad range of wholly-owned and partnered molecules spanning pre-clinical to Phase 2 across multiple therapeutic modalities in which conditionally activated molecules could unlock significant therapeutic potential for the treatment of cancer.</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CX-2029, partnered with Abbvie, is a conditionally activated ADC directed toward the previously undruggable target CD71. Having demonstrated favorable tolerability and encouraging anti-tumor activity in Phase 1 studies, CX-2029 entered into a four-cohort Phase 2 expansion study initially designed to enroll twenty-five efficacy evaluable patients per cohort in the following malignancies: squamous non-small cell lung cancer (“sqNSCLC”), head and neck squamous cell carcinoma (“HNSCC”), esophageal and gastro-esophageal junction (“E/GEJ”) cancers, and diffuse large B-cell lymphoma (“DLBCL”). The DLBCL cohort was later deprioritized due to strategic and competitive reasons and did not enroll any patients. Patient enrollment into the sqNSCLC, HNSCC and E/GEJ cancer cohorts and the overall study is now complete. A data update for the fully enrolled sqNSCLC cohort is expected in the fourth quarter of 2022. Data from the E/GEJ cancer cohort continues to mature.</w:t>
      </w:r>
    </w:p>
    <w:p>
      <w:pPr>
        <w:spacing w:after="0" w:line="17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Praluzatamab ravtansine is our conditionally activated ADC directed toward CD166 and is being evaluated in a three-arm study in patients with advanced human epidermal growth factor receptor 2 (“HER2”)-non-amplified breast cancer. Arms A and B examined praluzatamab ravtansine monotherapy in patients with hormone receptor-positive/HER2-non-amplified breast cancer and triple-negative breast cancer (“TNBC”), respectively. Arm C studied praluzatamab ravtansine in combination with pacmilimab (CX-072), our wholly-owned PD-L1 inhibitor, in patients with TNBC. In July 2022, Phase 2 topline results were disclosed for Arms A and B as of the data cut-off date of May 2022. Arm A met the primary endpoint of confirmed objective response rate greater than 10% by central radiology review. The safety profile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p>
      <w:pPr>
        <w:spacing w:after="0" w:line="260" w:lineRule="auto"/>
        <w:rPr>
          <w:sz w:val="20"/>
          <w:szCs w:val="20"/>
          <w:color w:val="auto"/>
        </w:rPr>
      </w:pPr>
      <w:r>
        <w:rPr>
          <w:rFonts w:ascii="Arial" w:cs="Arial" w:eastAsia="Arial" w:hAnsi="Arial"/>
          <w:sz w:val="17"/>
          <w:szCs w:val="17"/>
          <w:color w:val="auto"/>
        </w:rPr>
        <w:t>in Arm A was generally consistent with Phase 1 observations and the DM4 payload, with high-grade toxicities or toxicities resulting in dose modification predominantly ocular or neuropathic in nature. Specifically, 30% of patients in Arm A discontinued treatment for an adverse event. Grade 3 or greater ocular and neuropathic toxicities were 15% and 10%, respectively. All patients in Arm A were treated at the initial starting dose of 7 mg/kg administered every three weeks. Arm B did not pass the protocol-defined futility boundary in patients with advanced TNBC and enrollment into Arms B and C was discontinued. Arm B evaluated patients at starting doses of 7 mg/kg or 6 mg/kg. The toxicity profile of the 7 mg/kg starting dose in Arm B was consistent with the 7 mg/kg starting dose in Arm A. In the 6 mg/kg cohort in Arm B, no patients discontinued treatment for an adverse event as of the data cut-off date and Grade 3 or greater ocular or neuropathic related events were 3% and 0%, respectively. Based on these results, the Company was encouraged by the emerging safety profile of 6 mg/kg and is seeking a partnership to further develop praluzatamab ravtansine in patients with advanced breast cancer. The additional data from the Phase 2 study are expected to be presented by the end of 2022.</w:t>
      </w:r>
    </w:p>
    <w:p>
      <w:pPr>
        <w:spacing w:after="0" w:line="16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Our partner, Bristol Myers Squibb, is conducting a randomized Phase 2 study evaluating BMS-986249, a Probody version of ipilimumab, the anti-CTLA-4 antibody, in combination with nivolumab, the anti-PD-1 antibody,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clinical study.</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Reinforcing our leadership in the field of conditional activation, we recently advanced our first T-cell engaging bispecific antibody (TCB) into the clinic. CX-904 is a conditionally activated TCB against EGFR and CD3. Our investigational new drug application (“IND”) for CX-904 was allowed to proceed by the FDA in January 2022 and in May 2022, the first patient was dosed in a Phase 1 study evaluating CX-904 as a treatment for patients with advanced solid tumors. Patient enrollment in the Phase1 dose escalation portion of the study continues to progress.</w:t>
      </w:r>
    </w:p>
    <w:p>
      <w:pPr>
        <w:spacing w:after="0" w:line="16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Our pipeline also includes CX-801, a wholly-owned interferon ("IFN") alpha-2b Probody. Preclinically, CX-801 demonstrated a wide therapeutic index with an enhanced tolerability profile versus unmasked IFN, without compromising its potent antitumor effects. CX-801 has broad potential applicability in traditionally immuno-oncology sensitive as well as insensitive (cold) tumors. An IND submission for CX-801 is planned in the second half of 2023.</w:t>
      </w:r>
    </w:p>
    <w:p>
      <w:pPr>
        <w:spacing w:after="0" w:line="12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Another wholly-owned emerging product candidate is CX-2051, a conditionally activated ADC paired with a next-generation camptothecin payload and directed toward the epithelial cellular adhesion molecule (EpCAM). CX-2051 has been tailored to optimize the therapeutic index for the systemic treatment of EpCAM-expressing epithelial cancers where previous industry efforts targeting EpCAM have not been successful due to dose-limiting toxicities. We plan to submit an IND for this program in the second half of 2023.</w:t>
      </w:r>
    </w:p>
    <w:p>
      <w:pPr>
        <w:spacing w:after="0" w:line="18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are also continuously engaged in drug discovery efforts towards the generation of new clinical candidates across multiple modalities for the treatment of cancer, including additional ADCs, Cytokines and TCBs, reflecting the versatility of our Probody platform.</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do not have any products approved for sale, and we continue to incur significant research and development and general administrative expenses related to our operations. We are not profitable and have incurred losses in each year since our founding in 2008. Our net loss was $23.3 million and $71.4 million for the three and nine months ended September 30, 2022, respectively. As of September 30, 2022 and December 31, 2021, we had an accumulated deficit of $605.1 million and $533.7 million, respectively. We expect to continue to incur significant losses for the foreseeable future.</w:t>
      </w:r>
    </w:p>
    <w:p>
      <w:pPr>
        <w:spacing w:after="0" w:line="15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1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On July 13, 2022, we announced a restructuring plan to prioritize our resources on our emerging pre-clinical and early clinical pipeline as well as our existing collaboration partnerships. The restructuring plan resulted in a reduction to our workforce of approximately 40%.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ind w:right="20"/>
        <w:spacing w:after="0" w:line="249" w:lineRule="auto"/>
        <w:rPr>
          <w:sz w:val="20"/>
          <w:szCs w:val="20"/>
          <w:color w:val="auto"/>
        </w:rPr>
      </w:pPr>
      <w:r>
        <w:rPr>
          <w:rFonts w:ascii="Arial" w:cs="Arial" w:eastAsia="Arial" w:hAnsi="Arial"/>
          <w:sz w:val="18"/>
          <w:szCs w:val="18"/>
          <w:color w:val="auto"/>
        </w:rPr>
        <w:t>During the three months ended September 30, 2022, we recorded aggregate restructuring charges of approximately $7.1 million, primarily related to severance and benefits. The aggregate restructuring charges under this restructuring plan are expected to be approximately $7.9 million. We expect to incur an additional $0.8 million of restructuring costs related to severance and benefits in the three-months ended December 31, 2022. We expect the restructuring to be substantially complete by the fourth quarter of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COVID-19 pandemic continues to impact our ongoing operations, including clinical trials. Any preventative or protective actions that we, our collaboration partners or others have taken, or may take, in respect of the virus may result in further disruption for our clinical trials, including clinical trials for CX-2029, CX-904, and praluzatamab ravtansine,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continues to impact our results will depend on future developments, which are highly uncertain and cannot be predicted, including new information which may emerge concerning the severity of COVID-19 and the actions necessary to contain the virus or treat its impact, among others. Currently, it is not possible to predict how long the pandemic will last or the extent or degree of its ongoing impact on economic activity, and our business. We do not know the full extent of any impact or delay on our business or our operations, including clinical trial activity, however, we will continue to monitor the COVID-19 situation closely and operate in accordance with all relevant health and safety guidelines as they evolve in response to changing public health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2021. Except as noted below, there have been no material changes to our critical accounting policies and estimates for the nine months ended September 30,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w:t>
      </w:r>
    </w:p>
    <w:p>
      <w:pPr>
        <w:spacing w:after="0" w:line="18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file income taxes in the U.S. federal jurisdiction, the state of California and various other U.S. states. We are currently under examination by the state of California for the years 2017 and 2018. The examination contests our tax position on revenue apportionment for upfront and milestone payments resulting from our collaboration and licensing agreements. As of the date of this filing, the state of California has not proposed adjustments to the tax returns. Due to the ongoing nature of the examination and discussions with the state of California, we are unable to estimate a date by which this matter will be resolved or reasonably estimate the potential impact should the tax position be revised. Based on our current expectations and understanding of the reasonably possible outcomes, we do not anticipate that the resolution of this matter would result in a material impact on our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record accrued liabilities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including CROs. Our contracts with CROs generally include pass-through costs, such as regulatory expenses, investigator fees, travel costs and other miscellaneous costs. The financial terms of these contracts are subject to negotiations, which vary from contract to contract and may result in payments that do not match the periods over which materials or services are provided to us under such contracts.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p>
    <w:p>
      <w:pPr>
        <w:spacing w:after="0" w:line="20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13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5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AbbVie, one of our collaboration partners, entered into a license agreement with Seagen Inc. (“SGEN”) to license certain intellectual property rights. As part of our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investments, and accretion of discounts or amortization of premiums on our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gains and losses resulting from changes to currency exchange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2" w:name="page23"/>
    <w:bookmarkEnd w:id="22"/>
    <w:p>
      <w:pPr>
        <w:ind w:right="4300"/>
        <w:spacing w:after="0" w:line="471" w:lineRule="auto"/>
        <w:rPr>
          <w:sz w:val="20"/>
          <w:szCs w:val="20"/>
          <w:color w:val="auto"/>
        </w:rPr>
      </w:pPr>
      <w:r>
        <w:rPr>
          <w:rFonts w:ascii="Arial" w:cs="Arial" w:eastAsia="Arial" w:hAnsi="Arial"/>
          <w:sz w:val="18"/>
          <w:szCs w:val="18"/>
          <w:b w:val="1"/>
          <w:bCs w:val="1"/>
          <w:color w:val="auto"/>
        </w:rPr>
        <w:t xml:space="preserve">Results of Operations for the Three and Nine Months Ended September 30, 2022 and 2021 </w:t>
      </w:r>
      <w:r>
        <w:rPr>
          <w:rFonts w:ascii="Arial" w:cs="Arial" w:eastAsia="Arial" w:hAnsi="Arial"/>
          <w:sz w:val="18"/>
          <w:szCs w:val="18"/>
          <w:b w:val="1"/>
          <w:bCs w:val="1"/>
          <w:i w:val="1"/>
          <w:iCs w:val="1"/>
          <w:color w:val="auto"/>
        </w:rPr>
        <w:t>Revenue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46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11,253</w:t>
            </w:r>
          </w:p>
        </w:tc>
        <w:tc>
          <w:tcPr>
            <w:tcW w:w="4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Amgen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(2,079 )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(3,878 )</w:t>
            </w:r>
          </w:p>
        </w:tc>
      </w:tr>
      <w:tr>
        <w:trPr>
          <w:trHeight w:val="216"/>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52,217</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49,846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-25400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-8255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-25400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decrease in revenue of $0.7 million and increase of $2.4 million for the three and nine months ended September 30, 2022, respectively, compared to the corresponding periods of 2021 was primarily due to:</w:t>
      </w:r>
    </w:p>
    <w:p>
      <w:pPr>
        <w:spacing w:after="0" w:line="63" w:lineRule="exact"/>
        <w:rPr>
          <w:sz w:val="20"/>
          <w:szCs w:val="20"/>
          <w:color w:val="auto"/>
        </w:rPr>
      </w:pPr>
    </w:p>
    <w:p>
      <w:pPr>
        <w:ind w:left="1020" w:right="2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revenue from AbbVie under the CD71 Co-Development and Licensing Agreement driven by a higher percentage of project completion in current periods;</w:t>
      </w:r>
    </w:p>
    <w:p>
      <w:pPr>
        <w:spacing w:after="0" w:line="48"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Offset by a decrease in revenue from Amgen under the Amgen Agreement driven by lower percentage of completion of the CX-904 project in the current periods due to an increase in projected hours-to-completion.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External costs incurred by product candidate (target):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Praluzatamab ravtansine, CX-2009 (CD166)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5,480</w:t>
            </w:r>
          </w:p>
        </w:tc>
        <w:tc>
          <w:tcPr>
            <w:tcW w:w="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7,823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(2,343 )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14,099</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13,668</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CX-2029 (CD71)</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Pacmilimab, CX-072 (PD-L1)</w:t>
            </w:r>
          </w:p>
        </w:tc>
        <w:tc>
          <w:tcPr>
            <w:tcW w:w="200" w:type="dxa"/>
            <w:vAlign w:val="bottom"/>
          </w:tcPr>
          <w:p>
            <w:pPr>
              <w:spacing w:after="0"/>
              <w:rPr>
                <w:sz w:val="18"/>
                <w:szCs w:val="18"/>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(572 )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(1,805 )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(2,281 )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CX-904</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Other wholly-owned and partnered programs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research and development expenses</w:t>
            </w: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(2,284 )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Costs</w:t>
            </w: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45,475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0"/>
              <w:spacing w:after="0"/>
              <w:rPr>
                <w:sz w:val="20"/>
                <w:szCs w:val="20"/>
                <w:color w:val="auto"/>
              </w:rPr>
            </w:pPr>
            <w:r>
              <w:rPr>
                <w:rFonts w:ascii="Arial" w:cs="Arial" w:eastAsia="Arial" w:hAnsi="Arial"/>
                <w:sz w:val="18"/>
                <w:szCs w:val="18"/>
                <w:b w:val="1"/>
                <w:bCs w:val="1"/>
                <w:color w:val="auto"/>
              </w:rPr>
              <w:t>Total research and development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30,367</w:t>
            </w:r>
          </w:p>
        </w:tc>
        <w:tc>
          <w:tcPr>
            <w:tcW w:w="2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29,143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92,085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77,615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-453390</wp:posOffset>
            </wp:positionV>
            <wp:extent cx="76835"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-453390</wp:posOffset>
            </wp:positionV>
            <wp:extent cx="76835"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-453390</wp:posOffset>
            </wp:positionV>
            <wp:extent cx="6858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-453390</wp:posOffset>
            </wp:positionV>
            <wp:extent cx="6858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-453390</wp:posOffset>
            </wp:positionV>
            <wp:extent cx="6858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-170815</wp:posOffset>
            </wp:positionV>
            <wp:extent cx="7683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7683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5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Research and development expenses increased by $1.2 million for the three months ended September 30, 2022, compared to the corresponding periods of 2021 primarily driven by restructuring expenses of $5.1 million, offset by a decrease in personnel related expense and clinical trial expenses due to the workforce reduction and pipeline reprioritization announced in July 2022. During the three months ended September 30, 2022, a refund of $0.7 million was recorded related to prepaid clinical trial expenses for the CX-072 program.</w:t>
      </w:r>
    </w:p>
    <w:p>
      <w:pPr>
        <w:spacing w:after="0" w:line="1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Research and development expenses increased by $14.5 million for the nine months ended September 30, 2022, compared to the corresponding periods of 2021 primarily driven by restructuring expenses of $5.1 million and an increase in lab contract services and personnel related expenses supporting our clinical and pre-clinical stage pipeline.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860" w:type="dxa"/>
            <w:vAlign w:val="bottom"/>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1120" w:type="dxa"/>
            <w:vAlign w:val="bottom"/>
            <w:gridSpan w:val="2"/>
          </w:tcPr>
          <w:p>
            <w:pPr>
              <w:jc w:val="center"/>
              <w:ind w:left="184"/>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40" w:type="dxa"/>
            <w:vAlign w:val="bottom"/>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10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900" w:type="dxa"/>
            <w:vAlign w:val="bottom"/>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47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11,085</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(595 )</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29,704</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FF0FC"/>
          </w:tcPr>
          <w:p>
            <w:pPr>
              <w:spacing w:after="0"/>
              <w:rPr>
                <w:sz w:val="18"/>
                <w:szCs w:val="18"/>
                <w:color w:val="auto"/>
              </w:rPr>
            </w:pPr>
          </w:p>
        </w:tc>
      </w:tr>
    </w:tbl>
    <w:p>
      <w:pPr>
        <w:spacing w:after="0" w:line="37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General and administrative expenses decreased by $0.6 million for the three months ended September 30, 2022, compared to the corresponding period of 2021 primarily driven by a decrease in personnel related expenses due to the workforce reduction announced in July 2022 and a decrease in outside consulting, legal and intellectual property services, offset by an increase of $2.0 million for restructuring expenses.</w:t>
      </w:r>
    </w:p>
    <w:p>
      <w:pPr>
        <w:spacing w:after="0" w:line="13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General and administrative expenses increased by $3.1 million for the nine months ended September 30, 2022, compared to the corresponding period of 2021 primarily driven by $2.0 million of restructuring expenses and an increase in personnel related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9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During the three- and nine-months ended September 30, 2022, we recognized aggregate restructuring charges of approximately $7.1 million, primarily related to severance and benefits. Restructuring costs of $2.0 million and $5.1 million were recorded in general and administrative expense and research and development expense, respectively, for the three- and nine-months ended September 30, 2022. The total restructuring cost is expected to be approximately $7.9 million. We expect to incur an additional $0.8 million of restructuring costs related to severance and benefits in the three months ended December 31, 2022. We expect the restructuring to be substantially complete by the fourth quarter of 2022.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of September 30, 2022, we had cash, cash equivalents and short-term investments of $194.3 million and an accumulated deficit of $605.1 million. To date, we have financed our operations primarily through sales of our common stock in conjunction with the IPO, subsequent stock offerings and through our at-the-market offering, sales of our convertible preferred securities prior to our IPO and payments received under our collaboration agreements. In January and February 2021, in an underwritten public offering of our common stock, we raised an aggregate net proceeds of approximately $107.7 million.</w:t>
      </w:r>
    </w:p>
    <w:p>
      <w:pPr>
        <w:spacing w:after="0" w:line="110"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On July 13, 2022, we announced a restructuring plan to prioritize resources on our emerging pre-clinical and early clinical pipeline as well as our existing collaboration partnerships. The restructuring plan resulted in a reduction to our workforce by approximately 40%, and is expected to be substantially completed by the fourth quarter of 2022. We estimate that we will incur aggregate restructuring charges of approximately $7.9 million, primarily related to one-time severance payments and other employee-related costs. Of the $7.9 million, $7.1 million was incurred in the third quarter of 2022 and the remaining $0.8 million is expected to be incurred in the fourth quarters of 2022.</w:t>
      </w:r>
    </w:p>
    <w:p>
      <w:pPr>
        <w:spacing w:after="0" w:line="14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into 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3"/>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r>
      <w:tr>
        <w:trPr>
          <w:trHeight w:val="169"/>
        </w:trPr>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ind w:left="500"/>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1"/>
              </w:rPr>
              <w:t>thousands)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(109,394 )</w:t>
            </w:r>
          </w:p>
        </w:tc>
        <w:tc>
          <w:tcPr>
            <w:tcW w:w="360" w:type="dxa"/>
            <w:vAlign w:val="bottom"/>
            <w:shd w:val="clear" w:color="auto" w:fill="CFF0FC"/>
          </w:tcPr>
          <w:p>
            <w:pPr>
              <w:jc w:val="center"/>
              <w:ind w:right="17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(87,839 )</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18"/>
                <w:szCs w:val="18"/>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(1,558 )</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22,734</w:t>
            </w:r>
          </w:p>
        </w:tc>
        <w:tc>
          <w:tcPr>
            <w:tcW w:w="8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109,530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(110,494 )</w:t>
            </w:r>
          </w:p>
        </w:tc>
        <w:tc>
          <w:tcPr>
            <w:tcW w:w="36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44,425</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During the nine months ended September 30, 2022, cash used in operating activities was $109.4 million, which consisted of a net loss of $71.4 million and a net decrease of $52.9 million relating to the change of our net operating assets and liabilities, offset by non-cash charges of $14.9 million. The non-cash charges primarily consisted of $10.6 million in stock-based compensation, $2.5 million in non-cash lease expense and $1.8 million in depreciation and amortization.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04"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net decrease of $48.5 million in deferred revenue resulting from the continued recognition of deferred revenue from existing customers;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$3.5 million in accounts payable, accrued and other long-term liabilities primarily due to timing of payment;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$1.0 million in cash flows from increase in accounts receivable caused by increase in service revenue.</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During the nine months ended September 30, 2021, cash used in operating activities was $87.8 million, which consisted of a net loss of $57.4 million and a net decrease of $44.7 million relating to the change of our net operating assets and liabilities, offset by non-cash charges of $14.3 million. The non-cash charges primarily consisted of $9.6 million in stock-based compensation, $2.3 million in non-cash lease expense, $2.1 million in depreciation and amortization and $0.3 million in amortization of premium on investments.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88"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net decrease of $47.3 million in deferred revenue resulting from the continued recognition of deferred revenue from existing customers;</w:t>
      </w:r>
    </w:p>
    <w:p>
      <w:pPr>
        <w:spacing w:after="0" w:line="140" w:lineRule="exact"/>
        <w:rPr>
          <w:rFonts w:ascii="Arial" w:cs="Arial" w:eastAsia="Arial" w:hAnsi="Arial"/>
          <w:sz w:val="16"/>
          <w:szCs w:val="16"/>
          <w:color w:val="auto"/>
        </w:rPr>
      </w:pPr>
    </w:p>
    <w:p>
      <w:pPr>
        <w:ind w:left="1020" w:right="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$1.9 million in accounts payable, accrued and other long-term liabilities primarily due to timing of payments and an increase in research and clinical expenses; and</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$4.5 million in cash flows from other assets, prepaid and other current assets primarily due to reduced advance payments to our third party manufacturing vendors and timing of payments.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the nine months ended September 30, 2022, cash used in investing activities was $1.6 million of capital expenditures used to purchase property and equipment.</w:t>
      </w:r>
    </w:p>
    <w:p>
      <w:pPr>
        <w:spacing w:after="0" w:line="17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During the nine months ended September 30, 2021, cash provided by investing activities was $22.7 million, which consisted of $124.0 million in proceeds received upon the maturity of short-term marketable securities, partially offset by $99.9 million used in the purchase of long-term investments and $1.4 million of capital expenditures used to purchase property and equipment.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During the nine months ended September 30, 2022, cash provided by financing activities consisted of $ 0.5 million of proceeds from the exercise of stock options and employee stock purchases under the employee stock purchase plan.</w:t>
      </w:r>
    </w:p>
    <w:p>
      <w:pPr>
        <w:spacing w:after="0" w:line="171"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During the nine months ended September 30, 2021, cash provided by financing activities consisted of $107.7 million of net proceeds from the follow-on public offering and $1.8 million of proceeds from the exercise of stock options and employee stock purchases under the employee stock purchase plan.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the nine months ended September 30, 2022, there were no material changes in contractual obligations from the amounts disclosed in our Annual Report on Form 10-K for the year ended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short-term investments of $194.3 million and $305.2 million as of September 30, 2022 and December 31, 2021, respectively, which consists of bank deposits, money market funds and U.S. government bonds. Such interest-bearing instruments carry a degree of interest rate risk; however, historical fluctuations of interest income have not been significant.</w:t>
      </w:r>
    </w:p>
    <w:p>
      <w:pPr>
        <w:spacing w:after="0" w:line="167"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September 30, 2022, a hypothetical 100 basis point change in interest rates would not have material effect in the fair value of the portfolio.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4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Our management, with the participation of our Chief Executive Officer and Principal Financial Officer, has evaluated the effectiveness of our disclosure controls and procedures as of September 30, 2022, the end of the period covered by this Quarterly Report on Form 10-Q. Management’s assessment of internal control over financial reporting was conducted using the criteria defined in the </w:t>
      </w:r>
      <w:r>
        <w:rPr>
          <w:rFonts w:ascii="Arial" w:cs="Arial" w:eastAsia="Arial" w:hAnsi="Arial"/>
          <w:sz w:val="16"/>
          <w:szCs w:val="16"/>
          <w:i w:val="1"/>
          <w:iCs w:val="1"/>
          <w:color w:val="auto"/>
        </w:rPr>
        <w:t>Internal Control—Integrated Framework (2013 framework)</w:t>
      </w:r>
      <w:r>
        <w:rPr>
          <w:rFonts w:ascii="Arial" w:cs="Arial" w:eastAsia="Arial" w:hAnsi="Arial"/>
          <w:sz w:val="16"/>
          <w:szCs w:val="16"/>
          <w:color w:val="auto"/>
        </w:rPr>
        <w:t xml:space="preserve"> issued by the Committee of Sponsoring Organizations of the Treadway Commission (“COSO”). Based upon such evaluation, our Chief Executive Officer and Principal Financial Officer have concluded that our disclosure controls and procedures were effective at the reasonable assurance level as of such date.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our fiscal quarter ended September 30, 2022 that has materially affected, or is reasonably likely to materially affect, our internal control over financial reporting.</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In September 2022, we filed a motion to dismiss the case and the Court granted the parties’ stipulation to stay all pending case deadlines until that motion is finally resolved.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72" w:lineRule="exact"/>
        <w:rPr>
          <w:sz w:val="20"/>
          <w:szCs w:val="20"/>
          <w:color w:val="auto"/>
        </w:rPr>
      </w:pPr>
    </w:p>
    <w:p>
      <w:pPr>
        <w:ind w:left="1020" w:right="48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COVID-19 pandemic or any future pandemic could adversely impact our business, including our research, clinical trials, including clinical trial site initiation and patient enrollment, and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achieve the expected cost savings we anticipate from our recent restructuring.</w:t>
      </w:r>
    </w:p>
    <w:p>
      <w:pPr>
        <w:spacing w:after="0" w:line="117"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trials may not be predictive of future trial results.</w:t>
      </w:r>
    </w:p>
    <w:p>
      <w:pPr>
        <w:spacing w:after="0" w:line="48"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or suffer delays that materially and adversely affect their commercial viability.</w:t>
      </w:r>
    </w:p>
    <w:p>
      <w:pPr>
        <w:spacing w:after="0" w:line="76" w:lineRule="exact"/>
        <w:rPr>
          <w:rFonts w:ascii="Arial" w:cs="Arial" w:eastAsia="Arial" w:hAnsi="Arial"/>
          <w:sz w:val="18"/>
          <w:szCs w:val="18"/>
          <w:color w:val="auto"/>
        </w:rPr>
      </w:pPr>
    </w:p>
    <w:p>
      <w:pPr>
        <w:ind w:left="1020" w:right="200" w:hanging="503"/>
        <w:spacing w:after="0" w:line="32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rFonts w:ascii="Arial" w:cs="Arial" w:eastAsia="Arial" w:hAnsi="Arial"/>
          <w:sz w:val="16"/>
          <w:szCs w:val="16"/>
          <w:color w:val="auto"/>
        </w:rPr>
      </w:pPr>
    </w:p>
    <w:p>
      <w:pPr>
        <w:ind w:left="1020" w:right="340" w:hanging="503"/>
        <w:spacing w:after="0" w:line="25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66"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48"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approach to the discovery and development of our therapeutic treatments is based on novel technologies that are unproven and may not result in marketable products.</w:t>
      </w:r>
    </w:p>
    <w:p>
      <w:pPr>
        <w:spacing w:after="0" w:line="62"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based on a novel therapeutic modality, and we may not generate any future revenue from the sale or licensing of product candidates.</w:t>
      </w:r>
    </w:p>
    <w:p>
      <w:pPr>
        <w:spacing w:after="0" w:line="48" w:lineRule="exact"/>
        <w:rPr>
          <w:rFonts w:ascii="Arial" w:cs="Arial" w:eastAsia="Arial" w:hAnsi="Arial"/>
          <w:sz w:val="18"/>
          <w:szCs w:val="18"/>
          <w:color w:val="auto"/>
        </w:rPr>
      </w:pPr>
    </w:p>
    <w:p>
      <w:pPr>
        <w:jc w:val="both"/>
        <w:ind w:left="1020" w:right="60" w:hanging="503"/>
        <w:spacing w:after="0" w:line="27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49" w:lineRule="exact"/>
        <w:rPr>
          <w:rFonts w:ascii="Arial" w:cs="Arial" w:eastAsia="Arial" w:hAnsi="Arial"/>
          <w:sz w:val="17"/>
          <w:szCs w:val="17"/>
          <w:color w:val="auto"/>
        </w:rPr>
      </w:pPr>
    </w:p>
    <w:p>
      <w:pPr>
        <w:ind w:left="1020" w:right="1240" w:hanging="503"/>
        <w:spacing w:after="0" w:line="29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6377940</wp:posOffset>
            </wp:positionH>
            <wp:positionV relativeFrom="paragraph">
              <wp:posOffset>-4149090</wp:posOffset>
            </wp:positionV>
            <wp:extent cx="285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jc w:val="both"/>
        <w:ind w:left="1020" w:right="80" w:hanging="503"/>
        <w:spacing w:after="0" w:line="25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66" w:lineRule="exact"/>
        <w:rPr>
          <w:rFonts w:ascii="Arial" w:cs="Arial" w:eastAsia="Arial" w:hAnsi="Arial"/>
          <w:sz w:val="18"/>
          <w:szCs w:val="18"/>
          <w:color w:val="auto"/>
        </w:rPr>
      </w:pPr>
    </w:p>
    <w:p>
      <w:pPr>
        <w:ind w:left="1020" w:right="140" w:hanging="503"/>
        <w:spacing w:after="0" w:line="24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86"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3" w:lineRule="exact"/>
        <w:rPr>
          <w:rFonts w:ascii="Arial" w:cs="Arial" w:eastAsia="Arial" w:hAnsi="Arial"/>
          <w:sz w:val="18"/>
          <w:szCs w:val="18"/>
          <w:color w:val="auto"/>
        </w:rPr>
      </w:pPr>
    </w:p>
    <w:p>
      <w:pPr>
        <w:ind w:left="1020" w:right="140" w:hanging="503"/>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2" w:lineRule="exact"/>
        <w:rPr>
          <w:rFonts w:ascii="Arial" w:cs="Arial" w:eastAsia="Arial" w:hAnsi="Arial"/>
          <w:sz w:val="16"/>
          <w:szCs w:val="16"/>
          <w:color w:val="auto"/>
        </w:rPr>
      </w:pPr>
    </w:p>
    <w:p>
      <w:pPr>
        <w:ind w:left="1020" w:hanging="503"/>
        <w:spacing w:after="0" w:line="303"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2"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stock price may be volatile and purchasers of our common stock could incur substantial losses.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or any future pandemic could adversely impact our business, including our research, clinical trials, and financial condition.</w:t>
      </w:r>
    </w:p>
    <w:p>
      <w:pPr>
        <w:spacing w:after="0" w:line="23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COVID-19 has spread to multiple countries, including the United States and European and Asia-Pacific countries, including countries in which we have planned or active clinical trial sites. As COVID-19 and its variants continue to spread around the globe, we will likely continue to experience disruptions that could severely impact our business, research, including research for our partners or research of our partners, and clinical trials, including ongoing or planned clinical trials for CX-2029, CX-904, praluzatamab ravtansine, and clinical trials of our partners, including Bristol Myers Squibb. These disruptions and impacts may include:</w:t>
      </w:r>
    </w:p>
    <w:p>
      <w:pPr>
        <w:spacing w:after="0" w:line="77"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17"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for CX-2029, CX-904 or any other clinical trials we or our partners decide to initiate,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48"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interpreting clinical data due to patients being infected by COVID-19;</w:t>
      </w:r>
    </w:p>
    <w:p>
      <w:pPr>
        <w:spacing w:after="0" w:line="117" w:lineRule="exact"/>
        <w:rPr>
          <w:rFonts w:ascii="Arial" w:cs="Arial" w:eastAsia="Arial" w:hAnsi="Arial"/>
          <w:sz w:val="18"/>
          <w:szCs w:val="18"/>
          <w:color w:val="auto"/>
        </w:rPr>
      </w:pPr>
    </w:p>
    <w:p>
      <w:pPr>
        <w:ind w:left="1020" w:right="180" w:hanging="503"/>
        <w:spacing w:after="0" w:line="324"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28" w:name="page29"/>
    <w:bookmarkEnd w:id="28"/>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or our partners’ clinical trials;</w:t>
      </w:r>
    </w:p>
    <w:p>
      <w:pPr>
        <w:spacing w:after="0" w:line="117"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2" w:lineRule="exact"/>
        <w:rPr>
          <w:rFonts w:ascii="Arial" w:cs="Arial" w:eastAsia="Arial" w:hAnsi="Arial"/>
          <w:sz w:val="18"/>
          <w:szCs w:val="18"/>
          <w:color w:val="auto"/>
        </w:rPr>
      </w:pPr>
    </w:p>
    <w:p>
      <w:pPr>
        <w:ind w:left="1020" w:right="400" w:hanging="503"/>
        <w:spacing w:after="0" w:line="25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66"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For example, 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in combination with ipilimumab after a re-evaluation of the evolving clinical, competitive and commercial landscapes in immuno-oncology, taken together with impact of the COVID-19 pandemic. We cannot be certain of the continuing impact of the COVID-19 pandemic, including COVID-19 variants on clinical trial planning, or that site initiation, patient recruitment or other clinical trial activities for any of our product candidates will not continue to be delayed, discontinued or otherwise impacted.</w:t>
      </w:r>
    </w:p>
    <w:p>
      <w:pPr>
        <w:spacing w:after="0" w:line="17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In March 2020 we initiated a mandatory work-from-home program, limiting onsite activity to a substantially reduced level of laboratory research activities. Although we have gradually increased levels of such laboratory research activities, we continue to operate in a hybrid, work-from-home environment and there can be no assurance that we will be able to continue to increase or maintain current levels of such activity. Furthermore, in March 2022, China implemented additional regional lockdowns which continue to impact our ability to obtain some research materials on a timely basis.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7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18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global outbreak of COVID-19 continues to rapidly evolve, including with the discovery of new variants/mutations of the virus. The extent to which the COVID-19 pandemic continues to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86"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18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September 30, 2022 and December 31, 2021, we had an accumulated deficit of $605.1 million and $533.7 million, respectively. Substantially all of our losses have resulted from expenses incurred in connection with our research and development programs and from general and administrative costs associated with our operations.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9" w:name="page30"/>
    <w:bookmarkEnd w:id="29"/>
    <w:p>
      <w:pPr>
        <w:ind w:right="100"/>
        <w:spacing w:after="0" w:line="249" w:lineRule="auto"/>
        <w:rPr>
          <w:sz w:val="20"/>
          <w:szCs w:val="20"/>
          <w:color w:val="auto"/>
        </w:rPr>
      </w:pPr>
      <w:r>
        <w:rPr>
          <w:rFonts w:ascii="Arial" w:cs="Arial" w:eastAsia="Arial" w:hAnsi="Arial"/>
          <w:sz w:val="18"/>
          <w:szCs w:val="18"/>
          <w:color w:val="auto"/>
        </w:rPr>
        <w:t>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52"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15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and government regulation, including the Inflation Reduction Act of 2022, signed into law by President Biden in August 2022, may make it difficult for biotechnology companies to raise additional funds. We cannot predict when or if market conditions will change.</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As of September 30, 2022, we had $194.3 million in cash, cash equivalents and investments. We believe that our existing capital resources will be sufficient to fund our planned operations into 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04" w:lineRule="exact"/>
        <w:rPr>
          <w:sz w:val="20"/>
          <w:szCs w:val="20"/>
          <w:color w:val="auto"/>
        </w:rPr>
      </w:pPr>
    </w:p>
    <w:p>
      <w:pPr>
        <w:ind w:left="1020" w:right="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76"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7"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prior to or following regulatory approval and commercial launch of any product candidates;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and amount of payments we may receive or are obligated to pay under our collaboration agreements and license agreements;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0" w:name="page31"/>
    <w:bookmarkEnd w:id="30"/>
    <w:p>
      <w:pPr>
        <w:ind w:left="1020" w:right="44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 including the ongoing patent infringement lawsuit brought by Vytacera against us;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any existing or future litigation to which we are or may become a 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For example, in July 2022, we announced that we would seek a partner to further develop praluzatamab ravtansine.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6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clinical trials for programs beyond praluzatamab ravtansine, CX-2029, BMS-986249, BMS-986288, pacmilimab and CX-904 is subject to finalizing the trial design and submission of an IND or similar submission to the FDA or similar global health authorities. In addition, even if we submit an IND or a comparable submission in other jurisdictions for these or other product candidates, including CX-801 and CX-2051,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CX-801 and CX-2051.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93"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 particularly in light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03"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7"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198"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81"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are very early in our development efforts, with only four product candidates, praluzatamab ravtansine (CX-2009), CX-2029, pacmilimab (CX-072), and CX-904 currently in early-stage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172"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1020" w:right="560" w:hanging="503"/>
        <w:spacing w:after="0" w:line="25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66"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48"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or our collaborators’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left="1020" w:right="38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6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the impact of the COVID-19 pandemic. Additionally, in July 2022, we announced topline results of our Phase 2 clinical trial evaluating praluzatamab</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ravtansine in patients with breast cancer and that we do not plan to further advance this program alone and will be seeking a partnership.</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9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2021 we announced preliminary data on two of the four expansion cohorts for CX-2029. We can make no assurances that the ultimate trial results for these two cohorts will be consistent with or better or worse than that reported data. We also make assumptions, estimations, calculations and conclusions as part of our analyses of data, and we may not have received or had the opportunity to fully and carefully evaluate all data. Further, as a result of the COVID-19 pandemic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6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18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ind w:right="140"/>
        <w:spacing w:after="0" w:line="256"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17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praluzatamab ravtansine (CX-2009), CX-2029, pacmilimab (CX-072) and CX-904).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7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May 2020, we reported that the administration of monotherapy pacmilimab had been generally well tolerated with the majority of treatment-related adverse events (“TRAEs”) as Grade 1/2. At that time, we also reported that of the 114 monotherapy patients treated with 10 mg/kg every two weeks and who were evaluable for safety, ten (9%) patients experienced a grade ≥3 TRAE, and two (2%) experienced grade ≥3 immune-related adverse events (“irAEs”), with two (2%) TRAEs leading to treatment discontinuation. In June 2019, we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5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Administration of pacmilimab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pacmilimab, Grade 3/4 TRAEs were reported in five (25%) patients and Grade 3/4 irAEs were reported in three (15%) patients. We cannot provide assurance that these rates and the types of adverse events will not increase over time with more patients being treated in future studies of our product candidates.</w:t>
      </w:r>
    </w:p>
    <w:p>
      <w:pPr>
        <w:spacing w:after="0" w:line="155"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Administration of praluzatamab ravtansine has also been generally well tolerated with most reported treatment-related adverse events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In July 2022, we announced Phase 2 topline results for praluzatamab ravtansine. The safety profile in Arm A, patients with HR-/HER2 non amplified breast cancer, was generally consistent with toxicities observed in Phase 1 studies. High grade toxicities or toxicities resulting in dose modification were predominantly ocular or neuropathic in nature. Thirty percent of patients discontinued treatment for an adverse event and Grade 3 or greater ocular or neuropathic toxicities were 15 percent and 10 percent respectively. The toxicity profile in Arm B in patients with TNBC with a starting does of 7 mg/kg was consistent with Arm A. We cannot guarantee that these rates and the types of adverse events will not increase over time with more patients being treated in ongoing or future studies.</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December 2021, we announced preliminary data on two of four expansion cohorts for CX-2029, including that the most common Grade 3 TRAEs in 10% or more of patients were anemia (67.3%) and decreased neutrophil count (9.6% (plus one Grade 4 event 1.9%)). The etiology of anemia remains under investigation and is likely to be multi-factorial. While the MMAE payload is known to be associated with anemia, preclinical studies have shown that reduction of red blood cell precursors has been observed in response to targeting CD71, which is known to play a role in early erythroid development. Although we believe these TRAEs are manageable, there can be no assurance that the rate or severity of any of these side effects will not increase over time with more patients being treated in ongoing or future studies.</w:t>
      </w:r>
    </w:p>
    <w:p>
      <w:pPr>
        <w:spacing w:after="0" w:line="17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have initiated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w:t>
      </w:r>
    </w:p>
    <w:p>
      <w:pPr>
        <w:spacing w:after="0" w:line="159" w:lineRule="exact"/>
        <w:rPr>
          <w:sz w:val="20"/>
          <w:szCs w:val="20"/>
          <w:color w:val="auto"/>
        </w:rPr>
      </w:pPr>
    </w:p>
    <w:p>
      <w:pPr>
        <w:jc w:val="both"/>
        <w:ind w:right="240"/>
        <w:spacing w:after="0" w:line="268" w:lineRule="auto"/>
        <w:rPr>
          <w:sz w:val="20"/>
          <w:szCs w:val="20"/>
          <w:color w:val="auto"/>
        </w:rPr>
      </w:pPr>
      <w:r>
        <w:rPr>
          <w:rFonts w:ascii="Arial" w:cs="Arial" w:eastAsia="Arial" w:hAnsi="Arial"/>
          <w:sz w:val="17"/>
          <w:szCs w:val="17"/>
          <w:color w:val="auto"/>
        </w:rPr>
        <w:t>Additionally, the Phase 2 clinical trial of BMS-986249 being conducted by Bristol Myers Squibb includes the administration of the product candidate at relatively high dosage levels, which could further exacerbate such risks. In our Phase 2 clinical trials with praluzatamab ravtansine and CX-2029, we are targeting CD166 and CD71, respectively, targets that are broadly expressed on normal tissue, which could create unacceptable toxicity or fail to result in anti-tumor activity. For instance, CD71 is a metabolic protein with high levels of expression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jc w:val="both"/>
        <w:ind w:right="300"/>
        <w:spacing w:after="0" w:line="248" w:lineRule="auto"/>
        <w:rPr>
          <w:sz w:val="20"/>
          <w:szCs w:val="20"/>
          <w:color w:val="auto"/>
        </w:rPr>
      </w:pPr>
      <w:r>
        <w:rPr>
          <w:rFonts w:ascii="Arial" w:cs="Arial" w:eastAsia="Arial" w:hAnsi="Arial"/>
          <w:sz w:val="18"/>
          <w:szCs w:val="18"/>
          <w:color w:val="auto"/>
        </w:rPr>
        <w:t>healthy tissues, and the consequences of targeting such protein in humans are unknown. Any future clinical trials of our product candidates could face similar or heightened risks depending on the modality. Similarly, the combination of EGFR and CD3 has been shown to induce significant toxicities in preclinical animal studies due to the widespread expression of each target.</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While we are using ocular toxicity prophylactic measures in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6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87"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03"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1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75"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6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35" w:name="page36"/>
    <w:bookmarkEnd w:id="35"/>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For example, in March 2020, we announced a temporary pause in new patient enrollment and new site activation in our Phase 2 clinical trial of praluzatamab ravtansine as a result of the COVID-19 pandemic. We revised our strategy for praluzatamab ravtansine and in December 2020, we initiated a new Phase 2 clinical trial of praluzatamab ravtansine, for which we anticipated to report initial clinical data in the fourth quarter of 2021. However, in August 2021, we announced that primarily due to the COVID-19 pandemic, that we anticipated initial clinical data from that trial in 2022. In July 2022, data from the Phase 2 trial were reported. However, there can be no assurances that the COVID-19 pandemic will not continue to have a significant impact on our ability to complete our ongoing clinical trials and enroll patients in any planned or future clinical trials.</w:t>
      </w:r>
    </w:p>
    <w:p>
      <w:pPr>
        <w:spacing w:after="0" w:line="159"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further trials with pacmilimab (CX-</w:t>
      </w:r>
    </w:p>
    <w:p>
      <w:pPr>
        <w:spacing w:after="0" w:line="2" w:lineRule="exact"/>
        <w:rPr>
          <w:sz w:val="20"/>
          <w:szCs w:val="20"/>
          <w:color w:val="auto"/>
        </w:rPr>
      </w:pPr>
    </w:p>
    <w:p>
      <w:pPr>
        <w:ind w:right="20" w:firstLine="8"/>
        <w:spacing w:after="0" w:line="256" w:lineRule="auto"/>
        <w:tabs>
          <w:tab w:leader="none" w:pos="3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or our other drug candidates will not be adversely affected by a limited patient population. Our clinical trials of praluzatamab ravtansine and CX-2029 study or have studied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 of CX-904 is also competing with thousands of other anti-cancer clinical trials.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14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pacmilimab (CX-072) and CX-904.</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line="278" w:lineRule="auto"/>
        <w:rPr>
          <w:sz w:val="20"/>
          <w:szCs w:val="20"/>
          <w:color w:val="auto"/>
        </w:rPr>
      </w:pPr>
      <w:r>
        <w:rPr>
          <w:rFonts w:ascii="Arial" w:cs="Arial" w:eastAsia="Arial" w:hAnsi="Arial"/>
          <w:sz w:val="16"/>
          <w:szCs w:val="16"/>
          <w:color w:val="auto"/>
        </w:rPr>
        <w:t>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impacted our ability to reach targeted drug exposures. However, we cannot provide assurance that it will not later limit drug exposure or cause severe adverse events for pacmilimab 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47"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40"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14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BMS-986249, BMS-986288, and pacmilimab (CX-072)) for which there are existing approved therapies, such as approved agents targeting PD-L1, PD-1, or CTLA-4. Market acceptance of our product candidates will depend on, among other factors:</w:t>
      </w:r>
    </w:p>
    <w:p>
      <w:pPr>
        <w:spacing w:after="0" w:line="68"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safety, purity, potency (or efficacy) of our product candidates, including those being developed by our collaborators;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7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7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16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conditionally activated ADC.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Our partners have and will continue to choose early research targets from time to time, some of which will advance into further research and some of which will not.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04" w:lineRule="exact"/>
        <w:rPr>
          <w:sz w:val="20"/>
          <w:szCs w:val="20"/>
          <w:color w:val="auto"/>
        </w:rPr>
      </w:pPr>
    </w:p>
    <w:p>
      <w:pPr>
        <w:ind w:left="1020" w:right="76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48" w:lineRule="exact"/>
        <w:rPr>
          <w:rFonts w:ascii="Arial" w:cs="Arial" w:eastAsia="Arial" w:hAnsi="Arial"/>
          <w:sz w:val="18"/>
          <w:szCs w:val="18"/>
          <w:color w:val="auto"/>
        </w:rPr>
      </w:pPr>
    </w:p>
    <w:p>
      <w:pPr>
        <w:ind w:left="1020" w:right="420" w:hanging="503"/>
        <w:spacing w:after="0" w:line="303"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32" w:lineRule="exact"/>
        <w:rPr>
          <w:rFonts w:ascii="Arial" w:cs="Arial" w:eastAsia="Arial" w:hAnsi="Arial"/>
          <w:sz w:val="16"/>
          <w:szCs w:val="16"/>
          <w:color w:val="auto"/>
        </w:rPr>
      </w:pPr>
    </w:p>
    <w:p>
      <w:pPr>
        <w:ind w:left="1020" w:right="160" w:hanging="503"/>
        <w:spacing w:after="0" w:line="27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49" w:lineRule="exact"/>
        <w:rPr>
          <w:rFonts w:ascii="Arial" w:cs="Arial" w:eastAsia="Arial" w:hAnsi="Arial"/>
          <w:sz w:val="17"/>
          <w:szCs w:val="17"/>
          <w:color w:val="auto"/>
        </w:rPr>
      </w:pPr>
    </w:p>
    <w:p>
      <w:pPr>
        <w:ind w:left="1020" w:right="40" w:hanging="503"/>
        <w:spacing w:after="0" w:line="248"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87"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87"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20" w:right="60" w:hanging="503"/>
        <w:spacing w:after="0" w:line="25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left="1020" w:right="4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48"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29" w:lineRule="exact"/>
        <w:rPr>
          <w:rFonts w:ascii="Arial" w:cs="Arial" w:eastAsia="Arial" w:hAnsi="Arial"/>
          <w:sz w:val="16"/>
          <w:szCs w:val="16"/>
          <w:color w:val="auto"/>
        </w:rPr>
      </w:pPr>
    </w:p>
    <w:p>
      <w:pPr>
        <w:ind w:left="1020" w:right="94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72" w:lineRule="exact"/>
        <w:rPr>
          <w:sz w:val="20"/>
          <w:szCs w:val="20"/>
          <w:color w:val="auto"/>
        </w:rPr>
      </w:pPr>
    </w:p>
    <w:p>
      <w:pPr>
        <w:ind w:right="100"/>
        <w:spacing w:after="0" w:line="362"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0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8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19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67"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0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9" w:name="page40"/>
    <w:bookmarkEnd w:id="39"/>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1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Further, we continue to see an impact as a result of the COVID-19 pandemic on our efforts, including ongoing clinical trial site activation and patient enrollment activities.</w:t>
      </w:r>
    </w:p>
    <w:p>
      <w:pPr>
        <w:spacing w:after="0" w:line="1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171" w:lineRule="exact"/>
        <w:rPr>
          <w:sz w:val="20"/>
          <w:szCs w:val="20"/>
          <w:color w:val="auto"/>
        </w:rPr>
      </w:pPr>
    </w:p>
    <w:p>
      <w:pPr>
        <w:ind w:right="40"/>
        <w:spacing w:after="0" w:line="362"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0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Since commencing operations, we have entered into several collaboration agreements.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For example, in July 2022, in connection with our announcement of Phase 2 topline results for praluzatamab ravtansine, we communicated our plans to seek collaborators to advance the program further.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14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5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auto"/>
        </w:rPr>
        <w:t>development programs could be delayed with material and adverse effects on our business, financial condition, results of operations and prospects.</w:t>
      </w:r>
    </w:p>
    <w:p>
      <w:pPr>
        <w:spacing w:after="0" w:line="24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6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1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enrolled or are planning to enroll patients in our clinical trials outside the United States, including in Europe and South Korea. While we generally conduct our clinical trials solely or partially in the U.S., to the extent that clinical trials are conducted outside of the U.S., the FDA may have certain additional requirements.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ind w:right="80"/>
        <w:spacing w:after="0" w:line="256"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pacmilimab (CX-072), and CX-904,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ongoing clinical trial and planned clinical trials, there can be no assurance that we will not have future production failures, which could affect our ability to conduct our trials for praluzatamab ravtansine, CX-2029, pacmilimab, CX-904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manufacture of praluzatamab ravtansine.</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79"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2" w:name="page43"/>
    <w:bookmarkEnd w:id="42"/>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196"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3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It may prove more challenging than we anticipate to manufacture products that incorporate our Probody therapeutic technology. In order to conduct clinical trials of our product candidates, including our clinical trials for praluzatamab ravtansine (CX-2009), CX-2029, pacmilimab (CX-072), and CX-904 we will need to manufacture them in large quantities. To date, we have generally been able to successfully manufacture praluzatamab ravtansine, CX-2029, and pacmilimab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took sufficient steps to assure our current supply of pacmilimab clinical trial drug product for our planned clinical trials, there can be no assurance that we will not have future production failures, which could affect our ability to conduct our trials for praluzatamab ravtansine, CX-2029, pacmilimab, CX-904 or any other clinical trial drug candidates on our planned timeline or at all. Furthermore, in order to conduct later stage clinical trials of our product candidates, such as our Phase 2 clinical trial for praluzatamab ravtansine,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including praluzatamab ravtansine drug product for late-stage clinical trials and commercialization.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praluzatamab ravtansine, pacmilimab or any of our other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17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Additionally, we were dependent on ImmunoGen under our collaboration for certain steps in the manufacturing of clinical quantities of praluzatamab ravtansine. At the end of 2018, ImmunoGen closed their clinical manufacturing facility in Norwood, Massachusetts, which provided clinical manufacturing support for the praluzatamab ravtansine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praluzatamab ravtansine in connection with such transfer or that we will not experience any other disruption in the manufacturing of praluzatamab ravtansine.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17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when needed.</w:t>
      </w:r>
    </w:p>
    <w:p>
      <w:pPr>
        <w:spacing w:after="0" w:line="19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64"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12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7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including, praluzatamab ravtansine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pacmilimab (CX-072) is, in particular, highly competitive and the field is changing quickly. In March 2020, we made the strategic decision to terminate our Phase 2 study evaluating pacmilimab in combination ipilimumab. This decision followed a re-evaluation of the evolving clinical, competitive and commercial landscapes in immuno-oncology, taken together with the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Harpoon Therapeutics, Revitope, Roche, Seagen, Takeda,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Merck &amp; Co.,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ongoing efforts to develop T-cell engaging immunotherapies. Any of these companies may be well capitalized and may have significant clinical experience.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companies include our collaborators.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23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has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18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5" w:name="page46"/>
    <w:bookmarkEnd w:id="45"/>
    <w:p>
      <w:pPr>
        <w:ind w:right="80"/>
        <w:spacing w:after="0" w:line="249" w:lineRule="auto"/>
        <w:rPr>
          <w:sz w:val="20"/>
          <w:szCs w:val="20"/>
          <w:color w:val="auto"/>
        </w:rPr>
      </w:pPr>
      <w:r>
        <w:rPr>
          <w:rFonts w:ascii="Arial" w:cs="Arial" w:eastAsia="Arial" w:hAnsi="Arial"/>
          <w:sz w:val="18"/>
          <w:szCs w:val="18"/>
          <w:color w:val="auto"/>
        </w:rPr>
        <w:t>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1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62"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62" w:lineRule="exact"/>
        <w:rPr>
          <w:sz w:val="20"/>
          <w:szCs w:val="20"/>
          <w:color w:val="auto"/>
        </w:rPr>
      </w:pPr>
    </w:p>
    <w:p>
      <w:pPr>
        <w:ind w:right="180"/>
        <w:spacing w:after="0" w:line="362"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0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ind w:right="20"/>
        <w:spacing w:after="0" w:line="342" w:lineRule="auto"/>
        <w:rPr>
          <w:sz w:val="20"/>
          <w:szCs w:val="20"/>
          <w:color w:val="auto"/>
        </w:rPr>
      </w:pPr>
      <w:r>
        <w:rPr>
          <w:rFonts w:ascii="Arial" w:cs="Arial" w:eastAsia="Arial" w:hAnsi="Arial"/>
          <w:sz w:val="16"/>
          <w:szCs w:val="16"/>
          <w:color w:val="auto"/>
        </w:rPr>
        <w:t>of our laboratory research activities, we continue to operate in a hybrid, work-from-home environment and there can be no assurance that we will be able to continue to increase or maintain current levels of such activity or that the COVID-19 pandemic will not continue to impact our ability to conduct business.</w:t>
      </w:r>
    </w:p>
    <w:p>
      <w:pPr>
        <w:spacing w:after="0" w:line="9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15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jc w:val="both"/>
        <w:spacing w:after="0" w:line="267" w:lineRule="auto"/>
        <w:rPr>
          <w:sz w:val="20"/>
          <w:szCs w:val="20"/>
          <w:color w:val="auto"/>
        </w:rPr>
      </w:pPr>
      <w:r>
        <w:rPr>
          <w:rFonts w:ascii="Arial" w:cs="Arial" w:eastAsia="Arial" w:hAnsi="Arial"/>
          <w:sz w:val="17"/>
          <w:szCs w:val="17"/>
          <w:color w:val="auto"/>
        </w:rPr>
        <w:t>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6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91" w:lineRule="exact"/>
        <w:rPr>
          <w:sz w:val="20"/>
          <w:szCs w:val="20"/>
          <w:color w:val="auto"/>
        </w:rPr>
      </w:pPr>
    </w:p>
    <w:p>
      <w:pPr>
        <w:ind w:left="1020" w:right="2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03" w:lineRule="exact"/>
        <w:rPr>
          <w:rFonts w:ascii="Arial" w:cs="Arial" w:eastAsia="Arial" w:hAnsi="Arial"/>
          <w:sz w:val="18"/>
          <w:szCs w:val="18"/>
          <w:color w:val="auto"/>
        </w:rPr>
      </w:pPr>
    </w:p>
    <w:p>
      <w:pPr>
        <w:ind w:left="1020" w:right="90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15" w:lineRule="exact"/>
        <w:rPr>
          <w:rFonts w:ascii="Arial" w:cs="Arial" w:eastAsia="Arial" w:hAnsi="Arial"/>
          <w:sz w:val="17"/>
          <w:szCs w:val="17"/>
          <w:color w:val="auto"/>
        </w:rPr>
      </w:pPr>
    </w:p>
    <w:p>
      <w:pPr>
        <w:ind w:left="102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8" w:name="page49"/>
    <w:bookmarkEnd w:id="48"/>
    <w:p>
      <w:pPr>
        <w:ind w:right="300"/>
        <w:spacing w:after="0" w:line="261"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87"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55"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1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60"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spacing w:after="0" w:line="18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8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right="40"/>
        <w:spacing w:after="0" w:line="249" w:lineRule="auto"/>
        <w:rPr>
          <w:sz w:val="20"/>
          <w:szCs w:val="20"/>
          <w:color w:val="auto"/>
        </w:rPr>
      </w:pPr>
      <w:r>
        <w:rPr>
          <w:rFonts w:ascii="Arial" w:cs="Arial" w:eastAsia="Arial" w:hAnsi="Arial"/>
          <w:sz w:val="18"/>
          <w:szCs w:val="18"/>
          <w:color w:val="auto"/>
        </w:rPr>
        <w:t>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68"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81"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16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0" w:name="page51"/>
    <w:bookmarkEnd w:id="50"/>
    <w:p>
      <w:pPr>
        <w:spacing w:after="0" w:line="258" w:lineRule="auto"/>
        <w:rPr>
          <w:sz w:val="20"/>
          <w:szCs w:val="20"/>
          <w:color w:val="auto"/>
        </w:rPr>
      </w:pPr>
      <w:r>
        <w:rPr>
          <w:rFonts w:ascii="Arial" w:cs="Arial" w:eastAsia="Arial" w:hAnsi="Arial"/>
          <w:sz w:val="17"/>
          <w:szCs w:val="17"/>
          <w:color w:val="auto"/>
        </w:rPr>
        <w:t>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16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ind w:right="120"/>
        <w:spacing w:after="0" w:line="249" w:lineRule="auto"/>
        <w:rPr>
          <w:sz w:val="20"/>
          <w:szCs w:val="20"/>
          <w:color w:val="auto"/>
        </w:rPr>
      </w:pPr>
      <w:r>
        <w:rPr>
          <w:rFonts w:ascii="Arial" w:cs="Arial" w:eastAsia="Arial" w:hAnsi="Arial"/>
          <w:sz w:val="18"/>
          <w:szCs w:val="18"/>
          <w:color w:val="auto"/>
        </w:rPr>
        <w:t>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6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3" w:lineRule="exact"/>
        <w:rPr>
          <w:sz w:val="20"/>
          <w:szCs w:val="20"/>
          <w:color w:val="auto"/>
        </w:rPr>
      </w:pPr>
    </w:p>
    <w:p>
      <w:pPr>
        <w:ind w:right="120"/>
        <w:spacing w:after="0" w:line="211"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45"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73"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6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14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has focused attention on Project Optimus, an initiative to reform the dose optimization and dose selection paradigm in oncology drug development. While the effort is intended to help drive better ultimate outcomes in the development of oncology drugs, it may lead to longer and more expensive early development efforts for companies, including us, to enable registrational studies for our product candidates. Additionally,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3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8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86"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3" w:name="page54"/>
    <w:bookmarkEnd w:id="53"/>
    <w:p>
      <w:pPr>
        <w:ind w:right="60"/>
        <w:spacing w:after="0" w:line="26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65" w:lineRule="exact"/>
        <w:rPr>
          <w:sz w:val="20"/>
          <w:szCs w:val="20"/>
          <w:color w:val="auto"/>
        </w:rPr>
      </w:pPr>
    </w:p>
    <w:p>
      <w:pPr>
        <w:ind w:left="1020" w:right="1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40"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7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ind w:right="40"/>
        <w:spacing w:after="0" w:line="256" w:lineRule="auto"/>
        <w:rPr>
          <w:sz w:val="20"/>
          <w:szCs w:val="20"/>
          <w:color w:val="auto"/>
        </w:rPr>
      </w:pPr>
      <w:r>
        <w:rPr>
          <w:rFonts w:ascii="Arial" w:cs="Arial" w:eastAsia="Arial" w:hAnsi="Arial"/>
          <w:sz w:val="18"/>
          <w:szCs w:val="18"/>
          <w:color w:val="auto"/>
        </w:rPr>
        <w:t>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the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and government regulation, including the Inflation Reduction Act of 2022, signed into law by President Biden in August 2022.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spacing w:after="0" w:line="173"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Individual states in the United States have also become increasingly active in passing legislation and implementing regulations designed to control pharmaceutical product pricing, including price or patient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ind w:right="60"/>
        <w:spacing w:after="0" w:line="263" w:lineRule="auto"/>
        <w:rPr>
          <w:sz w:val="20"/>
          <w:szCs w:val="20"/>
          <w:color w:val="auto"/>
        </w:rPr>
      </w:pPr>
      <w:r>
        <w:rPr>
          <w:rFonts w:ascii="Arial" w:cs="Arial" w:eastAsia="Arial" w:hAnsi="Arial"/>
          <w:sz w:val="17"/>
          <w:szCs w:val="17"/>
          <w:color w:val="auto"/>
        </w:rPr>
        <w:t>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73"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1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93" w:lineRule="exact"/>
        <w:rPr>
          <w:sz w:val="20"/>
          <w:szCs w:val="20"/>
          <w:color w:val="auto"/>
        </w:rPr>
      </w:pPr>
    </w:p>
    <w:p>
      <w:pPr>
        <w:ind w:left="1020" w:hanging="503"/>
        <w:spacing w:after="0" w:line="245"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7"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64" w:lineRule="exact"/>
        <w:rPr>
          <w:rFonts w:ascii="Arial" w:cs="Arial" w:eastAsia="Arial" w:hAnsi="Arial"/>
          <w:sz w:val="17"/>
          <w:szCs w:val="17"/>
          <w:color w:val="auto"/>
        </w:rPr>
      </w:pPr>
    </w:p>
    <w:p>
      <w:pPr>
        <w:ind w:left="1020" w:right="60" w:hanging="503"/>
        <w:spacing w:after="0" w:line="263"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6" w:lineRule="exact"/>
        <w:rPr>
          <w:rFonts w:ascii="Arial" w:cs="Arial" w:eastAsia="Arial" w:hAnsi="Arial"/>
          <w:sz w:val="17"/>
          <w:szCs w:val="17"/>
          <w:color w:val="auto"/>
        </w:rPr>
      </w:pPr>
    </w:p>
    <w:p>
      <w:pPr>
        <w:ind w:left="1020" w:right="280" w:hanging="503"/>
        <w:spacing w:after="0" w:line="26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64" w:lineRule="exact"/>
        <w:rPr>
          <w:rFonts w:ascii="Arial" w:cs="Arial" w:eastAsia="Arial" w:hAnsi="Arial"/>
          <w:sz w:val="17"/>
          <w:szCs w:val="17"/>
          <w:color w:val="auto"/>
        </w:rPr>
      </w:pPr>
    </w:p>
    <w:p>
      <w:pPr>
        <w:ind w:left="1020" w:hanging="503"/>
        <w:spacing w:after="0" w:line="283"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5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7" w:name="page58"/>
    <w:bookmarkEnd w:id="57"/>
    <w:p>
      <w:pPr>
        <w:ind w:right="120"/>
        <w:spacing w:after="0" w:line="342" w:lineRule="auto"/>
        <w:rPr>
          <w:sz w:val="20"/>
          <w:szCs w:val="20"/>
          <w:color w:val="auto"/>
        </w:rPr>
      </w:pPr>
      <w:r>
        <w:rPr>
          <w:rFonts w:ascii="Arial" w:cs="Arial" w:eastAsia="Arial" w:hAnsi="Arial"/>
          <w:sz w:val="16"/>
          <w:szCs w:val="16"/>
          <w:color w:val="auto"/>
        </w:rPr>
        <w:t>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67"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8" w:name="page59"/>
    <w:bookmarkEnd w:id="58"/>
    <w:p>
      <w:pPr>
        <w:ind w:right="200"/>
        <w:spacing w:after="0" w:line="256" w:lineRule="auto"/>
        <w:rPr>
          <w:sz w:val="20"/>
          <w:szCs w:val="20"/>
          <w:color w:val="auto"/>
        </w:rPr>
      </w:pPr>
      <w:r>
        <w:rPr>
          <w:rFonts w:ascii="Arial" w:cs="Arial" w:eastAsia="Arial" w:hAnsi="Arial"/>
          <w:sz w:val="18"/>
          <w:szCs w:val="18"/>
          <w:color w:val="auto"/>
        </w:rPr>
        <w:t>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37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operations abroad may also be subject to increased scrutiny or attention from data protection authorities. For example, the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in July 2020, the Court of Justice of the European Union (“CJEU”) limited how organizations could lawfully transfer personal data from the EU/EEA to the United States by invalidating the EU-US Privacy Shield Framework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the United Kingdom’s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5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European Union in relation to certain aspects of data protection law remains unclear, including how data transfers between European Union member states and the United Kingdom will be treated. These changes may lead to additional compliance costs and could increase our overall risk.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58"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In recent years, U.S. and European lawmakers and regulators have expressed concern over electronic marketing and the use of third-party cookies, web beacons and similar technology for online behavioral advertising. In the European Union, the rules on e-marketing are currently set out in the ePrivacy Directive, which will be replaced by a new ePrivacy Regulation. While the ePrivacy Regulation was originally intended to be adopted on May 25, 2018 (alongside the GDPR), it is still going through the European legislative process. The current draft of the ePrivacy Regulation imposes strict opt-in e-marketing rules with limited exceptions for business to business communications,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ind w:right="40"/>
        <w:spacing w:after="0" w:line="277" w:lineRule="auto"/>
        <w:rPr>
          <w:sz w:val="20"/>
          <w:szCs w:val="20"/>
          <w:color w:val="auto"/>
        </w:rPr>
      </w:pPr>
      <w:r>
        <w:rPr>
          <w:rFonts w:ascii="Arial" w:cs="Arial" w:eastAsia="Arial" w:hAnsi="Arial"/>
          <w:sz w:val="18"/>
          <w:szCs w:val="18"/>
          <w:color w:val="auto"/>
        </w:rPr>
        <w:t>significantly increases fines for non-compliance. Regulation of cookies and web beacons may lead to broader restrictions on our online activities, including our efforts to understand our users’ internet usage and promote ourselves to them.</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5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14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6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ind w:right="20"/>
        <w:spacing w:after="0" w:line="277" w:lineRule="auto"/>
        <w:rPr>
          <w:sz w:val="20"/>
          <w:szCs w:val="20"/>
          <w:color w:val="auto"/>
        </w:rPr>
      </w:pPr>
      <w:r>
        <w:rPr>
          <w:rFonts w:ascii="Arial" w:cs="Arial" w:eastAsia="Arial" w:hAnsi="Arial"/>
          <w:sz w:val="18"/>
          <w:szCs w:val="18"/>
          <w:color w:val="auto"/>
        </w:rPr>
        <w:t>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4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4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condition. Even after an orphan product is approved, the FDA can subsequently approve the same drug or therapeutic biologic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76" w:lineRule="exact"/>
        <w:rPr>
          <w:sz w:val="20"/>
          <w:szCs w:val="20"/>
          <w:color w:val="auto"/>
        </w:rPr>
      </w:pPr>
    </w:p>
    <w:p>
      <w:pPr>
        <w:ind w:left="1020" w:right="8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76"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48"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9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$1.19 and $35.00 per share. The market price for our common stock may be influenced by many factors, including the other risks described in this section titled “Risk Factors” and the following:</w:t>
      </w:r>
    </w:p>
    <w:p>
      <w:pPr>
        <w:spacing w:after="0" w:line="67"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15" w:lineRule="exact"/>
        <w:rPr>
          <w:rFonts w:ascii="Arial" w:cs="Arial" w:eastAsia="Arial" w:hAnsi="Arial"/>
          <w:sz w:val="17"/>
          <w:szCs w:val="17"/>
          <w:color w:val="auto"/>
        </w:rPr>
      </w:pPr>
    </w:p>
    <w:p>
      <w:pPr>
        <w:ind w:left="1020" w:right="220" w:hanging="503"/>
        <w:spacing w:after="0" w:line="248"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ind w:left="1020" w:right="6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20" w:right="6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jc w:val="both"/>
        <w:ind w:right="160"/>
        <w:spacing w:after="0" w:line="270"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16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8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63" w:name="page64"/>
    <w:bookmarkEnd w:id="63"/>
    <w:p>
      <w:pPr>
        <w:ind w:right="40"/>
        <w:spacing w:after="0" w:line="258"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98"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September 30, 2022, our executive officers, directors, holders of 5% or more of our capital stock based on publicly available filings made with the SEC and their respective affiliates beneficially owned approximately 43%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7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9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4"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03" w:lineRule="exact"/>
        <w:rPr>
          <w:rFonts w:ascii="Arial" w:cs="Arial" w:eastAsia="Arial" w:hAnsi="Arial"/>
          <w:sz w:val="18"/>
          <w:szCs w:val="18"/>
          <w:color w:val="auto"/>
        </w:rPr>
      </w:pPr>
    </w:p>
    <w:p>
      <w:pPr>
        <w:ind w:left="1020" w:right="20" w:hanging="503"/>
        <w:spacing w:after="0" w:line="245"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91"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1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64" w:name="page65"/>
    <w:bookmarkEnd w:id="64"/>
    <w:p>
      <w:pPr>
        <w:ind w:right="2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71"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and other pre-change tax attributes, such as research and development tax credits, to offset its post-change income or taxes may be limited. We may have experienced ownership changes in the past and may experience ownership changes as a result of subsequent shifts in our stock ownership, some of which are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For example, California recently imposed limits on the usability of California state NOLs and tax credits to offset California taxable income in tax years beginning after 2019 and before 2023. As a result, even if we attain profitability, we may be unable to use a material portion of our NOLs and tax credits.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75"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5" w:name="page66"/>
    <w:bookmarkEnd w:id="65"/>
    <w:p>
      <w:pPr>
        <w:ind w:right="320"/>
        <w:spacing w:after="0" w:line="249" w:lineRule="auto"/>
        <w:rPr>
          <w:sz w:val="20"/>
          <w:szCs w:val="20"/>
          <w:color w:val="auto"/>
        </w:rPr>
      </w:pPr>
      <w:r>
        <w:rPr>
          <w:rFonts w:ascii="Arial" w:cs="Arial" w:eastAsia="Arial" w:hAnsi="Arial"/>
          <w:sz w:val="18"/>
          <w:szCs w:val="18"/>
          <w:color w:val="auto"/>
        </w:rPr>
        <w:t>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8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9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We may encounter unexpected difficulties, or incur unexpected costs, in connection with transition activities and integration efforts, which include:</w:t>
      </w:r>
    </w:p>
    <w:p>
      <w:pPr>
        <w:spacing w:after="0" w:line="113"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98"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8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17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the COVID-19 pandemic and resulting shelter-in-place and stay-at-home restrictions,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To the extent that any disruption or security breach were to result in a loss of, or damage to, our data, or inappropriate disclosure of confidential or</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7" w:name="page68"/>
    <w:bookmarkEnd w:id="67"/>
    <w:p>
      <w:pPr>
        <w:ind w:right="580"/>
        <w:spacing w:after="0" w:line="277" w:lineRule="auto"/>
        <w:rPr>
          <w:sz w:val="20"/>
          <w:szCs w:val="20"/>
          <w:color w:val="auto"/>
        </w:rPr>
      </w:pPr>
      <w:r>
        <w:rPr>
          <w:rFonts w:ascii="Arial" w:cs="Arial" w:eastAsia="Arial" w:hAnsi="Arial"/>
          <w:sz w:val="18"/>
          <w:szCs w:val="18"/>
          <w:color w:val="auto"/>
        </w:rPr>
        <w:t>proprietary information, we could incur liability, recovery of our data could take a prolonged period of time, and the development of our research or product candidates could be delayed.</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armed conflict between Russia and Ukraine could adversely affect our business, financial condition, and results of operations.</w:t>
      </w:r>
    </w:p>
    <w:p>
      <w:pPr>
        <w:spacing w:after="0" w:line="1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15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3" w:lineRule="exact"/>
        <w:rPr>
          <w:sz w:val="20"/>
          <w:szCs w:val="20"/>
          <w:color w:val="auto"/>
        </w:rPr>
      </w:pPr>
    </w:p>
    <w:p>
      <w:pPr>
        <w:ind w:left="1020" w:right="140" w:hanging="503"/>
        <w:spacing w:after="0" w:line="25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66"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48"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17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18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8" w:name="page69"/>
    <w:bookmarkEnd w:id="68"/>
    <w:p>
      <w:pPr>
        <w:ind w:right="80"/>
        <w:spacing w:after="0" w:line="256" w:lineRule="auto"/>
        <w:rPr>
          <w:sz w:val="20"/>
          <w:szCs w:val="20"/>
          <w:color w:val="auto"/>
        </w:rPr>
      </w:pPr>
      <w:r>
        <w:rPr>
          <w:rFonts w:ascii="Arial" w:cs="Arial" w:eastAsia="Arial" w:hAnsi="Arial"/>
          <w:sz w:val="18"/>
          <w:szCs w:val="18"/>
          <w:color w:val="auto"/>
        </w:rPr>
        <w:t>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7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6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15" w:right="1440"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940" w:type="dxa"/>
            <w:vAlign w:val="bottom"/>
          </w:tcPr>
          <w:p>
            <w:pPr>
              <w:jc w:val="center"/>
              <w:ind w:right="1368"/>
              <w:spacing w:after="0"/>
              <w:rPr>
                <w:sz w:val="20"/>
                <w:szCs w:val="20"/>
                <w:color w:val="auto"/>
              </w:rPr>
            </w:pPr>
            <w:r>
              <w:rPr>
                <w:rFonts w:ascii="Arial" w:cs="Arial" w:eastAsia="Arial" w:hAnsi="Arial"/>
                <w:sz w:val="14"/>
                <w:szCs w:val="14"/>
                <w:b w:val="1"/>
                <w:bCs w:val="1"/>
                <w:color w:val="auto"/>
                <w:w w:val="98"/>
              </w:rPr>
              <w:t>Exhibit</w:t>
            </w:r>
          </w:p>
        </w:tc>
        <w:tc>
          <w:tcPr>
            <w:tcW w:w="2620" w:type="dxa"/>
            <w:vAlign w:val="bottom"/>
            <w:vMerge w:val="restart"/>
          </w:tcPr>
          <w:p>
            <w:pPr>
              <w:ind w:left="142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19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8"/>
              </w:rPr>
              <w:t>Number</w:t>
            </w:r>
          </w:p>
        </w:tc>
        <w:tc>
          <w:tcPr>
            <w:tcW w:w="2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-635</wp:posOffset>
            </wp:positionV>
            <wp:extent cx="456882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68825" cy="17145"/>
                    </a:xfrm>
                    <a:prstGeom prst="rect">
                      <a:avLst/>
                    </a:prstGeom>
                    <a:noFill/>
                  </pic:spPr>
                </pic:pic>
              </a:graphicData>
            </a:graphic>
          </wp:anchor>
        </w:drawing>
      </w:r>
    </w:p>
    <w:p>
      <w:pPr>
        <w:spacing w:after="0" w:line="123"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87"/>
              </w:rPr>
              <w:t>3.1</w:t>
            </w:r>
          </w:p>
        </w:tc>
        <w:tc>
          <w:tcPr>
            <w:tcW w:w="5860" w:type="dxa"/>
            <w:vAlign w:val="bottom"/>
            <w:gridSpan w:val="27"/>
          </w:tcPr>
          <w:p>
            <w:pPr>
              <w:spacing w:after="0"/>
              <w:rPr>
                <w:rFonts w:ascii="Arial" w:cs="Arial" w:eastAsia="Arial" w:hAnsi="Arial"/>
                <w:sz w:val="18"/>
                <w:szCs w:val="18"/>
                <w:color w:val="0000FF"/>
              </w:rPr>
            </w:pPr>
            <w:hyperlink r:id="rId226">
              <w:r>
                <w:rPr>
                  <w:rFonts w:ascii="Arial" w:cs="Arial" w:eastAsia="Arial" w:hAnsi="Arial"/>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ind w:right="510"/>
              <w:spacing w:after="0"/>
              <w:rPr>
                <w:sz w:val="20"/>
                <w:szCs w:val="20"/>
                <w:color w:val="auto"/>
              </w:rPr>
            </w:pPr>
            <w:r>
              <w:rPr>
                <w:rFonts w:ascii="Arial" w:cs="Arial" w:eastAsia="Arial" w:hAnsi="Arial"/>
                <w:sz w:val="18"/>
                <w:szCs w:val="18"/>
                <w:color w:val="auto"/>
                <w:w w:val="87"/>
              </w:rPr>
              <w:t>3.2</w:t>
            </w: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vMerge w:val="continue"/>
          </w:tcPr>
          <w:p>
            <w:pPr>
              <w:spacing w:after="0"/>
              <w:rPr>
                <w:sz w:val="24"/>
                <w:szCs w:val="24"/>
                <w:color w:val="auto"/>
              </w:rPr>
            </w:pPr>
          </w:p>
        </w:tc>
        <w:tc>
          <w:tcPr>
            <w:tcW w:w="5860" w:type="dxa"/>
            <w:vAlign w:val="bottom"/>
            <w:gridSpan w:val="27"/>
          </w:tcPr>
          <w:p>
            <w:pPr>
              <w:spacing w:after="0"/>
              <w:rPr>
                <w:rFonts w:ascii="Arial" w:cs="Arial" w:eastAsia="Arial" w:hAnsi="Arial"/>
                <w:sz w:val="16"/>
                <w:szCs w:val="16"/>
                <w:color w:val="0000FF"/>
              </w:rPr>
            </w:pPr>
            <w:hyperlink r:id="rId227">
              <w:r>
                <w:rPr>
                  <w:rFonts w:ascii="Arial" w:cs="Arial" w:eastAsia="Arial" w:hAnsi="Arial"/>
                  <w:sz w:val="16"/>
                  <w:szCs w:val="16"/>
                  <w:color w:val="0000FF"/>
                </w:rPr>
                <w:t>Certificate of Amendment to Amended and Restated Certificate of Incorporation of</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480" w:type="dxa"/>
            <w:vAlign w:val="bottom"/>
            <w:tcBorders>
              <w:top w:val="single" w:sz="8" w:color="0000FF"/>
            </w:tcBorders>
            <w:gridSpan w:val="20"/>
          </w:tcPr>
          <w:p>
            <w:pPr>
              <w:spacing w:after="0" w:line="155" w:lineRule="exact"/>
              <w:rPr>
                <w:rFonts w:ascii="Arial" w:cs="Arial" w:eastAsia="Arial" w:hAnsi="Arial"/>
                <w:sz w:val="16"/>
                <w:szCs w:val="16"/>
                <w:color w:val="0000FF"/>
              </w:rPr>
            </w:pPr>
            <w:hyperlink r:id="rId227">
              <w:r>
                <w:rPr>
                  <w:rFonts w:ascii="Arial" w:cs="Arial" w:eastAsia="Arial" w:hAnsi="Arial"/>
                  <w:sz w:val="16"/>
                  <w:szCs w:val="16"/>
                  <w:color w:val="0000FF"/>
                </w:rPr>
                <w:t>CytomX Therapeutics,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87"/>
              </w:rPr>
              <w:t>3.3</w:t>
            </w:r>
          </w:p>
        </w:tc>
        <w:tc>
          <w:tcPr>
            <w:tcW w:w="5860" w:type="dxa"/>
            <w:vAlign w:val="bottom"/>
            <w:gridSpan w:val="27"/>
          </w:tcPr>
          <w:p>
            <w:pPr>
              <w:spacing w:after="0"/>
              <w:rPr>
                <w:rFonts w:ascii="Arial" w:cs="Arial" w:eastAsia="Arial" w:hAnsi="Arial"/>
                <w:sz w:val="18"/>
                <w:szCs w:val="18"/>
                <w:color w:val="0000FF"/>
              </w:rPr>
            </w:pPr>
            <w:hyperlink r:id="rId228">
              <w:r>
                <w:rPr>
                  <w:rFonts w:ascii="Arial" w:cs="Arial" w:eastAsia="Arial" w:hAnsi="Arial"/>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87"/>
              </w:rPr>
              <w:t>4.1</w:t>
            </w:r>
          </w:p>
        </w:tc>
        <w:tc>
          <w:tcPr>
            <w:tcW w:w="5860" w:type="dxa"/>
            <w:vAlign w:val="bottom"/>
            <w:gridSpan w:val="27"/>
          </w:tcPr>
          <w:p>
            <w:pPr>
              <w:spacing w:after="0"/>
              <w:rPr>
                <w:sz w:val="20"/>
                <w:szCs w:val="20"/>
                <w:color w:val="auto"/>
              </w:rPr>
            </w:pPr>
            <w:r>
              <w:rPr>
                <w:rFonts w:ascii="Arial" w:cs="Arial" w:eastAsia="Arial" w:hAnsi="Arial"/>
                <w:sz w:val="18"/>
                <w:szCs w:val="18"/>
                <w:color w:val="auto"/>
              </w:rPr>
              <w:t>Reference is made to Exhibits 3.1 through 3.2.</w:t>
            </w:r>
          </w:p>
        </w:tc>
        <w:tc>
          <w:tcPr>
            <w:tcW w:w="0" w:type="dxa"/>
            <w:vAlign w:val="bottom"/>
          </w:tcPr>
          <w:p>
            <w:pPr>
              <w:spacing w:after="0"/>
              <w:rPr>
                <w:sz w:val="1"/>
                <w:szCs w:val="1"/>
                <w:color w:val="auto"/>
              </w:rPr>
            </w:pPr>
          </w:p>
        </w:tc>
      </w:tr>
      <w:tr>
        <w:trPr>
          <w:trHeight w:val="310"/>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87"/>
              </w:rPr>
              <w:t>4.2</w:t>
            </w:r>
          </w:p>
        </w:tc>
        <w:tc>
          <w:tcPr>
            <w:tcW w:w="5860" w:type="dxa"/>
            <w:vAlign w:val="bottom"/>
            <w:gridSpan w:val="27"/>
          </w:tcPr>
          <w:p>
            <w:pPr>
              <w:spacing w:after="0"/>
              <w:rPr>
                <w:rFonts w:ascii="Arial" w:cs="Arial" w:eastAsia="Arial" w:hAnsi="Arial"/>
                <w:sz w:val="18"/>
                <w:szCs w:val="18"/>
                <w:color w:val="0000FF"/>
              </w:rPr>
            </w:pPr>
            <w:hyperlink r:id="rId229">
              <w:r>
                <w:rPr>
                  <w:rFonts w:ascii="Arial" w:cs="Arial" w:eastAsia="Arial" w:hAnsi="Arial"/>
                  <w:sz w:val="18"/>
                  <w:szCs w:val="18"/>
                  <w:color w:val="0000FF"/>
                </w:rPr>
                <w:t>Specimen Common Stock Certificate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91"/>
              </w:rPr>
              <w:t>10.1</w:t>
            </w:r>
          </w:p>
        </w:tc>
        <w:tc>
          <w:tcPr>
            <w:tcW w:w="586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2"/>
              </w:rPr>
              <w:t>Consulting Agreement effective as of October 1, 2022, by and between CytomX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860" w:type="dxa"/>
            <w:vAlign w:val="bottom"/>
            <w:gridSpan w:val="27"/>
          </w:tcPr>
          <w:p>
            <w:pPr>
              <w:spacing w:after="0" w:line="169" w:lineRule="exact"/>
              <w:rPr>
                <w:sz w:val="20"/>
                <w:szCs w:val="20"/>
                <w:color w:val="auto"/>
              </w:rPr>
            </w:pPr>
            <w:r>
              <w:rPr>
                <w:rFonts w:ascii="Arial" w:cs="Arial" w:eastAsia="Arial" w:hAnsi="Arial"/>
                <w:sz w:val="18"/>
                <w:szCs w:val="18"/>
                <w:color w:val="0000FF"/>
              </w:rPr>
              <w:t>Therapeutics, Inc. and Carlos Campoy</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91"/>
              </w:rPr>
              <w:t>10.2</w:t>
            </w:r>
          </w:p>
        </w:tc>
        <w:tc>
          <w:tcPr>
            <w:tcW w:w="5860" w:type="dxa"/>
            <w:vAlign w:val="bottom"/>
            <w:gridSpan w:val="27"/>
          </w:tcPr>
          <w:p>
            <w:pPr>
              <w:spacing w:after="0"/>
              <w:rPr>
                <w:sz w:val="20"/>
                <w:szCs w:val="20"/>
                <w:color w:val="auto"/>
              </w:rPr>
            </w:pPr>
            <w:r>
              <w:rPr>
                <w:rFonts w:ascii="Arial" w:cs="Arial" w:eastAsia="Arial" w:hAnsi="Arial"/>
                <w:sz w:val="18"/>
                <w:szCs w:val="18"/>
                <w:color w:val="0000FF"/>
                <w:w w:val="97"/>
              </w:rPr>
              <w:t>Consulting Agreement effective as of September 13, 2022, by and between</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15"/>
          </w:tcPr>
          <w:p>
            <w:pPr>
              <w:spacing w:after="0" w:line="169" w:lineRule="exact"/>
              <w:rPr>
                <w:sz w:val="20"/>
                <w:szCs w:val="20"/>
                <w:color w:val="auto"/>
              </w:rPr>
            </w:pPr>
            <w:r>
              <w:rPr>
                <w:rFonts w:ascii="Arial" w:cs="Arial" w:eastAsia="Arial" w:hAnsi="Arial"/>
                <w:sz w:val="18"/>
                <w:szCs w:val="18"/>
                <w:color w:val="0000FF"/>
                <w:w w:val="91"/>
              </w:rPr>
              <w:t>CytomX Therapeutics, Inc. and Amy C. Peterson, M.D.</w:t>
            </w:r>
          </w:p>
        </w:tc>
        <w:tc>
          <w:tcPr>
            <w:tcW w:w="20" w:type="dxa"/>
            <w:vAlign w:val="bottom"/>
            <w:tcBorders>
              <w:top w:val="single" w:sz="8" w:color="0000FF"/>
              <w:bottom w:val="single" w:sz="8" w:color="0000EE"/>
            </w:tcBorders>
          </w:tcPr>
          <w:p>
            <w:pPr>
              <w:spacing w:after="0"/>
              <w:rPr>
                <w:sz w:val="14"/>
                <w:szCs w:val="14"/>
                <w:color w:val="auto"/>
              </w:rPr>
            </w:pPr>
          </w:p>
        </w:tc>
        <w:tc>
          <w:tcPr>
            <w:tcW w:w="14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88"/>
              </w:rPr>
              <w:t>10.3#</w:t>
            </w:r>
          </w:p>
        </w:tc>
        <w:tc>
          <w:tcPr>
            <w:tcW w:w="5860" w:type="dxa"/>
            <w:vAlign w:val="bottom"/>
            <w:gridSpan w:val="27"/>
          </w:tcPr>
          <w:p>
            <w:pPr>
              <w:spacing w:after="0"/>
              <w:rPr>
                <w:sz w:val="20"/>
                <w:szCs w:val="20"/>
                <w:color w:val="auto"/>
              </w:rPr>
            </w:pPr>
            <w:r>
              <w:rPr>
                <w:rFonts w:ascii="Arial" w:cs="Arial" w:eastAsia="Arial" w:hAnsi="Arial"/>
                <w:sz w:val="18"/>
                <w:szCs w:val="18"/>
                <w:color w:val="0000FF"/>
                <w:w w:val="97"/>
              </w:rPr>
              <w:t>Separation Agreement effective as of September 30, 2022, by and between</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0"/>
              </w:rPr>
              <w:t>CytomX Therapeutics, Inc. and Carlos Campoy.</w:t>
            </w:r>
          </w:p>
        </w:tc>
        <w:tc>
          <w:tcPr>
            <w:tcW w:w="20" w:type="dxa"/>
            <w:vAlign w:val="bottom"/>
            <w:tcBorders>
              <w:top w:val="single" w:sz="8" w:color="0000FF"/>
              <w:bottom w:val="single" w:sz="8" w:color="0000EE"/>
            </w:tcBorders>
          </w:tcPr>
          <w:p>
            <w:pPr>
              <w:spacing w:after="0"/>
              <w:rPr>
                <w:sz w:val="14"/>
                <w:szCs w:val="14"/>
                <w:color w:val="auto"/>
              </w:rPr>
            </w:pPr>
          </w:p>
        </w:tc>
        <w:tc>
          <w:tcPr>
            <w:tcW w:w="19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right"/>
              <w:ind w:right="530"/>
              <w:spacing w:after="0"/>
              <w:rPr>
                <w:sz w:val="20"/>
                <w:szCs w:val="20"/>
                <w:color w:val="auto"/>
              </w:rPr>
            </w:pPr>
            <w:r>
              <w:rPr>
                <w:rFonts w:ascii="Arial" w:cs="Arial" w:eastAsia="Arial" w:hAnsi="Arial"/>
                <w:sz w:val="18"/>
                <w:szCs w:val="18"/>
                <w:color w:val="auto"/>
                <w:w w:val="84"/>
              </w:rPr>
              <w:t>10.4#</w:t>
            </w:r>
          </w:p>
        </w:tc>
        <w:tc>
          <w:tcPr>
            <w:tcW w:w="5860" w:type="dxa"/>
            <w:vAlign w:val="bottom"/>
            <w:gridSpan w:val="27"/>
          </w:tcPr>
          <w:p>
            <w:pPr>
              <w:spacing w:after="0"/>
              <w:rPr>
                <w:sz w:val="20"/>
                <w:szCs w:val="20"/>
                <w:color w:val="auto"/>
              </w:rPr>
            </w:pPr>
            <w:r>
              <w:rPr>
                <w:rFonts w:ascii="Arial" w:cs="Arial" w:eastAsia="Arial" w:hAnsi="Arial"/>
                <w:sz w:val="18"/>
                <w:szCs w:val="18"/>
                <w:color w:val="0000FF"/>
                <w:w w:val="97"/>
              </w:rPr>
              <w:t>Separation Agreement effective as of September 12, 2022, by and between</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15"/>
          </w:tcPr>
          <w:p>
            <w:pPr>
              <w:spacing w:after="0" w:line="169" w:lineRule="exact"/>
              <w:rPr>
                <w:sz w:val="20"/>
                <w:szCs w:val="20"/>
                <w:color w:val="auto"/>
              </w:rPr>
            </w:pPr>
            <w:r>
              <w:rPr>
                <w:rFonts w:ascii="Arial" w:cs="Arial" w:eastAsia="Arial" w:hAnsi="Arial"/>
                <w:sz w:val="18"/>
                <w:szCs w:val="18"/>
                <w:color w:val="0000FF"/>
                <w:w w:val="91"/>
              </w:rPr>
              <w:t>CytomX Therapeutics, Inc. and Amy C. Peterson, M.D.</w:t>
            </w:r>
          </w:p>
        </w:tc>
        <w:tc>
          <w:tcPr>
            <w:tcW w:w="20" w:type="dxa"/>
            <w:vAlign w:val="bottom"/>
            <w:tcBorders>
              <w:top w:val="single" w:sz="8" w:color="0000FF"/>
              <w:bottom w:val="single" w:sz="8" w:color="0000EE"/>
            </w:tcBorders>
          </w:tcPr>
          <w:p>
            <w:pPr>
              <w:spacing w:after="0"/>
              <w:rPr>
                <w:sz w:val="14"/>
                <w:szCs w:val="14"/>
                <w:color w:val="auto"/>
              </w:rPr>
            </w:pPr>
          </w:p>
        </w:tc>
        <w:tc>
          <w:tcPr>
            <w:tcW w:w="140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right"/>
              <w:ind w:right="530"/>
              <w:spacing w:after="0"/>
              <w:rPr>
                <w:sz w:val="20"/>
                <w:szCs w:val="20"/>
                <w:color w:val="auto"/>
              </w:rPr>
            </w:pPr>
            <w:r>
              <w:rPr>
                <w:rFonts w:ascii="Arial" w:cs="Arial" w:eastAsia="Arial" w:hAnsi="Arial"/>
                <w:sz w:val="18"/>
                <w:szCs w:val="18"/>
                <w:color w:val="auto"/>
                <w:w w:val="84"/>
              </w:rPr>
              <w:t>10.5#</w:t>
            </w:r>
          </w:p>
        </w:tc>
        <w:tc>
          <w:tcPr>
            <w:tcW w:w="5860" w:type="dxa"/>
            <w:vAlign w:val="bottom"/>
            <w:gridSpan w:val="27"/>
          </w:tcPr>
          <w:p>
            <w:pPr>
              <w:spacing w:after="0"/>
              <w:rPr>
                <w:sz w:val="20"/>
                <w:szCs w:val="20"/>
                <w:color w:val="auto"/>
              </w:rPr>
            </w:pPr>
            <w:r>
              <w:rPr>
                <w:rFonts w:ascii="Arial" w:cs="Arial" w:eastAsia="Arial" w:hAnsi="Arial"/>
                <w:sz w:val="18"/>
                <w:szCs w:val="18"/>
                <w:color w:val="0000FF"/>
                <w:w w:val="97"/>
              </w:rPr>
              <w:t>Separation Agreement effective as of September 30, 2022, by and between</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44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CytomX Therapeutics, Inc. and Alison Hannah, M.D.</w:t>
            </w: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88"/>
              </w:rPr>
              <w:t>10.6†</w:t>
            </w:r>
          </w:p>
        </w:tc>
        <w:tc>
          <w:tcPr>
            <w:tcW w:w="5860" w:type="dxa"/>
            <w:vAlign w:val="bottom"/>
            <w:gridSpan w:val="27"/>
          </w:tcPr>
          <w:p>
            <w:pPr>
              <w:spacing w:after="0"/>
              <w:rPr>
                <w:sz w:val="20"/>
                <w:szCs w:val="20"/>
                <w:color w:val="auto"/>
              </w:rPr>
            </w:pPr>
            <w:r>
              <w:rPr>
                <w:rFonts w:ascii="Arial" w:cs="Arial" w:eastAsia="Arial" w:hAnsi="Arial"/>
                <w:sz w:val="18"/>
                <w:szCs w:val="18"/>
                <w:color w:val="0000FF"/>
                <w:w w:val="98"/>
              </w:rPr>
              <w:t>Amendment No 3 to Collaboration and License Agreement, dated May 23,</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46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w w:val="93"/>
              </w:rPr>
              <w:t>2014, by and between the Company and Bristol Myers Squibb Company,</w:t>
            </w:r>
          </w:p>
        </w:tc>
        <w:tc>
          <w:tcPr>
            <w:tcW w:w="6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89"/>
              </w:rPr>
              <w:t>effective as of October 11, 2022.</w:t>
            </w:r>
          </w:p>
        </w:tc>
        <w:tc>
          <w:tcPr>
            <w:tcW w:w="2960" w:type="dxa"/>
            <w:vAlign w:val="bottom"/>
            <w:tcBorders>
              <w:top w:val="single" w:sz="8" w:color="0000FF"/>
            </w:tcBorders>
            <w:gridSpan w:val="9"/>
          </w:tcPr>
          <w:p>
            <w:pPr>
              <w:spacing w:after="0"/>
              <w:rPr>
                <w:sz w:val="14"/>
                <w:szCs w:val="14"/>
                <w:color w:val="auto"/>
              </w:rPr>
            </w:pPr>
          </w:p>
        </w:tc>
        <w:tc>
          <w:tcPr>
            <w:tcW w:w="200" w:type="dxa"/>
            <w:vAlign w:val="bottom"/>
            <w:gridSpan w:val="5"/>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91"/>
              </w:rPr>
              <w:t>31.1</w:t>
            </w:r>
          </w:p>
        </w:tc>
        <w:tc>
          <w:tcPr>
            <w:tcW w:w="5860" w:type="dxa"/>
            <w:vAlign w:val="bottom"/>
            <w:gridSpan w:val="27"/>
          </w:tcPr>
          <w:p>
            <w:pPr>
              <w:spacing w:after="0"/>
              <w:rPr>
                <w:sz w:val="20"/>
                <w:szCs w:val="20"/>
                <w:color w:val="auto"/>
              </w:rPr>
            </w:pPr>
            <w:r>
              <w:rPr>
                <w:rFonts w:ascii="Arial" w:cs="Arial" w:eastAsia="Arial" w:hAnsi="Arial"/>
                <w:sz w:val="18"/>
                <w:szCs w:val="18"/>
                <w:color w:val="0000FF"/>
                <w:w w:val="93"/>
              </w:rPr>
              <w:t>Certification of Chief Executive Officer required by Rule 13a-14(a) or Rule 15d-</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9"/>
              </w:rPr>
              <w:t>14(a).</w:t>
            </w:r>
          </w:p>
        </w:tc>
        <w:tc>
          <w:tcPr>
            <w:tcW w:w="20" w:type="dxa"/>
            <w:vAlign w:val="bottom"/>
            <w:tcBorders>
              <w:top w:val="single" w:sz="8" w:color="0000FF"/>
              <w:bottom w:val="single" w:sz="8" w:color="0000EE"/>
            </w:tcBorders>
          </w:tcPr>
          <w:p>
            <w:pPr>
              <w:spacing w:after="0"/>
              <w:rPr>
                <w:sz w:val="14"/>
                <w:szCs w:val="14"/>
                <w:color w:val="auto"/>
              </w:rPr>
            </w:pPr>
          </w:p>
        </w:tc>
        <w:tc>
          <w:tcPr>
            <w:tcW w:w="538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91"/>
              </w:rPr>
              <w:t>31.2</w:t>
            </w:r>
          </w:p>
        </w:tc>
        <w:tc>
          <w:tcPr>
            <w:tcW w:w="5860" w:type="dxa"/>
            <w:vAlign w:val="bottom"/>
            <w:gridSpan w:val="27"/>
          </w:tcPr>
          <w:p>
            <w:pPr>
              <w:spacing w:after="0"/>
              <w:rPr>
                <w:sz w:val="20"/>
                <w:szCs w:val="20"/>
                <w:color w:val="auto"/>
              </w:rPr>
            </w:pPr>
            <w:r>
              <w:rPr>
                <w:rFonts w:ascii="Arial" w:cs="Arial" w:eastAsia="Arial" w:hAnsi="Arial"/>
                <w:sz w:val="18"/>
                <w:szCs w:val="18"/>
                <w:color w:val="0000FF"/>
                <w:w w:val="96"/>
              </w:rPr>
              <w:t>Certification of Principal Financial Officer required by Rule 13a-14(a) or Rule</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700" w:type="dxa"/>
            <w:vAlign w:val="bottom"/>
            <w:tcBorders>
              <w:top w:val="single" w:sz="8" w:color="0000FF"/>
            </w:tcBorders>
            <w:gridSpan w:val="23"/>
          </w:tcPr>
          <w:p>
            <w:pPr>
              <w:spacing w:after="0" w:line="169" w:lineRule="exact"/>
              <w:rPr>
                <w:sz w:val="20"/>
                <w:szCs w:val="20"/>
                <w:color w:val="auto"/>
              </w:rPr>
            </w:pPr>
            <w:r>
              <w:rPr>
                <w:rFonts w:ascii="Arial" w:cs="Arial" w:eastAsia="Arial" w:hAnsi="Arial"/>
                <w:sz w:val="18"/>
                <w:szCs w:val="18"/>
                <w:color w:val="0000FF"/>
              </w:rPr>
              <w:t>15d-14(a).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1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95"/>
              </w:rPr>
              <w:t>32.1*</w:t>
            </w:r>
          </w:p>
        </w:tc>
        <w:tc>
          <w:tcPr>
            <w:tcW w:w="552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3"/>
              </w:rPr>
              <w:t>Certification of Chief Executive Officer required by Rule 13a-14(b) or Rule</w:t>
            </w:r>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860" w:type="dxa"/>
            <w:vAlign w:val="bottom"/>
            <w:gridSpan w:val="27"/>
          </w:tcPr>
          <w:p>
            <w:pPr>
              <w:spacing w:after="0" w:line="169" w:lineRule="exact"/>
              <w:rPr>
                <w:sz w:val="20"/>
                <w:szCs w:val="20"/>
                <w:color w:val="auto"/>
              </w:rPr>
            </w:pPr>
            <w:r>
              <w:rPr>
                <w:rFonts w:ascii="Arial" w:cs="Arial" w:eastAsia="Arial" w:hAnsi="Arial"/>
                <w:sz w:val="18"/>
                <w:szCs w:val="18"/>
                <w:color w:val="0000FF"/>
                <w:w w:val="92"/>
              </w:rPr>
              <w:t>15d-14(b) and Section 1350 of Chapter 63 of Title 18 of the United States Code</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0"/>
              </w:rPr>
              <w:t>(18 U.S.C. §1350).</w:t>
            </w:r>
          </w:p>
        </w:tc>
        <w:tc>
          <w:tcPr>
            <w:tcW w:w="20" w:type="dxa"/>
            <w:vAlign w:val="bottom"/>
            <w:tcBorders>
              <w:top w:val="single" w:sz="8" w:color="0000FF"/>
              <w:bottom w:val="single" w:sz="8" w:color="0000EE"/>
            </w:tcBorders>
          </w:tcPr>
          <w:p>
            <w:pPr>
              <w:spacing w:after="0"/>
              <w:rPr>
                <w:sz w:val="14"/>
                <w:szCs w:val="14"/>
                <w:color w:val="auto"/>
              </w:rPr>
            </w:pPr>
          </w:p>
        </w:tc>
        <w:tc>
          <w:tcPr>
            <w:tcW w:w="4400" w:type="dxa"/>
            <w:vAlign w:val="bottom"/>
            <w:tcBorders>
              <w:top w:val="single" w:sz="8" w:color="0000FF"/>
            </w:tcBorders>
            <w:gridSpan w:val="20"/>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95"/>
              </w:rPr>
              <w:t>32.2*</w:t>
            </w:r>
          </w:p>
        </w:tc>
        <w:tc>
          <w:tcPr>
            <w:tcW w:w="5860" w:type="dxa"/>
            <w:vAlign w:val="bottom"/>
            <w:gridSpan w:val="27"/>
          </w:tcPr>
          <w:p>
            <w:pPr>
              <w:spacing w:after="0"/>
              <w:rPr>
                <w:sz w:val="20"/>
                <w:szCs w:val="20"/>
                <w:color w:val="auto"/>
              </w:rPr>
            </w:pPr>
            <w:r>
              <w:rPr>
                <w:rFonts w:ascii="Arial" w:cs="Arial" w:eastAsia="Arial" w:hAnsi="Arial"/>
                <w:sz w:val="18"/>
                <w:szCs w:val="18"/>
                <w:color w:val="0000FF"/>
                <w:w w:val="96"/>
              </w:rPr>
              <w:t>Certification of Principal Financial Officer required by Rule 13a-14(b) or Rule</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720" w:type="dxa"/>
            <w:vAlign w:val="bottom"/>
            <w:tcBorders>
              <w:top w:val="single" w:sz="8" w:color="0000FF"/>
            </w:tcBorders>
            <w:gridSpan w:val="24"/>
          </w:tcPr>
          <w:p>
            <w:pPr>
              <w:spacing w:after="0" w:line="169" w:lineRule="exact"/>
              <w:rPr>
                <w:sz w:val="20"/>
                <w:szCs w:val="20"/>
                <w:color w:val="auto"/>
              </w:rPr>
            </w:pPr>
            <w:r>
              <w:rPr>
                <w:rFonts w:ascii="Arial" w:cs="Arial" w:eastAsia="Arial" w:hAnsi="Arial"/>
                <w:sz w:val="18"/>
                <w:szCs w:val="18"/>
                <w:color w:val="0000FF"/>
                <w:w w:val="90"/>
              </w:rPr>
              <w:t>15d-14(b) and Section 1350 of Chapter 63 of Title 18 of the United States Code</w:t>
            </w: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0"/>
              </w:rPr>
              <w:t>(18 U.S.C. §1350).</w:t>
            </w:r>
          </w:p>
        </w:tc>
        <w:tc>
          <w:tcPr>
            <w:tcW w:w="20" w:type="dxa"/>
            <w:vAlign w:val="bottom"/>
            <w:tcBorders>
              <w:top w:val="single" w:sz="8" w:color="0000FF"/>
              <w:bottom w:val="single" w:sz="8" w:color="0000EE"/>
            </w:tcBorders>
          </w:tcPr>
          <w:p>
            <w:pPr>
              <w:spacing w:after="0"/>
              <w:rPr>
                <w:sz w:val="14"/>
                <w:szCs w:val="14"/>
                <w:color w:val="auto"/>
              </w:rPr>
            </w:pPr>
          </w:p>
        </w:tc>
        <w:tc>
          <w:tcPr>
            <w:tcW w:w="4400" w:type="dxa"/>
            <w:vAlign w:val="bottom"/>
            <w:tcBorders>
              <w:top w:val="single" w:sz="8" w:color="0000FF"/>
            </w:tcBorders>
            <w:gridSpan w:val="20"/>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8173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4"/>
                <w:szCs w:val="14"/>
                <w:color w:val="auto"/>
              </w:rPr>
            </w:pPr>
          </w:p>
        </w:tc>
        <w:tc>
          <w:tcPr>
            <w:tcW w:w="10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205"/>
        </w:trPr>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Number    Herewith</w:t>
            </w:r>
          </w:p>
        </w:tc>
        <w:tc>
          <w:tcPr>
            <w:tcW w:w="0" w:type="dxa"/>
            <w:vAlign w:val="bottom"/>
          </w:tcPr>
          <w:p>
            <w:pPr>
              <w:spacing w:after="0"/>
              <w:rPr>
                <w:sz w:val="1"/>
                <w:szCs w:val="1"/>
                <w:color w:val="auto"/>
              </w:rPr>
            </w:pPr>
          </w:p>
        </w:tc>
      </w:tr>
      <w:tr>
        <w:trPr>
          <w:trHeight w:val="352"/>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10/19/2015</w:t>
            </w:r>
          </w:p>
        </w:tc>
        <w:tc>
          <w:tcPr>
            <w:tcW w:w="140" w:type="dxa"/>
            <w:vAlign w:val="bottom"/>
          </w:tcPr>
          <w:p>
            <w:pPr>
              <w:spacing w:after="0"/>
              <w:rPr>
                <w:sz w:val="24"/>
                <w:szCs w:val="24"/>
                <w:color w:val="auto"/>
              </w:rPr>
            </w:pPr>
          </w:p>
        </w:tc>
        <w:tc>
          <w:tcPr>
            <w:tcW w:w="6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6/23/2020</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10/19/2015</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9/28/2015</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280" w:space="160"/>
            <w:col w:w="3740"/>
          </w:cols>
          <w:pgMar w:left="320" w:top="324" w:right="399" w:bottom="1440" w:gutter="0" w:footer="0" w:header="0"/>
        </w:sectPr>
      </w:pPr>
    </w:p>
    <w:bookmarkStart w:id="71" w:name="page72"/>
    <w:bookmarkEnd w:id="71"/>
    <w:tbl>
      <w:tblPr>
        <w:tblLayout w:type="fixed"/>
        <w:tblInd w:w="300" w:type="dxa"/>
        <w:tblCellMar>
          <w:top w:w="0" w:type="dxa"/>
          <w:left w:w="0" w:type="dxa"/>
          <w:bottom w:w="0" w:type="dxa"/>
          <w:right w:w="0" w:type="dxa"/>
        </w:tblCellMar>
      </w:tblPr>
      <w:tr>
        <w:trPr>
          <w:trHeight w:val="207"/>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2"/>
              </w:rPr>
              <w:t>101.INS</w:t>
            </w:r>
          </w:p>
        </w:tc>
        <w:tc>
          <w:tcPr>
            <w:tcW w:w="7780" w:type="dxa"/>
            <w:vAlign w:val="bottom"/>
          </w:tcPr>
          <w:p>
            <w:pPr>
              <w:ind w:left="240"/>
              <w:spacing w:after="0"/>
              <w:rPr>
                <w:sz w:val="20"/>
                <w:szCs w:val="20"/>
                <w:color w:val="auto"/>
              </w:rPr>
            </w:pPr>
            <w:r>
              <w:rPr>
                <w:rFonts w:ascii="Arial" w:cs="Arial" w:eastAsia="Arial" w:hAnsi="Arial"/>
                <w:sz w:val="18"/>
                <w:szCs w:val="18"/>
                <w:color w:val="auto"/>
              </w:rPr>
              <w:t>Inline XBRL Instance Document - the instance document does not appear in the</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7780" w:type="dxa"/>
            <w:vAlign w:val="bottom"/>
          </w:tcPr>
          <w:p>
            <w:pPr>
              <w:ind w:left="240"/>
              <w:spacing w:after="0" w:line="189" w:lineRule="exact"/>
              <w:rPr>
                <w:sz w:val="20"/>
                <w:szCs w:val="20"/>
                <w:color w:val="auto"/>
              </w:rPr>
            </w:pPr>
            <w:r>
              <w:rPr>
                <w:rFonts w:ascii="Arial" w:cs="Arial" w:eastAsia="Arial" w:hAnsi="Arial"/>
                <w:sz w:val="18"/>
                <w:szCs w:val="18"/>
                <w:color w:val="auto"/>
              </w:rPr>
              <w:t>Interactive Data File because its XBRL tags are embedded within the Inline</w:t>
            </w:r>
          </w:p>
        </w:tc>
        <w:tc>
          <w:tcPr>
            <w:tcW w:w="1880" w:type="dxa"/>
            <w:vAlign w:val="bottom"/>
          </w:tcPr>
          <w:p>
            <w:pPr>
              <w:ind w:left="174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XBRL document</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0"/>
              </w:rPr>
              <w:t>101.SCH</w:t>
            </w:r>
          </w:p>
        </w:tc>
        <w:tc>
          <w:tcPr>
            <w:tcW w:w="778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c>
          <w:tcPr>
            <w:tcW w:w="1880" w:type="dxa"/>
            <w:vAlign w:val="bottom"/>
          </w:tcPr>
          <w:p>
            <w:pPr>
              <w:ind w:left="17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101.CAL</w:t>
            </w:r>
          </w:p>
        </w:tc>
        <w:tc>
          <w:tcPr>
            <w:tcW w:w="778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c>
          <w:tcPr>
            <w:tcW w:w="1880" w:type="dxa"/>
            <w:vAlign w:val="bottom"/>
          </w:tcPr>
          <w:p>
            <w:pPr>
              <w:ind w:left="17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2"/>
              </w:rPr>
              <w:t>101.DEF</w:t>
            </w:r>
          </w:p>
        </w:tc>
        <w:tc>
          <w:tcPr>
            <w:tcW w:w="778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c>
          <w:tcPr>
            <w:tcW w:w="1880" w:type="dxa"/>
            <w:vAlign w:val="bottom"/>
          </w:tcPr>
          <w:p>
            <w:pPr>
              <w:ind w:left="17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8"/>
              </w:rPr>
              <w:t>101.LAB</w:t>
            </w:r>
          </w:p>
        </w:tc>
        <w:tc>
          <w:tcPr>
            <w:tcW w:w="778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c>
          <w:tcPr>
            <w:tcW w:w="1880" w:type="dxa"/>
            <w:vAlign w:val="bottom"/>
          </w:tcPr>
          <w:p>
            <w:pPr>
              <w:ind w:left="17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101.PRE</w:t>
            </w:r>
          </w:p>
        </w:tc>
        <w:tc>
          <w:tcPr>
            <w:tcW w:w="778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c>
          <w:tcPr>
            <w:tcW w:w="1880" w:type="dxa"/>
            <w:vAlign w:val="bottom"/>
          </w:tcPr>
          <w:p>
            <w:pPr>
              <w:ind w:left="17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1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3"/>
              </w:rPr>
              <w:t>104</w:t>
            </w:r>
          </w:p>
        </w:tc>
        <w:tc>
          <w:tcPr>
            <w:tcW w:w="7780" w:type="dxa"/>
            <w:vAlign w:val="bottom"/>
          </w:tcPr>
          <w:p>
            <w:pPr>
              <w:ind w:left="240"/>
              <w:spacing w:after="0"/>
              <w:rPr>
                <w:sz w:val="20"/>
                <w:szCs w:val="20"/>
                <w:color w:val="auto"/>
              </w:rPr>
            </w:pPr>
            <w:r>
              <w:rPr>
                <w:rFonts w:ascii="Arial" w:cs="Arial" w:eastAsia="Arial" w:hAnsi="Arial"/>
                <w:sz w:val="18"/>
                <w:szCs w:val="18"/>
                <w:color w:val="auto"/>
              </w:rPr>
              <w:t>Cover Page Interactive Data File (formatted as inline XBRL and contained in</w:t>
            </w:r>
          </w:p>
        </w:tc>
        <w:tc>
          <w:tcPr>
            <w:tcW w:w="1880" w:type="dxa"/>
            <w:vAlign w:val="bottom"/>
            <w:vMerge w:val="restart"/>
          </w:tcPr>
          <w:p>
            <w:pPr>
              <w:ind w:left="17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36"/>
        </w:trPr>
        <w:tc>
          <w:tcPr>
            <w:tcW w:w="900" w:type="dxa"/>
            <w:vAlign w:val="bottom"/>
          </w:tcPr>
          <w:p>
            <w:pPr>
              <w:spacing w:after="0"/>
              <w:rPr>
                <w:sz w:val="11"/>
                <w:szCs w:val="11"/>
                <w:color w:val="auto"/>
              </w:rPr>
            </w:pPr>
          </w:p>
        </w:tc>
        <w:tc>
          <w:tcPr>
            <w:tcW w:w="7780" w:type="dxa"/>
            <w:vAlign w:val="bottom"/>
            <w:vMerge w:val="restart"/>
          </w:tcPr>
          <w:p>
            <w:pPr>
              <w:ind w:left="240"/>
              <w:spacing w:after="0"/>
              <w:rPr>
                <w:sz w:val="20"/>
                <w:szCs w:val="20"/>
                <w:color w:val="auto"/>
              </w:rPr>
            </w:pPr>
            <w:r>
              <w:rPr>
                <w:rFonts w:ascii="Arial" w:cs="Arial" w:eastAsia="Arial" w:hAnsi="Arial"/>
                <w:sz w:val="18"/>
                <w:szCs w:val="18"/>
                <w:color w:val="auto"/>
              </w:rPr>
              <w:t>Exhibit 101)</w:t>
            </w: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778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hanging="132"/>
        <w:spacing w:after="0"/>
        <w:tabs>
          <w:tab w:leader="none" w:pos="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omitted from this exhibit.</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212" w:lineRule="exact"/>
        <w:rPr>
          <w:sz w:val="20"/>
          <w:szCs w:val="20"/>
          <w:color w:val="auto"/>
        </w:rPr>
      </w:pPr>
    </w:p>
    <w:p>
      <w:pPr>
        <w:ind w:firstLine="8"/>
        <w:spacing w:after="0" w:line="303" w:lineRule="auto"/>
        <w:tabs>
          <w:tab w:leader="none" w:pos="1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CytomX Therapeutics, Inc.</w:t>
      </w:r>
    </w:p>
    <w:p>
      <w:pPr>
        <w:spacing w:after="0" w:line="270" w:lineRule="exact"/>
        <w:rPr>
          <w:sz w:val="20"/>
          <w:szCs w:val="20"/>
          <w:color w:val="auto"/>
        </w:rPr>
      </w:pPr>
    </w:p>
    <w:p>
      <w:pPr>
        <w:ind w:left="20"/>
        <w:spacing w:after="0"/>
        <w:tabs>
          <w:tab w:leader="none" w:pos="6340" w:val="left"/>
          <w:tab w:leader="none" w:pos="82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8200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7"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Sean A. McCarthy, D. Phil.</w:t>
      </w:r>
    </w:p>
    <w:p>
      <w:pPr>
        <w:ind w:left="7540"/>
        <w:spacing w:after="0" w:line="231" w:lineRule="auto"/>
        <w:rPr>
          <w:sz w:val="20"/>
          <w:szCs w:val="20"/>
          <w:color w:val="auto"/>
        </w:rPr>
      </w:pPr>
      <w:r>
        <w:rPr>
          <w:rFonts w:ascii="Arial" w:cs="Arial" w:eastAsia="Arial" w:hAnsi="Arial"/>
          <w:sz w:val="18"/>
          <w:szCs w:val="18"/>
          <w:b w:val="1"/>
          <w:bCs w:val="1"/>
          <w:color w:val="auto"/>
        </w:rPr>
        <w:t>Chief Executive Officer and Chairman</w:t>
      </w:r>
    </w:p>
    <w:p>
      <w:pPr>
        <w:ind w:left="7980"/>
        <w:spacing w:after="0"/>
        <w:rPr>
          <w:sz w:val="20"/>
          <w:szCs w:val="20"/>
          <w:color w:val="auto"/>
        </w:rPr>
      </w:pPr>
      <w:r>
        <w:rPr>
          <w:rFonts w:ascii="Arial" w:cs="Arial" w:eastAsia="Arial" w:hAnsi="Arial"/>
          <w:sz w:val="18"/>
          <w:szCs w:val="18"/>
          <w:i w:val="1"/>
          <w:iCs w:val="1"/>
          <w:color w:val="auto"/>
        </w:rPr>
        <w:t>(Principal Executive Officer)</w:t>
      </w:r>
    </w:p>
    <w:p>
      <w:pPr>
        <w:spacing w:after="0" w:line="250" w:lineRule="exact"/>
        <w:rPr>
          <w:sz w:val="20"/>
          <w:szCs w:val="20"/>
          <w:color w:val="auto"/>
        </w:rPr>
      </w:pPr>
    </w:p>
    <w:p>
      <w:pPr>
        <w:ind w:left="20"/>
        <w:spacing w:after="0"/>
        <w:tabs>
          <w:tab w:leader="none" w:pos="6340" w:val="left"/>
          <w:tab w:leader="none" w:pos="80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8200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7"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Christopher W. Ogden</w:t>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7"/>
          <w:szCs w:val="17"/>
          <w:b w:val="1"/>
          <w:bCs w:val="1"/>
          <w:color w:val="auto"/>
        </w:rPr>
        <w:t>Senior Vice President, Finance and Accounting</w:t>
      </w:r>
    </w:p>
    <w:p>
      <w:pPr>
        <w:jc w:val="center"/>
        <w:ind w:left="6720"/>
        <w:spacing w:after="0" w:line="219" w:lineRule="auto"/>
        <w:rPr>
          <w:sz w:val="20"/>
          <w:szCs w:val="20"/>
          <w:color w:val="auto"/>
        </w:rPr>
      </w:pPr>
      <w:r>
        <w:rPr>
          <w:rFonts w:ascii="Arial" w:cs="Arial" w:eastAsia="Arial" w:hAnsi="Arial"/>
          <w:sz w:val="18"/>
          <w:szCs w:val="18"/>
          <w:i w:val="1"/>
          <w:iCs w:val="1"/>
          <w:color w:val="auto"/>
        </w:rPr>
        <w:t>(Principal Financial Officer and Principal Accounting</w:t>
      </w:r>
    </w:p>
    <w:p>
      <w:pPr>
        <w:jc w:val="center"/>
        <w:ind w:left="67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CONSULTING AGREEMENT</w:t>
      </w:r>
    </w:p>
    <w:p>
      <w:pPr>
        <w:spacing w:after="0" w:line="193" w:lineRule="exact"/>
        <w:rPr>
          <w:sz w:val="20"/>
          <w:szCs w:val="20"/>
          <w:color w:val="auto"/>
        </w:rPr>
      </w:pPr>
    </w:p>
    <w:p>
      <w:pPr>
        <w:ind w:right="120" w:firstLine="432"/>
        <w:spacing w:after="0" w:line="249"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onsulting</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“MCA”) is made and entered into by and between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ytom</w:t>
      </w:r>
      <w:r>
        <w:rPr>
          <w:rFonts w:ascii="Arial" w:cs="Arial" w:eastAsia="Arial" w:hAnsi="Arial"/>
          <w:sz w:val="22"/>
          <w:szCs w:val="22"/>
          <w:b w:val="1"/>
          <w:bCs w:val="1"/>
          <w:color w:val="auto"/>
        </w:rPr>
        <w:t>X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 xml:space="preserve">., </w:t>
      </w:r>
      <w:r>
        <w:rPr>
          <w:rFonts w:ascii="Arial" w:cs="Arial" w:eastAsia="Arial" w:hAnsi="Arial"/>
          <w:sz w:val="22"/>
          <w:szCs w:val="22"/>
          <w:color w:val="auto"/>
        </w:rPr>
        <w:t>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with an address at 151 Oyster Point Blvd, Suite 400, South San Francisco, CA 94080, (“</w:t>
      </w:r>
      <w:r>
        <w:rPr>
          <w:rFonts w:ascii="Arial" w:cs="Arial" w:eastAsia="Arial" w:hAnsi="Arial"/>
          <w:sz w:val="22"/>
          <w:szCs w:val="22"/>
          <w:b w:val="1"/>
          <w:bCs w:val="1"/>
          <w:color w:val="auto"/>
        </w:rPr>
        <w:t>Company</w:t>
      </w:r>
      <w:r>
        <w:rPr>
          <w:rFonts w:ascii="Arial" w:cs="Arial" w:eastAsia="Arial" w:hAnsi="Arial"/>
          <w:sz w:val="22"/>
          <w:szCs w:val="22"/>
          <w:color w:val="auto"/>
        </w:rPr>
        <w:t>”) and C</w:t>
      </w:r>
      <w:r>
        <w:rPr>
          <w:rFonts w:ascii="Arial" w:cs="Arial" w:eastAsia="Arial" w:hAnsi="Arial"/>
          <w:sz w:val="14"/>
          <w:szCs w:val="14"/>
          <w:color w:val="auto"/>
        </w:rPr>
        <w:t>arlos</w:t>
      </w:r>
      <w:r>
        <w:rPr>
          <w:rFonts w:ascii="Arial" w:cs="Arial" w:eastAsia="Arial" w:hAnsi="Arial"/>
          <w:sz w:val="22"/>
          <w:szCs w:val="22"/>
          <w:color w:val="auto"/>
        </w:rPr>
        <w:t xml:space="preserve"> C</w:t>
      </w:r>
      <w:r>
        <w:rPr>
          <w:rFonts w:ascii="Arial" w:cs="Arial" w:eastAsia="Arial" w:hAnsi="Arial"/>
          <w:sz w:val="14"/>
          <w:szCs w:val="14"/>
          <w:color w:val="auto"/>
        </w:rPr>
        <w:t>ampoy</w:t>
      </w:r>
      <w:r>
        <w:rPr>
          <w:rFonts w:ascii="Arial" w:cs="Arial" w:eastAsia="Arial" w:hAnsi="Arial"/>
          <w:sz w:val="22"/>
          <w:szCs w:val="22"/>
          <w:color w:val="auto"/>
        </w:rPr>
        <w:t>, located at [***] (“</w:t>
      </w:r>
      <w:r>
        <w:rPr>
          <w:rFonts w:ascii="Arial" w:cs="Arial" w:eastAsia="Arial" w:hAnsi="Arial"/>
          <w:sz w:val="22"/>
          <w:szCs w:val="22"/>
          <w:b w:val="1"/>
          <w:bCs w:val="1"/>
          <w:color w:val="auto"/>
        </w:rPr>
        <w:t>Consultant</w:t>
      </w:r>
      <w:r>
        <w:rPr>
          <w:rFonts w:ascii="Arial" w:cs="Arial" w:eastAsia="Arial" w:hAnsi="Arial"/>
          <w:sz w:val="22"/>
          <w:szCs w:val="22"/>
          <w:color w:val="auto"/>
        </w:rPr>
        <w:t xml:space="preserve">”), effective as of </w:t>
      </w:r>
      <w:r>
        <w:rPr>
          <w:rFonts w:ascii="Arial" w:cs="Arial" w:eastAsia="Arial" w:hAnsi="Arial"/>
          <w:sz w:val="22"/>
          <w:szCs w:val="22"/>
          <w:u w:val="single" w:color="auto"/>
          <w:color w:val="auto"/>
        </w:rPr>
        <w:t>October 1, 2022</w:t>
      </w:r>
      <w:r>
        <w:rPr>
          <w:rFonts w:ascii="Arial" w:cs="Arial" w:eastAsia="Arial" w:hAnsi="Arial"/>
          <w:sz w:val="22"/>
          <w:szCs w:val="22"/>
          <w:color w:val="auto"/>
        </w:rPr>
        <w:t xml:space="preserve"> (“</w:t>
      </w:r>
      <w:r>
        <w:rPr>
          <w:rFonts w:ascii="Arial" w:cs="Arial" w:eastAsia="Arial" w:hAnsi="Arial"/>
          <w:sz w:val="22"/>
          <w:szCs w:val="22"/>
          <w:b w:val="1"/>
          <w:bCs w:val="1"/>
          <w:color w:val="auto"/>
        </w:rPr>
        <w:t>Effective Date</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06"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Consultant has skills and knowledge in the Company’s field of endeavor and thus is well suited to advise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w:t>
      </w:r>
    </w:p>
    <w:p>
      <w:pPr>
        <w:spacing w:after="0" w:line="162"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desires that Consultant advise and consult with the Company in Consultant’s area of expertise</w:t>
      </w:r>
      <w:r>
        <w:rPr>
          <w:rFonts w:ascii="Arial" w:cs="Arial" w:eastAsia="Arial" w:hAnsi="Arial"/>
          <w:sz w:val="22"/>
          <w:szCs w:val="22"/>
          <w:b w:val="1"/>
          <w:bCs w:val="1"/>
          <w:color w:val="auto"/>
        </w:rPr>
        <w:t xml:space="preserve"> </w:t>
      </w:r>
      <w:r>
        <w:rPr>
          <w:rFonts w:ascii="Arial" w:cs="Arial" w:eastAsia="Arial" w:hAnsi="Arial"/>
          <w:sz w:val="22"/>
          <w:szCs w:val="22"/>
          <w:color w:val="auto"/>
        </w:rPr>
        <w:t>and on the terms and conditions set forth herein;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mutual obligations specified in this MCA, the parties agree to the following:</w:t>
      </w:r>
    </w:p>
    <w:p>
      <w:pPr>
        <w:spacing w:after="0" w:line="216" w:lineRule="exact"/>
        <w:rPr>
          <w:sz w:val="20"/>
          <w:szCs w:val="20"/>
          <w:color w:val="auto"/>
        </w:rPr>
      </w:pPr>
    </w:p>
    <w:p>
      <w:pPr>
        <w:jc w:val="both"/>
        <w:ind w:firstLine="757"/>
        <w:spacing w:after="0" w:line="247" w:lineRule="auto"/>
        <w:tabs>
          <w:tab w:leader="none" w:pos="1221"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onsulting</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22"/>
          <w:szCs w:val="22"/>
          <w:color w:val="auto"/>
        </w:rPr>
        <w:t>. Consultant shall provide consulting services to the Company as set forth in Exhibit A</w:t>
      </w:r>
      <w:r>
        <w:rPr>
          <w:rFonts w:ascii="Arial" w:cs="Arial" w:eastAsia="Arial" w:hAnsi="Arial"/>
          <w:sz w:val="22"/>
          <w:szCs w:val="22"/>
          <w:b w:val="1"/>
          <w:bCs w:val="1"/>
          <w:color w:val="auto"/>
        </w:rPr>
        <w:t xml:space="preserve"> (“Services”)</w:t>
      </w:r>
      <w:r>
        <w:rPr>
          <w:rFonts w:ascii="Arial" w:cs="Arial" w:eastAsia="Arial" w:hAnsi="Arial"/>
          <w:sz w:val="22"/>
          <w:szCs w:val="22"/>
          <w:color w:val="auto"/>
        </w:rPr>
        <w:t>. Consultant will perform the Services in strict accordance with Exhibit A and the Company’s other direction, using</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Consultant’s highest degree of professional skill and expertise. Consultant also agrees to perform a reasonable amount of informal consultation with the Company over the telephone or otherwise.</w:t>
      </w:r>
    </w:p>
    <w:p>
      <w:pPr>
        <w:spacing w:after="0" w:line="166" w:lineRule="exact"/>
        <w:rPr>
          <w:sz w:val="20"/>
          <w:szCs w:val="20"/>
          <w:color w:val="auto"/>
        </w:rPr>
      </w:pPr>
    </w:p>
    <w:p>
      <w:pPr>
        <w:jc w:val="both"/>
        <w:ind w:left="760"/>
        <w:spacing w:after="0" w:line="305"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Compliance with Applicable Law</w:t>
      </w:r>
      <w:r>
        <w:rPr>
          <w:rFonts w:ascii="Arial" w:cs="Arial" w:eastAsia="Arial" w:hAnsi="Arial"/>
          <w:sz w:val="19"/>
          <w:szCs w:val="19"/>
          <w:color w:val="auto"/>
        </w:rPr>
        <w:t>. Consultant represents and warrants that it is in full compliance at all times and will continue to be in compliance at all times with all applicable U.S. or foreign laws, rules, regulations, guidelines and industry standards (“Applicable Law”). Without limiting the foregoing, Consultant represents and warrants:</w:t>
      </w:r>
    </w:p>
    <w:p>
      <w:pPr>
        <w:spacing w:after="0" w:line="126" w:lineRule="exact"/>
        <w:rPr>
          <w:sz w:val="20"/>
          <w:szCs w:val="20"/>
          <w:color w:val="auto"/>
        </w:rPr>
      </w:pPr>
    </w:p>
    <w:p>
      <w:pPr>
        <w:jc w:val="both"/>
        <w:ind w:left="1500"/>
        <w:spacing w:after="0" w:line="241"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cGMP &amp; ICH Compliance</w:t>
      </w:r>
      <w:r>
        <w:rPr>
          <w:rFonts w:ascii="Arial" w:cs="Arial" w:eastAsia="Arial" w:hAnsi="Arial"/>
          <w:sz w:val="22"/>
          <w:szCs w:val="22"/>
          <w:color w:val="auto"/>
        </w:rPr>
        <w:t>. If applicable to the Services, Consultant shall comply with the current and applicable standards and specifications for good practice (GxP) published by the United States Food and Drug Administration (“FDA”) and The International Council for Harmonisation of Technical Requirements for Pharmaceuticals for Human Use.</w:t>
      </w:r>
    </w:p>
    <w:p>
      <w:pPr>
        <w:spacing w:after="0" w:line="179" w:lineRule="exact"/>
        <w:rPr>
          <w:sz w:val="20"/>
          <w:szCs w:val="20"/>
          <w:color w:val="auto"/>
        </w:rPr>
      </w:pPr>
    </w:p>
    <w:p>
      <w:pPr>
        <w:ind w:right="80" w:firstLine="432"/>
        <w:spacing w:after="0" w:line="275" w:lineRule="auto"/>
        <w:rPr>
          <w:sz w:val="20"/>
          <w:szCs w:val="20"/>
          <w:color w:val="auto"/>
        </w:rPr>
      </w:pPr>
      <w:r>
        <w:rPr>
          <w:rFonts w:ascii="Arial" w:cs="Arial" w:eastAsia="Arial" w:hAnsi="Arial"/>
          <w:sz w:val="20"/>
          <w:szCs w:val="20"/>
          <w:b w:val="1"/>
          <w:bCs w:val="1"/>
          <w:color w:val="auto"/>
        </w:rPr>
        <w:t>2</w:t>
      </w:r>
      <w:r>
        <w:rPr>
          <w:rFonts w:ascii="Arial" w:cs="Arial" w:eastAsia="Arial" w:hAnsi="Arial"/>
          <w:sz w:val="20"/>
          <w:szCs w:val="20"/>
          <w:color w:val="auto"/>
        </w:rPr>
        <w:t>.</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ompensation</w:t>
      </w:r>
      <w:r>
        <w:rPr>
          <w:rFonts w:ascii="Arial" w:cs="Arial" w:eastAsia="Arial" w:hAnsi="Arial"/>
          <w:sz w:val="20"/>
          <w:szCs w:val="20"/>
          <w:color w:val="auto"/>
        </w:rPr>
        <w:t>. Company shall compensate Consultant in accordance with Exhibit A for Services actually provided by</w:t>
      </w:r>
      <w:r>
        <w:rPr>
          <w:rFonts w:ascii="Arial" w:cs="Arial" w:eastAsia="Arial" w:hAnsi="Arial"/>
          <w:sz w:val="20"/>
          <w:szCs w:val="20"/>
          <w:b w:val="1"/>
          <w:bCs w:val="1"/>
          <w:color w:val="auto"/>
        </w:rPr>
        <w:t xml:space="preserve"> </w:t>
      </w:r>
      <w:r>
        <w:rPr>
          <w:rFonts w:ascii="Arial" w:cs="Arial" w:eastAsia="Arial" w:hAnsi="Arial"/>
          <w:sz w:val="20"/>
          <w:szCs w:val="20"/>
          <w:color w:val="auto"/>
        </w:rPr>
        <w:t>Consultant in accordance with this MCA. Additionally, Consultant’s outstanding stock options shall continue to vest through the term of this Agreement, subject to early termination of this Agreement, and Consultant shall be able to exercise vested options in accordance with applicable law and the terms of the respective option agreements.</w:t>
      </w:r>
    </w:p>
    <w:p>
      <w:pPr>
        <w:spacing w:after="0" w:line="350" w:lineRule="exact"/>
        <w:rPr>
          <w:sz w:val="20"/>
          <w:szCs w:val="20"/>
          <w:color w:val="auto"/>
        </w:rPr>
      </w:pPr>
    </w:p>
    <w:p>
      <w:pPr>
        <w:jc w:val="both"/>
        <w:ind w:firstLine="757"/>
        <w:spacing w:after="0" w:line="243" w:lineRule="auto"/>
        <w:tabs>
          <w:tab w:leader="none" w:pos="1181"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 </w:t>
      </w:r>
      <w:r>
        <w:rPr>
          <w:rFonts w:ascii="Arial" w:cs="Arial" w:eastAsia="Arial" w:hAnsi="Arial"/>
          <w:sz w:val="14"/>
          <w:szCs w:val="14"/>
          <w:b w:val="1"/>
          <w:bCs w:val="1"/>
          <w:color w:val="auto"/>
        </w:rPr>
        <w:t>and subsequent amendments</w:t>
      </w:r>
      <w:r>
        <w:rPr>
          <w:rFonts w:ascii="Arial" w:cs="Arial" w:eastAsia="Arial" w:hAnsi="Arial"/>
          <w:sz w:val="22"/>
          <w:szCs w:val="22"/>
          <w:color w:val="auto"/>
        </w:rPr>
        <w:t>. Exhibit A sets forth the specific details with respect to the Services to be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performed by the Consultant, including compensation, and duration of the assignment. Exhibit A may be amended by a writing signed by an authorized representative of each party (in the case of the Company, the Chief Executive Officer or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jc w:val="both"/>
        <w:ind w:firstLine="757"/>
        <w:spacing w:after="0" w:line="239" w:lineRule="auto"/>
        <w:tabs>
          <w:tab w:leader="none" w:pos="118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ndependent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ontractor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tatus</w:t>
      </w:r>
      <w:r>
        <w:rPr>
          <w:rFonts w:ascii="Arial" w:cs="Arial" w:eastAsia="Arial" w:hAnsi="Arial"/>
          <w:sz w:val="22"/>
          <w:szCs w:val="22"/>
          <w:color w:val="auto"/>
        </w:rPr>
        <w:t>. It is understood and agreed that Consultant is an independent contractor, is not</w:t>
      </w:r>
      <w:r>
        <w:rPr>
          <w:rFonts w:ascii="Arial" w:cs="Arial" w:eastAsia="Arial" w:hAnsi="Arial"/>
          <w:sz w:val="22"/>
          <w:szCs w:val="22"/>
          <w:b w:val="1"/>
          <w:bCs w:val="1"/>
          <w:color w:val="auto"/>
        </w:rPr>
        <w:t xml:space="preserve"> </w:t>
      </w:r>
      <w:r>
        <w:rPr>
          <w:rFonts w:ascii="Arial" w:cs="Arial" w:eastAsia="Arial" w:hAnsi="Arial"/>
          <w:sz w:val="22"/>
          <w:szCs w:val="22"/>
          <w:color w:val="auto"/>
        </w:rPr>
        <w:t>an agent or employee of the Company, and is not authorized to act on behalf of the Company. Consultant agrees not to hold himself or herself out as, or give any person any reason to believe that he or she is an employee, agent, joint venturer or partner of the Company. Consultant will not be eligible for any employee benefits, nor will the Company make deductions from any amounts payable to Consultant for taxes or insurance (except to the extent the Company is required by law to do so). All payroll and employment taxes, insurance, and benefits shall be the sole responsibility of Consultant. Consultant retains the right to provide services for others during the term of this MCA and is not required to devote his or her services exclusively for the Company.</w:t>
      </w:r>
    </w:p>
    <w:p>
      <w:pPr>
        <w:spacing w:after="0" w:line="185" w:lineRule="exact"/>
        <w:rPr>
          <w:rFonts w:ascii="Arial" w:cs="Arial" w:eastAsia="Arial" w:hAnsi="Arial"/>
          <w:sz w:val="22"/>
          <w:szCs w:val="22"/>
          <w:b w:val="1"/>
          <w:bCs w:val="1"/>
          <w:color w:val="auto"/>
        </w:rPr>
      </w:pPr>
    </w:p>
    <w:p>
      <w:pPr>
        <w:jc w:val="both"/>
        <w:ind w:firstLine="757"/>
        <w:spacing w:after="0" w:line="249" w:lineRule="auto"/>
        <w:tabs>
          <w:tab w:leader="none" w:pos="1208"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olicitation</w:t>
      </w:r>
      <w:r>
        <w:rPr>
          <w:rFonts w:ascii="Arial" w:cs="Arial" w:eastAsia="Arial" w:hAnsi="Arial"/>
          <w:sz w:val="22"/>
          <w:szCs w:val="22"/>
          <w:color w:val="auto"/>
        </w:rPr>
        <w:t>. During the term of this MCA and for one (1) year after its termination, Consultant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personnel performing hereunder) will not personally or through others recruit, solicit or induce any employee of the Company to terminate his or her employment with the Company.</w:t>
      </w:r>
    </w:p>
    <w:p>
      <w:pPr>
        <w:spacing w:after="0" w:line="157" w:lineRule="exact"/>
        <w:rPr>
          <w:rFonts w:ascii="Arial" w:cs="Arial" w:eastAsia="Arial" w:hAnsi="Arial"/>
          <w:sz w:val="22"/>
          <w:szCs w:val="22"/>
          <w:b w:val="1"/>
          <w:bCs w:val="1"/>
          <w:color w:val="auto"/>
        </w:rPr>
      </w:pPr>
    </w:p>
    <w:p>
      <w:pPr>
        <w:ind w:left="1180" w:hanging="423"/>
        <w:spacing w:after="0"/>
        <w:tabs>
          <w:tab w:leader="none" w:pos="11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aintaining</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onfidential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1" w:lineRule="exact"/>
        <w:rPr>
          <w:sz w:val="20"/>
          <w:szCs w:val="20"/>
          <w:color w:val="auto"/>
        </w:rPr>
      </w:pPr>
      <w:r>
        <w:rPr>
          <w:rFonts w:ascii="Arial" w:cs="Arial" w:eastAsia="Arial" w:hAnsi="Arial"/>
          <w:sz w:val="19"/>
          <w:szCs w:val="19"/>
          <w:b w:val="1"/>
          <w:bCs w:val="1"/>
          <w:color w:val="auto"/>
        </w:rPr>
        <w:t>6.1 Company Information</w:t>
      </w:r>
      <w:r>
        <w:rPr>
          <w:rFonts w:ascii="Arial" w:cs="Arial" w:eastAsia="Arial" w:hAnsi="Arial"/>
          <w:sz w:val="19"/>
          <w:szCs w:val="19"/>
          <w:color w:val="auto"/>
        </w:rPr>
        <w:t>. During the term of this MCA, Consultant may receive or otherwise be exposed to</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and proprietary information relating to the Company’s technology, know-how, data, inventions, developments, plans, business practices, and strategies, and those of the Company’s collaborators and business associates. Such confidential and proprietary information of the Company (collectively referred to as “</w:t>
      </w:r>
      <w:r>
        <w:rPr>
          <w:rFonts w:ascii="Arial" w:cs="Arial" w:eastAsia="Arial" w:hAnsi="Arial"/>
          <w:sz w:val="19"/>
          <w:szCs w:val="19"/>
          <w:b w:val="1"/>
          <w:bCs w:val="1"/>
          <w:color w:val="auto"/>
        </w:rPr>
        <w:t>Information</w:t>
      </w:r>
      <w:r>
        <w:rPr>
          <w:rFonts w:ascii="Arial" w:cs="Arial" w:eastAsia="Arial" w:hAnsi="Arial"/>
          <w:sz w:val="19"/>
          <w:szCs w:val="19"/>
          <w:color w:val="auto"/>
        </w:rPr>
        <w:t>”) may include but not be limited to: (i) information supplied to Consultant with the legend “Confidential” or equivalent; (ii) the Company’s marketing and customer support strategies, financial information (including sales, costs, profits and pricing methods), internal organization, employee information, customer lists and business plans; (iii) the Company’s technology, including, but not limited to, discoveries, inventions, research and development efforts, manufacturing processes, assays, data (including without limitation preclinical, clinical and manufacturing data), software, trade secrets, processes, compounds, product, candidates, products, samples, media and/or cell lines (and procedures and formulations for producing any such samples, media and/or cell lines), vectors, viruses, assays, plasmids, formulas, methods, protocols, clinical trial designs and product know</w:t>
      </w:r>
      <w:r>
        <w:rPr>
          <w:rFonts w:ascii="MS PGothic" w:cs="MS PGothic" w:eastAsia="MS PGothic" w:hAnsi="MS PGothic"/>
          <w:sz w:val="19"/>
          <w:szCs w:val="19"/>
          <w:color w:val="auto"/>
        </w:rPr>
        <w:t>‑</w:t>
      </w:r>
      <w:r>
        <w:rPr>
          <w:rFonts w:ascii="Arial" w:cs="Arial" w:eastAsia="Arial" w:hAnsi="Arial"/>
          <w:sz w:val="19"/>
          <w:szCs w:val="19"/>
          <w:color w:val="auto"/>
        </w:rPr>
        <w:t>how and show</w:t>
      </w:r>
      <w:r>
        <w:rPr>
          <w:rFonts w:ascii="MS PGothic" w:cs="MS PGothic" w:eastAsia="MS PGothic" w:hAnsi="MS PGothic"/>
          <w:sz w:val="19"/>
          <w:szCs w:val="19"/>
          <w:color w:val="auto"/>
        </w:rPr>
        <w:t>‑</w:t>
      </w:r>
      <w:r>
        <w:rPr>
          <w:rFonts w:ascii="Arial" w:cs="Arial" w:eastAsia="Arial" w:hAnsi="Arial"/>
          <w:sz w:val="19"/>
          <w:szCs w:val="19"/>
          <w:color w:val="auto"/>
        </w:rPr>
        <w:t>how; (iv) all derivatives, improvements, additions, modifications, and enhancements to any of the above, including any such information or material created or developed by Consultant under this MCA; (v) information of third parties as to which the Company has an obligation of confidentiality; and (vi) information regarding the Consulting Inventions (defined in Section 7.1).</w:t>
      </w:r>
    </w:p>
    <w:p>
      <w:pPr>
        <w:spacing w:after="0" w:line="187"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9"/>
          <w:szCs w:val="19"/>
          <w:color w:val="auto"/>
        </w:rPr>
        <w:t>Consultant acknowledges the confidential and secret character of the Information and agrees that the Information (with the exception of information in category (v)) is the sole, exclusive and extremely valuable property of the Company. Accordingly, Consultant shall not reproduce any of the Information without the applicable prior written consent of the Company, use the Information except in the performance of this MCA, nor disclose all or any part of the Information in any form to any third party, either during or after the term of this MCA. Upon termination of this MCA for any reason, including expiration of term, Consultant agrees to cease using and to return to the Company all whole and partial copies of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5" w:name="page76"/>
    <w:bookmarkEnd w:id="75"/>
    <w:p>
      <w:pPr>
        <w:jc w:val="both"/>
        <w:ind w:firstLine="749"/>
        <w:spacing w:after="0" w:line="274" w:lineRule="auto"/>
        <w:rPr>
          <w:sz w:val="20"/>
          <w:szCs w:val="20"/>
          <w:color w:val="auto"/>
        </w:rPr>
      </w:pPr>
      <w:r>
        <w:rPr>
          <w:rFonts w:ascii="Arial" w:cs="Arial" w:eastAsia="Arial" w:hAnsi="Arial"/>
          <w:sz w:val="21"/>
          <w:szCs w:val="21"/>
          <w:color w:val="auto"/>
        </w:rPr>
        <w:t>Consultant shall not remove from the premises of Company or otherwise transfer to any third party any materials to which Company provides Consultant access unless Consultant has express advance written consent from Company.</w:t>
      </w:r>
    </w:p>
    <w:p>
      <w:pPr>
        <w:spacing w:after="0" w:line="14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6.2 Employer Information</w:t>
      </w:r>
      <w:r>
        <w:rPr>
          <w:rFonts w:ascii="Arial" w:cs="Arial" w:eastAsia="Arial" w:hAnsi="Arial"/>
          <w:sz w:val="21"/>
          <w:szCs w:val="21"/>
          <w:color w:val="auto"/>
        </w:rPr>
        <w:t>. Consultant agrees that she, he or it will not, during her or his engagement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improperly use or disclose any proprietary information or trade secrets of her or his former or current employers or companies with which she or he has or has had a consulting or other relationship, if any, and that she or he will not bring onto the premises of the Company any unpublished documents or any property belonging to her or his former or concurrent employers or companies (or that of Consultant’s personnel performing hereunder) unless consented to in writing by said employers or companies, other than Background Technology in accordance with Section 7.3.</w:t>
      </w:r>
    </w:p>
    <w:p>
      <w:pPr>
        <w:spacing w:after="0" w:line="168" w:lineRule="exact"/>
        <w:rPr>
          <w:sz w:val="20"/>
          <w:szCs w:val="20"/>
          <w:color w:val="auto"/>
        </w:rPr>
      </w:pPr>
    </w:p>
    <w:p>
      <w:pPr>
        <w:jc w:val="both"/>
        <w:ind w:firstLine="749"/>
        <w:spacing w:after="0" w:line="252" w:lineRule="exact"/>
        <w:rPr>
          <w:sz w:val="20"/>
          <w:szCs w:val="20"/>
          <w:color w:val="auto"/>
        </w:rPr>
      </w:pPr>
      <w:r>
        <w:rPr>
          <w:rFonts w:ascii="Arial" w:cs="Arial" w:eastAsia="Arial" w:hAnsi="Arial"/>
          <w:sz w:val="19"/>
          <w:szCs w:val="19"/>
          <w:b w:val="1"/>
          <w:bCs w:val="1"/>
          <w:color w:val="auto"/>
        </w:rPr>
        <w:t>6.3 Third Party Information</w:t>
      </w:r>
      <w:r>
        <w:rPr>
          <w:rFonts w:ascii="Arial" w:cs="Arial" w:eastAsia="Arial" w:hAnsi="Arial"/>
          <w:sz w:val="19"/>
          <w:szCs w:val="19"/>
          <w:color w:val="auto"/>
        </w:rPr>
        <w:t>. Consultant recognizes that the Company has received and, in the future, will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from third parties their confidential or proprietary information subject to a duty on the Company’s part to maintain the confidentiality of such information and, in some cases, to use it only for certain limited purposes. Consultant agrees that he, she or it owes the Compan</w:t>
      </w:r>
      <w:r>
        <w:rPr>
          <w:rFonts w:ascii="PMingLiU" w:cs="PMingLiU" w:eastAsia="PMingLiU" w:hAnsi="PMingLiU"/>
          <w:sz w:val="19"/>
          <w:szCs w:val="19"/>
          <w:color w:val="auto"/>
        </w:rPr>
        <w:t/>
      </w:r>
      <w:r>
        <w:rPr>
          <w:rFonts w:ascii="Arial" w:cs="Arial" w:eastAsia="Arial" w:hAnsi="Arial"/>
          <w:sz w:val="19"/>
          <w:szCs w:val="19"/>
          <w:color w:val="auto"/>
        </w:rPr>
        <w:t>y and such third parties, both during the term of her or his engagement and thereafter, a duty to hold all such confidential or proprietary information in the strictest confidence and not to disclose it to any person, firm or corporation (except in a manner that is consistent with the Compan</w:t>
      </w:r>
      <w:r>
        <w:rPr>
          <w:rFonts w:ascii="PMingLiU" w:cs="PMingLiU" w:eastAsia="PMingLiU" w:hAnsi="PMingLiU"/>
          <w:sz w:val="19"/>
          <w:szCs w:val="19"/>
          <w:color w:val="auto"/>
        </w:rPr>
        <w:t/>
      </w:r>
      <w:r>
        <w:rPr>
          <w:rFonts w:ascii="Arial" w:cs="Arial" w:eastAsia="Arial" w:hAnsi="Arial"/>
          <w:sz w:val="19"/>
          <w:szCs w:val="19"/>
          <w:color w:val="auto"/>
        </w:rPr>
        <w:t>y’s agreement with the third party) or use it for the benefit of anyone other than the Company or such third party (consistent with the Com</w:t>
      </w:r>
      <w:r>
        <w:rPr>
          <w:rFonts w:ascii="PMingLiU" w:cs="PMingLiU" w:eastAsia="PMingLiU" w:hAnsi="PMingLiU"/>
          <w:sz w:val="19"/>
          <w:szCs w:val="19"/>
          <w:color w:val="auto"/>
        </w:rPr>
        <w:t/>
      </w:r>
      <w:r>
        <w:rPr>
          <w:rFonts w:ascii="Arial" w:cs="Arial" w:eastAsia="Arial" w:hAnsi="Arial"/>
          <w:sz w:val="19"/>
          <w:szCs w:val="19"/>
          <w:color w:val="auto"/>
        </w:rPr>
        <w:t>pany’s agreement with the third party).</w:t>
      </w:r>
    </w:p>
    <w:p>
      <w:pPr>
        <w:spacing w:after="0" w:line="184"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 xml:space="preserve">6.4 Statutory Immunity from Prosecution. </w:t>
      </w:r>
      <w:r>
        <w:rPr>
          <w:rFonts w:ascii="Arial" w:cs="Arial" w:eastAsia="Arial" w:hAnsi="Arial"/>
          <w:sz w:val="22"/>
          <w:szCs w:val="22"/>
          <w:color w:val="auto"/>
        </w:rPr>
        <w:t>Consultant shall not be held criminally or civilly liable under any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or State trade secret law for the disclosure of a trade secret that: (i) is done solely for the purpose of reporting or investigating a suspected violation of law and is made in confidence to a Federal, State, or local government official, either directly or indirectly, or to an attorney; or (ii) is made in a complaint or other document filed in a lawsuit or other proceeding, if such filing is made under seal.</w:t>
      </w:r>
    </w:p>
    <w:p>
      <w:pPr>
        <w:spacing w:after="0" w:line="180"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 xml:space="preserve">6.5 Personal Data Protection. </w:t>
      </w:r>
      <w:r>
        <w:rPr>
          <w:rFonts w:ascii="Arial" w:cs="Arial" w:eastAsia="Arial" w:hAnsi="Arial"/>
          <w:sz w:val="19"/>
          <w:szCs w:val="19"/>
          <w:color w:val="auto"/>
        </w:rPr>
        <w:t>Consultant acknowledges that it may have access to Company’s computing, database</w:t>
      </w:r>
      <w:r>
        <w:rPr>
          <w:rFonts w:ascii="Arial" w:cs="Arial" w:eastAsia="Arial" w:hAnsi="Arial"/>
          <w:sz w:val="19"/>
          <w:szCs w:val="19"/>
          <w:b w:val="1"/>
          <w:bCs w:val="1"/>
          <w:color w:val="auto"/>
        </w:rPr>
        <w:t xml:space="preserve"> </w:t>
      </w:r>
      <w:r>
        <w:rPr>
          <w:rFonts w:ascii="Arial" w:cs="Arial" w:eastAsia="Arial" w:hAnsi="Arial"/>
          <w:sz w:val="19"/>
          <w:szCs w:val="19"/>
          <w:color w:val="auto"/>
        </w:rPr>
        <w:t>and communications systems and networks for the purposes set forth in this MCA. Consultant will comply fully with all applicable data privacy laws (including the General Data Protection Regulation 2016/679 (“GDPR”), the United Kingdom’s Data Protection Act 2018 (“UK DPA 2018”), regulations, and government orders, as may be amended and in effect from time to time, relating to the protection, storage, handling, analysis, disclosure, transfer, deletion and all other uses (collectively, “Processing”) of personally identifiable information (“PII”) that Consultant receives or has access to in connection with its performance under this MCA. For purposes of this MCA, data that can be associated with an individual clinical trial subject either directly or through a clinical trial subject identification number (also known as key-coded data) shall be considered to be PII. If Consultant, its employees, agents or contractors gain access to any PII in connection with this MCA pertaining to Company’s business or financial affairs, or to Company’s employees, contractors, partners, advisors or clinical trial subjects, Consultant will not Process such data except for the purposes set forth in this MCA. Consultant will otherwise protect PII and will not Process such PII except as set forth in Exhibit A or as otherwise explicitly authorized in writing by Company or as otherwise required by applicable law (in which case Consultant shall first inform Company of such requirement to the extent permitted by applicable law). Consultant shall inform Company immediately if, in Consultant’s opinion, any instruction of Company with respect to PII infringes the GDPR, the UK DPA 2018,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both"/>
        <w:spacing w:after="0" w:line="275" w:lineRule="auto"/>
        <w:rPr>
          <w:sz w:val="20"/>
          <w:szCs w:val="20"/>
          <w:color w:val="auto"/>
        </w:rPr>
      </w:pPr>
      <w:r>
        <w:rPr>
          <w:rFonts w:ascii="Arial" w:cs="Arial" w:eastAsia="Arial" w:hAnsi="Arial"/>
          <w:sz w:val="19"/>
          <w:szCs w:val="19"/>
          <w:color w:val="auto"/>
        </w:rPr>
        <w:t>other data privacy law. Prior to Processing PII, Consultant shall ensure that appropriate administrative, physical and technical safeguards are in place to protect PII from unauthorized access, acquisition or disclosure, destruction, alteration, accidental loss, misuse, or damage that are no less rigorous than accepted industry practices including the International Organization for Standardization's standards: ISO/IEC 27001:2005 – Information Security Management Systems – Requirements and ISO-IEC 27002:2005 – Code of Practice for International Security Management. Upon the Consultant becoming aware of any security compromise of any nature, including any unauthorized breach or disclosure of PII either on its own system or on those of the Company’s (“</w:t>
      </w:r>
      <w:r>
        <w:rPr>
          <w:rFonts w:ascii="Arial" w:cs="Arial" w:eastAsia="Arial" w:hAnsi="Arial"/>
          <w:sz w:val="19"/>
          <w:szCs w:val="19"/>
          <w:b w:val="1"/>
          <w:bCs w:val="1"/>
          <w:color w:val="auto"/>
        </w:rPr>
        <w:t>Security Breach</w:t>
      </w:r>
      <w:r>
        <w:rPr>
          <w:rFonts w:ascii="Arial" w:cs="Arial" w:eastAsia="Arial" w:hAnsi="Arial"/>
          <w:sz w:val="19"/>
          <w:szCs w:val="19"/>
          <w:color w:val="auto"/>
        </w:rPr>
        <w:t>”), Consultant shall immediately notify Company of the Security Breach, document the particulars relating to such Security Breach (e.g. type of PII; time and date of disclosure; method of breach) and take any reasonably practicable steps to contain the Security Breach and avoid future occurrences thereof. Consultant shall ensure any that of its employees that Process PII are subject to obligations of confidentiality with respect to the Processing of the PII. Consultant shall not disclose any PII to Consultant’s subcontractors without Company’s prior written consent, at Company’s sole discretion. If Company consents to any disclosures of PII to a subcontractor of Consultant, such subcontractor shall first enter into a binding written agreement with Consultant containing provisions for the protection of PII that are at least as stringent as the provisions of this Section 6.5. Consultant will cooperate with all reasonable requirements of Company relating to Company’s compliance with Consultant’s obligations with respect to PII under the UK DPA 2018, the GDPR, or other data privacy laws, taking into account the nature of the Processing performed by Company and the information available to Company. Consultant will permit Company or a mutually acceptable third-party auditor to inspect Consultant’s records and information technology systems to confirm Consultant’s compliance with this Section 6.5. Upon the expiration or termination of this MCA, Consultant shall, as instructed by Company, delete or return the PII to Company and delete all copies of the PII unless the laws of the European Union or its member states, or, as applicable, the laws of the United Kingdom, require its storage. For clarity, the provisions of this Section 6.5 do not limit Consultant’s obligations pursuant to Section 6.1.</w:t>
      </w:r>
    </w:p>
    <w:p>
      <w:pPr>
        <w:spacing w:after="0" w:line="164" w:lineRule="exact"/>
        <w:rPr>
          <w:sz w:val="20"/>
          <w:szCs w:val="20"/>
          <w:color w:val="auto"/>
        </w:rPr>
      </w:pPr>
    </w:p>
    <w:p>
      <w:pPr>
        <w:ind w:left="1180" w:hanging="423"/>
        <w:spacing w:after="0"/>
        <w:tabs>
          <w:tab w:leader="none" w:pos="11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nventions</w:t>
      </w:r>
      <w:r>
        <w:rPr>
          <w:rFonts w:ascii="Arial" w:cs="Arial" w:eastAsia="Arial" w:hAnsi="Arial"/>
          <w:sz w:val="22"/>
          <w:szCs w:val="22"/>
          <w:color w:val="auto"/>
        </w:rPr>
        <w:t>.</w:t>
      </w:r>
    </w:p>
    <w:p>
      <w:pPr>
        <w:spacing w:after="0" w:line="19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color w:val="auto"/>
        </w:rPr>
        <w:t>7.1 Disclosure of Inventions</w:t>
      </w:r>
      <w:r>
        <w:rPr>
          <w:rFonts w:ascii="Arial" w:cs="Arial" w:eastAsia="Arial" w:hAnsi="Arial"/>
          <w:sz w:val="19"/>
          <w:szCs w:val="19"/>
          <w:color w:val="auto"/>
        </w:rPr>
        <w:t>. Consultant shall promptly and fully disclose to the Company any and all ideas,</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inventions, know-how, techniques and works of authorship learned, conceived or developed by Consultant pursuant to her, his or its performance of the Services for the Company and/or using the Information (whether such use of Information occurs during or after the term of this MCA (and without implying any right to use the Information outside of performing the Services)) (all of the foregoing, together with all intellectual property rights therein (including without limitation patent applications and patents), the “</w:t>
      </w:r>
      <w:r>
        <w:rPr>
          <w:rFonts w:ascii="Arial" w:cs="Arial" w:eastAsia="Arial" w:hAnsi="Arial"/>
          <w:sz w:val="19"/>
          <w:szCs w:val="19"/>
          <w:b w:val="1"/>
          <w:bCs w:val="1"/>
          <w:color w:val="auto"/>
        </w:rPr>
        <w:t>Consulting Inventions</w:t>
      </w:r>
      <w:r>
        <w:rPr>
          <w:rFonts w:ascii="Arial" w:cs="Arial" w:eastAsia="Arial" w:hAnsi="Arial"/>
          <w:sz w:val="19"/>
          <w:szCs w:val="19"/>
          <w:color w:val="auto"/>
        </w:rPr>
        <w:t xml:space="preserve">”). </w:t>
      </w:r>
      <w:r>
        <w:rPr>
          <w:rFonts w:ascii="Arial" w:cs="Arial" w:eastAsia="Arial" w:hAnsi="Arial"/>
          <w:sz w:val="19"/>
          <w:szCs w:val="19"/>
          <w:b w:val="1"/>
          <w:bCs w:val="1"/>
          <w:color w:val="auto"/>
        </w:rPr>
        <w:t>All inventions by Consultant during the term of the Services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or within one (1) year thereafter and having utility in the field of protease-activated biologics shall be presumed to have been made using the Information unless Consultant is able to show conclusively that they were not. </w:t>
      </w:r>
      <w:r>
        <w:rPr>
          <w:rFonts w:ascii="Arial" w:cs="Arial" w:eastAsia="Arial" w:hAnsi="Arial"/>
          <w:sz w:val="19"/>
          <w:szCs w:val="19"/>
          <w:color w:val="auto"/>
        </w:rPr>
        <w:t>Consultant shall keep</w:t>
      </w:r>
      <w:r>
        <w:rPr>
          <w:rFonts w:ascii="Arial" w:cs="Arial" w:eastAsia="Arial" w:hAnsi="Arial"/>
          <w:sz w:val="19"/>
          <w:szCs w:val="19"/>
          <w:b w:val="1"/>
          <w:bCs w:val="1"/>
          <w:color w:val="auto"/>
        </w:rPr>
        <w:t xml:space="preserve"> </w:t>
      </w:r>
      <w:r>
        <w:rPr>
          <w:rFonts w:ascii="Arial" w:cs="Arial" w:eastAsia="Arial" w:hAnsi="Arial"/>
          <w:sz w:val="19"/>
          <w:szCs w:val="19"/>
          <w:color w:val="auto"/>
        </w:rPr>
        <w:t>and maintain adequate and current records (in the form of notes, sketches, drawings, laboratory notebooks or any other form that may be required by the Company) of all work performed relating to the Services, including all proprietary information developed relating thereto. Such records shall be available to and remain the sole property of the Company at all times.</w:t>
      </w:r>
    </w:p>
    <w:p>
      <w:pPr>
        <w:spacing w:after="0" w:line="1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7.2 Inventions Assigned to the Company</w:t>
      </w:r>
      <w:r>
        <w:rPr>
          <w:rFonts w:ascii="Arial" w:cs="Arial" w:eastAsia="Arial" w:hAnsi="Arial"/>
          <w:sz w:val="22"/>
          <w:szCs w:val="22"/>
          <w:color w:val="auto"/>
        </w:rPr>
        <w:t>. Consultant agrees that any and all Consulting Inventions shall be the sole</w:t>
      </w:r>
      <w:r>
        <w:rPr>
          <w:rFonts w:ascii="Arial" w:cs="Arial" w:eastAsia="Arial" w:hAnsi="Arial"/>
          <w:sz w:val="22"/>
          <w:szCs w:val="22"/>
          <w:b w:val="1"/>
          <w:bCs w:val="1"/>
          <w:color w:val="auto"/>
        </w:rPr>
        <w:t xml:space="preserve"> </w:t>
      </w:r>
      <w:r>
        <w:rPr>
          <w:rFonts w:ascii="Arial" w:cs="Arial" w:eastAsia="Arial" w:hAnsi="Arial"/>
          <w:sz w:val="22"/>
          <w:szCs w:val="22"/>
          <w:color w:val="auto"/>
        </w:rPr>
        <w:t>and exclusive property of the Company.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jc w:val="both"/>
        <w:spacing w:after="0" w:line="282" w:lineRule="auto"/>
        <w:rPr>
          <w:sz w:val="20"/>
          <w:szCs w:val="20"/>
          <w:color w:val="auto"/>
        </w:rPr>
      </w:pPr>
      <w:r>
        <w:rPr>
          <w:rFonts w:ascii="Arial" w:cs="Arial" w:eastAsia="Arial" w:hAnsi="Arial"/>
          <w:sz w:val="19"/>
          <w:szCs w:val="19"/>
          <w:color w:val="auto"/>
        </w:rPr>
        <w:t>Consultant hereby assigns to the Company all her, his or its right, title and interest in and to the Consulting Inventions, and agrees to execute and deliver (during and after the term of this MCA and for no additional consideration) all documents and take all reasonable, lawful actions to assist the Company to evidence or record such assignment or perfect, defend or enforce the Consulting Inventions. Consultant shall do so both during and after the term of this MCA, for no additional consideration beyond the payments from Company to Consultant for the Services during the term of this MCA. Further, if Company is unable, after making reasonable inquiry, to obtain Consultant’s signature on any such documents, Consultant hereby appoints Company as Consultant’s attorney-in-fact to execute and deliver such documents.</w:t>
      </w:r>
    </w:p>
    <w:p>
      <w:pPr>
        <w:spacing w:after="0" w:line="14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2"/>
          <w:szCs w:val="22"/>
          <w:color w:val="auto"/>
        </w:rPr>
        <w:t>Consultant explicitly acknowledges and agrees that all works of authorship contained in the Consulting Inventions are “works for hire” under the copyright laws of the United States, and that the Company shall own the copyright in all such works of authorship.</w:t>
      </w:r>
    </w:p>
    <w:p>
      <w:pPr>
        <w:spacing w:after="0" w:line="17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7.3 Background Technology</w:t>
      </w:r>
      <w:r>
        <w:rPr>
          <w:rFonts w:ascii="Arial" w:cs="Arial" w:eastAsia="Arial" w:hAnsi="Arial"/>
          <w:sz w:val="22"/>
          <w:szCs w:val="22"/>
          <w:color w:val="auto"/>
        </w:rPr>
        <w:t>. Consultant shall specifically describe and identify in Exhibit B any and all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without limitation information, materials and patent rights) that (i) Consultant may use in performing the Services; (ii) is owned by Consultant free of encumbrances or licensed to Consultant with the right to sublicense the Company; and (iii) is in existence prior to the Effective Date (the “</w:t>
      </w:r>
      <w:r>
        <w:rPr>
          <w:rFonts w:ascii="Arial" w:cs="Arial" w:eastAsia="Arial" w:hAnsi="Arial"/>
          <w:sz w:val="22"/>
          <w:szCs w:val="22"/>
          <w:b w:val="1"/>
          <w:bCs w:val="1"/>
          <w:color w:val="auto"/>
        </w:rPr>
        <w:t>Background Technology</w:t>
      </w:r>
      <w:r>
        <w:rPr>
          <w:rFonts w:ascii="Arial" w:cs="Arial" w:eastAsia="Arial" w:hAnsi="Arial"/>
          <w:sz w:val="22"/>
          <w:szCs w:val="22"/>
          <w:color w:val="auto"/>
        </w:rPr>
        <w:t>”). Consultant hereby grants to Company a non-exclusive, royalty-free and worldwide right to use and sublicense the use of any Background Technology for the purpose of developing and marketing Company products and programs, but not for the purpose of marketing the Background Technology separately from these products and programs.</w:t>
      </w:r>
    </w:p>
    <w:p>
      <w:pPr>
        <w:spacing w:after="0" w:line="18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7.4 Obligation to Keep the Company Informed</w:t>
      </w:r>
      <w:r>
        <w:rPr>
          <w:rFonts w:ascii="Arial" w:cs="Arial" w:eastAsia="Arial" w:hAnsi="Arial"/>
          <w:sz w:val="22"/>
          <w:szCs w:val="22"/>
          <w:color w:val="auto"/>
        </w:rPr>
        <w:t>. During the term of this MCA, and for one (1) year after its</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for any reason, Consultant will promptly disclose to the Company fully and in writing all patent applications filed by her, him or it, or on her, his or its behalf.</w:t>
      </w:r>
    </w:p>
    <w:p>
      <w:pPr>
        <w:spacing w:after="0" w:line="379" w:lineRule="exact"/>
        <w:rPr>
          <w:sz w:val="20"/>
          <w:szCs w:val="20"/>
          <w:color w:val="auto"/>
        </w:rPr>
      </w:pPr>
    </w:p>
    <w:p>
      <w:pPr>
        <w:jc w:val="both"/>
        <w:ind w:firstLine="757"/>
        <w:spacing w:after="0" w:line="269" w:lineRule="auto"/>
        <w:tabs>
          <w:tab w:leader="none" w:pos="1208"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terminate this MCA at any time with or without cause by giving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thirty (30) days written notice. Consultant may likewise terminate this MCA with thirty (30) days written notice. If this MCA terminates, Consultant shall cease work immediately after giving or receiving such notice or termination, unless otherwise advised by the Company, shall return to the Company all Information, Consulting Inventions, and other materials belonging to the Company, and shall notify the Company of costs incurred up to the termination date. Sections 4-16 of this MCA shall survive any termination of this MCA. </w:t>
      </w:r>
      <w:r>
        <w:rPr>
          <w:rFonts w:ascii="Arial" w:cs="Arial" w:eastAsia="Arial" w:hAnsi="Arial"/>
          <w:sz w:val="20"/>
          <w:szCs w:val="20"/>
          <w:b w:val="1"/>
          <w:bCs w:val="1"/>
          <w:color w:val="auto"/>
        </w:rPr>
        <w:t>This MCA shall be in effect for twelve months from the Effective Date;</w:t>
      </w:r>
      <w:r>
        <w:rPr>
          <w:rFonts w:ascii="Arial" w:cs="Arial" w:eastAsia="Arial" w:hAnsi="Arial"/>
          <w:sz w:val="20"/>
          <w:szCs w:val="20"/>
          <w:color w:val="auto"/>
        </w:rPr>
        <w:t xml:space="preserve"> provided that it may be terminated earlier in accordance with this Section.</w:t>
      </w:r>
    </w:p>
    <w:p>
      <w:pPr>
        <w:spacing w:after="0" w:line="139" w:lineRule="exact"/>
        <w:rPr>
          <w:rFonts w:ascii="Arial" w:cs="Arial" w:eastAsia="Arial" w:hAnsi="Arial"/>
          <w:sz w:val="20"/>
          <w:szCs w:val="20"/>
          <w:b w:val="1"/>
          <w:bCs w:val="1"/>
          <w:color w:val="auto"/>
        </w:rPr>
      </w:pPr>
    </w:p>
    <w:p>
      <w:pPr>
        <w:jc w:val="both"/>
        <w:ind w:firstLine="757"/>
        <w:spacing w:after="0" w:line="247" w:lineRule="auto"/>
        <w:tabs>
          <w:tab w:leader="none" w:pos="1235"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ompliance with</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pplicable</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aws and policies</w:t>
      </w:r>
      <w:r>
        <w:rPr>
          <w:rFonts w:ascii="Arial" w:cs="Arial" w:eastAsia="Arial" w:hAnsi="Arial"/>
          <w:sz w:val="22"/>
          <w:szCs w:val="22"/>
          <w:color w:val="auto"/>
        </w:rPr>
        <w:t>. Consultant warrants that all material supplied and work</w:t>
      </w:r>
      <w:r>
        <w:rPr>
          <w:rFonts w:ascii="Arial" w:cs="Arial" w:eastAsia="Arial" w:hAnsi="Arial"/>
          <w:sz w:val="22"/>
          <w:szCs w:val="22"/>
          <w:b w:val="1"/>
          <w:bCs w:val="1"/>
          <w:color w:val="auto"/>
        </w:rPr>
        <w:t xml:space="preserve"> </w:t>
      </w:r>
      <w:r>
        <w:rPr>
          <w:rFonts w:ascii="Arial" w:cs="Arial" w:eastAsia="Arial" w:hAnsi="Arial"/>
          <w:sz w:val="22"/>
          <w:szCs w:val="22"/>
          <w:color w:val="auto"/>
        </w:rPr>
        <w:t>performed under this MCA complies with or will comply with all applicable United States and foreign laws and regulations. Consultant warrants that they have received, and shall comply with, all applicable Company policies including, but not limited to, the policies listed on Exhibit C.</w:t>
      </w:r>
    </w:p>
    <w:p>
      <w:pPr>
        <w:spacing w:after="0" w:line="376" w:lineRule="exact"/>
        <w:rPr>
          <w:rFonts w:ascii="Arial" w:cs="Arial" w:eastAsia="Arial" w:hAnsi="Arial"/>
          <w:sz w:val="22"/>
          <w:szCs w:val="22"/>
          <w:b w:val="1"/>
          <w:bCs w:val="1"/>
          <w:color w:val="auto"/>
        </w:rPr>
      </w:pPr>
    </w:p>
    <w:p>
      <w:pPr>
        <w:ind w:firstLine="757"/>
        <w:spacing w:after="0" w:line="269" w:lineRule="auto"/>
        <w:tabs>
          <w:tab w:leader="none" w:pos="1173"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ANTI-BRIBERY &amp; ANTI-CORRUPTION. </w:t>
      </w:r>
      <w:r>
        <w:rPr>
          <w:rFonts w:ascii="Arial" w:cs="Arial" w:eastAsia="Arial" w:hAnsi="Arial"/>
          <w:sz w:val="22"/>
          <w:szCs w:val="22"/>
          <w:color w:val="auto"/>
        </w:rPr>
        <w:t>Consultant shall not violate, or cause Company to be in violation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anti-bribery and anti-corruption laws,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both"/>
        <w:spacing w:after="0" w:line="264" w:lineRule="auto"/>
        <w:rPr>
          <w:sz w:val="20"/>
          <w:szCs w:val="20"/>
          <w:color w:val="auto"/>
        </w:rPr>
      </w:pPr>
      <w:r>
        <w:rPr>
          <w:rFonts w:ascii="Arial" w:cs="Arial" w:eastAsia="Arial" w:hAnsi="Arial"/>
          <w:sz w:val="21"/>
          <w:szCs w:val="21"/>
          <w:color w:val="auto"/>
        </w:rPr>
        <w:t>without limitation, the U.S. Foreign Corrupt Practices Act of 1977, as amended, and, if applicable, the U.K. Bribery Act of 2010, as amended. Consultant represents that it maintains, and will continue to maintain during the term hereof, adequate controls and procedures to ensure compliance with such anti-bribery and anti-corruption legislation.</w:t>
      </w:r>
    </w:p>
    <w:p>
      <w:pPr>
        <w:spacing w:after="0" w:line="156" w:lineRule="exact"/>
        <w:rPr>
          <w:sz w:val="20"/>
          <w:szCs w:val="20"/>
          <w:color w:val="auto"/>
        </w:rPr>
      </w:pPr>
    </w:p>
    <w:p>
      <w:pPr>
        <w:jc w:val="both"/>
        <w:ind w:firstLine="757"/>
        <w:spacing w:after="0" w:line="250" w:lineRule="auto"/>
        <w:tabs>
          <w:tab w:leader="none" w:pos="1173"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DEBARMENT. </w:t>
      </w:r>
      <w:r>
        <w:rPr>
          <w:rFonts w:ascii="Arial" w:cs="Arial" w:eastAsia="Arial" w:hAnsi="Arial"/>
          <w:sz w:val="21"/>
          <w:szCs w:val="21"/>
          <w:color w:val="auto"/>
        </w:rPr>
        <w:t>Consultant will not use in any capacity, in connection with the performance of the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the services of any person that (a) is debarred or otherwise excluded or disqualified, or, to the best of its or their knowledge, is under consideration for debarment, exclusion, or disqualification, under Article 306 of the Federal Food, Drug, and Cosmetic Act, 21 U.S.C. § 335(a), or any comparable law or regulation applicable outside the United States, (b) is otherwise disqualified or suspended from performing clinical research, (c) is excluded, debarred, suspended, or rendered otherwise ineligible to participate in healthcare programs or in procurement or non-procurement programs (as that term is defined in 42 U.S.C. 1320a-7b(f)) or from similar programs in countries outside the United States, (d) has been convicted of a criminal offense related to the provision of healthcare items or services, (e) disciplined by any medical board or other relevant professional licensing body, (f) sanctioned by the Office of Inspector General of the Department of Health and Human Services, or (g) is otherwise subject to any restrictions or sanctions by the U.S. Food and Drug Administration or any other regulatory or health authority in the U.S. or in other countries.</w:t>
      </w:r>
    </w:p>
    <w:p>
      <w:pPr>
        <w:spacing w:after="0" w:line="176" w:lineRule="exact"/>
        <w:rPr>
          <w:rFonts w:ascii="Arial" w:cs="Arial" w:eastAsia="Arial" w:hAnsi="Arial"/>
          <w:sz w:val="21"/>
          <w:szCs w:val="21"/>
          <w:b w:val="1"/>
          <w:bCs w:val="1"/>
          <w:color w:val="auto"/>
        </w:rPr>
      </w:pPr>
    </w:p>
    <w:p>
      <w:pPr>
        <w:jc w:val="both"/>
        <w:ind w:firstLine="757"/>
        <w:spacing w:after="0" w:line="269" w:lineRule="auto"/>
        <w:tabs>
          <w:tab w:leader="none" w:pos="1194"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ssignment</w:t>
      </w:r>
      <w:r>
        <w:rPr>
          <w:rFonts w:ascii="Arial" w:cs="Arial" w:eastAsia="Arial" w:hAnsi="Arial"/>
          <w:sz w:val="20"/>
          <w:szCs w:val="20"/>
          <w:b w:val="1"/>
          <w:bCs w:val="1"/>
          <w:color w:val="auto"/>
        </w:rPr>
        <w:t>; B</w:t>
      </w:r>
      <w:r>
        <w:rPr>
          <w:rFonts w:ascii="Arial" w:cs="Arial" w:eastAsia="Arial" w:hAnsi="Arial"/>
          <w:sz w:val="13"/>
          <w:szCs w:val="13"/>
          <w:b w:val="1"/>
          <w:bCs w:val="1"/>
          <w:color w:val="auto"/>
        </w:rPr>
        <w:t>enefit</w:t>
      </w:r>
      <w:r>
        <w:rPr>
          <w:rFonts w:ascii="Arial" w:cs="Arial" w:eastAsia="Arial" w:hAnsi="Arial"/>
          <w:sz w:val="20"/>
          <w:szCs w:val="20"/>
          <w:color w:val="auto"/>
        </w:rPr>
        <w:t>. This MCA is for the personal services of Consultant (or one or more of its personnel)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may not be assigned by her, him or it. Consultant may not delegate any of his, her or its duties under this MCA nor shall it be assignable by Consultant by operation of law, without the prior written consent of the Company. This MCA may be assigned at any time by the Company in its discretion,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Consultant would not be required to perform personal services for any entity not (a) affiliated with the Company or (b) that has merged with or acquired all or substantially all of its assets to which the Services relate. The parties’ rights and obligations under this MCA will bind and inure to the benefit of their respective successors, heirs, executors, and administrators and permitted assigns.</w:t>
      </w:r>
    </w:p>
    <w:p>
      <w:pPr>
        <w:spacing w:after="0" w:line="153" w:lineRule="exact"/>
        <w:rPr>
          <w:rFonts w:ascii="Arial" w:cs="Arial" w:eastAsia="Arial" w:hAnsi="Arial"/>
          <w:sz w:val="20"/>
          <w:szCs w:val="20"/>
          <w:b w:val="1"/>
          <w:bCs w:val="1"/>
          <w:color w:val="auto"/>
        </w:rPr>
      </w:pPr>
    </w:p>
    <w:p>
      <w:pPr>
        <w:jc w:val="both"/>
        <w:ind w:firstLine="757"/>
        <w:spacing w:after="0" w:line="238" w:lineRule="auto"/>
        <w:tabs>
          <w:tab w:leader="none" w:pos="1208"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egal and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quitable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22"/>
          <w:szCs w:val="22"/>
          <w:color w:val="auto"/>
        </w:rPr>
        <w:t>. Consultant hereby acknowledges and agrees that if Consultant breaches this</w:t>
      </w:r>
      <w:r>
        <w:rPr>
          <w:rFonts w:ascii="Arial" w:cs="Arial" w:eastAsia="Arial" w:hAnsi="Arial"/>
          <w:sz w:val="22"/>
          <w:szCs w:val="22"/>
          <w:b w:val="1"/>
          <w:bCs w:val="1"/>
          <w:color w:val="auto"/>
        </w:rPr>
        <w:t xml:space="preserve"> </w:t>
      </w:r>
      <w:r>
        <w:rPr>
          <w:rFonts w:ascii="Arial" w:cs="Arial" w:eastAsia="Arial" w:hAnsi="Arial"/>
          <w:sz w:val="22"/>
          <w:szCs w:val="22"/>
          <w:color w:val="auto"/>
        </w:rPr>
        <w:t>MCA, including, without limitation, by the actual or threatened disclosure of Information or Consulting Inventions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MCA, as well as such further relief as may be granted by a court of competent jurisdiction.</w:t>
      </w:r>
    </w:p>
    <w:p>
      <w:pPr>
        <w:spacing w:after="0" w:line="182" w:lineRule="exact"/>
        <w:rPr>
          <w:rFonts w:ascii="Arial" w:cs="Arial" w:eastAsia="Arial" w:hAnsi="Arial"/>
          <w:sz w:val="22"/>
          <w:szCs w:val="22"/>
          <w:b w:val="1"/>
          <w:bCs w:val="1"/>
          <w:color w:val="auto"/>
        </w:rPr>
      </w:pPr>
    </w:p>
    <w:p>
      <w:pPr>
        <w:jc w:val="both"/>
        <w:ind w:firstLine="757"/>
        <w:spacing w:after="0" w:line="243" w:lineRule="auto"/>
        <w:tabs>
          <w:tab w:leader="none" w:pos="1221"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otices</w:t>
      </w:r>
      <w:r>
        <w:rPr>
          <w:rFonts w:ascii="Arial" w:cs="Arial" w:eastAsia="Arial" w:hAnsi="Arial"/>
          <w:sz w:val="22"/>
          <w:szCs w:val="22"/>
          <w:color w:val="auto"/>
        </w:rPr>
        <w:t>. Any notices required or permitted hereunder shall be given to the appropriate party at the address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below or at such other address as the party shall specify in writing. Such notice shall be deemed given upon personal delivery to the appropriate address or sent by certified or registered mail, three days after the date of mailing. Either party may update its notice address by written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9"/>
          <w:szCs w:val="19"/>
          <w:color w:val="auto"/>
        </w:rPr>
        <w:t>If to the Consultant:</w:t>
      </w:r>
    </w:p>
    <w:p>
      <w:pPr>
        <w:spacing w:after="0" w:line="57" w:lineRule="exact"/>
        <w:rPr>
          <w:sz w:val="20"/>
          <w:szCs w:val="20"/>
          <w:color w:val="auto"/>
        </w:rPr>
      </w:pPr>
    </w:p>
    <w:p>
      <w:pPr>
        <w:sectPr>
          <w:pgSz w:w="11900" w:h="16838" w:orient="portrait"/>
          <w:cols w:equalWidth="0" w:num="2">
            <w:col w:w="4900" w:space="720"/>
            <w:col w:w="5520"/>
          </w:cols>
          <w:pgMar w:left="420" w:top="118" w:right="339" w:bottom="1440" w:gutter="0" w:footer="0" w:header="0"/>
        </w:sect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ytom</w:t>
      </w:r>
      <w:r>
        <w:rPr>
          <w:rFonts w:ascii="Arial" w:cs="Arial" w:eastAsia="Arial" w:hAnsi="Arial"/>
          <w:sz w:val="22"/>
          <w:szCs w:val="22"/>
          <w:b w:val="1"/>
          <w:bCs w:val="1"/>
          <w:color w:val="auto"/>
        </w:rPr>
        <w:t>X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ectPr>
          <w:pgSz w:w="11900" w:h="16838" w:orient="portrait"/>
          <w:cols w:equalWidth="0" w:num="1">
            <w:col w:w="11140"/>
          </w:cols>
          <w:pgMar w:left="420" w:top="118" w:right="339" w:bottom="1440" w:gutter="0" w:footer="0" w:header="0"/>
          <w:type w:val="continuous"/>
        </w:sectPr>
      </w:pPr>
    </w:p>
    <w:p>
      <w:pPr>
        <w:spacing w:after="0" w:line="4" w:lineRule="exact"/>
        <w:rPr>
          <w:sz w:val="20"/>
          <w:szCs w:val="20"/>
          <w:color w:val="auto"/>
        </w:rPr>
      </w:pPr>
    </w:p>
    <w:p>
      <w:pPr>
        <w:ind w:right="2020"/>
        <w:spacing w:after="0" w:line="252" w:lineRule="auto"/>
        <w:rPr>
          <w:sz w:val="20"/>
          <w:szCs w:val="20"/>
          <w:color w:val="auto"/>
        </w:rPr>
      </w:pPr>
      <w:r>
        <w:rPr>
          <w:rFonts w:ascii="Arial" w:cs="Arial" w:eastAsia="Arial" w:hAnsi="Arial"/>
          <w:sz w:val="19"/>
          <w:szCs w:val="19"/>
          <w:color w:val="auto"/>
        </w:rPr>
        <w:t>151 Oyster Point Blvd, Suite 400 South San Francisco, CA 94080</w:t>
      </w:r>
    </w:p>
    <w:p>
      <w:pPr>
        <w:spacing w:after="0" w:line="20" w:lineRule="exact"/>
        <w:rPr>
          <w:sz w:val="20"/>
          <w:szCs w:val="20"/>
          <w:color w:val="auto"/>
        </w:rPr>
      </w:pPr>
      <w:r>
        <w:rPr>
          <w:sz w:val="20"/>
          <w:szCs w:val="20"/>
          <w:color w:val="auto"/>
        </w:rPr>
        <w:br w:type="column"/>
      </w:r>
    </w:p>
    <w:p>
      <w:pPr>
        <w:ind w:right="100"/>
        <w:spacing w:after="0" w:line="217" w:lineRule="auto"/>
        <w:rPr>
          <w:sz w:val="20"/>
          <w:szCs w:val="20"/>
          <w:color w:val="auto"/>
        </w:rPr>
      </w:pPr>
      <w:r>
        <w:rPr>
          <w:rFonts w:ascii="Arial" w:cs="Arial" w:eastAsia="Arial" w:hAnsi="Arial"/>
          <w:sz w:val="22"/>
          <w:szCs w:val="22"/>
          <w:color w:val="auto"/>
        </w:rPr>
        <w:t>At the address listed above or email or phone in the Company records</w:t>
      </w:r>
    </w:p>
    <w:p>
      <w:pPr>
        <w:spacing w:after="0" w:line="2" w:lineRule="exact"/>
        <w:rPr>
          <w:sz w:val="20"/>
          <w:szCs w:val="20"/>
          <w:color w:val="auto"/>
        </w:rPr>
      </w:pPr>
    </w:p>
    <w:p>
      <w:pPr>
        <w:sectPr>
          <w:pgSz w:w="11900" w:h="16838" w:orient="portrait"/>
          <w:cols w:equalWidth="0" w:num="2">
            <w:col w:w="4900" w:space="720"/>
            <w:col w:w="5520"/>
          </w:cols>
          <w:pgMar w:left="420" w:top="118" w:right="339" w:bottom="1440" w:gutter="0" w:footer="0" w:header="0"/>
          <w:type w:val="continuous"/>
        </w:sectPr>
      </w:pPr>
    </w:p>
    <w:p>
      <w:pPr>
        <w:spacing w:after="0" w:line="237" w:lineRule="auto"/>
        <w:rPr>
          <w:sz w:val="20"/>
          <w:szCs w:val="20"/>
          <w:color w:val="auto"/>
        </w:rPr>
      </w:pPr>
      <w:r>
        <w:rPr>
          <w:rFonts w:ascii="Arial" w:cs="Arial" w:eastAsia="Arial" w:hAnsi="Arial"/>
          <w:sz w:val="19"/>
          <w:szCs w:val="19"/>
          <w:color w:val="auto"/>
        </w:rPr>
        <w:t>lrowland@cytomx.com</w:t>
      </w:r>
    </w:p>
    <w:p>
      <w:pPr>
        <w:sectPr>
          <w:pgSz w:w="11900" w:h="16838" w:orient="portrait"/>
          <w:cols w:equalWidth="0" w:num="1">
            <w:col w:w="11140"/>
          </w:cols>
          <w:pgMar w:left="420" w:top="118" w:right="3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both"/>
        <w:ind w:left="-100" w:firstLine="757"/>
        <w:spacing w:after="0" w:line="243" w:lineRule="auto"/>
        <w:tabs>
          <w:tab w:leader="none" w:pos="1081" w:val="left"/>
        </w:tabs>
        <w:numPr>
          <w:ilvl w:val="1"/>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Third Party Indemnity. </w:t>
      </w:r>
      <w:r>
        <w:rPr>
          <w:rFonts w:ascii="Arial" w:cs="Arial" w:eastAsia="Arial" w:hAnsi="Arial"/>
          <w:sz w:val="22"/>
          <w:szCs w:val="22"/>
          <w:color w:val="auto"/>
        </w:rPr>
        <w:t>To the extent Consultant is requested to and does provide services to Company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MCA, Company shall indemnify, defend and hold harmless Consultant against any and all losses, costs, expenses and damages, including but not limited to reasonable attorneys’ fees, resulting from Consultant’s services under this MCA, except to the extent that any such claim is caused by Consultant’s gross negligence, malpractice, reckless or intentional misconduct, or breach of this Agreement.</w:t>
      </w:r>
    </w:p>
    <w:p>
      <w:pPr>
        <w:spacing w:after="0" w:line="379" w:lineRule="exact"/>
        <w:rPr>
          <w:rFonts w:ascii="Arial" w:cs="Arial" w:eastAsia="Arial" w:hAnsi="Arial"/>
          <w:sz w:val="22"/>
          <w:szCs w:val="22"/>
          <w:b w:val="1"/>
          <w:bCs w:val="1"/>
          <w:color w:val="auto"/>
        </w:rPr>
      </w:pPr>
    </w:p>
    <w:p>
      <w:pPr>
        <w:jc w:val="both"/>
        <w:ind w:left="-100" w:firstLine="757"/>
        <w:spacing w:after="0" w:line="239" w:lineRule="auto"/>
        <w:tabs>
          <w:tab w:leader="none" w:pos="1081" w:val="left"/>
        </w:tabs>
        <w:numPr>
          <w:ilvl w:val="1"/>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overning</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22"/>
          <w:szCs w:val="22"/>
          <w:b w:val="1"/>
          <w:bCs w:val="1"/>
          <w:color w:val="auto"/>
        </w:rPr>
        <w:t>; S</w:t>
      </w:r>
      <w:r>
        <w:rPr>
          <w:rFonts w:ascii="Arial" w:cs="Arial" w:eastAsia="Arial" w:hAnsi="Arial"/>
          <w:sz w:val="14"/>
          <w:szCs w:val="14"/>
          <w:b w:val="1"/>
          <w:bCs w:val="1"/>
          <w:color w:val="auto"/>
        </w:rPr>
        <w:t>everability</w:t>
      </w:r>
      <w:r>
        <w:rPr>
          <w:rFonts w:ascii="Arial" w:cs="Arial" w:eastAsia="Arial" w:hAnsi="Arial"/>
          <w:sz w:val="22"/>
          <w:szCs w:val="22"/>
          <w:color w:val="auto"/>
        </w:rPr>
        <w:t>. This MCA shall be governed by and construed according to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California, without giving effect to its conflict of laws rules. If any provision of this MCA is found by a court of competent jurisdiction to be unenforceable, that provision shall be severed and the remainder of this MCA shall continue in full force and effect. Any disputes arising under this MCA shall be resolved by trial to a judge as the finder of fact seated in a court of competent subject matter jurisdiction in California. Each party hereby consents to, and waives any defenses that party may have to or conflicting with, the personal jurisdiction and venue of all such courts or relating to trial to a judge (including without limitation the defense of </w:t>
      </w:r>
      <w:r>
        <w:rPr>
          <w:rFonts w:ascii="Arial" w:cs="Arial" w:eastAsia="Arial" w:hAnsi="Arial"/>
          <w:sz w:val="22"/>
          <w:szCs w:val="22"/>
          <w:i w:val="1"/>
          <w:iCs w:val="1"/>
          <w:color w:val="auto"/>
        </w:rPr>
        <w:t>forum non conveniens</w:t>
      </w:r>
      <w:r>
        <w:rPr>
          <w:rFonts w:ascii="Arial" w:cs="Arial" w:eastAsia="Arial" w:hAnsi="Arial"/>
          <w:sz w:val="22"/>
          <w:szCs w:val="22"/>
          <w:color w:val="auto"/>
        </w:rPr>
        <w:t>).</w:t>
      </w:r>
    </w:p>
    <w:p>
      <w:pPr>
        <w:spacing w:after="0" w:line="180" w:lineRule="exact"/>
        <w:rPr>
          <w:rFonts w:ascii="Arial" w:cs="Arial" w:eastAsia="Arial" w:hAnsi="Arial"/>
          <w:sz w:val="22"/>
          <w:szCs w:val="22"/>
          <w:b w:val="1"/>
          <w:bCs w:val="1"/>
          <w:color w:val="auto"/>
        </w:rPr>
      </w:pPr>
    </w:p>
    <w:p>
      <w:pPr>
        <w:jc w:val="both"/>
        <w:ind w:left="-100" w:firstLine="757"/>
        <w:spacing w:after="0" w:line="273" w:lineRule="auto"/>
        <w:tabs>
          <w:tab w:leader="none" w:pos="1081" w:val="left"/>
        </w:tabs>
        <w:numPr>
          <w:ilvl w:val="1"/>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omplete</w:t>
      </w:r>
      <w:r>
        <w:rPr>
          <w:rFonts w:ascii="Arial" w:cs="Arial" w:eastAsia="Arial" w:hAnsi="Arial"/>
          <w:sz w:val="20"/>
          <w:szCs w:val="20"/>
          <w:b w:val="1"/>
          <w:bCs w:val="1"/>
          <w:color w:val="auto"/>
        </w:rPr>
        <w:t xml:space="preserve"> U</w:t>
      </w:r>
      <w:r>
        <w:rPr>
          <w:rFonts w:ascii="Arial" w:cs="Arial" w:eastAsia="Arial" w:hAnsi="Arial"/>
          <w:sz w:val="13"/>
          <w:szCs w:val="13"/>
          <w:b w:val="1"/>
          <w:bCs w:val="1"/>
          <w:color w:val="auto"/>
        </w:rPr>
        <w:t>nderstanding</w:t>
      </w:r>
      <w:r>
        <w:rPr>
          <w:rFonts w:ascii="Arial" w:cs="Arial" w:eastAsia="Arial" w:hAnsi="Arial"/>
          <w:sz w:val="20"/>
          <w:szCs w:val="20"/>
          <w:b w:val="1"/>
          <w:bCs w:val="1"/>
          <w:color w:val="auto"/>
        </w:rPr>
        <w:t>; M</w:t>
      </w:r>
      <w:r>
        <w:rPr>
          <w:rFonts w:ascii="Arial" w:cs="Arial" w:eastAsia="Arial" w:hAnsi="Arial"/>
          <w:sz w:val="13"/>
          <w:szCs w:val="13"/>
          <w:b w:val="1"/>
          <w:bCs w:val="1"/>
          <w:color w:val="auto"/>
        </w:rPr>
        <w:t>odification</w:t>
      </w:r>
      <w:r>
        <w:rPr>
          <w:rFonts w:ascii="Arial" w:cs="Arial" w:eastAsia="Arial" w:hAnsi="Arial"/>
          <w:sz w:val="20"/>
          <w:szCs w:val="20"/>
          <w:color w:val="auto"/>
        </w:rPr>
        <w:t>. This MCA constitutes the final, exclusive, and complete understanding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and agreement of the Company and Consultant with respect to the subject matter hereof. There are no other understandings, agreements, representations, or warranties between the parties with respect to that subject matter other than those set forth in this MCA. Any waiver, modification, or amendment of any provision of this MCA shall be effective only if in writing and signed by the Chief Executive Officer or the Senior Vice President and General Counsel.</w:t>
      </w:r>
    </w:p>
    <w:p>
      <w:pPr>
        <w:spacing w:after="0" w:line="352" w:lineRule="exact"/>
        <w:rPr>
          <w:rFonts w:ascii="Arial" w:cs="Arial" w:eastAsia="Arial" w:hAnsi="Arial"/>
          <w:sz w:val="20"/>
          <w:szCs w:val="20"/>
          <w:b w:val="1"/>
          <w:bCs w:val="1"/>
          <w:color w:val="auto"/>
        </w:rPr>
      </w:pPr>
    </w:p>
    <w:p>
      <w:pPr>
        <w:jc w:val="both"/>
        <w:ind w:left="-100" w:firstLine="467"/>
        <w:spacing w:after="0" w:line="273" w:lineRule="auto"/>
        <w:tabs>
          <w:tab w:leader="none" w:pos="818"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onflict</w:t>
      </w:r>
      <w:r>
        <w:rPr>
          <w:rFonts w:ascii="Arial" w:cs="Arial" w:eastAsia="Arial" w:hAnsi="Arial"/>
          <w:sz w:val="20"/>
          <w:szCs w:val="20"/>
          <w:color w:val="auto"/>
        </w:rPr>
        <w:t>. In order to avoid the potential for conflicts of interest, Consultant hereby agrees that, prior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any Services pursuant hereto, Consultant shall inform their current or future employer, if any, that Consultant is rendering services to Company in exchange for compensation. Consultant also hereby agrees to notify Company immediately in writing of any objection Consultant’s employer may have to this MCA and/or the Services contemplated herein. Company reserves the right to terminate this agreement in the event of any potential or actual conflicts of interest.</w:t>
      </w:r>
    </w:p>
    <w:p>
      <w:pPr>
        <w:spacing w:after="0" w:line="149" w:lineRule="exact"/>
        <w:rPr>
          <w:rFonts w:ascii="Arial" w:cs="Arial" w:eastAsia="Arial" w:hAnsi="Arial"/>
          <w:sz w:val="20"/>
          <w:szCs w:val="20"/>
          <w:b w:val="1"/>
          <w:bCs w:val="1"/>
          <w:color w:val="auto"/>
        </w:rPr>
      </w:pPr>
    </w:p>
    <w:p>
      <w:pPr>
        <w:jc w:val="both"/>
        <w:ind w:left="-100" w:right="20" w:firstLine="757"/>
        <w:spacing w:after="0" w:line="249" w:lineRule="auto"/>
        <w:tabs>
          <w:tab w:leader="none" w:pos="1081" w:val="left"/>
        </w:tabs>
        <w:numPr>
          <w:ilvl w:val="1"/>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NON-EXCLUSIVITY</w:t>
      </w:r>
      <w:r>
        <w:rPr>
          <w:rFonts w:ascii="Arial" w:cs="Arial" w:eastAsia="Arial" w:hAnsi="Arial"/>
          <w:sz w:val="22"/>
          <w:szCs w:val="22"/>
          <w:color w:val="auto"/>
        </w:rPr>
        <w:t>. During the term of this MCA, Consultant is free to provide professional services to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provided that the terms of those other arrangements do not prevent or impair Consultant’s ability to comply with Consultant’s obligations to Client under this MCA.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182245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18"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color w:val="auto"/>
        </w:rPr>
        <w:t>, the parties hereto have executed this MCA as of the Effective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480" w:type="dxa"/>
            <w:vAlign w:val="bottom"/>
          </w:tcPr>
          <w:p>
            <w:pPr>
              <w:ind w:left="1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ytom</w:t>
            </w:r>
            <w:r>
              <w:rPr>
                <w:rFonts w:ascii="Arial" w:cs="Arial" w:eastAsia="Arial" w:hAnsi="Arial"/>
                <w:sz w:val="22"/>
                <w:szCs w:val="22"/>
                <w:b w:val="1"/>
                <w:bCs w:val="1"/>
                <w:color w:val="auto"/>
              </w:rPr>
              <w:t>X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c>
          <w:tcPr>
            <w:tcW w:w="6760" w:type="dxa"/>
            <w:vAlign w:val="bottom"/>
          </w:tcPr>
          <w:p>
            <w:pPr>
              <w:ind w:left="18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onsultant</w:t>
            </w:r>
          </w:p>
        </w:tc>
      </w:tr>
      <w:tr>
        <w:trPr>
          <w:trHeight w:val="642"/>
        </w:trPr>
        <w:tc>
          <w:tcPr>
            <w:tcW w:w="4480" w:type="dxa"/>
            <w:vAlign w:val="bottom"/>
          </w:tcPr>
          <w:p>
            <w:pPr>
              <w:ind w:left="100"/>
              <w:spacing w:after="0"/>
              <w:rPr>
                <w:sz w:val="20"/>
                <w:szCs w:val="20"/>
                <w:color w:val="auto"/>
              </w:rPr>
            </w:pPr>
            <w:r>
              <w:rPr>
                <w:rFonts w:ascii="Arial" w:cs="Arial" w:eastAsia="Arial" w:hAnsi="Arial"/>
                <w:sz w:val="20"/>
                <w:szCs w:val="20"/>
                <w:color w:val="auto"/>
              </w:rPr>
              <w:t>Signature: /s/Lloyd Rowland</w:t>
            </w:r>
          </w:p>
        </w:tc>
        <w:tc>
          <w:tcPr>
            <w:tcW w:w="6760" w:type="dxa"/>
            <w:vAlign w:val="bottom"/>
          </w:tcPr>
          <w:p>
            <w:pPr>
              <w:ind w:left="1880"/>
              <w:spacing w:after="0"/>
              <w:rPr>
                <w:sz w:val="20"/>
                <w:szCs w:val="20"/>
                <w:color w:val="auto"/>
              </w:rPr>
            </w:pPr>
            <w:r>
              <w:rPr>
                <w:rFonts w:ascii="Arial" w:cs="Arial" w:eastAsia="Arial" w:hAnsi="Arial"/>
                <w:sz w:val="20"/>
                <w:szCs w:val="20"/>
                <w:color w:val="auto"/>
              </w:rPr>
              <w:t>Signature: /s/Carlos Campoy</w:t>
            </w:r>
          </w:p>
        </w:tc>
      </w:tr>
      <w:tr>
        <w:trPr>
          <w:trHeight w:val="459"/>
        </w:trPr>
        <w:tc>
          <w:tcPr>
            <w:tcW w:w="4480" w:type="dxa"/>
            <w:vAlign w:val="bottom"/>
          </w:tcPr>
          <w:p>
            <w:pPr>
              <w:ind w:left="100"/>
              <w:spacing w:after="0"/>
              <w:rPr>
                <w:sz w:val="20"/>
                <w:szCs w:val="20"/>
                <w:color w:val="auto"/>
              </w:rPr>
            </w:pPr>
            <w:r>
              <w:rPr>
                <w:rFonts w:ascii="Arial" w:cs="Arial" w:eastAsia="Arial" w:hAnsi="Arial"/>
                <w:sz w:val="20"/>
                <w:szCs w:val="20"/>
                <w:color w:val="auto"/>
              </w:rPr>
              <w:t>Name: Lloyd Rowland</w:t>
            </w:r>
          </w:p>
        </w:tc>
        <w:tc>
          <w:tcPr>
            <w:tcW w:w="6760" w:type="dxa"/>
            <w:vAlign w:val="bottom"/>
          </w:tcPr>
          <w:p>
            <w:pPr>
              <w:ind w:left="1880"/>
              <w:spacing w:after="0"/>
              <w:rPr>
                <w:sz w:val="20"/>
                <w:szCs w:val="20"/>
                <w:color w:val="auto"/>
              </w:rPr>
            </w:pPr>
            <w:r>
              <w:rPr>
                <w:rFonts w:ascii="Arial" w:cs="Arial" w:eastAsia="Arial" w:hAnsi="Arial"/>
                <w:sz w:val="20"/>
                <w:szCs w:val="20"/>
                <w:color w:val="auto"/>
              </w:rPr>
              <w:t>Name: Carlos Campoy</w:t>
            </w:r>
          </w:p>
        </w:tc>
      </w:tr>
      <w:tr>
        <w:trPr>
          <w:trHeight w:val="445"/>
        </w:trPr>
        <w:tc>
          <w:tcPr>
            <w:tcW w:w="4480" w:type="dxa"/>
            <w:vAlign w:val="bottom"/>
          </w:tcPr>
          <w:p>
            <w:pPr>
              <w:ind w:left="100"/>
              <w:spacing w:after="0"/>
              <w:rPr>
                <w:sz w:val="20"/>
                <w:szCs w:val="20"/>
                <w:color w:val="auto"/>
              </w:rPr>
            </w:pPr>
            <w:r>
              <w:rPr>
                <w:rFonts w:ascii="Arial" w:cs="Arial" w:eastAsia="Arial" w:hAnsi="Arial"/>
                <w:sz w:val="20"/>
                <w:szCs w:val="20"/>
                <w:color w:val="auto"/>
              </w:rPr>
              <w:t>Title: Sr. Vice President</w:t>
            </w:r>
          </w:p>
        </w:tc>
        <w:tc>
          <w:tcPr>
            <w:tcW w:w="6760" w:type="dxa"/>
            <w:vAlign w:val="bottom"/>
          </w:tcPr>
          <w:p>
            <w:pPr>
              <w:ind w:left="1880"/>
              <w:spacing w:after="0"/>
              <w:rPr>
                <w:sz w:val="20"/>
                <w:szCs w:val="20"/>
                <w:color w:val="auto"/>
              </w:rPr>
            </w:pPr>
            <w:r>
              <w:rPr>
                <w:rFonts w:ascii="Arial" w:cs="Arial" w:eastAsia="Arial" w:hAnsi="Arial"/>
                <w:sz w:val="20"/>
                <w:szCs w:val="20"/>
                <w:color w:val="auto"/>
              </w:rPr>
              <w:t>Title: Consultant</w:t>
            </w:r>
          </w:p>
        </w:tc>
      </w:tr>
      <w:tr>
        <w:trPr>
          <w:trHeight w:val="432"/>
        </w:trPr>
        <w:tc>
          <w:tcPr>
            <w:tcW w:w="4480" w:type="dxa"/>
            <w:vAlign w:val="bottom"/>
          </w:tcPr>
          <w:p>
            <w:pPr>
              <w:ind w:left="100"/>
              <w:spacing w:after="0"/>
              <w:rPr>
                <w:sz w:val="20"/>
                <w:szCs w:val="20"/>
                <w:color w:val="auto"/>
              </w:rPr>
            </w:pPr>
            <w:r>
              <w:rPr>
                <w:rFonts w:ascii="Arial" w:cs="Arial" w:eastAsia="Arial" w:hAnsi="Arial"/>
                <w:sz w:val="20"/>
                <w:szCs w:val="20"/>
                <w:color w:val="auto"/>
              </w:rPr>
              <w:t>Date: 9/12/2022</w:t>
            </w:r>
          </w:p>
        </w:tc>
        <w:tc>
          <w:tcPr>
            <w:tcW w:w="6760" w:type="dxa"/>
            <w:vAlign w:val="bottom"/>
          </w:tcPr>
          <w:p>
            <w:pPr>
              <w:ind w:left="1880"/>
              <w:spacing w:after="0"/>
              <w:rPr>
                <w:sz w:val="20"/>
                <w:szCs w:val="20"/>
                <w:color w:val="auto"/>
              </w:rPr>
            </w:pPr>
            <w:r>
              <w:rPr>
                <w:rFonts w:ascii="Arial" w:cs="Arial" w:eastAsia="Arial" w:hAnsi="Arial"/>
                <w:sz w:val="20"/>
                <w:szCs w:val="20"/>
                <w:color w:val="auto"/>
              </w:rPr>
              <w:t>Date: 9/8/2022</w:t>
            </w:r>
          </w:p>
        </w:tc>
      </w:tr>
      <w:tr>
        <w:trPr>
          <w:trHeight w:val="948"/>
        </w:trPr>
        <w:tc>
          <w:tcPr>
            <w:tcW w:w="44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WORK (SOW)</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This SOW is governed by the Master Consulting Agreement (“MCA”) between CytomX Therapeutics, Inc. (“Company”), and </w:t>
      </w:r>
      <w:r>
        <w:rPr>
          <w:rFonts w:ascii="Arial" w:cs="Arial" w:eastAsia="Arial" w:hAnsi="Arial"/>
          <w:sz w:val="22"/>
          <w:szCs w:val="22"/>
          <w:b w:val="1"/>
          <w:bCs w:val="1"/>
          <w:u w:val="single" w:color="auto"/>
          <w:color w:val="auto"/>
        </w:rPr>
        <w:t>Carlos Campoy</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effective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October 1, 2022</w:t>
      </w:r>
      <w:r>
        <w:rPr>
          <w:rFonts w:ascii="Arial" w:cs="Arial" w:eastAsia="Arial" w:hAnsi="Arial"/>
          <w:sz w:val="22"/>
          <w:szCs w:val="22"/>
          <w:b w:val="1"/>
          <w:bCs w:val="1"/>
          <w:color w:val="auto"/>
        </w:rPr>
        <w:t xml:space="preserve"> </w:t>
      </w:r>
      <w:r>
        <w:rPr>
          <w:rFonts w:ascii="Arial" w:cs="Arial" w:eastAsia="Arial" w:hAnsi="Arial"/>
          <w:sz w:val="22"/>
          <w:szCs w:val="22"/>
          <w:color w:val="auto"/>
        </w:rPr>
        <w:t>. If any terms herein conflict with the terms within the MCA, the</w:t>
      </w:r>
      <w:r>
        <w:rPr>
          <w:rFonts w:ascii="Arial" w:cs="Arial" w:eastAsia="Arial" w:hAnsi="Arial"/>
          <w:sz w:val="22"/>
          <w:szCs w:val="22"/>
          <w:b w:val="1"/>
          <w:bCs w:val="1"/>
          <w:color w:val="auto"/>
        </w:rPr>
        <w:t xml:space="preserve"> </w:t>
      </w:r>
      <w:r>
        <w:rPr>
          <w:rFonts w:ascii="Arial" w:cs="Arial" w:eastAsia="Arial" w:hAnsi="Arial"/>
          <w:sz w:val="22"/>
          <w:szCs w:val="22"/>
          <w:color w:val="auto"/>
        </w:rPr>
        <w:t>MCA shall prevail.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Services: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Biotechnology and financial consulting services, including consulting advice pertaining to Consultant’s previous role at the Company as requested by the Chief Executive Officer or General Counsel from time to time.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w:t>
      </w:r>
      <w:r>
        <w:rPr>
          <w:rFonts w:ascii="Arial" w:cs="Arial" w:eastAsia="Arial" w:hAnsi="Arial"/>
          <w:sz w:val="21"/>
          <w:szCs w:val="21"/>
          <w:b w:val="1"/>
          <w:bCs w:val="1"/>
          <w:color w:val="auto"/>
        </w:rPr>
        <w:t>:</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$500.00 per hour actually spent performing the Services, payable in arrears pursuant to monthly invoices (provided by Consultant) for the Services, on an as-needed basis. If Consultant will devote greater than an average of 10 hours per week (on average in any month) to the Services in any given month, then the Company’s advance notice and written consent to the additional hours is required.</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additional expenses incurred by Consultant that are charged to Company require Company’s advance notice and written consent.</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Consultant will invoice Company for such amounts no sooner than completion of the applicable task or event, and such invoices shall be payable within thirty (30) days after receipt by Company at </w:t>
      </w:r>
      <w:r>
        <w:rPr>
          <w:rFonts w:ascii="Arial" w:cs="Arial" w:eastAsia="Arial" w:hAnsi="Arial"/>
          <w:sz w:val="22"/>
          <w:szCs w:val="22"/>
          <w:color w:val="0563C1"/>
        </w:rPr>
        <w:t>ap@cytomx.com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3069590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jc w:val="center"/>
        <w:ind w:right="-1100"/>
        <w:spacing w:after="0"/>
        <w:rPr>
          <w:sz w:val="20"/>
          <w:szCs w:val="20"/>
          <w:color w:val="auto"/>
        </w:rPr>
      </w:pPr>
      <w:r>
        <w:rPr>
          <w:rFonts w:ascii="Arial" w:cs="Arial" w:eastAsia="Arial" w:hAnsi="Arial"/>
          <w:sz w:val="22"/>
          <w:szCs w:val="22"/>
          <w:b w:val="1"/>
          <w:bCs w:val="1"/>
          <w:color w:val="auto"/>
        </w:rPr>
        <w:t>EXHIBIT B</w:t>
      </w:r>
    </w:p>
    <w:p>
      <w:pPr>
        <w:spacing w:after="0" w:line="202" w:lineRule="exact"/>
        <w:rPr>
          <w:sz w:val="20"/>
          <w:szCs w:val="20"/>
          <w:color w:val="auto"/>
        </w:rPr>
      </w:pPr>
    </w:p>
    <w:p>
      <w:pPr>
        <w:jc w:val="right"/>
        <w:ind w:right="3179"/>
        <w:spacing w:after="0"/>
        <w:rPr>
          <w:sz w:val="20"/>
          <w:szCs w:val="20"/>
          <w:color w:val="auto"/>
        </w:rPr>
      </w:pPr>
      <w:r>
        <w:rPr>
          <w:rFonts w:ascii="Arial" w:cs="Arial" w:eastAsia="Arial" w:hAnsi="Arial"/>
          <w:sz w:val="18"/>
          <w:szCs w:val="18"/>
          <w:b w:val="1"/>
          <w:bCs w:val="1"/>
          <w:color w:val="auto"/>
        </w:rPr>
        <w:t>BACKGROUND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359"/>
        <w:spacing w:after="0" w:line="266" w:lineRule="auto"/>
        <w:rPr>
          <w:sz w:val="20"/>
          <w:szCs w:val="20"/>
          <w:color w:val="auto"/>
        </w:rPr>
      </w:pPr>
      <w:r>
        <w:rPr>
          <w:rFonts w:ascii="Arial" w:cs="Arial" w:eastAsia="Arial" w:hAnsi="Arial"/>
          <w:sz w:val="18"/>
          <w:szCs w:val="18"/>
          <w:b w:val="1"/>
          <w:bCs w:val="1"/>
          <w:color w:val="auto"/>
        </w:rPr>
        <w:t>Consultant to list any Background Technology in accordance with Section 7.3 as follows;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b w:val="1"/>
          <w:bCs w:val="1"/>
          <w:color w:val="auto"/>
        </w:rPr>
        <w:t>OR initial here to confirm NO Background Technology:</w:t>
      </w:r>
      <w:r>
        <w:rPr>
          <w:sz w:val="20"/>
          <w:szCs w:val="20"/>
          <w:color w:val="auto"/>
        </w:rPr>
        <w:tab/>
      </w:r>
      <w:r>
        <w:rPr>
          <w:rFonts w:ascii="Arial" w:cs="Arial" w:eastAsia="Arial" w:hAnsi="Arial"/>
          <w:sz w:val="16"/>
          <w:szCs w:val="16"/>
          <w:b w:val="1"/>
          <w:bCs w:val="1"/>
          <w:color w:val="auto"/>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-7620</wp:posOffset>
            </wp:positionV>
            <wp:extent cx="2857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9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2857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ectPr>
          <w:pgSz w:w="11900" w:h="16838" w:orient="portrait"/>
          <w:cols w:equalWidth="0" w:num="1">
            <w:col w:w="10139"/>
          </w:cols>
          <w:pgMar w:left="320" w:top="1152"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CONSULTING AGREEMENT</w:t>
      </w:r>
    </w:p>
    <w:p>
      <w:pPr>
        <w:spacing w:after="0" w:line="193" w:lineRule="exact"/>
        <w:rPr>
          <w:sz w:val="20"/>
          <w:szCs w:val="20"/>
          <w:color w:val="auto"/>
        </w:rPr>
      </w:pPr>
    </w:p>
    <w:p>
      <w:pPr>
        <w:ind w:right="120" w:firstLine="432"/>
        <w:spacing w:after="0" w:line="249"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onsulting</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“MCA”) is made and entered into by and between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ytom</w:t>
      </w:r>
      <w:r>
        <w:rPr>
          <w:rFonts w:ascii="Arial" w:cs="Arial" w:eastAsia="Arial" w:hAnsi="Arial"/>
          <w:sz w:val="22"/>
          <w:szCs w:val="22"/>
          <w:b w:val="1"/>
          <w:bCs w:val="1"/>
          <w:color w:val="auto"/>
        </w:rPr>
        <w:t>X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 xml:space="preserve">., </w:t>
      </w:r>
      <w:r>
        <w:rPr>
          <w:rFonts w:ascii="Arial" w:cs="Arial" w:eastAsia="Arial" w:hAnsi="Arial"/>
          <w:sz w:val="22"/>
          <w:szCs w:val="22"/>
          <w:color w:val="auto"/>
        </w:rPr>
        <w:t>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with an address at 151 Oyster Point Blvd, Suite 400, South San Francisco, CA 94080, (“</w:t>
      </w:r>
      <w:r>
        <w:rPr>
          <w:rFonts w:ascii="Arial" w:cs="Arial" w:eastAsia="Arial" w:hAnsi="Arial"/>
          <w:sz w:val="22"/>
          <w:szCs w:val="22"/>
          <w:b w:val="1"/>
          <w:bCs w:val="1"/>
          <w:color w:val="auto"/>
        </w:rPr>
        <w:t>Company</w:t>
      </w:r>
      <w:r>
        <w:rPr>
          <w:rFonts w:ascii="Arial" w:cs="Arial" w:eastAsia="Arial" w:hAnsi="Arial"/>
          <w:sz w:val="22"/>
          <w:szCs w:val="22"/>
          <w:color w:val="auto"/>
        </w:rPr>
        <w:t>”) and D</w:t>
      </w:r>
      <w:r>
        <w:rPr>
          <w:rFonts w:ascii="Arial" w:cs="Arial" w:eastAsia="Arial" w:hAnsi="Arial"/>
          <w:sz w:val="14"/>
          <w:szCs w:val="14"/>
          <w:color w:val="auto"/>
        </w:rPr>
        <w:t>r</w:t>
      </w:r>
      <w:r>
        <w:rPr>
          <w:rFonts w:ascii="Arial" w:cs="Arial" w:eastAsia="Arial" w:hAnsi="Arial"/>
          <w:sz w:val="22"/>
          <w:szCs w:val="22"/>
          <w:color w:val="auto"/>
        </w:rPr>
        <w:t>. A</w:t>
      </w:r>
      <w:r>
        <w:rPr>
          <w:rFonts w:ascii="Arial" w:cs="Arial" w:eastAsia="Arial" w:hAnsi="Arial"/>
          <w:sz w:val="14"/>
          <w:szCs w:val="14"/>
          <w:color w:val="auto"/>
        </w:rPr>
        <w:t>my</w:t>
      </w:r>
      <w:r>
        <w:rPr>
          <w:rFonts w:ascii="Arial" w:cs="Arial" w:eastAsia="Arial" w:hAnsi="Arial"/>
          <w:sz w:val="22"/>
          <w:szCs w:val="22"/>
          <w:color w:val="auto"/>
        </w:rPr>
        <w:t xml:space="preserve"> P</w:t>
      </w:r>
      <w:r>
        <w:rPr>
          <w:rFonts w:ascii="Arial" w:cs="Arial" w:eastAsia="Arial" w:hAnsi="Arial"/>
          <w:sz w:val="14"/>
          <w:szCs w:val="14"/>
          <w:color w:val="auto"/>
        </w:rPr>
        <w:t>eterson</w:t>
      </w:r>
      <w:r>
        <w:rPr>
          <w:rFonts w:ascii="Arial" w:cs="Arial" w:eastAsia="Arial" w:hAnsi="Arial"/>
          <w:sz w:val="22"/>
          <w:szCs w:val="22"/>
          <w:color w:val="auto"/>
        </w:rPr>
        <w:t>, located at [***] (“</w:t>
      </w:r>
      <w:r>
        <w:rPr>
          <w:rFonts w:ascii="Arial" w:cs="Arial" w:eastAsia="Arial" w:hAnsi="Arial"/>
          <w:sz w:val="22"/>
          <w:szCs w:val="22"/>
          <w:b w:val="1"/>
          <w:bCs w:val="1"/>
          <w:color w:val="auto"/>
        </w:rPr>
        <w:t>Consultant</w:t>
      </w:r>
      <w:r>
        <w:rPr>
          <w:rFonts w:ascii="Arial" w:cs="Arial" w:eastAsia="Arial" w:hAnsi="Arial"/>
          <w:sz w:val="22"/>
          <w:szCs w:val="22"/>
          <w:color w:val="auto"/>
        </w:rPr>
        <w:t xml:space="preserve">”), effective as of </w:t>
      </w:r>
      <w:r>
        <w:rPr>
          <w:rFonts w:ascii="Arial" w:cs="Arial" w:eastAsia="Arial" w:hAnsi="Arial"/>
          <w:sz w:val="22"/>
          <w:szCs w:val="22"/>
          <w:u w:val="single" w:color="auto"/>
          <w:color w:val="auto"/>
        </w:rPr>
        <w:t>September 13, 2022</w:t>
      </w:r>
      <w:r>
        <w:rPr>
          <w:rFonts w:ascii="Arial" w:cs="Arial" w:eastAsia="Arial" w:hAnsi="Arial"/>
          <w:sz w:val="22"/>
          <w:szCs w:val="22"/>
          <w:color w:val="auto"/>
        </w:rPr>
        <w:t xml:space="preserve"> (“</w:t>
      </w:r>
      <w:r>
        <w:rPr>
          <w:rFonts w:ascii="Arial" w:cs="Arial" w:eastAsia="Arial" w:hAnsi="Arial"/>
          <w:sz w:val="22"/>
          <w:szCs w:val="22"/>
          <w:b w:val="1"/>
          <w:bCs w:val="1"/>
          <w:color w:val="auto"/>
        </w:rPr>
        <w:t>Effective Date</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06"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Consultant has skills and knowledge in the Company’s field of endeavor and thus is well suited to advise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w:t>
      </w:r>
    </w:p>
    <w:p>
      <w:pPr>
        <w:spacing w:after="0" w:line="162"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desires that Consultant advise and consult with the Company in Consultant’s area of expertise</w:t>
      </w:r>
      <w:r>
        <w:rPr>
          <w:rFonts w:ascii="Arial" w:cs="Arial" w:eastAsia="Arial" w:hAnsi="Arial"/>
          <w:sz w:val="22"/>
          <w:szCs w:val="22"/>
          <w:b w:val="1"/>
          <w:bCs w:val="1"/>
          <w:color w:val="auto"/>
        </w:rPr>
        <w:t xml:space="preserve"> </w:t>
      </w:r>
      <w:r>
        <w:rPr>
          <w:rFonts w:ascii="Arial" w:cs="Arial" w:eastAsia="Arial" w:hAnsi="Arial"/>
          <w:sz w:val="22"/>
          <w:szCs w:val="22"/>
          <w:color w:val="auto"/>
        </w:rPr>
        <w:t>and on the terms and conditions set forth herein;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mutual obligations specified in this MCA, the parties agree to the following:</w:t>
      </w:r>
    </w:p>
    <w:p>
      <w:pPr>
        <w:spacing w:after="0" w:line="216" w:lineRule="exact"/>
        <w:rPr>
          <w:sz w:val="20"/>
          <w:szCs w:val="20"/>
          <w:color w:val="auto"/>
        </w:rPr>
      </w:pPr>
    </w:p>
    <w:p>
      <w:pPr>
        <w:jc w:val="both"/>
        <w:ind w:firstLine="757"/>
        <w:spacing w:after="0" w:line="247" w:lineRule="auto"/>
        <w:tabs>
          <w:tab w:leader="none" w:pos="1221"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onsulting</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22"/>
          <w:szCs w:val="22"/>
          <w:color w:val="auto"/>
        </w:rPr>
        <w:t>. Consultant shall provide consulting services to the Company as set forth in Exhibit A</w:t>
      </w:r>
      <w:r>
        <w:rPr>
          <w:rFonts w:ascii="Arial" w:cs="Arial" w:eastAsia="Arial" w:hAnsi="Arial"/>
          <w:sz w:val="22"/>
          <w:szCs w:val="22"/>
          <w:b w:val="1"/>
          <w:bCs w:val="1"/>
          <w:color w:val="auto"/>
        </w:rPr>
        <w:t xml:space="preserve"> (“Services”)</w:t>
      </w:r>
      <w:r>
        <w:rPr>
          <w:rFonts w:ascii="Arial" w:cs="Arial" w:eastAsia="Arial" w:hAnsi="Arial"/>
          <w:sz w:val="22"/>
          <w:szCs w:val="22"/>
          <w:color w:val="auto"/>
        </w:rPr>
        <w:t>. Consultant will perform the Services in strict accordance with Exhibit A and the Company’s other direction, using</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Consultant’s highest degree of professional skill and expertise. Consultant also agrees to perform a reasonable amount of informal consultation with the Company over the telephone or otherwise.</w:t>
      </w:r>
    </w:p>
    <w:p>
      <w:pPr>
        <w:spacing w:after="0" w:line="166" w:lineRule="exact"/>
        <w:rPr>
          <w:sz w:val="20"/>
          <w:szCs w:val="20"/>
          <w:color w:val="auto"/>
        </w:rPr>
      </w:pPr>
    </w:p>
    <w:p>
      <w:pPr>
        <w:jc w:val="both"/>
        <w:ind w:left="760"/>
        <w:spacing w:after="0" w:line="305"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Compliance with Applicable Law</w:t>
      </w:r>
      <w:r>
        <w:rPr>
          <w:rFonts w:ascii="Arial" w:cs="Arial" w:eastAsia="Arial" w:hAnsi="Arial"/>
          <w:sz w:val="19"/>
          <w:szCs w:val="19"/>
          <w:color w:val="auto"/>
        </w:rPr>
        <w:t>. Consultant represents and warrants that it is in full compliance at all times and will continue to be in compliance at all times with all applicable U.S. or foreign laws, rules, regulations, guidelines and industry standards (“Applicable Law”). Without limiting the foregoing, Consultant represents and warrants:</w:t>
      </w:r>
    </w:p>
    <w:p>
      <w:pPr>
        <w:spacing w:after="0" w:line="126" w:lineRule="exact"/>
        <w:rPr>
          <w:sz w:val="20"/>
          <w:szCs w:val="20"/>
          <w:color w:val="auto"/>
        </w:rPr>
      </w:pPr>
    </w:p>
    <w:p>
      <w:pPr>
        <w:jc w:val="both"/>
        <w:ind w:left="1500"/>
        <w:spacing w:after="0" w:line="241"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cGMP &amp; ICH Compliance</w:t>
      </w:r>
      <w:r>
        <w:rPr>
          <w:rFonts w:ascii="Arial" w:cs="Arial" w:eastAsia="Arial" w:hAnsi="Arial"/>
          <w:sz w:val="22"/>
          <w:szCs w:val="22"/>
          <w:color w:val="auto"/>
        </w:rPr>
        <w:t>. If applicable to the Services, Consultant shall comply with the current and applicable standards and specifications for good practice (GxP) published by the United States Food and Drug Administration (“FDA”) and The International Council for Harmonisation of Technical Requirements for Pharmaceuticals for Human Use.</w:t>
      </w:r>
    </w:p>
    <w:p>
      <w:pPr>
        <w:spacing w:after="0" w:line="179" w:lineRule="exact"/>
        <w:rPr>
          <w:sz w:val="20"/>
          <w:szCs w:val="20"/>
          <w:color w:val="auto"/>
        </w:rPr>
      </w:pPr>
    </w:p>
    <w:p>
      <w:pPr>
        <w:ind w:left="440" w:hanging="432"/>
        <w:spacing w:after="0"/>
        <w:tabs>
          <w:tab w:leader="none" w:pos="44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ompensation</w:t>
      </w:r>
      <w:r>
        <w:rPr>
          <w:rFonts w:ascii="Arial" w:cs="Arial" w:eastAsia="Arial" w:hAnsi="Arial"/>
          <w:sz w:val="20"/>
          <w:szCs w:val="20"/>
          <w:color w:val="auto"/>
        </w:rPr>
        <w:t>. Company shall compensate Consultant in accordance with Exhibit A for Services actually provided by</w:t>
      </w:r>
    </w:p>
    <w:p>
      <w:pPr>
        <w:spacing w:after="0" w:line="37" w:lineRule="exact"/>
        <w:rPr>
          <w:rFonts w:ascii="Arial" w:cs="Arial" w:eastAsia="Arial" w:hAnsi="Arial"/>
          <w:sz w:val="20"/>
          <w:szCs w:val="20"/>
          <w:b w:val="1"/>
          <w:bCs w:val="1"/>
          <w:color w:val="auto"/>
        </w:rPr>
      </w:pPr>
    </w:p>
    <w:p>
      <w:pPr>
        <w:ind w:right="80"/>
        <w:spacing w:after="0" w:line="239" w:lineRule="auto"/>
        <w:rPr>
          <w:rFonts w:ascii="Arial" w:cs="Arial" w:eastAsia="Arial" w:hAnsi="Arial"/>
          <w:sz w:val="20"/>
          <w:szCs w:val="20"/>
          <w:b w:val="1"/>
          <w:bCs w:val="1"/>
          <w:color w:val="auto"/>
        </w:rPr>
      </w:pPr>
      <w:r>
        <w:rPr>
          <w:rFonts w:ascii="Arial" w:cs="Arial" w:eastAsia="Arial" w:hAnsi="Arial"/>
          <w:sz w:val="22"/>
          <w:szCs w:val="22"/>
          <w:color w:val="auto"/>
        </w:rPr>
        <w:t>Consultant in accordance with this MCA. Additionally, Consultant’s outstanding stock options shall continue to vest through the term of this Contract, subject to early termination of this Agreement, and Consultant shall be able to exercise vested options in accordance with applicable law and the terms of the respective option agreements.</w:t>
      </w:r>
    </w:p>
    <w:p>
      <w:pPr>
        <w:spacing w:after="0" w:line="381" w:lineRule="exact"/>
        <w:rPr>
          <w:rFonts w:ascii="Arial" w:cs="Arial" w:eastAsia="Arial" w:hAnsi="Arial"/>
          <w:sz w:val="20"/>
          <w:szCs w:val="20"/>
          <w:b w:val="1"/>
          <w:bCs w:val="1"/>
          <w:color w:val="auto"/>
        </w:rPr>
      </w:pPr>
    </w:p>
    <w:p>
      <w:pPr>
        <w:jc w:val="both"/>
        <w:ind w:firstLine="757"/>
        <w:spacing w:after="0" w:line="243" w:lineRule="auto"/>
        <w:tabs>
          <w:tab w:leader="none" w:pos="1181"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 </w:t>
      </w:r>
      <w:r>
        <w:rPr>
          <w:rFonts w:ascii="Arial" w:cs="Arial" w:eastAsia="Arial" w:hAnsi="Arial"/>
          <w:sz w:val="14"/>
          <w:szCs w:val="14"/>
          <w:b w:val="1"/>
          <w:bCs w:val="1"/>
          <w:color w:val="auto"/>
        </w:rPr>
        <w:t>and subsequent amendments</w:t>
      </w:r>
      <w:r>
        <w:rPr>
          <w:rFonts w:ascii="Arial" w:cs="Arial" w:eastAsia="Arial" w:hAnsi="Arial"/>
          <w:sz w:val="22"/>
          <w:szCs w:val="22"/>
          <w:color w:val="auto"/>
        </w:rPr>
        <w:t>. Exhibit A sets forth the specific details with respect to the Services to be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performed by the Consultant, including compensation, and duration of the assignment. Exhibit A may be amended by a writing signed by an authorized representative of each party (in the case of the Company, the Chief Executive Officer or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jc w:val="both"/>
        <w:ind w:firstLine="757"/>
        <w:spacing w:after="0" w:line="239" w:lineRule="auto"/>
        <w:tabs>
          <w:tab w:leader="none" w:pos="1181"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ndependent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ontractor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tatus</w:t>
      </w:r>
      <w:r>
        <w:rPr>
          <w:rFonts w:ascii="Arial" w:cs="Arial" w:eastAsia="Arial" w:hAnsi="Arial"/>
          <w:sz w:val="22"/>
          <w:szCs w:val="22"/>
          <w:color w:val="auto"/>
        </w:rPr>
        <w:t>. It is understood and agreed that Consultant is an independent contractor, is not</w:t>
      </w:r>
      <w:r>
        <w:rPr>
          <w:rFonts w:ascii="Arial" w:cs="Arial" w:eastAsia="Arial" w:hAnsi="Arial"/>
          <w:sz w:val="22"/>
          <w:szCs w:val="22"/>
          <w:b w:val="1"/>
          <w:bCs w:val="1"/>
          <w:color w:val="auto"/>
        </w:rPr>
        <w:t xml:space="preserve"> </w:t>
      </w:r>
      <w:r>
        <w:rPr>
          <w:rFonts w:ascii="Arial" w:cs="Arial" w:eastAsia="Arial" w:hAnsi="Arial"/>
          <w:sz w:val="22"/>
          <w:szCs w:val="22"/>
          <w:color w:val="auto"/>
        </w:rPr>
        <w:t>an agent or employee of the Company, and is not authorized to act on behalf of the Company. Consultant agrees not to hold himself or herself out as, or give any person any reason to believe that he or she is an employee, agent, joint venturer or partner of the Company. Consultant will not be eligible for any employee benefits, nor will the Company make deductions from any amounts payable to Consultant for taxes or insurance (except to the extent the Company is required by law to do so). All payroll and employment taxes, insurance, and benefits shall be the sole responsibility of Consultant. Consultant retains the right to provide services for others during the term of this MCA and is not required to devote his or her services exclusively for the Company.</w:t>
      </w:r>
    </w:p>
    <w:p>
      <w:pPr>
        <w:spacing w:after="0" w:line="185" w:lineRule="exact"/>
        <w:rPr>
          <w:rFonts w:ascii="Arial" w:cs="Arial" w:eastAsia="Arial" w:hAnsi="Arial"/>
          <w:sz w:val="22"/>
          <w:szCs w:val="22"/>
          <w:b w:val="1"/>
          <w:bCs w:val="1"/>
          <w:color w:val="auto"/>
        </w:rPr>
      </w:pPr>
    </w:p>
    <w:p>
      <w:pPr>
        <w:jc w:val="both"/>
        <w:ind w:firstLine="757"/>
        <w:spacing w:after="0" w:line="249" w:lineRule="auto"/>
        <w:tabs>
          <w:tab w:leader="none" w:pos="1208"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olicitation</w:t>
      </w:r>
      <w:r>
        <w:rPr>
          <w:rFonts w:ascii="Arial" w:cs="Arial" w:eastAsia="Arial" w:hAnsi="Arial"/>
          <w:sz w:val="22"/>
          <w:szCs w:val="22"/>
          <w:color w:val="auto"/>
        </w:rPr>
        <w:t>. During the term of this MCA and for one (1) year after its termination, Consultant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personnel performing hereunder) will not personally or through others recruit, solicit or induce any employee of the Company to terminate his or her employment with the Company.</w:t>
      </w:r>
    </w:p>
    <w:p>
      <w:pPr>
        <w:spacing w:after="0" w:line="157" w:lineRule="exact"/>
        <w:rPr>
          <w:rFonts w:ascii="Arial" w:cs="Arial" w:eastAsia="Arial" w:hAnsi="Arial"/>
          <w:sz w:val="22"/>
          <w:szCs w:val="22"/>
          <w:b w:val="1"/>
          <w:bCs w:val="1"/>
          <w:color w:val="auto"/>
        </w:rPr>
      </w:pPr>
    </w:p>
    <w:p>
      <w:pPr>
        <w:ind w:left="1180" w:hanging="423"/>
        <w:spacing w:after="0"/>
        <w:tabs>
          <w:tab w:leader="none" w:pos="118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aintaining</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onfidential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1" w:lineRule="exact"/>
        <w:rPr>
          <w:sz w:val="20"/>
          <w:szCs w:val="20"/>
          <w:color w:val="auto"/>
        </w:rPr>
      </w:pPr>
      <w:r>
        <w:rPr>
          <w:rFonts w:ascii="Arial" w:cs="Arial" w:eastAsia="Arial" w:hAnsi="Arial"/>
          <w:sz w:val="19"/>
          <w:szCs w:val="19"/>
          <w:b w:val="1"/>
          <w:bCs w:val="1"/>
          <w:color w:val="auto"/>
        </w:rPr>
        <w:t>6.1 Company Information</w:t>
      </w:r>
      <w:r>
        <w:rPr>
          <w:rFonts w:ascii="Arial" w:cs="Arial" w:eastAsia="Arial" w:hAnsi="Arial"/>
          <w:sz w:val="19"/>
          <w:szCs w:val="19"/>
          <w:color w:val="auto"/>
        </w:rPr>
        <w:t>. During the term of this MCA, Consultant may receive or otherwise be exposed to</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and proprietary information relating to the Company’s technology, know-how, data, inventions, developments, plans, business practices, and strategies, and those of the Company’s collaborators and business associates. Such confidential and proprietary information of the Company (collectively referred to as “</w:t>
      </w:r>
      <w:r>
        <w:rPr>
          <w:rFonts w:ascii="Arial" w:cs="Arial" w:eastAsia="Arial" w:hAnsi="Arial"/>
          <w:sz w:val="19"/>
          <w:szCs w:val="19"/>
          <w:b w:val="1"/>
          <w:bCs w:val="1"/>
          <w:color w:val="auto"/>
        </w:rPr>
        <w:t>Information</w:t>
      </w:r>
      <w:r>
        <w:rPr>
          <w:rFonts w:ascii="Arial" w:cs="Arial" w:eastAsia="Arial" w:hAnsi="Arial"/>
          <w:sz w:val="19"/>
          <w:szCs w:val="19"/>
          <w:color w:val="auto"/>
        </w:rPr>
        <w:t>”) may include but not be limited to: (i) information supplied to Consultant with the legend “Confidential” or equivalent; (ii) the Company’s marketing and customer support strategies, financial information (including sales, costs, profits and pricing methods), internal organization, employee information, customer lists and business plans; (iii) the Company’s technology, including, but not limited to, discoveries, inventions, research and development efforts, manufacturing processes, assays, data (including without limitation preclinical, clinical and manufacturing data), software, trade secrets, processes, compounds, product, candidates, products, samples, media and/or cell lines (and procedures and formulations for producing any such samples, media and/or cell lines), vectors, viruses, assays, plasmids, formulas, methods, protocols, clinical trial designs and product know</w:t>
      </w:r>
      <w:r>
        <w:rPr>
          <w:rFonts w:ascii="MS PGothic" w:cs="MS PGothic" w:eastAsia="MS PGothic" w:hAnsi="MS PGothic"/>
          <w:sz w:val="19"/>
          <w:szCs w:val="19"/>
          <w:color w:val="auto"/>
        </w:rPr>
        <w:t>‑</w:t>
      </w:r>
      <w:r>
        <w:rPr>
          <w:rFonts w:ascii="Arial" w:cs="Arial" w:eastAsia="Arial" w:hAnsi="Arial"/>
          <w:sz w:val="19"/>
          <w:szCs w:val="19"/>
          <w:color w:val="auto"/>
        </w:rPr>
        <w:t>how and show</w:t>
      </w:r>
      <w:r>
        <w:rPr>
          <w:rFonts w:ascii="MS PGothic" w:cs="MS PGothic" w:eastAsia="MS PGothic" w:hAnsi="MS PGothic"/>
          <w:sz w:val="19"/>
          <w:szCs w:val="19"/>
          <w:color w:val="auto"/>
        </w:rPr>
        <w:t>‑</w:t>
      </w:r>
      <w:r>
        <w:rPr>
          <w:rFonts w:ascii="Arial" w:cs="Arial" w:eastAsia="Arial" w:hAnsi="Arial"/>
          <w:sz w:val="19"/>
          <w:szCs w:val="19"/>
          <w:color w:val="auto"/>
        </w:rPr>
        <w:t>how; (iv) all derivatives, improvements, additions, modifications, and enhancements to any of the above, including any such information or material created or developed by Consultant under this MCA; (v) information of third parties as to which the Company has an obligation of confidentiality; and (vi) information regarding the Consulting Inventions (defined in Section 7.1).</w:t>
      </w:r>
    </w:p>
    <w:p>
      <w:pPr>
        <w:spacing w:after="0" w:line="187"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9"/>
          <w:szCs w:val="19"/>
          <w:color w:val="auto"/>
        </w:rPr>
        <w:t>Consultant acknowledges the confidential and secret character of the Information and agrees that the Information (with the exception of information in category (v)) is the sole, exclusive and extremely valuable property of the Company. Accordingly, Consultant shall not reproduce any of the Information without the applicable prior written consent of the Company, use the Information except in the performance of this MCA, nor disclose all or any part of the Information in any form to any third party, either during or after the term of this MCA. Upon termination of this MCA for any reason, including expiration of term, Consultant agrees to cease using and to return to the Company all whole and partial copies of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5" w:name="page86"/>
    <w:bookmarkEnd w:id="85"/>
    <w:p>
      <w:pPr>
        <w:jc w:val="both"/>
        <w:ind w:firstLine="749"/>
        <w:spacing w:after="0" w:line="274" w:lineRule="auto"/>
        <w:rPr>
          <w:sz w:val="20"/>
          <w:szCs w:val="20"/>
          <w:color w:val="auto"/>
        </w:rPr>
      </w:pPr>
      <w:r>
        <w:rPr>
          <w:rFonts w:ascii="Arial" w:cs="Arial" w:eastAsia="Arial" w:hAnsi="Arial"/>
          <w:sz w:val="21"/>
          <w:szCs w:val="21"/>
          <w:color w:val="auto"/>
        </w:rPr>
        <w:t>Consultant shall not remove from the premises of Company or otherwise transfer to any third party any materials to which Company provides Consultant access unless Consultant has express advance written consent from Company.</w:t>
      </w:r>
    </w:p>
    <w:p>
      <w:pPr>
        <w:spacing w:after="0" w:line="14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6.2 Employer Information</w:t>
      </w:r>
      <w:r>
        <w:rPr>
          <w:rFonts w:ascii="Arial" w:cs="Arial" w:eastAsia="Arial" w:hAnsi="Arial"/>
          <w:sz w:val="21"/>
          <w:szCs w:val="21"/>
          <w:color w:val="auto"/>
        </w:rPr>
        <w:t>. Consultant agrees that she, he or it will not, during her or his engagement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improperly use or disclose any proprietary information or trade secrets of her or his former or current employers or companies with which she or he has or has had a consulting or other relationship, if any, and that she or he will not bring onto the premises of the Company any unpublished documents or any property belonging to her or his former or concurrent employers or companies (or that of Consultant’s personnel performing hereunder) unless consented to in writing by said employers or companies, other than Background Technology in accordance with Section 7.3.</w:t>
      </w:r>
    </w:p>
    <w:p>
      <w:pPr>
        <w:spacing w:after="0" w:line="168" w:lineRule="exact"/>
        <w:rPr>
          <w:sz w:val="20"/>
          <w:szCs w:val="20"/>
          <w:color w:val="auto"/>
        </w:rPr>
      </w:pPr>
    </w:p>
    <w:p>
      <w:pPr>
        <w:jc w:val="both"/>
        <w:ind w:firstLine="749"/>
        <w:spacing w:after="0" w:line="252" w:lineRule="exact"/>
        <w:rPr>
          <w:sz w:val="20"/>
          <w:szCs w:val="20"/>
          <w:color w:val="auto"/>
        </w:rPr>
      </w:pPr>
      <w:r>
        <w:rPr>
          <w:rFonts w:ascii="Arial" w:cs="Arial" w:eastAsia="Arial" w:hAnsi="Arial"/>
          <w:sz w:val="19"/>
          <w:szCs w:val="19"/>
          <w:b w:val="1"/>
          <w:bCs w:val="1"/>
          <w:color w:val="auto"/>
        </w:rPr>
        <w:t>6.3 Third Party Information</w:t>
      </w:r>
      <w:r>
        <w:rPr>
          <w:rFonts w:ascii="Arial" w:cs="Arial" w:eastAsia="Arial" w:hAnsi="Arial"/>
          <w:sz w:val="19"/>
          <w:szCs w:val="19"/>
          <w:color w:val="auto"/>
        </w:rPr>
        <w:t>. Consultant recognizes that the Company has received and, in the future, will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from third parties their confidential or proprietary information subject to a duty on the Company’s part to maintain the confidentiality of such information and, in some cases, to use it only for certain limited purposes. Consultant agrees that he, she or it owes the Compan</w:t>
      </w:r>
      <w:r>
        <w:rPr>
          <w:rFonts w:ascii="PMingLiU" w:cs="PMingLiU" w:eastAsia="PMingLiU" w:hAnsi="PMingLiU"/>
          <w:sz w:val="19"/>
          <w:szCs w:val="19"/>
          <w:color w:val="auto"/>
        </w:rPr>
        <w:t/>
      </w:r>
      <w:r>
        <w:rPr>
          <w:rFonts w:ascii="Arial" w:cs="Arial" w:eastAsia="Arial" w:hAnsi="Arial"/>
          <w:sz w:val="19"/>
          <w:szCs w:val="19"/>
          <w:color w:val="auto"/>
        </w:rPr>
        <w:t>y and such third parties, both during the term of her or his engagement and thereafter, a duty to hold all such confidential or proprietary information in the strictest confidence and not to disclose it to any person, firm or corporation (except in a manner that is consistent with the Compan</w:t>
      </w:r>
      <w:r>
        <w:rPr>
          <w:rFonts w:ascii="PMingLiU" w:cs="PMingLiU" w:eastAsia="PMingLiU" w:hAnsi="PMingLiU"/>
          <w:sz w:val="19"/>
          <w:szCs w:val="19"/>
          <w:color w:val="auto"/>
        </w:rPr>
        <w:t/>
      </w:r>
      <w:r>
        <w:rPr>
          <w:rFonts w:ascii="Arial" w:cs="Arial" w:eastAsia="Arial" w:hAnsi="Arial"/>
          <w:sz w:val="19"/>
          <w:szCs w:val="19"/>
          <w:color w:val="auto"/>
        </w:rPr>
        <w:t>y’s agreement with the third party) or use it for the benefit of anyone other than the Company or such third party (consistent with the Com</w:t>
      </w:r>
      <w:r>
        <w:rPr>
          <w:rFonts w:ascii="PMingLiU" w:cs="PMingLiU" w:eastAsia="PMingLiU" w:hAnsi="PMingLiU"/>
          <w:sz w:val="19"/>
          <w:szCs w:val="19"/>
          <w:color w:val="auto"/>
        </w:rPr>
        <w:t/>
      </w:r>
      <w:r>
        <w:rPr>
          <w:rFonts w:ascii="Arial" w:cs="Arial" w:eastAsia="Arial" w:hAnsi="Arial"/>
          <w:sz w:val="19"/>
          <w:szCs w:val="19"/>
          <w:color w:val="auto"/>
        </w:rPr>
        <w:t>pany’s agreement with the third party).</w:t>
      </w:r>
    </w:p>
    <w:p>
      <w:pPr>
        <w:spacing w:after="0" w:line="184"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 xml:space="preserve">6.4 Statutory Immunity from Prosecution. </w:t>
      </w:r>
      <w:r>
        <w:rPr>
          <w:rFonts w:ascii="Arial" w:cs="Arial" w:eastAsia="Arial" w:hAnsi="Arial"/>
          <w:sz w:val="22"/>
          <w:szCs w:val="22"/>
          <w:color w:val="auto"/>
        </w:rPr>
        <w:t>Consultant shall not be held criminally or civilly liable under any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or State trade secret law for the disclosure of a trade secret that: (i) is done solely for the purpose of reporting or investigating a suspected violation of law and is made in confidence to a Federal, State, or local government official, either directly or indirectly, or to an attorney; or (ii) is made in a complaint or other document filed in a lawsuit or other proceeding, if such filing is made under seal.</w:t>
      </w:r>
    </w:p>
    <w:p>
      <w:pPr>
        <w:spacing w:after="0" w:line="180"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 xml:space="preserve">6.5 Personal Data Protection. </w:t>
      </w:r>
      <w:r>
        <w:rPr>
          <w:rFonts w:ascii="Arial" w:cs="Arial" w:eastAsia="Arial" w:hAnsi="Arial"/>
          <w:sz w:val="19"/>
          <w:szCs w:val="19"/>
          <w:color w:val="auto"/>
        </w:rPr>
        <w:t>Consultant acknowledges that it may have access to Company’s computing, database</w:t>
      </w:r>
      <w:r>
        <w:rPr>
          <w:rFonts w:ascii="Arial" w:cs="Arial" w:eastAsia="Arial" w:hAnsi="Arial"/>
          <w:sz w:val="19"/>
          <w:szCs w:val="19"/>
          <w:b w:val="1"/>
          <w:bCs w:val="1"/>
          <w:color w:val="auto"/>
        </w:rPr>
        <w:t xml:space="preserve"> </w:t>
      </w:r>
      <w:r>
        <w:rPr>
          <w:rFonts w:ascii="Arial" w:cs="Arial" w:eastAsia="Arial" w:hAnsi="Arial"/>
          <w:sz w:val="19"/>
          <w:szCs w:val="19"/>
          <w:color w:val="auto"/>
        </w:rPr>
        <w:t>and communications systems and networks for the purposes set forth in this MCA. Consultant will comply fully with all applicable data privacy laws (including the General Data Protection Regulation 2016/679 (“GDPR”), the United Kingdom’s Data Protection Act 2018 (“UK DPA 2018”), regulations, and government orders, as may be amended and in effect from time to time, relating to the protection, storage, handling, analysis, disclosure, transfer, deletion and all other uses (collectively, “Processing”) of personally identifiable information (“PII”) that Consultant receives or has access to in connection with its performance under this MCA. For purposes of this MCA, data that can be associated with an individual clinical trial subject either directly or through a clinical trial subject identification number (also known as key-coded data) shall be considered to be PII. If Consultant, its employees, agents or contractors gain access to any PII in connection with this MCA pertaining to Company’s business or financial affairs, or to Company’s employees, contractors, partners, advisors or clinical trial subjects, Consultant will not Process such data except for the purposes set forth in this MCA. Consultant will otherwise protect PII and will not Process such PII except as set forth in Exhibit A or as otherwise explicitly authorized in writing by Company or as otherwise required by applicable law (in which case Consultant shall first inform Company of such requirement to the extent permitted by applicable law). Consultant shall inform Company immediately if, in Consultant’s opinion, any instruction of Company with respect to PII infringes the GDPR, the UK DPA 2018,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both"/>
        <w:spacing w:after="0" w:line="275" w:lineRule="auto"/>
        <w:rPr>
          <w:sz w:val="20"/>
          <w:szCs w:val="20"/>
          <w:color w:val="auto"/>
        </w:rPr>
      </w:pPr>
      <w:r>
        <w:rPr>
          <w:rFonts w:ascii="Arial" w:cs="Arial" w:eastAsia="Arial" w:hAnsi="Arial"/>
          <w:sz w:val="19"/>
          <w:szCs w:val="19"/>
          <w:color w:val="auto"/>
        </w:rPr>
        <w:t>other data privacy law. Prior to Processing PII, Consultant shall ensure that appropriate administrative, physical and technical safeguards are in place to protect PII from unauthorized access, acquisition or disclosure, destruction, alteration, accidental loss, misuse, or damage that are no less rigorous than accepted industry practices including the International Organization for Standardization's standards: ISO/IEC 27001:2005 – Information Security Management Systems – Requirements and ISO-IEC 27002:2005 – Code of Practice for International Security Management. Upon the Consultant becoming aware of any security compromise of any nature, including any unauthorized breach or disclosure of PII either on its own system or on those of the Company’s (“</w:t>
      </w:r>
      <w:r>
        <w:rPr>
          <w:rFonts w:ascii="Arial" w:cs="Arial" w:eastAsia="Arial" w:hAnsi="Arial"/>
          <w:sz w:val="19"/>
          <w:szCs w:val="19"/>
          <w:b w:val="1"/>
          <w:bCs w:val="1"/>
          <w:color w:val="auto"/>
        </w:rPr>
        <w:t>Security Breach</w:t>
      </w:r>
      <w:r>
        <w:rPr>
          <w:rFonts w:ascii="Arial" w:cs="Arial" w:eastAsia="Arial" w:hAnsi="Arial"/>
          <w:sz w:val="19"/>
          <w:szCs w:val="19"/>
          <w:color w:val="auto"/>
        </w:rPr>
        <w:t>”), Consultant shall immediately notify Company of the Security Breach, document the particulars relating to such Security Breach (e.g. type of PII; time and date of disclosure; method of breach) and take any reasonably practicable steps to contain the Security Breach and avoid future occurrences thereof. Consultant shall ensure any that of its employees that Process PII are subject to obligations of confidentiality with respect to the Processing of the PII. Consultant shall not disclose any PII to Consultant’s subcontractors without Company’s prior written consent, at Company’s sole discretion. If Company consents to any disclosures of PII to a subcontractor of Consultant, such subcontractor shall first enter into a binding written agreement with Consultant containing provisions for the protection of PII that are at least as stringent as the provisions of this Section 6.5. Consultant will cooperate with all reasonable requirements of Company relating to Company’s compliance with Consultant’s obligations with respect to PII under the UK DPA 2018, the GDPR, or other data privacy laws, taking into account the nature of the Processing performed by Company and the information available to Company. Consultant will permit Company or a mutually acceptable third-party auditor to inspect Consultant’s records and information technology systems to confirm Consultant’s compliance with this Section 6.5. Upon the expiration or termination of this MCA, Consultant shall, as instructed by Company, delete or return the PII to Company and delete all copies of the PII unless the laws of the European Union or its member states, or, as applicable, the laws of the United Kingdom, require its storage. For clarity, the provisions of this Section 6.5 do not limit Consultant’s obligations pursuant to Section 6.1.</w:t>
      </w:r>
    </w:p>
    <w:p>
      <w:pPr>
        <w:spacing w:after="0" w:line="164" w:lineRule="exact"/>
        <w:rPr>
          <w:sz w:val="20"/>
          <w:szCs w:val="20"/>
          <w:color w:val="auto"/>
        </w:rPr>
      </w:pPr>
    </w:p>
    <w:p>
      <w:pPr>
        <w:ind w:left="1180" w:hanging="423"/>
        <w:spacing w:after="0"/>
        <w:tabs>
          <w:tab w:leader="none" w:pos="118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nventions</w:t>
      </w:r>
      <w:r>
        <w:rPr>
          <w:rFonts w:ascii="Arial" w:cs="Arial" w:eastAsia="Arial" w:hAnsi="Arial"/>
          <w:sz w:val="22"/>
          <w:szCs w:val="22"/>
          <w:color w:val="auto"/>
        </w:rPr>
        <w:t>.</w:t>
      </w:r>
    </w:p>
    <w:p>
      <w:pPr>
        <w:spacing w:after="0" w:line="19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color w:val="auto"/>
        </w:rPr>
        <w:t>7.1 Disclosure of Inventions</w:t>
      </w:r>
      <w:r>
        <w:rPr>
          <w:rFonts w:ascii="Arial" w:cs="Arial" w:eastAsia="Arial" w:hAnsi="Arial"/>
          <w:sz w:val="19"/>
          <w:szCs w:val="19"/>
          <w:color w:val="auto"/>
        </w:rPr>
        <w:t>. Consultant shall promptly and fully disclose to the Company any and all ideas,</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inventions, know-how, techniques and works of authorship learned, conceived or developed by Consultant pursuant to her, his or its performance of the Services for the Company and/or using the Information (whether such use of Information occurs during or after the term of this MCA (and without implying any right to use the Information outside of performing the Services)) (all of the foregoing, together with all intellectual property rights therein (including without limitation patent applications and patents), the “</w:t>
      </w:r>
      <w:r>
        <w:rPr>
          <w:rFonts w:ascii="Arial" w:cs="Arial" w:eastAsia="Arial" w:hAnsi="Arial"/>
          <w:sz w:val="19"/>
          <w:szCs w:val="19"/>
          <w:b w:val="1"/>
          <w:bCs w:val="1"/>
          <w:color w:val="auto"/>
        </w:rPr>
        <w:t>Consulting Inventions</w:t>
      </w:r>
      <w:r>
        <w:rPr>
          <w:rFonts w:ascii="Arial" w:cs="Arial" w:eastAsia="Arial" w:hAnsi="Arial"/>
          <w:sz w:val="19"/>
          <w:szCs w:val="19"/>
          <w:color w:val="auto"/>
        </w:rPr>
        <w:t xml:space="preserve">”). </w:t>
      </w:r>
      <w:r>
        <w:rPr>
          <w:rFonts w:ascii="Arial" w:cs="Arial" w:eastAsia="Arial" w:hAnsi="Arial"/>
          <w:sz w:val="19"/>
          <w:szCs w:val="19"/>
          <w:b w:val="1"/>
          <w:bCs w:val="1"/>
          <w:color w:val="auto"/>
        </w:rPr>
        <w:t>All inventions by Consultant during the term of the Services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or within one (1) year thereafter and having utility in the field of protease-activated biologics shall be presumed to have been made using the Information unless Consultant is able to show conclusively that they were not. </w:t>
      </w:r>
      <w:r>
        <w:rPr>
          <w:rFonts w:ascii="Arial" w:cs="Arial" w:eastAsia="Arial" w:hAnsi="Arial"/>
          <w:sz w:val="19"/>
          <w:szCs w:val="19"/>
          <w:color w:val="auto"/>
        </w:rPr>
        <w:t>Consultant shall keep</w:t>
      </w:r>
      <w:r>
        <w:rPr>
          <w:rFonts w:ascii="Arial" w:cs="Arial" w:eastAsia="Arial" w:hAnsi="Arial"/>
          <w:sz w:val="19"/>
          <w:szCs w:val="19"/>
          <w:b w:val="1"/>
          <w:bCs w:val="1"/>
          <w:color w:val="auto"/>
        </w:rPr>
        <w:t xml:space="preserve"> </w:t>
      </w:r>
      <w:r>
        <w:rPr>
          <w:rFonts w:ascii="Arial" w:cs="Arial" w:eastAsia="Arial" w:hAnsi="Arial"/>
          <w:sz w:val="19"/>
          <w:szCs w:val="19"/>
          <w:color w:val="auto"/>
        </w:rPr>
        <w:t>and maintain adequate and current records (in the form of notes, sketches, drawings, laboratory notebooks or any other form that may be required by the Company) of all work performed relating to the Services, including all proprietary information developed relating thereto. Such records shall be available to and remain the sole property of the Company at all times.</w:t>
      </w:r>
    </w:p>
    <w:p>
      <w:pPr>
        <w:spacing w:after="0" w:line="1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7.2 Inventions Assigned to the Company</w:t>
      </w:r>
      <w:r>
        <w:rPr>
          <w:rFonts w:ascii="Arial" w:cs="Arial" w:eastAsia="Arial" w:hAnsi="Arial"/>
          <w:sz w:val="22"/>
          <w:szCs w:val="22"/>
          <w:color w:val="auto"/>
        </w:rPr>
        <w:t>. Consultant agrees that any and all Consulting Inventions shall be the sole</w:t>
      </w:r>
      <w:r>
        <w:rPr>
          <w:rFonts w:ascii="Arial" w:cs="Arial" w:eastAsia="Arial" w:hAnsi="Arial"/>
          <w:sz w:val="22"/>
          <w:szCs w:val="22"/>
          <w:b w:val="1"/>
          <w:bCs w:val="1"/>
          <w:color w:val="auto"/>
        </w:rPr>
        <w:t xml:space="preserve"> </w:t>
      </w:r>
      <w:r>
        <w:rPr>
          <w:rFonts w:ascii="Arial" w:cs="Arial" w:eastAsia="Arial" w:hAnsi="Arial"/>
          <w:sz w:val="22"/>
          <w:szCs w:val="22"/>
          <w:color w:val="auto"/>
        </w:rPr>
        <w:t>and exclusive property of the Company.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jc w:val="both"/>
        <w:spacing w:after="0" w:line="282" w:lineRule="auto"/>
        <w:rPr>
          <w:sz w:val="20"/>
          <w:szCs w:val="20"/>
          <w:color w:val="auto"/>
        </w:rPr>
      </w:pPr>
      <w:r>
        <w:rPr>
          <w:rFonts w:ascii="Arial" w:cs="Arial" w:eastAsia="Arial" w:hAnsi="Arial"/>
          <w:sz w:val="19"/>
          <w:szCs w:val="19"/>
          <w:color w:val="auto"/>
        </w:rPr>
        <w:t>Consultant hereby assigns to the Company all her, his or its right, title and interest in and to the Consulting Inventions, and agrees to execute and deliver (during and after the term of this MCA and for no additional consideration) all documents and take all reasonable, lawful actions to assist the Company to evidence or record such assignment or perfect, defend or enforce the Consulting Inventions. Consultant shall do so both during and after the term of this MCA, for no additional consideration beyond the payments from Company to Consultant for the Services during the term of this MCA. Further, if Company is unable, after making reasonable inquiry, to obtain Consultant’s signature on any such documents, Consultant hereby appoints Company as Consultant’s attorney-in-fact to execute and deliver such documents.</w:t>
      </w:r>
    </w:p>
    <w:p>
      <w:pPr>
        <w:spacing w:after="0" w:line="14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2"/>
          <w:szCs w:val="22"/>
          <w:color w:val="auto"/>
        </w:rPr>
        <w:t>Consultant explicitly acknowledges and agrees that all works of authorship contained in the Consulting Inventions are “works for hire” under the copyright laws of the United States, and that the Company shall own the copyright in all such works of authorship.</w:t>
      </w:r>
    </w:p>
    <w:p>
      <w:pPr>
        <w:spacing w:after="0" w:line="17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7.3 Background Technology</w:t>
      </w:r>
      <w:r>
        <w:rPr>
          <w:rFonts w:ascii="Arial" w:cs="Arial" w:eastAsia="Arial" w:hAnsi="Arial"/>
          <w:sz w:val="22"/>
          <w:szCs w:val="22"/>
          <w:color w:val="auto"/>
        </w:rPr>
        <w:t>. Consultant shall specifically describe and identify in Exhibit B any and all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without limitation information, materials and patent rights) that (i) Consultant may use in performing the Services; (ii) is owned by Consultant free of encumbrances or licensed to Consultant with the right to sublicense the Company; and (iii) is in existence prior to the Effective Date (the “</w:t>
      </w:r>
      <w:r>
        <w:rPr>
          <w:rFonts w:ascii="Arial" w:cs="Arial" w:eastAsia="Arial" w:hAnsi="Arial"/>
          <w:sz w:val="22"/>
          <w:szCs w:val="22"/>
          <w:b w:val="1"/>
          <w:bCs w:val="1"/>
          <w:color w:val="auto"/>
        </w:rPr>
        <w:t>Background Technology</w:t>
      </w:r>
      <w:r>
        <w:rPr>
          <w:rFonts w:ascii="Arial" w:cs="Arial" w:eastAsia="Arial" w:hAnsi="Arial"/>
          <w:sz w:val="22"/>
          <w:szCs w:val="22"/>
          <w:color w:val="auto"/>
        </w:rPr>
        <w:t>”). Consultant hereby grants to Company a non-exclusive, royalty-free and worldwide right to use and sublicense the use of any Background Technology for the purpose of developing and marketing Company products and programs, but not for the purpose of marketing the Background Technology separately from these products and programs.</w:t>
      </w:r>
    </w:p>
    <w:p>
      <w:pPr>
        <w:spacing w:after="0" w:line="18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7.4 Obligation to Keep the Company Informed</w:t>
      </w:r>
      <w:r>
        <w:rPr>
          <w:rFonts w:ascii="Arial" w:cs="Arial" w:eastAsia="Arial" w:hAnsi="Arial"/>
          <w:sz w:val="22"/>
          <w:szCs w:val="22"/>
          <w:color w:val="auto"/>
        </w:rPr>
        <w:t>. During the term of this MCA, and for one (1) year after its</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for any reason, Consultant will promptly disclose to the Company fully and in writing all patent applications filed by her, him or it, or on her, his or its behalf.</w:t>
      </w:r>
    </w:p>
    <w:p>
      <w:pPr>
        <w:spacing w:after="0" w:line="379" w:lineRule="exact"/>
        <w:rPr>
          <w:sz w:val="20"/>
          <w:szCs w:val="20"/>
          <w:color w:val="auto"/>
        </w:rPr>
      </w:pPr>
    </w:p>
    <w:p>
      <w:pPr>
        <w:jc w:val="both"/>
        <w:ind w:firstLine="757"/>
        <w:spacing w:after="0" w:line="269" w:lineRule="auto"/>
        <w:tabs>
          <w:tab w:leader="none" w:pos="1208"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terminate this MCA at any time with or without cause by giving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thirty (30) days written notice. Consultant may likewise terminate this MCA with thirty (30) days written notice. If this MCA terminates, Consultant shall cease work immediately after giving or receiving such notice or termination, unless otherwise advised by the Company, shall return to the Company all Information, Consulting Inventions, and other materials belonging to the Company, and shall notify the Company of costs incurred up to the termination date. Sections 4-16 of this MCA shall survive any termination of this MCA. </w:t>
      </w:r>
      <w:r>
        <w:rPr>
          <w:rFonts w:ascii="Arial" w:cs="Arial" w:eastAsia="Arial" w:hAnsi="Arial"/>
          <w:sz w:val="20"/>
          <w:szCs w:val="20"/>
          <w:b w:val="1"/>
          <w:bCs w:val="1"/>
          <w:color w:val="auto"/>
        </w:rPr>
        <w:t>This MCA shall be in effect for twelve months from the Effective Date;</w:t>
      </w:r>
      <w:r>
        <w:rPr>
          <w:rFonts w:ascii="Arial" w:cs="Arial" w:eastAsia="Arial" w:hAnsi="Arial"/>
          <w:sz w:val="20"/>
          <w:szCs w:val="20"/>
          <w:color w:val="auto"/>
        </w:rPr>
        <w:t xml:space="preserve"> provided that it may be terminated earlier in accordance with this Section.</w:t>
      </w:r>
    </w:p>
    <w:p>
      <w:pPr>
        <w:spacing w:after="0" w:line="139" w:lineRule="exact"/>
        <w:rPr>
          <w:rFonts w:ascii="Arial" w:cs="Arial" w:eastAsia="Arial" w:hAnsi="Arial"/>
          <w:sz w:val="20"/>
          <w:szCs w:val="20"/>
          <w:b w:val="1"/>
          <w:bCs w:val="1"/>
          <w:color w:val="auto"/>
        </w:rPr>
      </w:pPr>
    </w:p>
    <w:p>
      <w:pPr>
        <w:jc w:val="both"/>
        <w:ind w:firstLine="757"/>
        <w:spacing w:after="0" w:line="247" w:lineRule="auto"/>
        <w:tabs>
          <w:tab w:leader="none" w:pos="1235"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ompliance with</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pplicable</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aws and policies</w:t>
      </w:r>
      <w:r>
        <w:rPr>
          <w:rFonts w:ascii="Arial" w:cs="Arial" w:eastAsia="Arial" w:hAnsi="Arial"/>
          <w:sz w:val="22"/>
          <w:szCs w:val="22"/>
          <w:color w:val="auto"/>
        </w:rPr>
        <w:t>. Consultant warrants that all material supplied and work</w:t>
      </w:r>
      <w:r>
        <w:rPr>
          <w:rFonts w:ascii="Arial" w:cs="Arial" w:eastAsia="Arial" w:hAnsi="Arial"/>
          <w:sz w:val="22"/>
          <w:szCs w:val="22"/>
          <w:b w:val="1"/>
          <w:bCs w:val="1"/>
          <w:color w:val="auto"/>
        </w:rPr>
        <w:t xml:space="preserve"> </w:t>
      </w:r>
      <w:r>
        <w:rPr>
          <w:rFonts w:ascii="Arial" w:cs="Arial" w:eastAsia="Arial" w:hAnsi="Arial"/>
          <w:sz w:val="22"/>
          <w:szCs w:val="22"/>
          <w:color w:val="auto"/>
        </w:rPr>
        <w:t>performed under this MCA complies with or will comply with all applicable United States and foreign laws and regulations. Consultant warrants that they have received, and shall comply with, all applicable Company policies including, but not limited to, the policies listed on Exhibit C.</w:t>
      </w:r>
    </w:p>
    <w:p>
      <w:pPr>
        <w:spacing w:after="0" w:line="376" w:lineRule="exact"/>
        <w:rPr>
          <w:rFonts w:ascii="Arial" w:cs="Arial" w:eastAsia="Arial" w:hAnsi="Arial"/>
          <w:sz w:val="22"/>
          <w:szCs w:val="22"/>
          <w:b w:val="1"/>
          <w:bCs w:val="1"/>
          <w:color w:val="auto"/>
        </w:rPr>
      </w:pPr>
    </w:p>
    <w:p>
      <w:pPr>
        <w:ind w:firstLine="757"/>
        <w:spacing w:after="0" w:line="269" w:lineRule="auto"/>
        <w:tabs>
          <w:tab w:leader="none" w:pos="1309"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ANTI-BRIBERY &amp; ANTI-CORRUPTION. </w:t>
      </w:r>
      <w:r>
        <w:rPr>
          <w:rFonts w:ascii="Arial" w:cs="Arial" w:eastAsia="Arial" w:hAnsi="Arial"/>
          <w:sz w:val="22"/>
          <w:szCs w:val="22"/>
          <w:color w:val="auto"/>
        </w:rPr>
        <w:t>Consultant shall not violate, or cause Company to be in violation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anti-bribery and anti-corruption laws,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both"/>
        <w:spacing w:after="0" w:line="264" w:lineRule="auto"/>
        <w:rPr>
          <w:sz w:val="20"/>
          <w:szCs w:val="20"/>
          <w:color w:val="auto"/>
        </w:rPr>
      </w:pPr>
      <w:r>
        <w:rPr>
          <w:rFonts w:ascii="Arial" w:cs="Arial" w:eastAsia="Arial" w:hAnsi="Arial"/>
          <w:sz w:val="21"/>
          <w:szCs w:val="21"/>
          <w:color w:val="auto"/>
        </w:rPr>
        <w:t>without limitation, the U.S. Foreign Corrupt Practices Act of 1977, as amended, and, if applicable, the U.K. Bribery Act of 2010, as amended. Consultant represents that it maintains, and will continue to maintain during the term hereof, adequate controls and procedures to ensure compliance with such anti-bribery and anti-corruption legislation.</w:t>
      </w:r>
    </w:p>
    <w:p>
      <w:pPr>
        <w:spacing w:after="0" w:line="156" w:lineRule="exact"/>
        <w:rPr>
          <w:sz w:val="20"/>
          <w:szCs w:val="20"/>
          <w:color w:val="auto"/>
        </w:rPr>
      </w:pPr>
    </w:p>
    <w:p>
      <w:pPr>
        <w:jc w:val="both"/>
        <w:ind w:firstLine="757"/>
        <w:spacing w:after="0" w:line="250" w:lineRule="auto"/>
        <w:tabs>
          <w:tab w:leader="none" w:pos="1309" w:val="left"/>
        </w:tabs>
        <w:numPr>
          <w:ilvl w:val="0"/>
          <w:numId w:val="6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DEBARMENT. </w:t>
      </w:r>
      <w:r>
        <w:rPr>
          <w:rFonts w:ascii="Arial" w:cs="Arial" w:eastAsia="Arial" w:hAnsi="Arial"/>
          <w:sz w:val="21"/>
          <w:szCs w:val="21"/>
          <w:color w:val="auto"/>
        </w:rPr>
        <w:t>Consultant will not use in any capacity, in connection with the performance of the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the services of any person that (a) is debarred or otherwise excluded or disqualified, or, to the best of its or their knowledge, is under consideration for debarment, exclusion, or disqualification, under Article 306 of the Federal Food, Drug, and Cosmetic Act, 21 U.S.C. § 335(a), or any comparable law or regulation applicable outside the United States, (b) is otherwise disqualified or suspended from performing clinical research, (c) is excluded, debarred, suspended, or rendered otherwise ineligible to participate in healthcare programs or in procurement or non-procurement programs (as that term is defined in 42 U.S.C. 1320a-7b(f)) or from similar programs in countries outside the United States, (d) has been convicted of a criminal offense related to the provision of healthcare items or services, (e) disciplined by any medical board or other relevant professional licensing body, (f) sanctioned by the Office of Inspector General of the Department of Health and Human Services, or (g) is otherwise subject to any restrictions or sanctions by the U.S. Food and Drug Administration or any other regulatory or health authority in the U.S. or in other countries.</w:t>
      </w:r>
    </w:p>
    <w:p>
      <w:pPr>
        <w:spacing w:after="0" w:line="176" w:lineRule="exact"/>
        <w:rPr>
          <w:rFonts w:ascii="Arial" w:cs="Arial" w:eastAsia="Arial" w:hAnsi="Arial"/>
          <w:sz w:val="21"/>
          <w:szCs w:val="21"/>
          <w:b w:val="1"/>
          <w:bCs w:val="1"/>
          <w:color w:val="auto"/>
        </w:rPr>
      </w:pPr>
    </w:p>
    <w:p>
      <w:pPr>
        <w:jc w:val="both"/>
        <w:ind w:firstLine="757"/>
        <w:spacing w:after="0" w:line="269" w:lineRule="auto"/>
        <w:tabs>
          <w:tab w:leader="none" w:pos="1194"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ssignment</w:t>
      </w:r>
      <w:r>
        <w:rPr>
          <w:rFonts w:ascii="Arial" w:cs="Arial" w:eastAsia="Arial" w:hAnsi="Arial"/>
          <w:sz w:val="20"/>
          <w:szCs w:val="20"/>
          <w:b w:val="1"/>
          <w:bCs w:val="1"/>
          <w:color w:val="auto"/>
        </w:rPr>
        <w:t>; B</w:t>
      </w:r>
      <w:r>
        <w:rPr>
          <w:rFonts w:ascii="Arial" w:cs="Arial" w:eastAsia="Arial" w:hAnsi="Arial"/>
          <w:sz w:val="13"/>
          <w:szCs w:val="13"/>
          <w:b w:val="1"/>
          <w:bCs w:val="1"/>
          <w:color w:val="auto"/>
        </w:rPr>
        <w:t>enefit</w:t>
      </w:r>
      <w:r>
        <w:rPr>
          <w:rFonts w:ascii="Arial" w:cs="Arial" w:eastAsia="Arial" w:hAnsi="Arial"/>
          <w:sz w:val="20"/>
          <w:szCs w:val="20"/>
          <w:color w:val="auto"/>
        </w:rPr>
        <w:t>. This MCA is for the personal services of Consultant (or one or more of its personnel)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may not be assigned by her, him or it. Consultant may not delegate any of his, her or its duties under this MCA nor shall it be assignable by Consultant by operation of law, without the prior written consent of the Company. This MCA may be assigned at any time by the Company in its discretion,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Consultant would not be required to perform personal services for any entity not (a) affiliated with the Company or (b) that has merged with or acquired all or substantially all of its assets to which the Services relate. The parties’ rights and obligations under this MCA will bind and inure to the benefit of their respective successors, heirs, executors, and administrators and permitted assigns.</w:t>
      </w:r>
    </w:p>
    <w:p>
      <w:pPr>
        <w:spacing w:after="0" w:line="153" w:lineRule="exact"/>
        <w:rPr>
          <w:rFonts w:ascii="Arial" w:cs="Arial" w:eastAsia="Arial" w:hAnsi="Arial"/>
          <w:sz w:val="20"/>
          <w:szCs w:val="20"/>
          <w:b w:val="1"/>
          <w:bCs w:val="1"/>
          <w:color w:val="auto"/>
        </w:rPr>
      </w:pPr>
    </w:p>
    <w:p>
      <w:pPr>
        <w:jc w:val="both"/>
        <w:ind w:firstLine="757"/>
        <w:spacing w:after="0" w:line="238" w:lineRule="auto"/>
        <w:tabs>
          <w:tab w:leader="none" w:pos="1208"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egal and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quitable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22"/>
          <w:szCs w:val="22"/>
          <w:color w:val="auto"/>
        </w:rPr>
        <w:t>. Consultant hereby acknowledges and agrees that if Consultant breaches this</w:t>
      </w:r>
      <w:r>
        <w:rPr>
          <w:rFonts w:ascii="Arial" w:cs="Arial" w:eastAsia="Arial" w:hAnsi="Arial"/>
          <w:sz w:val="22"/>
          <w:szCs w:val="22"/>
          <w:b w:val="1"/>
          <w:bCs w:val="1"/>
          <w:color w:val="auto"/>
        </w:rPr>
        <w:t xml:space="preserve"> </w:t>
      </w:r>
      <w:r>
        <w:rPr>
          <w:rFonts w:ascii="Arial" w:cs="Arial" w:eastAsia="Arial" w:hAnsi="Arial"/>
          <w:sz w:val="22"/>
          <w:szCs w:val="22"/>
          <w:color w:val="auto"/>
        </w:rPr>
        <w:t>MCA, including, without limitation, by the actual or threatened disclosure of Information or Consulting Inventions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MCA, as well as such further relief as may be granted by a court of competent jurisdiction.</w:t>
      </w:r>
    </w:p>
    <w:p>
      <w:pPr>
        <w:spacing w:after="0" w:line="182" w:lineRule="exact"/>
        <w:rPr>
          <w:rFonts w:ascii="Arial" w:cs="Arial" w:eastAsia="Arial" w:hAnsi="Arial"/>
          <w:sz w:val="22"/>
          <w:szCs w:val="22"/>
          <w:b w:val="1"/>
          <w:bCs w:val="1"/>
          <w:color w:val="auto"/>
        </w:rPr>
      </w:pPr>
    </w:p>
    <w:p>
      <w:pPr>
        <w:jc w:val="both"/>
        <w:ind w:firstLine="757"/>
        <w:spacing w:after="0" w:line="243" w:lineRule="auto"/>
        <w:tabs>
          <w:tab w:leader="none" w:pos="1221"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otices</w:t>
      </w:r>
      <w:r>
        <w:rPr>
          <w:rFonts w:ascii="Arial" w:cs="Arial" w:eastAsia="Arial" w:hAnsi="Arial"/>
          <w:sz w:val="22"/>
          <w:szCs w:val="22"/>
          <w:color w:val="auto"/>
        </w:rPr>
        <w:t>. Any notices required or permitted hereunder shall be given to the appropriate party at the address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below or at such other address as the party shall specify in writing. Such notice shall be deemed given upon personal delivery to the appropriate address or sent by certified or registered mail, three days after the date of mailing. Either party may update its notice address by written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9"/>
          <w:szCs w:val="19"/>
          <w:color w:val="auto"/>
        </w:rPr>
        <w:t>If to the Consultant:</w:t>
      </w:r>
    </w:p>
    <w:p>
      <w:pPr>
        <w:spacing w:after="0" w:line="57" w:lineRule="exact"/>
        <w:rPr>
          <w:sz w:val="20"/>
          <w:szCs w:val="20"/>
          <w:color w:val="auto"/>
        </w:rPr>
      </w:pPr>
    </w:p>
    <w:p>
      <w:pPr>
        <w:sectPr>
          <w:pgSz w:w="11900" w:h="16838" w:orient="portrait"/>
          <w:cols w:equalWidth="0" w:num="2">
            <w:col w:w="4900" w:space="720"/>
            <w:col w:w="5520"/>
          </w:cols>
          <w:pgMar w:left="420" w:top="118" w:right="339" w:bottom="1440" w:gutter="0" w:footer="0" w:header="0"/>
        </w:sect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ytom</w:t>
      </w:r>
      <w:r>
        <w:rPr>
          <w:rFonts w:ascii="Arial" w:cs="Arial" w:eastAsia="Arial" w:hAnsi="Arial"/>
          <w:sz w:val="22"/>
          <w:szCs w:val="22"/>
          <w:b w:val="1"/>
          <w:bCs w:val="1"/>
          <w:color w:val="auto"/>
        </w:rPr>
        <w:t>X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ectPr>
          <w:pgSz w:w="11900" w:h="16838" w:orient="portrait"/>
          <w:cols w:equalWidth="0" w:num="1">
            <w:col w:w="11140"/>
          </w:cols>
          <w:pgMar w:left="420" w:top="118" w:right="339" w:bottom="1440" w:gutter="0" w:footer="0" w:header="0"/>
          <w:type w:val="continuous"/>
        </w:sectPr>
      </w:pPr>
    </w:p>
    <w:p>
      <w:pPr>
        <w:spacing w:after="0" w:line="4" w:lineRule="exact"/>
        <w:rPr>
          <w:sz w:val="20"/>
          <w:szCs w:val="20"/>
          <w:color w:val="auto"/>
        </w:rPr>
      </w:pPr>
    </w:p>
    <w:p>
      <w:pPr>
        <w:ind w:right="2020"/>
        <w:spacing w:after="0" w:line="252" w:lineRule="auto"/>
        <w:rPr>
          <w:sz w:val="20"/>
          <w:szCs w:val="20"/>
          <w:color w:val="auto"/>
        </w:rPr>
      </w:pPr>
      <w:r>
        <w:rPr>
          <w:rFonts w:ascii="Arial" w:cs="Arial" w:eastAsia="Arial" w:hAnsi="Arial"/>
          <w:sz w:val="19"/>
          <w:szCs w:val="19"/>
          <w:color w:val="auto"/>
        </w:rPr>
        <w:t>151 Oyster Point Blvd, Suite 400 South San Francisco, CA 94080</w:t>
      </w:r>
    </w:p>
    <w:p>
      <w:pPr>
        <w:spacing w:after="0" w:line="20" w:lineRule="exact"/>
        <w:rPr>
          <w:sz w:val="20"/>
          <w:szCs w:val="20"/>
          <w:color w:val="auto"/>
        </w:rPr>
      </w:pPr>
      <w:r>
        <w:rPr>
          <w:sz w:val="20"/>
          <w:szCs w:val="20"/>
          <w:color w:val="auto"/>
        </w:rPr>
        <w:br w:type="column"/>
      </w:r>
    </w:p>
    <w:p>
      <w:pPr>
        <w:ind w:right="100"/>
        <w:spacing w:after="0" w:line="217" w:lineRule="auto"/>
        <w:rPr>
          <w:sz w:val="20"/>
          <w:szCs w:val="20"/>
          <w:color w:val="auto"/>
        </w:rPr>
      </w:pPr>
      <w:r>
        <w:rPr>
          <w:rFonts w:ascii="Arial" w:cs="Arial" w:eastAsia="Arial" w:hAnsi="Arial"/>
          <w:sz w:val="22"/>
          <w:szCs w:val="22"/>
          <w:color w:val="auto"/>
        </w:rPr>
        <w:t>At the address listed above or email or phone in the Company records</w:t>
      </w:r>
    </w:p>
    <w:p>
      <w:pPr>
        <w:spacing w:after="0" w:line="2" w:lineRule="exact"/>
        <w:rPr>
          <w:sz w:val="20"/>
          <w:szCs w:val="20"/>
          <w:color w:val="auto"/>
        </w:rPr>
      </w:pPr>
    </w:p>
    <w:p>
      <w:pPr>
        <w:sectPr>
          <w:pgSz w:w="11900" w:h="16838" w:orient="portrait"/>
          <w:cols w:equalWidth="0" w:num="2">
            <w:col w:w="4900" w:space="720"/>
            <w:col w:w="5520"/>
          </w:cols>
          <w:pgMar w:left="420" w:top="118" w:right="339" w:bottom="1440" w:gutter="0" w:footer="0" w:header="0"/>
          <w:type w:val="continuous"/>
        </w:sectPr>
      </w:pPr>
    </w:p>
    <w:p>
      <w:pPr>
        <w:spacing w:after="0" w:line="237" w:lineRule="auto"/>
        <w:rPr>
          <w:sz w:val="20"/>
          <w:szCs w:val="20"/>
          <w:color w:val="auto"/>
        </w:rPr>
      </w:pPr>
      <w:r>
        <w:rPr>
          <w:rFonts w:ascii="Arial" w:cs="Arial" w:eastAsia="Arial" w:hAnsi="Arial"/>
          <w:sz w:val="19"/>
          <w:szCs w:val="19"/>
          <w:color w:val="auto"/>
        </w:rPr>
        <w:t>fnomani@cytomx.com</w:t>
      </w:r>
    </w:p>
    <w:p>
      <w:pPr>
        <w:sectPr>
          <w:pgSz w:w="11900" w:h="16838" w:orient="portrait"/>
          <w:cols w:equalWidth="0" w:num="1">
            <w:col w:w="11140"/>
          </w:cols>
          <w:pgMar w:left="420" w:top="118" w:right="3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both"/>
        <w:ind w:left="-100" w:firstLine="757"/>
        <w:spacing w:after="0" w:line="243" w:lineRule="auto"/>
        <w:tabs>
          <w:tab w:leader="none" w:pos="1081"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Third Party Indemnity. </w:t>
      </w:r>
      <w:r>
        <w:rPr>
          <w:rFonts w:ascii="Arial" w:cs="Arial" w:eastAsia="Arial" w:hAnsi="Arial"/>
          <w:sz w:val="22"/>
          <w:szCs w:val="22"/>
          <w:color w:val="auto"/>
        </w:rPr>
        <w:t>To the extent Consultant is requested to and does provide services to Company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MCA, Company shall indemnify, defend and hold harmless Consultant against any and all losses, costs, expenses and damages, including but not limited to reasonable attorneys’ fees, resulting from Consultant’s services under this MCA, except to the extent that any such claim is caused by Consultant’s gross negligence, malpractice, reckless or intentional misconduct, or breach of this Agreement.</w:t>
      </w:r>
    </w:p>
    <w:p>
      <w:pPr>
        <w:spacing w:after="0" w:line="177" w:lineRule="exact"/>
        <w:rPr>
          <w:rFonts w:ascii="Arial" w:cs="Arial" w:eastAsia="Arial" w:hAnsi="Arial"/>
          <w:sz w:val="22"/>
          <w:szCs w:val="22"/>
          <w:b w:val="1"/>
          <w:bCs w:val="1"/>
          <w:color w:val="auto"/>
        </w:rPr>
      </w:pPr>
    </w:p>
    <w:p>
      <w:pPr>
        <w:jc w:val="both"/>
        <w:ind w:left="-100" w:firstLine="757"/>
        <w:spacing w:after="0" w:line="239" w:lineRule="auto"/>
        <w:tabs>
          <w:tab w:leader="none" w:pos="1081"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overning</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22"/>
          <w:szCs w:val="22"/>
          <w:b w:val="1"/>
          <w:bCs w:val="1"/>
          <w:color w:val="auto"/>
        </w:rPr>
        <w:t>; S</w:t>
      </w:r>
      <w:r>
        <w:rPr>
          <w:rFonts w:ascii="Arial" w:cs="Arial" w:eastAsia="Arial" w:hAnsi="Arial"/>
          <w:sz w:val="14"/>
          <w:szCs w:val="14"/>
          <w:b w:val="1"/>
          <w:bCs w:val="1"/>
          <w:color w:val="auto"/>
        </w:rPr>
        <w:t>everability</w:t>
      </w:r>
      <w:r>
        <w:rPr>
          <w:rFonts w:ascii="Arial" w:cs="Arial" w:eastAsia="Arial" w:hAnsi="Arial"/>
          <w:sz w:val="22"/>
          <w:szCs w:val="22"/>
          <w:color w:val="auto"/>
        </w:rPr>
        <w:t>. This MCA shall be governed by and construed according to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California, without giving effect to its conflict of laws rules. If any provision of this MCA is found by a court of competent jurisdiction to be unenforceable, that provision shall be severed and the remainder of this MCA shall continue in full force and effect. Any disputes arising under this MCA shall be resolved by trial to a judge as the finder of fact seated in a court of competent subject matter jurisdiction in California. Each party hereby consents to, and waives any defenses that party may have to or conflicting with, the personal jurisdiction and venue of all such courts or relating to trial to a judge (including without limitation the defense of </w:t>
      </w:r>
      <w:r>
        <w:rPr>
          <w:rFonts w:ascii="Arial" w:cs="Arial" w:eastAsia="Arial" w:hAnsi="Arial"/>
          <w:sz w:val="22"/>
          <w:szCs w:val="22"/>
          <w:i w:val="1"/>
          <w:iCs w:val="1"/>
          <w:color w:val="auto"/>
        </w:rPr>
        <w:t>forum non conveniens</w:t>
      </w:r>
      <w:r>
        <w:rPr>
          <w:rFonts w:ascii="Arial" w:cs="Arial" w:eastAsia="Arial" w:hAnsi="Arial"/>
          <w:sz w:val="22"/>
          <w:szCs w:val="22"/>
          <w:color w:val="auto"/>
        </w:rPr>
        <w:t>).</w:t>
      </w:r>
    </w:p>
    <w:p>
      <w:pPr>
        <w:spacing w:after="0" w:line="180" w:lineRule="exact"/>
        <w:rPr>
          <w:rFonts w:ascii="Arial" w:cs="Arial" w:eastAsia="Arial" w:hAnsi="Arial"/>
          <w:sz w:val="22"/>
          <w:szCs w:val="22"/>
          <w:b w:val="1"/>
          <w:bCs w:val="1"/>
          <w:color w:val="auto"/>
        </w:rPr>
      </w:pPr>
    </w:p>
    <w:p>
      <w:pPr>
        <w:jc w:val="both"/>
        <w:ind w:left="-100" w:firstLine="757"/>
        <w:spacing w:after="0" w:line="270" w:lineRule="auto"/>
        <w:tabs>
          <w:tab w:leader="none" w:pos="1081" w:val="left"/>
        </w:tabs>
        <w:numPr>
          <w:ilvl w:val="1"/>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omplete</w:t>
      </w:r>
      <w:r>
        <w:rPr>
          <w:rFonts w:ascii="Arial" w:cs="Arial" w:eastAsia="Arial" w:hAnsi="Arial"/>
          <w:sz w:val="20"/>
          <w:szCs w:val="20"/>
          <w:b w:val="1"/>
          <w:bCs w:val="1"/>
          <w:color w:val="auto"/>
        </w:rPr>
        <w:t xml:space="preserve"> U</w:t>
      </w:r>
      <w:r>
        <w:rPr>
          <w:rFonts w:ascii="Arial" w:cs="Arial" w:eastAsia="Arial" w:hAnsi="Arial"/>
          <w:sz w:val="13"/>
          <w:szCs w:val="13"/>
          <w:b w:val="1"/>
          <w:bCs w:val="1"/>
          <w:color w:val="auto"/>
        </w:rPr>
        <w:t>nderstanding</w:t>
      </w:r>
      <w:r>
        <w:rPr>
          <w:rFonts w:ascii="Arial" w:cs="Arial" w:eastAsia="Arial" w:hAnsi="Arial"/>
          <w:sz w:val="20"/>
          <w:szCs w:val="20"/>
          <w:b w:val="1"/>
          <w:bCs w:val="1"/>
          <w:color w:val="auto"/>
        </w:rPr>
        <w:t>; M</w:t>
      </w:r>
      <w:r>
        <w:rPr>
          <w:rFonts w:ascii="Arial" w:cs="Arial" w:eastAsia="Arial" w:hAnsi="Arial"/>
          <w:sz w:val="13"/>
          <w:szCs w:val="13"/>
          <w:b w:val="1"/>
          <w:bCs w:val="1"/>
          <w:color w:val="auto"/>
        </w:rPr>
        <w:t>odification</w:t>
      </w:r>
      <w:r>
        <w:rPr>
          <w:rFonts w:ascii="Arial" w:cs="Arial" w:eastAsia="Arial" w:hAnsi="Arial"/>
          <w:sz w:val="20"/>
          <w:szCs w:val="20"/>
          <w:color w:val="auto"/>
        </w:rPr>
        <w:t>. This MCA constitutes the final, exclusive, and complete understanding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and agreement of the Company and Consultant with respect to the subject matter hereof. There are no other understandings, agreements, representations, or warranties between the parties with respect to that subject matter other than those set forth in this MCA. Any waiver, modification, or amendment of any provision of this MCA shall be effective only if in writing and signed by the Chief Executive Officer or the Senior Vice President and General Counsel.</w:t>
      </w:r>
    </w:p>
    <w:p>
      <w:pPr>
        <w:spacing w:after="0" w:line="366" w:lineRule="exact"/>
        <w:rPr>
          <w:rFonts w:ascii="Arial" w:cs="Arial" w:eastAsia="Arial" w:hAnsi="Arial"/>
          <w:sz w:val="20"/>
          <w:szCs w:val="20"/>
          <w:b w:val="1"/>
          <w:bCs w:val="1"/>
          <w:color w:val="auto"/>
        </w:rPr>
      </w:pPr>
    </w:p>
    <w:p>
      <w:pPr>
        <w:jc w:val="both"/>
        <w:ind w:left="-100" w:firstLine="467"/>
        <w:spacing w:after="0" w:line="270" w:lineRule="auto"/>
        <w:tabs>
          <w:tab w:leader="none" w:pos="818"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onflict</w:t>
      </w:r>
      <w:r>
        <w:rPr>
          <w:rFonts w:ascii="Arial" w:cs="Arial" w:eastAsia="Arial" w:hAnsi="Arial"/>
          <w:sz w:val="20"/>
          <w:szCs w:val="20"/>
          <w:color w:val="auto"/>
        </w:rPr>
        <w:t>. In order to avoid the potential for conflicts of interest, Consultant hereby agrees that, prior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any Services pursuant hereto, Consultant shall inform their current or future employer, if any, that Consultant is rendering services to Company in exchange for compensation. Consultant also hereby agrees to notify Company immediately in writing of any objection Consultant’s employer may have to this MCA and/or the Services contemplated herein. Company reserves the right to terminate this agreement in the event of any potential or actual conflicts of interest.</w:t>
      </w:r>
    </w:p>
    <w:p>
      <w:pPr>
        <w:spacing w:after="0" w:line="164" w:lineRule="exact"/>
        <w:rPr>
          <w:rFonts w:ascii="Arial" w:cs="Arial" w:eastAsia="Arial" w:hAnsi="Arial"/>
          <w:sz w:val="20"/>
          <w:szCs w:val="20"/>
          <w:b w:val="1"/>
          <w:bCs w:val="1"/>
          <w:color w:val="auto"/>
        </w:rPr>
      </w:pPr>
    </w:p>
    <w:p>
      <w:pPr>
        <w:jc w:val="both"/>
        <w:ind w:left="-100" w:right="20" w:firstLine="757"/>
        <w:spacing w:after="0" w:line="249" w:lineRule="auto"/>
        <w:tabs>
          <w:tab w:leader="none" w:pos="1081" w:val="left"/>
        </w:tabs>
        <w:numPr>
          <w:ilvl w:val="1"/>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NON-EXCLUSIVITY</w:t>
      </w:r>
      <w:r>
        <w:rPr>
          <w:rFonts w:ascii="Arial" w:cs="Arial" w:eastAsia="Arial" w:hAnsi="Arial"/>
          <w:sz w:val="22"/>
          <w:szCs w:val="22"/>
          <w:color w:val="auto"/>
        </w:rPr>
        <w:t>. During the term of this MCA, Consultant is free to provide professional services to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provided that the terms of those other arrangements do not prevent or impair Consultant’s ability to comply with Consultant’s obligations to Client under this MCA.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173355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18"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color w:val="auto"/>
        </w:rPr>
        <w:t>, the parties hereto have executed this MCA as of the Effective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480" w:type="dxa"/>
            <w:vAlign w:val="bottom"/>
          </w:tcPr>
          <w:p>
            <w:pPr>
              <w:ind w:left="1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ytom</w:t>
            </w:r>
            <w:r>
              <w:rPr>
                <w:rFonts w:ascii="Arial" w:cs="Arial" w:eastAsia="Arial" w:hAnsi="Arial"/>
                <w:sz w:val="22"/>
                <w:szCs w:val="22"/>
                <w:b w:val="1"/>
                <w:bCs w:val="1"/>
                <w:color w:val="auto"/>
              </w:rPr>
              <w:t>X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c>
          <w:tcPr>
            <w:tcW w:w="6760" w:type="dxa"/>
            <w:vAlign w:val="bottom"/>
          </w:tcPr>
          <w:p>
            <w:pPr>
              <w:ind w:left="18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onsultant</w:t>
            </w:r>
          </w:p>
        </w:tc>
      </w:tr>
      <w:tr>
        <w:trPr>
          <w:trHeight w:val="642"/>
        </w:trPr>
        <w:tc>
          <w:tcPr>
            <w:tcW w:w="4480" w:type="dxa"/>
            <w:vAlign w:val="bottom"/>
          </w:tcPr>
          <w:p>
            <w:pPr>
              <w:ind w:left="100"/>
              <w:spacing w:after="0"/>
              <w:rPr>
                <w:sz w:val="20"/>
                <w:szCs w:val="20"/>
                <w:color w:val="auto"/>
              </w:rPr>
            </w:pPr>
            <w:r>
              <w:rPr>
                <w:rFonts w:ascii="Arial" w:cs="Arial" w:eastAsia="Arial" w:hAnsi="Arial"/>
                <w:sz w:val="20"/>
                <w:szCs w:val="20"/>
                <w:color w:val="auto"/>
              </w:rPr>
              <w:t>Signature: /s/Lloyd Rowland</w:t>
            </w:r>
          </w:p>
        </w:tc>
        <w:tc>
          <w:tcPr>
            <w:tcW w:w="6760" w:type="dxa"/>
            <w:vAlign w:val="bottom"/>
          </w:tcPr>
          <w:p>
            <w:pPr>
              <w:ind w:left="1880"/>
              <w:spacing w:after="0"/>
              <w:rPr>
                <w:sz w:val="20"/>
                <w:szCs w:val="20"/>
                <w:color w:val="auto"/>
              </w:rPr>
            </w:pPr>
            <w:r>
              <w:rPr>
                <w:rFonts w:ascii="Arial" w:cs="Arial" w:eastAsia="Arial" w:hAnsi="Arial"/>
                <w:sz w:val="20"/>
                <w:szCs w:val="20"/>
                <w:color w:val="auto"/>
              </w:rPr>
              <w:t>Signature: /s/Amy Peterson</w:t>
            </w:r>
          </w:p>
        </w:tc>
      </w:tr>
      <w:tr>
        <w:trPr>
          <w:trHeight w:val="459"/>
        </w:trPr>
        <w:tc>
          <w:tcPr>
            <w:tcW w:w="4480" w:type="dxa"/>
            <w:vAlign w:val="bottom"/>
          </w:tcPr>
          <w:p>
            <w:pPr>
              <w:ind w:left="100"/>
              <w:spacing w:after="0"/>
              <w:rPr>
                <w:sz w:val="20"/>
                <w:szCs w:val="20"/>
                <w:color w:val="auto"/>
              </w:rPr>
            </w:pPr>
            <w:r>
              <w:rPr>
                <w:rFonts w:ascii="Arial" w:cs="Arial" w:eastAsia="Arial" w:hAnsi="Arial"/>
                <w:sz w:val="20"/>
                <w:szCs w:val="20"/>
                <w:color w:val="auto"/>
              </w:rPr>
              <w:t>Name: Lloyd Rowland</w:t>
            </w:r>
          </w:p>
        </w:tc>
        <w:tc>
          <w:tcPr>
            <w:tcW w:w="6760" w:type="dxa"/>
            <w:vAlign w:val="bottom"/>
          </w:tcPr>
          <w:p>
            <w:pPr>
              <w:ind w:left="1880"/>
              <w:spacing w:after="0"/>
              <w:rPr>
                <w:sz w:val="20"/>
                <w:szCs w:val="20"/>
                <w:color w:val="auto"/>
              </w:rPr>
            </w:pPr>
            <w:r>
              <w:rPr>
                <w:rFonts w:ascii="Arial" w:cs="Arial" w:eastAsia="Arial" w:hAnsi="Arial"/>
                <w:sz w:val="20"/>
                <w:szCs w:val="20"/>
                <w:color w:val="auto"/>
              </w:rPr>
              <w:t>Name: Amy Peterson</w:t>
            </w:r>
          </w:p>
        </w:tc>
      </w:tr>
      <w:tr>
        <w:trPr>
          <w:trHeight w:val="446"/>
        </w:trPr>
        <w:tc>
          <w:tcPr>
            <w:tcW w:w="4480" w:type="dxa"/>
            <w:vAlign w:val="bottom"/>
          </w:tcPr>
          <w:p>
            <w:pPr>
              <w:ind w:left="100"/>
              <w:spacing w:after="0"/>
              <w:rPr>
                <w:sz w:val="20"/>
                <w:szCs w:val="20"/>
                <w:color w:val="auto"/>
              </w:rPr>
            </w:pPr>
            <w:r>
              <w:rPr>
                <w:rFonts w:ascii="Arial" w:cs="Arial" w:eastAsia="Arial" w:hAnsi="Arial"/>
                <w:sz w:val="20"/>
                <w:szCs w:val="20"/>
                <w:color w:val="auto"/>
              </w:rPr>
              <w:t>Title: Sr. Vice President</w:t>
            </w:r>
          </w:p>
        </w:tc>
        <w:tc>
          <w:tcPr>
            <w:tcW w:w="6760" w:type="dxa"/>
            <w:vAlign w:val="bottom"/>
          </w:tcPr>
          <w:p>
            <w:pPr>
              <w:ind w:left="1880"/>
              <w:spacing w:after="0"/>
              <w:rPr>
                <w:sz w:val="20"/>
                <w:szCs w:val="20"/>
                <w:color w:val="auto"/>
              </w:rPr>
            </w:pPr>
            <w:r>
              <w:rPr>
                <w:rFonts w:ascii="Arial" w:cs="Arial" w:eastAsia="Arial" w:hAnsi="Arial"/>
                <w:sz w:val="20"/>
                <w:szCs w:val="20"/>
                <w:color w:val="auto"/>
              </w:rPr>
              <w:t>Title: Consultant</w:t>
            </w:r>
          </w:p>
        </w:tc>
      </w:tr>
      <w:tr>
        <w:trPr>
          <w:trHeight w:val="432"/>
        </w:trPr>
        <w:tc>
          <w:tcPr>
            <w:tcW w:w="4480" w:type="dxa"/>
            <w:vAlign w:val="bottom"/>
          </w:tcPr>
          <w:p>
            <w:pPr>
              <w:ind w:left="100"/>
              <w:spacing w:after="0"/>
              <w:rPr>
                <w:sz w:val="20"/>
                <w:szCs w:val="20"/>
                <w:color w:val="auto"/>
              </w:rPr>
            </w:pPr>
            <w:r>
              <w:rPr>
                <w:rFonts w:ascii="Arial" w:cs="Arial" w:eastAsia="Arial" w:hAnsi="Arial"/>
                <w:sz w:val="20"/>
                <w:szCs w:val="20"/>
                <w:color w:val="auto"/>
              </w:rPr>
              <w:t>Date: 9/7/2022</w:t>
            </w:r>
          </w:p>
        </w:tc>
        <w:tc>
          <w:tcPr>
            <w:tcW w:w="6760" w:type="dxa"/>
            <w:vAlign w:val="bottom"/>
          </w:tcPr>
          <w:p>
            <w:pPr>
              <w:ind w:left="1880"/>
              <w:spacing w:after="0"/>
              <w:rPr>
                <w:sz w:val="20"/>
                <w:szCs w:val="20"/>
                <w:color w:val="auto"/>
              </w:rPr>
            </w:pPr>
            <w:r>
              <w:rPr>
                <w:rFonts w:ascii="Arial" w:cs="Arial" w:eastAsia="Arial" w:hAnsi="Arial"/>
                <w:sz w:val="20"/>
                <w:szCs w:val="20"/>
                <w:color w:val="auto"/>
              </w:rPr>
              <w:t>Date: 9/7/2022</w:t>
            </w:r>
          </w:p>
        </w:tc>
      </w:tr>
      <w:tr>
        <w:trPr>
          <w:trHeight w:val="745"/>
        </w:trPr>
        <w:tc>
          <w:tcPr>
            <w:tcW w:w="44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STATEMENT OF WORK (SOW)</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This SOW is governed by the Master Consulting Agreement (“MCA”) between CytomX Therapeutics, Inc. (“Company”), and </w:t>
      </w:r>
      <w:r>
        <w:rPr>
          <w:rFonts w:ascii="Arial" w:cs="Arial" w:eastAsia="Arial" w:hAnsi="Arial"/>
          <w:sz w:val="22"/>
          <w:szCs w:val="22"/>
          <w:b w:val="1"/>
          <w:bCs w:val="1"/>
          <w:u w:val="single" w:color="auto"/>
          <w:color w:val="auto"/>
        </w:rPr>
        <w:t>Dr. Amy Peterson</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effective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September 13, 2022</w:t>
      </w:r>
      <w:r>
        <w:rPr>
          <w:rFonts w:ascii="Arial" w:cs="Arial" w:eastAsia="Arial" w:hAnsi="Arial"/>
          <w:sz w:val="22"/>
          <w:szCs w:val="22"/>
          <w:b w:val="1"/>
          <w:bCs w:val="1"/>
          <w:color w:val="auto"/>
        </w:rPr>
        <w:t xml:space="preserve"> </w:t>
      </w:r>
      <w:r>
        <w:rPr>
          <w:rFonts w:ascii="Arial" w:cs="Arial" w:eastAsia="Arial" w:hAnsi="Arial"/>
          <w:sz w:val="22"/>
          <w:szCs w:val="22"/>
          <w:color w:val="auto"/>
        </w:rPr>
        <w:t>. If any terms herein conflict with the terms within the MCA,</w:t>
      </w:r>
      <w:r>
        <w:rPr>
          <w:rFonts w:ascii="Arial" w:cs="Arial" w:eastAsia="Arial" w:hAnsi="Arial"/>
          <w:sz w:val="22"/>
          <w:szCs w:val="22"/>
          <w:b w:val="1"/>
          <w:bCs w:val="1"/>
          <w:color w:val="auto"/>
        </w:rPr>
        <w:t xml:space="preserve"> </w:t>
      </w:r>
      <w:r>
        <w:rPr>
          <w:rFonts w:ascii="Arial" w:cs="Arial" w:eastAsia="Arial" w:hAnsi="Arial"/>
          <w:sz w:val="22"/>
          <w:szCs w:val="22"/>
          <w:color w:val="auto"/>
        </w:rPr>
        <w:t>the MCA shall prevail.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Services: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Biotechnology consulting services, including clinical development services and other consulting advice pertaining to Consultant’s previous role at the Company as specifically requested by the Chief Executive Officer from time to time.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w:t>
      </w:r>
      <w:r>
        <w:rPr>
          <w:rFonts w:ascii="Arial" w:cs="Arial" w:eastAsia="Arial" w:hAnsi="Arial"/>
          <w:sz w:val="21"/>
          <w:szCs w:val="21"/>
          <w:b w:val="1"/>
          <w:bCs w:val="1"/>
          <w:color w:val="auto"/>
        </w:rPr>
        <w:t>:</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$500.00 per hour actually spent performing the Services, payable in arrears pursuant to monthly invoices (provided by Consultant) for the Services, on an as-needed basis. If Consultant will devote greater than an average of 10 hours per week (on average in any month) to the Services in any given month, then the Company’s advance notice and written consent to the additional hours is required.</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additional expenses incurred by Consultant that are charged to Company require Company’s advance notice and written consent.</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Consultant will invoice Company for such amounts no sooner than completion of the applicable task or event, and such invoices shall be payable within thirty (30) days after receipt by Company at </w:t>
      </w:r>
      <w:r>
        <w:rPr>
          <w:rFonts w:ascii="Arial" w:cs="Arial" w:eastAsia="Arial" w:hAnsi="Arial"/>
          <w:sz w:val="22"/>
          <w:szCs w:val="22"/>
          <w:color w:val="0563C1"/>
        </w:rPr>
        <w:t>ap@cytomx.com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3069590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jc w:val="center"/>
        <w:ind w:right="-1100"/>
        <w:spacing w:after="0"/>
        <w:rPr>
          <w:sz w:val="20"/>
          <w:szCs w:val="20"/>
          <w:color w:val="auto"/>
        </w:rPr>
      </w:pPr>
      <w:r>
        <w:rPr>
          <w:rFonts w:ascii="Arial" w:cs="Arial" w:eastAsia="Arial" w:hAnsi="Arial"/>
          <w:sz w:val="22"/>
          <w:szCs w:val="22"/>
          <w:b w:val="1"/>
          <w:bCs w:val="1"/>
          <w:color w:val="auto"/>
        </w:rPr>
        <w:t>EXHIBIT B</w:t>
      </w:r>
    </w:p>
    <w:p>
      <w:pPr>
        <w:spacing w:after="0" w:line="19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BACKGROUND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Consultant to list any Background Technology in accordance with Section 7.3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6140" w:val="left"/>
        </w:tabs>
        <w:rPr>
          <w:sz w:val="20"/>
          <w:szCs w:val="20"/>
          <w:color w:val="auto"/>
        </w:rPr>
      </w:pPr>
      <w:r>
        <w:rPr>
          <w:rFonts w:ascii="Arial" w:cs="Arial" w:eastAsia="Arial" w:hAnsi="Arial"/>
          <w:sz w:val="22"/>
          <w:szCs w:val="22"/>
          <w:b w:val="1"/>
          <w:bCs w:val="1"/>
          <w:color w:val="auto"/>
        </w:rPr>
        <w:t>OR initial here to confirm NO Background Technology:</w:t>
      </w:r>
      <w:r>
        <w:rPr>
          <w:sz w:val="20"/>
          <w:szCs w:val="20"/>
          <w:color w:val="auto"/>
        </w:rPr>
        <w:tab/>
      </w:r>
      <w:r>
        <w:rPr>
          <w:rFonts w:ascii="Arial" w:cs="Arial" w:eastAsia="Arial" w:hAnsi="Arial"/>
          <w:sz w:val="19"/>
          <w:szCs w:val="19"/>
          <w:b w:val="1"/>
          <w:bCs w:val="1"/>
          <w:color w:val="auto"/>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429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6" w:lineRule="exact"/>
        <w:rPr>
          <w:sz w:val="20"/>
          <w:szCs w:val="20"/>
          <w:color w:val="auto"/>
        </w:rPr>
      </w:pPr>
    </w:p>
    <w:p>
      <w:pPr>
        <w:jc w:val="right"/>
        <w:ind w:right="1959"/>
        <w:spacing w:after="0"/>
        <w:rPr>
          <w:sz w:val="20"/>
          <w:szCs w:val="20"/>
          <w:color w:val="auto"/>
        </w:rPr>
      </w:pPr>
      <w:r>
        <w:rPr>
          <w:rFonts w:ascii="Arial" w:cs="Arial" w:eastAsia="Arial" w:hAnsi="Arial"/>
          <w:sz w:val="22"/>
          <w:szCs w:val="22"/>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-13970</wp:posOffset>
            </wp:positionV>
            <wp:extent cx="3429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0139"/>
          </w:cols>
          <w:pgMar w:left="320" w:top="1152"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b w:val="1"/>
          <w:bCs w:val="1"/>
          <w:color w:val="auto"/>
        </w:rPr>
        <w:t>Exhibit 10.3</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September 30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Carlos Campoy</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Employment Separation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b w:val="1"/>
          <w:bCs w:val="1"/>
          <w:color w:val="auto"/>
        </w:rPr>
        <w:t>Carlos:</w:t>
      </w:r>
    </w:p>
    <w:p>
      <w:pPr>
        <w:spacing w:after="0" w:line="240"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auto"/>
        </w:rPr>
        <w:t>This letter (the "</w:t>
      </w:r>
      <w:r>
        <w:rPr>
          <w:rFonts w:ascii="Arial" w:cs="Arial" w:eastAsia="Arial" w:hAnsi="Arial"/>
          <w:sz w:val="20"/>
          <w:szCs w:val="20"/>
          <w:u w:val="single" w:color="auto"/>
          <w:color w:val="auto"/>
        </w:rPr>
        <w:t>Agreement</w:t>
      </w:r>
      <w:r>
        <w:rPr>
          <w:rFonts w:ascii="Arial" w:cs="Arial" w:eastAsia="Arial" w:hAnsi="Arial"/>
          <w:sz w:val="20"/>
          <w:szCs w:val="20"/>
          <w:color w:val="auto"/>
        </w:rPr>
        <w:t>") confirms the terms of the offer made to you by CytomX Therapeutics,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regarding the separation of your employment, effective as of </w:t>
      </w:r>
      <w:r>
        <w:rPr>
          <w:rFonts w:ascii="Arial" w:cs="Arial" w:eastAsia="Arial" w:hAnsi="Arial"/>
          <w:sz w:val="20"/>
          <w:szCs w:val="20"/>
          <w:b w:val="1"/>
          <w:bCs w:val="1"/>
          <w:color w:val="auto"/>
        </w:rPr>
        <w:t>September 30, 2022</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Separation Date</w:t>
      </w:r>
      <w:r>
        <w:rPr>
          <w:rFonts w:ascii="Arial" w:cs="Arial" w:eastAsia="Arial" w:hAnsi="Arial"/>
          <w:sz w:val="20"/>
          <w:szCs w:val="20"/>
          <w:color w:val="auto"/>
        </w:rPr>
        <w:t xml:space="preserve">”) as a result of a reduction in force. If you sign and return this letter to me on or before </w:t>
      </w:r>
      <w:r>
        <w:rPr>
          <w:rFonts w:ascii="Arial" w:cs="Arial" w:eastAsia="Arial" w:hAnsi="Arial"/>
          <w:sz w:val="20"/>
          <w:szCs w:val="20"/>
          <w:b w:val="1"/>
          <w:bCs w:val="1"/>
          <w:color w:val="auto"/>
        </w:rPr>
        <w:t>November 14, 2022</w:t>
      </w:r>
      <w:r>
        <w:rPr>
          <w:rFonts w:ascii="Arial" w:cs="Arial" w:eastAsia="Arial" w:hAnsi="Arial"/>
          <w:sz w:val="20"/>
          <w:szCs w:val="20"/>
          <w:color w:val="auto"/>
        </w:rPr>
        <w:t xml:space="preserve"> it shall become a binding agreement between you and the Company, and you will receive the separation benefits described herein. If you do not timely sign and return it, or if you revoke it in accordance with the terms of Section 7(d), below, you will receive no payments or benefits from the Company after the Separation Date, including but not limited to Company-paid COBRA premium coverage.</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9"/>
          <w:szCs w:val="19"/>
          <w:color w:val="auto"/>
        </w:rPr>
        <w:t xml:space="preserve">Your employment with the Company was terminated effective as of the Separation Date. The Company wishes to provide certain severance benefits to you, pursuant to the terms of the Amended and Restated Severance and Change of Control Agreement between you and the Company dated </w:t>
      </w:r>
      <w:r>
        <w:rPr>
          <w:rFonts w:ascii="Arial" w:cs="Arial" w:eastAsia="Arial" w:hAnsi="Arial"/>
          <w:sz w:val="19"/>
          <w:szCs w:val="19"/>
          <w:b w:val="1"/>
          <w:bCs w:val="1"/>
          <w:color w:val="auto"/>
        </w:rPr>
        <w:t>March 23, 2020</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Severance Agreement</w:t>
      </w:r>
      <w:r>
        <w:rPr>
          <w:rFonts w:ascii="Arial" w:cs="Arial" w:eastAsia="Arial" w:hAnsi="Arial"/>
          <w:sz w:val="19"/>
          <w:szCs w:val="19"/>
          <w:color w:val="auto"/>
        </w:rPr>
        <w:t>”), and you wish to receive such severance benefits. Therefore, for the receipt of good and adequate consideration, you and the Company agree as follows.</w:t>
      </w:r>
    </w:p>
    <w:p>
      <w:pPr>
        <w:spacing w:after="0" w:line="199" w:lineRule="exact"/>
        <w:rPr>
          <w:sz w:val="20"/>
          <w:szCs w:val="20"/>
          <w:color w:val="auto"/>
        </w:rPr>
      </w:pPr>
    </w:p>
    <w:p>
      <w:pPr>
        <w:ind w:right="20" w:firstLine="8"/>
        <w:spacing w:after="0" w:line="237" w:lineRule="auto"/>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Return of Company Property.</w:t>
      </w:r>
      <w:r>
        <w:rPr>
          <w:rFonts w:ascii="Arial" w:cs="Arial" w:eastAsia="Arial" w:hAnsi="Arial"/>
          <w:sz w:val="20"/>
          <w:szCs w:val="20"/>
          <w:color w:val="auto"/>
        </w:rPr>
        <w:t xml:space="preserve"> You have returned all property of the Company including, without limitation, confidential information or copies of such information, or other documents or materials, equipment, or other property belonging to the Company, including your laptop computer, provided however, that the Company agrees to return to you or reissue to you a useable laptop computer and/or other electronic devices if the Company requests for you to do work under the Master Consultancy Agreement (separately entered into) effective October 1, 2022 (the “Consulting Agreement”), which you will then be obligated to return to the Company, including, without limitation, confidential information or copies of such information, or other documents or materials, equipment, or other property belonging to the Company at the end of the Consultancy period. Use of and return of Company equipment that is used during the Consultancy period ensures your digital compliance with relevant data and non-disclosure obligations and laws as detailed in the Consulting Agreement.</w:t>
      </w:r>
    </w:p>
    <w:p>
      <w:pPr>
        <w:spacing w:after="0" w:line="210" w:lineRule="exact"/>
        <w:rPr>
          <w:rFonts w:ascii="Arial" w:cs="Arial" w:eastAsia="Arial" w:hAnsi="Arial"/>
          <w:sz w:val="20"/>
          <w:szCs w:val="20"/>
          <w:color w:val="auto"/>
        </w:rPr>
      </w:pPr>
    </w:p>
    <w:p>
      <w:pPr>
        <w:ind w:right="20" w:firstLine="8"/>
        <w:spacing w:after="0" w:line="238" w:lineRule="auto"/>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Accrued Wages and Expenses.</w:t>
      </w:r>
      <w:r>
        <w:rPr>
          <w:rFonts w:ascii="Arial" w:cs="Arial" w:eastAsia="Arial" w:hAnsi="Arial"/>
          <w:sz w:val="20"/>
          <w:szCs w:val="20"/>
          <w:color w:val="auto"/>
        </w:rPr>
        <w:t xml:space="preserve"> You acknowledge receipt, on the Separation Date, of a payment in the amount equal to all earned wages owed to you through the Separation Date, including accrued, unused vacation or paid time off, base pay, commissions, bonuses and incentive compensation. On or before </w:t>
      </w:r>
      <w:r>
        <w:rPr>
          <w:rFonts w:ascii="Arial" w:cs="Arial" w:eastAsia="Arial" w:hAnsi="Arial"/>
          <w:sz w:val="20"/>
          <w:szCs w:val="20"/>
          <w:b w:val="1"/>
          <w:bCs w:val="1"/>
          <w:color w:val="auto"/>
        </w:rPr>
        <w:t>October 7, 2022</w:t>
      </w:r>
      <w:r>
        <w:rPr>
          <w:rFonts w:ascii="Arial" w:cs="Arial" w:eastAsia="Arial" w:hAnsi="Arial"/>
          <w:sz w:val="20"/>
          <w:szCs w:val="20"/>
          <w:color w:val="auto"/>
        </w:rPr>
        <w:t>, you will submit for reimbursement in accordance with the Company’s expense reimbursement policies and practices all unreimbursed business expenses incurred by you, so that the Company may promptly pay you.</w:t>
      </w:r>
    </w:p>
    <w:p>
      <w:pPr>
        <w:spacing w:after="0" w:line="196" w:lineRule="exact"/>
        <w:rPr>
          <w:rFonts w:ascii="Arial" w:cs="Arial" w:eastAsia="Arial" w:hAnsi="Arial"/>
          <w:sz w:val="20"/>
          <w:szCs w:val="20"/>
          <w:color w:val="auto"/>
        </w:rPr>
      </w:pPr>
    </w:p>
    <w:p>
      <w:pPr>
        <w:ind w:left="400" w:hanging="392"/>
        <w:spacing w:after="0"/>
        <w:tabs>
          <w:tab w:leader="none" w:pos="40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Severance Payments.</w:t>
      </w:r>
      <w:r>
        <w:rPr>
          <w:rFonts w:ascii="Arial" w:cs="Arial" w:eastAsia="Arial" w:hAnsi="Arial"/>
          <w:sz w:val="20"/>
          <w:szCs w:val="20"/>
          <w:color w:val="auto"/>
        </w:rPr>
        <w:t xml:space="preserve"> Provided you execute and return this Agreement and allow it to become effective:</w:t>
      </w:r>
    </w:p>
    <w:p>
      <w:pPr>
        <w:spacing w:after="0" w:line="202" w:lineRule="exact"/>
        <w:rPr>
          <w:rFonts w:ascii="Arial" w:cs="Arial" w:eastAsia="Arial" w:hAnsi="Arial"/>
          <w:sz w:val="20"/>
          <w:szCs w:val="20"/>
          <w:color w:val="auto"/>
        </w:rPr>
      </w:pPr>
    </w:p>
    <w:p>
      <w:pPr>
        <w:ind w:left="760" w:right="40" w:hanging="378"/>
        <w:spacing w:after="0" w:line="236" w:lineRule="auto"/>
        <w:tabs>
          <w:tab w:leader="none" w:pos="760" w:val="left"/>
        </w:tabs>
        <w:numPr>
          <w:ilvl w:val="1"/>
          <w:numId w:val="66"/>
        </w:numPr>
        <w:rPr>
          <w:rFonts w:ascii="Arial" w:cs="Arial" w:eastAsia="Arial" w:hAnsi="Arial"/>
          <w:sz w:val="20"/>
          <w:szCs w:val="20"/>
          <w:color w:val="auto"/>
        </w:rPr>
      </w:pPr>
      <w:r>
        <w:rPr>
          <w:rFonts w:ascii="Arial" w:cs="Arial" w:eastAsia="Arial" w:hAnsi="Arial"/>
          <w:sz w:val="20"/>
          <w:szCs w:val="20"/>
          <w:color w:val="auto"/>
        </w:rPr>
        <w:t xml:space="preserve">On the first Company payroll date that follows by at least three (3) business days the Effective Date as defined in Section 7(d), below, the Company will pay to you severance in a lump sum equivalent to </w:t>
      </w:r>
      <w:r>
        <w:rPr>
          <w:rFonts w:ascii="Arial" w:cs="Arial" w:eastAsia="Arial" w:hAnsi="Arial"/>
          <w:sz w:val="20"/>
          <w:szCs w:val="20"/>
          <w:b w:val="1"/>
          <w:bCs w:val="1"/>
          <w:color w:val="auto"/>
        </w:rPr>
        <w:t>twelve (12) months</w:t>
      </w:r>
      <w:r>
        <w:rPr>
          <w:rFonts w:ascii="Arial" w:cs="Arial" w:eastAsia="Arial" w:hAnsi="Arial"/>
          <w:sz w:val="20"/>
          <w:szCs w:val="20"/>
          <w:color w:val="auto"/>
        </w:rPr>
        <w:t xml:space="preserve"> of wages at your base salary rate, plus your annual target bonus at 100%, prorated for the number of days of your employment in 2022, or $642,144.04 less applicable taxes, garnishments and any other withholding required by law or authorized by you.</w:t>
      </w:r>
    </w:p>
    <w:p>
      <w:pPr>
        <w:spacing w:after="0" w:line="3" w:lineRule="exact"/>
        <w:rPr>
          <w:rFonts w:ascii="Arial" w:cs="Arial" w:eastAsia="Arial" w:hAnsi="Arial"/>
          <w:sz w:val="20"/>
          <w:szCs w:val="20"/>
          <w:color w:val="auto"/>
        </w:rPr>
      </w:pPr>
    </w:p>
    <w:p>
      <w:pPr>
        <w:ind w:left="760" w:hanging="378"/>
        <w:spacing w:after="0"/>
        <w:tabs>
          <w:tab w:leader="none" w:pos="76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Company will pay COBRA costs for the period specified pursuant to Section 4 below.</w:t>
      </w:r>
    </w:p>
    <w:p>
      <w:pPr>
        <w:ind w:left="760" w:right="340" w:hanging="378"/>
        <w:spacing w:after="0" w:line="243" w:lineRule="auto"/>
        <w:tabs>
          <w:tab w:leader="none" w:pos="760" w:val="left"/>
        </w:tabs>
        <w:numPr>
          <w:ilvl w:val="1"/>
          <w:numId w:val="66"/>
        </w:numPr>
        <w:rPr>
          <w:rFonts w:ascii="Arial" w:cs="Arial" w:eastAsia="Arial" w:hAnsi="Arial"/>
          <w:sz w:val="20"/>
          <w:szCs w:val="20"/>
          <w:color w:val="auto"/>
        </w:rPr>
      </w:pPr>
      <w:r>
        <w:rPr>
          <w:rFonts w:ascii="Arial" w:cs="Arial" w:eastAsia="Arial" w:hAnsi="Arial"/>
          <w:sz w:val="20"/>
          <w:szCs w:val="20"/>
          <w:color w:val="auto"/>
        </w:rPr>
        <w:t>Notwithstanding the foregoing, in the event that the Company experiences a Change of Control, as defined in the Severance Agreement, within 60 (sixty) days of the Separation Date, you will be entitled to the additional severance, bonus and vesting provided in Section 2 of the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ind w:left="-8" w:right="40" w:firstLine="8"/>
        <w:spacing w:after="0" w:line="238" w:lineRule="auto"/>
        <w:tabs>
          <w:tab w:leader="none" w:pos="39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COBRA.</w:t>
      </w:r>
      <w:r>
        <w:rPr>
          <w:rFonts w:ascii="Arial" w:cs="Arial" w:eastAsia="Arial" w:hAnsi="Arial"/>
          <w:sz w:val="20"/>
          <w:szCs w:val="20"/>
          <w:color w:val="auto"/>
        </w:rPr>
        <w:t xml:space="preserve"> If you or your dependents are currently enrolled in Company-sponsored healthcare benefits, following the Separation Date, you and your enrolled dependents will be given the opportunity to elect continuation of benefits pursuant to the Consolidated Omnibus Budget Reconciliation Act of 1985, as amended, or the applicable state equivalent (together, “</w:t>
      </w:r>
      <w:r>
        <w:rPr>
          <w:rFonts w:ascii="Arial" w:cs="Arial" w:eastAsia="Arial" w:hAnsi="Arial"/>
          <w:sz w:val="20"/>
          <w:szCs w:val="20"/>
          <w:u w:val="single" w:color="auto"/>
          <w:color w:val="auto"/>
        </w:rPr>
        <w:t>COBRA</w:t>
      </w:r>
      <w:r>
        <w:rPr>
          <w:rFonts w:ascii="Arial" w:cs="Arial" w:eastAsia="Arial" w:hAnsi="Arial"/>
          <w:sz w:val="20"/>
          <w:szCs w:val="20"/>
          <w:color w:val="auto"/>
        </w:rPr>
        <w:t xml:space="preserve">”). Contingent upon your timely execution of this Agreement, allowing it to become effective, and enrollment in COBRA, the Company will direct pay for COBRA premiums through the lesser of </w:t>
      </w:r>
      <w:r>
        <w:rPr>
          <w:rFonts w:ascii="Arial" w:cs="Arial" w:eastAsia="Arial" w:hAnsi="Arial"/>
          <w:sz w:val="20"/>
          <w:szCs w:val="20"/>
          <w:b w:val="1"/>
          <w:bCs w:val="1"/>
          <w:color w:val="auto"/>
        </w:rPr>
        <w:t>twelve (12)</w:t>
      </w:r>
      <w:r>
        <w:rPr>
          <w:rFonts w:ascii="Arial" w:cs="Arial" w:eastAsia="Arial" w:hAnsi="Arial"/>
          <w:sz w:val="20"/>
          <w:szCs w:val="20"/>
          <w:color w:val="auto"/>
        </w:rPr>
        <w:t xml:space="preserve"> month(s) or until you become eligible for healthcare coverage under another employer’s plan(s). Except as expressly provided herein, you are responsible for all COBRA premium costs. You acknowledge that you shall be solely responsible for all matters relating to your continuation of coverage pursuant to COBRA, including, without limitation, your election of such coverage and timely payment of premiums (other than premiums agreed to be paid by the Company pursuant to this Section 4).</w:t>
      </w: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jc w:val="both"/>
        <w:ind w:left="-8" w:firstLine="8"/>
        <w:spacing w:after="0" w:line="241" w:lineRule="auto"/>
        <w:tabs>
          <w:tab w:leader="none" w:pos="39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xml:space="preserve"> If you have vested rights to Company stock (options or restricted stock units) as of your Separation Date, the Company will provide you with a report indicating the equity awards you were vested in. Your rights with respect to all stock option and other equity awards shall be as provided in the applicable equity plans, notices of grant and option or other equity award agreements.</w:t>
      </w:r>
    </w:p>
    <w:p>
      <w:pPr>
        <w:spacing w:after="0" w:line="210" w:lineRule="exact"/>
        <w:rPr>
          <w:rFonts w:ascii="Arial" w:cs="Arial" w:eastAsia="Arial" w:hAnsi="Arial"/>
          <w:sz w:val="20"/>
          <w:szCs w:val="20"/>
          <w:color w:val="auto"/>
        </w:rPr>
      </w:pPr>
    </w:p>
    <w:p>
      <w:pPr>
        <w:ind w:left="-8" w:right="20" w:firstLine="8"/>
        <w:spacing w:after="0" w:line="237" w:lineRule="auto"/>
        <w:tabs>
          <w:tab w:leader="none" w:pos="39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Acknowledgment of Your Continuing Obligations to the Company</w:t>
      </w:r>
      <w:r>
        <w:rPr>
          <w:rFonts w:ascii="Arial" w:cs="Arial" w:eastAsia="Arial" w:hAnsi="Arial"/>
          <w:sz w:val="20"/>
          <w:szCs w:val="20"/>
          <w:color w:val="auto"/>
        </w:rPr>
        <w:t>. In conjunction with your employment by the Company, you acknowledge that you executed an Employee Proprietary Information and Inventions Agreement (the “Confidentiality and Inventions Agreement”) and agree to comply with its continuing obligations, including but not limited to your obligations with respect to proprietary information, Company inventions, to return Company documents, and not to solicit or attempt to solicit any employee, consultant or independent contractor of the Company. Notwithstanding the foregoing, or anything contained in the Confidentiality and Inventions Agreement, you acknowledge that you will not be held criminally or civilly liable for (a) the disclosure of confidential or proprietary information or trade secrets that is made in confidence to a government official or to an attorney solely for the purpose of reporting or investigating a suspected violation of law, or (b) disclosure of confidential or proprietary information or trade secrets in a made in a complaint or other document filed in a lawsuit or other proceeding under seal or pursuant to court order</w:t>
      </w:r>
    </w:p>
    <w:p>
      <w:pPr>
        <w:spacing w:after="0" w:line="199" w:lineRule="exact"/>
        <w:rPr>
          <w:rFonts w:ascii="Arial" w:cs="Arial" w:eastAsia="Arial" w:hAnsi="Arial"/>
          <w:sz w:val="20"/>
          <w:szCs w:val="20"/>
          <w:color w:val="auto"/>
        </w:rPr>
      </w:pPr>
    </w:p>
    <w:p>
      <w:pPr>
        <w:ind w:left="-8" w:right="260" w:firstLine="8"/>
        <w:spacing w:after="0" w:line="243" w:lineRule="auto"/>
        <w:tabs>
          <w:tab w:leader="none" w:pos="43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General Release.</w:t>
      </w:r>
      <w:r>
        <w:rPr>
          <w:rFonts w:ascii="Arial" w:cs="Arial" w:eastAsia="Arial" w:hAnsi="Arial"/>
          <w:sz w:val="20"/>
          <w:szCs w:val="20"/>
          <w:color w:val="auto"/>
        </w:rPr>
        <w:t xml:space="preserve"> You agree not to sue, or otherwise file any claim against, the Company or any of its directors, officers, managers, employees or agents for any reason whatsoever based on anything that has occurred as of the date you sign this Agreement.</w:t>
      </w:r>
    </w:p>
    <w:p>
      <w:pPr>
        <w:spacing w:after="0" w:line="192" w:lineRule="exact"/>
        <w:rPr>
          <w:rFonts w:ascii="Arial" w:cs="Arial" w:eastAsia="Arial" w:hAnsi="Arial"/>
          <w:sz w:val="20"/>
          <w:szCs w:val="20"/>
          <w:color w:val="auto"/>
        </w:rPr>
      </w:pPr>
    </w:p>
    <w:p>
      <w:pPr>
        <w:ind w:left="1452" w:right="820" w:hanging="703"/>
        <w:spacing w:after="0" w:line="250" w:lineRule="auto"/>
        <w:tabs>
          <w:tab w:leader="none" w:pos="1452" w:val="left"/>
        </w:tabs>
        <w:numPr>
          <w:ilvl w:val="1"/>
          <w:numId w:val="67"/>
        </w:numPr>
        <w:rPr>
          <w:rFonts w:ascii="Arial" w:cs="Arial" w:eastAsia="Arial" w:hAnsi="Arial"/>
          <w:sz w:val="19"/>
          <w:szCs w:val="19"/>
          <w:color w:val="auto"/>
        </w:rPr>
      </w:pPr>
      <w:r>
        <w:rPr>
          <w:rFonts w:ascii="Arial" w:cs="Arial" w:eastAsia="Arial" w:hAnsi="Arial"/>
          <w:sz w:val="19"/>
          <w:szCs w:val="19"/>
          <w:color w:val="auto"/>
        </w:rPr>
        <w:t>On behalf of yourself and your executors, administrators, heirs and assigns, you hereby release and forever discharge the “</w:t>
      </w:r>
      <w:r>
        <w:rPr>
          <w:rFonts w:ascii="Arial" w:cs="Arial" w:eastAsia="Arial" w:hAnsi="Arial"/>
          <w:sz w:val="19"/>
          <w:szCs w:val="19"/>
          <w:u w:val="single" w:color="auto"/>
          <w:color w:val="auto"/>
        </w:rPr>
        <w:t>Releasees</w:t>
      </w:r>
      <w:r>
        <w:rPr>
          <w:rFonts w:ascii="Arial" w:cs="Arial" w:eastAsia="Arial" w:hAnsi="Arial"/>
          <w:sz w:val="19"/>
          <w:szCs w:val="19"/>
          <w:color w:val="auto"/>
        </w:rPr>
        <w:t>” hereunder, consisting of the Company, and each of its owners, directors, officers, managers, employees, agents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9"/>
          <w:szCs w:val="19"/>
          <w:u w:val="single" w:color="auto"/>
          <w:color w:val="auto"/>
        </w:rPr>
        <w:t>Claims</w:t>
      </w:r>
      <w:r>
        <w:rPr>
          <w:rFonts w:ascii="Arial" w:cs="Arial" w:eastAsia="Arial" w:hAnsi="Arial"/>
          <w:sz w:val="19"/>
          <w:szCs w:val="19"/>
          <w:color w:val="auto"/>
        </w:rPr>
        <w:t>”), which you now have or may hereafter have against the Releasees, or any of them, by reason of any matter, cause, or thing whatsoever from the beginning of time to the date hereof, including, without limiting the generality of the foregoing, any Claims arising directly or indirectly out of, relating to, or in any other way involving in any manner whatsoever your employment by the Company or the separation thereof, including without limitation any and all claims arising under federal, state, or local laws relating to employment, claims of any kind that may be brought in any court or administrative agency, any claims arising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as amended, 29 U.S.C. § 621, et seq.; the Title VII of the Civil Rights Act of 1964, as amended by the Civil Rights Act of 1991, 42 U.S.C. § 2000 et seq.; the Equal Pay Act, as amended, 29 U.S.C. § 206(d); the Civil Rights Act of 1866, 42 U.S.C. § 1981; the Family and Medical Leave Act of 1993, 29 U.S.C. § 2601 et seq.; the Americans with Disabilities Act of 1990, 42 U.S.C. § 12101 et seq.; the False Claims Act , 31 U.S.C. § 3729 et seq.; the Employee Retirement Income Security Act, as amended, 29 U.S.C. § 1001 et seq.; the Worker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-745490</wp:posOffset>
            </wp:positionV>
            <wp:extent cx="3771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-600075</wp:posOffset>
            </wp:positionV>
            <wp:extent cx="4121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412115" cy="88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-308610</wp:posOffset>
            </wp:positionV>
            <wp:extent cx="4121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412115"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-162560</wp:posOffset>
            </wp:positionV>
            <wp:extent cx="4121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41211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-162560</wp:posOffset>
            </wp:positionV>
            <wp:extent cx="4121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412115" cy="8890"/>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-25400</wp:posOffset>
            </wp:positionV>
            <wp:extent cx="3771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ectPr>
          <w:pgSz w:w="11900" w:h="16838" w:orient="portrait"/>
          <w:cols w:equalWidth="0" w:num="1">
            <w:col w:w="11232"/>
          </w:cols>
          <w:pgMar w:left="328" w:top="135" w:right="339" w:bottom="1440" w:gutter="0" w:footer="0" w:header="0"/>
        </w:sectPr>
      </w:pPr>
    </w:p>
    <w:bookmarkStart w:id="95" w:name="page96"/>
    <w:bookmarkEnd w:id="95"/>
    <w:p>
      <w:pPr>
        <w:ind w:left="703" w:right="820"/>
        <w:spacing w:after="0" w:line="238" w:lineRule="auto"/>
        <w:rPr>
          <w:sz w:val="20"/>
          <w:szCs w:val="20"/>
          <w:color w:val="auto"/>
        </w:rPr>
      </w:pPr>
      <w:r>
        <w:rPr>
          <w:rFonts w:ascii="Arial" w:cs="Arial" w:eastAsia="Arial" w:hAnsi="Arial"/>
          <w:sz w:val="20"/>
          <w:szCs w:val="20"/>
          <w:color w:val="auto"/>
        </w:rPr>
        <w:t>and Retraining Notification Act, as amended, 29 U.S.C. § 2101 et seq. the Fair Labor Standards Act, 29 U.S.C. § 215 et seq., the Sarbanes-Oxley Act of 2002; the California Fair Employment and Housing Act; the California Family Rights Act; the California Labor Code; California Business &amp; Professions Code Section 17200; Claims arising under the laws, regulations or ordinances of any other California statute or local legislation affecting employment; Claims under the laws, regulations or ordinances of any other state, commonwealth or municipality, including but not limited to Claims arising under the laws, regulations, and local ordinances of municipalities within, Arizona, Connecticut, Florida, Illinois, Indiana, Maryland, Massachusetts, Mississippi, New Jersey, New York, North Carolina, Ohio, Oregon, Texas, Virginia and Wisconsin;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-1904365</wp:posOffset>
            </wp:positionV>
            <wp:extent cx="3771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1335405</wp:posOffset>
            </wp:positionH>
            <wp:positionV relativeFrom="paragraph">
              <wp:posOffset>-1758315</wp:posOffset>
            </wp:positionV>
            <wp:extent cx="4121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412115" cy="8255"/>
                    </a:xfrm>
                    <a:prstGeom prst="rect">
                      <a:avLst/>
                    </a:prstGeom>
                    <a:noFill/>
                  </pic:spPr>
                </pic:pic>
              </a:graphicData>
            </a:graphic>
          </wp:anchor>
        </w:drawing>
      </w:r>
    </w:p>
    <w:p>
      <w:pPr>
        <w:spacing w:after="0" w:line="176" w:lineRule="exact"/>
        <w:rPr>
          <w:sz w:val="20"/>
          <w:szCs w:val="20"/>
          <w:color w:val="auto"/>
        </w:rPr>
      </w:pPr>
    </w:p>
    <w:p>
      <w:pPr>
        <w:ind w:left="703" w:right="740" w:hanging="703"/>
        <w:spacing w:after="0" w:line="249" w:lineRule="auto"/>
        <w:tabs>
          <w:tab w:leader="none" w:pos="703"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Notwithstanding the generality of the foregoing, you do not release any Claims that cannot be released as a matter of law including, without limitation, (i) Claims for indemnity under the Company’s Bylaws, Articles of Incorporation, written indemnification agreement between you and the Company, and/or under applicable law; (ii) any rights that you may have to insurance coverage under any directors and officers liability insurance, other insurance policies of the Company, COBRA or any similar state law; (iii) any Claims for workers compensation, state disability or unemployment insurance benefit; (iv) rights</w:t>
      </w:r>
    </w:p>
    <w:p>
      <w:pPr>
        <w:spacing w:after="0" w:line="3" w:lineRule="exact"/>
        <w:rPr>
          <w:sz w:val="20"/>
          <w:szCs w:val="20"/>
          <w:color w:val="auto"/>
        </w:rPr>
      </w:pPr>
    </w:p>
    <w:p>
      <w:pPr>
        <w:ind w:left="703" w:right="800"/>
        <w:spacing w:after="0" w:line="238" w:lineRule="auto"/>
        <w:rPr>
          <w:sz w:val="20"/>
          <w:szCs w:val="20"/>
          <w:color w:val="auto"/>
        </w:rPr>
      </w:pPr>
      <w:r>
        <w:rPr>
          <w:rFonts w:ascii="Arial" w:cs="Arial" w:eastAsia="Arial" w:hAnsi="Arial"/>
          <w:sz w:val="20"/>
          <w:szCs w:val="20"/>
          <w:color w:val="auto"/>
        </w:rPr>
        <w:t>to any vested benefits under any stock, compensation or other employee benefits plan of the Company; (v) any rights you may have as an existing shareholder of the Company; (vi) any Claims arising after the Effective Date of this Agreement; (vii) your right to bring to the attention of the Equal Employment Opportunity Commission or equivalent local agency claims of discrimination, harassment, interference with leave rights, and retaliation; provided, however, that you do release your right to secure damages for any such alleged treatment; and (viii) your right to communicate directly with, cooperate with, or provide information to, any federal, state or local government regulator, including, but not limited to, the U.S. Securities and Exchange Commission, the U.S. Commodity Futures Trading Commission, or the U.S. Department of Justice.</w:t>
      </w:r>
    </w:p>
    <w:p>
      <w:pPr>
        <w:spacing w:after="0" w:line="202" w:lineRule="exact"/>
        <w:rPr>
          <w:sz w:val="20"/>
          <w:szCs w:val="20"/>
          <w:color w:val="auto"/>
        </w:rPr>
      </w:pPr>
    </w:p>
    <w:p>
      <w:pPr>
        <w:ind w:left="743" w:right="40" w:hanging="743"/>
        <w:spacing w:after="0" w:line="246" w:lineRule="auto"/>
        <w:tabs>
          <w:tab w:leader="none" w:pos="743" w:val="left"/>
        </w:tabs>
        <w:numPr>
          <w:ilvl w:val="0"/>
          <w:numId w:val="69"/>
        </w:numPr>
        <w:rPr>
          <w:rFonts w:ascii="Arial" w:cs="Arial" w:eastAsia="Arial" w:hAnsi="Arial"/>
          <w:sz w:val="20"/>
          <w:szCs w:val="20"/>
          <w:color w:val="auto"/>
        </w:rPr>
      </w:pPr>
      <w:r>
        <w:rPr>
          <w:rFonts w:ascii="Arial" w:cs="Arial" w:eastAsia="Arial" w:hAnsi="Arial"/>
          <w:sz w:val="20"/>
          <w:szCs w:val="20"/>
          <w:color w:val="auto"/>
        </w:rPr>
        <w:t>YOU ACKNOWLEDGE THAT YOU HAVE BEEN ADVISED OF AND ARE FAMILIAR WITH THE PROVISIONS OF CALIFORNIA CIVIL CODE SECTION 1542, WHICH PROVIDES AS FOLLOWS:</w:t>
      </w:r>
    </w:p>
    <w:p>
      <w:pPr>
        <w:spacing w:after="0" w:line="180" w:lineRule="exact"/>
        <w:rPr>
          <w:sz w:val="20"/>
          <w:szCs w:val="20"/>
          <w:color w:val="auto"/>
        </w:rPr>
      </w:pPr>
    </w:p>
    <w:p>
      <w:pPr>
        <w:jc w:val="both"/>
        <w:ind w:left="743" w:firstLine="453"/>
        <w:spacing w:after="0" w:line="245"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5" w:lineRule="exact"/>
        <w:rPr>
          <w:sz w:val="20"/>
          <w:szCs w:val="20"/>
          <w:color w:val="auto"/>
        </w:rPr>
      </w:pPr>
    </w:p>
    <w:p>
      <w:pPr>
        <w:jc w:val="both"/>
        <w:ind w:left="743"/>
        <w:spacing w:after="0" w:line="243" w:lineRule="auto"/>
        <w:rPr>
          <w:sz w:val="20"/>
          <w:szCs w:val="20"/>
          <w:color w:val="auto"/>
        </w:rPr>
      </w:pPr>
      <w:r>
        <w:rPr>
          <w:rFonts w:ascii="Arial" w:cs="Arial" w:eastAsia="Arial" w:hAnsi="Arial"/>
          <w:sz w:val="20"/>
          <w:szCs w:val="20"/>
          <w:color w:val="auto"/>
        </w:rPr>
        <w:t>BEING AWARE OF SAID CODE SECTION, YOU HEREBY EXPRESSLY WAIVE ANY RIGHTS YOU MAY HAVE THEREUNDER, AS WELL AS UNDER ANY OTHER STATUTES OR COMMON LAW PRINCIPLES OF SIMILAR EFFECT.</w:t>
      </w:r>
    </w:p>
    <w:p>
      <w:pPr>
        <w:spacing w:after="0" w:line="206" w:lineRule="exact"/>
        <w:rPr>
          <w:sz w:val="20"/>
          <w:szCs w:val="20"/>
          <w:color w:val="auto"/>
        </w:rPr>
      </w:pPr>
    </w:p>
    <w:p>
      <w:pPr>
        <w:ind w:left="703" w:right="1060" w:hanging="703"/>
        <w:spacing w:after="0" w:line="246" w:lineRule="auto"/>
        <w:tabs>
          <w:tab w:leader="none" w:pos="703"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accordance with the Older Workers Benefit Protection Act of 1990, you acknowledge that you are aware of the following:</w:t>
      </w:r>
    </w:p>
    <w:p>
      <w:pPr>
        <w:spacing w:after="0" w:line="190" w:lineRule="exact"/>
        <w:rPr>
          <w:rFonts w:ascii="Arial" w:cs="Arial" w:eastAsia="Arial" w:hAnsi="Arial"/>
          <w:sz w:val="20"/>
          <w:szCs w:val="20"/>
          <w:color w:val="auto"/>
        </w:rPr>
      </w:pPr>
    </w:p>
    <w:p>
      <w:pPr>
        <w:ind w:left="1943" w:hanging="446"/>
        <w:spacing w:after="0"/>
        <w:tabs>
          <w:tab w:leader="none" w:pos="1943"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This paragraph, and this Agreement are written in a manner calculated to be understood by you.</w:t>
      </w:r>
    </w:p>
    <w:p>
      <w:pPr>
        <w:spacing w:after="0" w:line="215" w:lineRule="exact"/>
        <w:rPr>
          <w:rFonts w:ascii="Arial" w:cs="Arial" w:eastAsia="Arial" w:hAnsi="Arial"/>
          <w:sz w:val="20"/>
          <w:szCs w:val="20"/>
          <w:color w:val="auto"/>
        </w:rPr>
      </w:pPr>
    </w:p>
    <w:p>
      <w:pPr>
        <w:ind w:left="743" w:right="300" w:firstLine="754"/>
        <w:spacing w:after="0" w:line="236" w:lineRule="auto"/>
        <w:tabs>
          <w:tab w:leader="none" w:pos="1932"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waiver and release of claims under the ADEA contained in this Agreement does not cover rights or claims that may arise after the date on which you sign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191135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35" w:right="339" w:bottom="1440" w:gutter="0" w:footer="0" w:header="0"/>
        </w:sectPr>
      </w:pPr>
    </w:p>
    <w:bookmarkStart w:id="96" w:name="page97"/>
    <w:bookmarkEnd w:id="96"/>
    <w:p>
      <w:pPr>
        <w:ind w:left="1500" w:right="600" w:firstLine="754"/>
        <w:spacing w:after="0" w:line="247" w:lineRule="auto"/>
        <w:tabs>
          <w:tab w:leader="none" w:pos="2688"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This Agreement provides for consideration in addition to anything of value to which you are already entitled.</w:t>
      </w:r>
    </w:p>
    <w:p>
      <w:pPr>
        <w:spacing w:after="0" w:line="188" w:lineRule="exact"/>
        <w:rPr>
          <w:rFonts w:ascii="Arial" w:cs="Arial" w:eastAsia="Arial" w:hAnsi="Arial"/>
          <w:sz w:val="20"/>
          <w:szCs w:val="20"/>
          <w:color w:val="auto"/>
        </w:rPr>
      </w:pPr>
    </w:p>
    <w:p>
      <w:pPr>
        <w:ind w:left="2700" w:hanging="446"/>
        <w:spacing w:after="0"/>
        <w:tabs>
          <w:tab w:leader="none" w:pos="27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You have been advised to consult an attorney before signing this Agreement.</w:t>
      </w:r>
    </w:p>
    <w:p>
      <w:pPr>
        <w:spacing w:after="0" w:line="202" w:lineRule="exact"/>
        <w:rPr>
          <w:rFonts w:ascii="Arial" w:cs="Arial" w:eastAsia="Arial" w:hAnsi="Arial"/>
          <w:sz w:val="20"/>
          <w:szCs w:val="20"/>
          <w:color w:val="auto"/>
        </w:rPr>
      </w:pPr>
    </w:p>
    <w:p>
      <w:pPr>
        <w:ind w:left="1500" w:right="60" w:firstLine="754"/>
        <w:spacing w:after="0" w:line="241" w:lineRule="auto"/>
        <w:tabs>
          <w:tab w:leader="none" w:pos="2688" w:val="left"/>
        </w:tabs>
        <w:numPr>
          <w:ilvl w:val="0"/>
          <w:numId w:val="71"/>
        </w:numPr>
        <w:rPr>
          <w:rFonts w:ascii="Arial" w:cs="Arial" w:eastAsia="Arial" w:hAnsi="Arial"/>
          <w:sz w:val="20"/>
          <w:szCs w:val="20"/>
          <w:color w:val="auto"/>
        </w:rPr>
      </w:pPr>
      <w:r>
        <w:rPr>
          <w:rFonts w:ascii="Arial" w:cs="Arial" w:eastAsia="Arial" w:hAnsi="Arial"/>
          <w:sz w:val="20"/>
          <w:szCs w:val="20"/>
          <w:color w:val="auto"/>
        </w:rPr>
        <w:t>You have been granted forty-five (45) days after you are presented with this Agreement to decide whether or not to sign it. If you execute this Agreement prior to the expiration of such period, you do so voluntarily and after having had the opportunity to consult with an attorney, and hereby waive the remainder of the forty-five (45) day period.</w:t>
      </w:r>
    </w:p>
    <w:p>
      <w:pPr>
        <w:spacing w:after="0" w:line="210" w:lineRule="exact"/>
        <w:rPr>
          <w:rFonts w:ascii="Arial" w:cs="Arial" w:eastAsia="Arial" w:hAnsi="Arial"/>
          <w:sz w:val="20"/>
          <w:szCs w:val="20"/>
          <w:color w:val="auto"/>
        </w:rPr>
      </w:pPr>
    </w:p>
    <w:p>
      <w:pPr>
        <w:ind w:left="1500" w:right="180" w:firstLine="754"/>
        <w:spacing w:after="0" w:line="243" w:lineRule="auto"/>
        <w:tabs>
          <w:tab w:leader="none" w:pos="2688" w:val="left"/>
        </w:tabs>
        <w:numPr>
          <w:ilvl w:val="0"/>
          <w:numId w:val="71"/>
        </w:numPr>
        <w:rPr>
          <w:rFonts w:ascii="Arial" w:cs="Arial" w:eastAsia="Arial" w:hAnsi="Arial"/>
          <w:sz w:val="20"/>
          <w:szCs w:val="20"/>
          <w:color w:val="auto"/>
        </w:rPr>
      </w:pPr>
      <w:r>
        <w:rPr>
          <w:rFonts w:ascii="Arial" w:cs="Arial" w:eastAsia="Arial" w:hAnsi="Arial"/>
          <w:sz w:val="20"/>
          <w:szCs w:val="20"/>
          <w:color w:val="auto"/>
        </w:rPr>
        <w:t>You have the right to revoke this Agreement within seven (7) days of signing it. In the event this Agreement is revoked, it will be null and void in its entirety, and you will not receive the benefits of this Agreement.</w:t>
      </w:r>
    </w:p>
    <w:p>
      <w:pPr>
        <w:spacing w:after="0" w:line="192" w:lineRule="exact"/>
        <w:rPr>
          <w:sz w:val="20"/>
          <w:szCs w:val="20"/>
          <w:color w:val="auto"/>
        </w:rPr>
      </w:pPr>
    </w:p>
    <w:p>
      <w:pPr>
        <w:ind w:left="1500" w:right="60" w:firstLine="661"/>
        <w:spacing w:after="0" w:line="243" w:lineRule="auto"/>
        <w:tabs>
          <w:tab w:leader="none" w:pos="2596"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The job titles and ages of all individuals eligible or selected for the settlement offer and the ages of all individuals in the same job classification or organizational unit who are not eligible for the settlement offer are listed on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92" w:lineRule="exact"/>
        <w:rPr>
          <w:sz w:val="20"/>
          <w:szCs w:val="20"/>
          <w:color w:val="auto"/>
        </w:rPr>
      </w:pPr>
    </w:p>
    <w:p>
      <w:pPr>
        <w:ind w:left="1500" w:right="280"/>
        <w:spacing w:after="0" w:line="227" w:lineRule="auto"/>
        <w:rPr>
          <w:sz w:val="20"/>
          <w:szCs w:val="20"/>
          <w:color w:val="auto"/>
        </w:rPr>
      </w:pPr>
      <w:r>
        <w:rPr>
          <w:rFonts w:ascii="Arial" w:cs="Arial" w:eastAsia="Arial" w:hAnsi="Arial"/>
          <w:sz w:val="20"/>
          <w:szCs w:val="20"/>
          <w:color w:val="auto"/>
        </w:rPr>
        <w:t>If you wish to revoke this Agreement, you must deliver written notice stating that intent to revoke to Danielle Olander, Senior Vice President, Talent and Systems Development dolander@cytomx.com, on or before 5:00 p.m. on the seventh (7</w:t>
      </w:r>
      <w:r>
        <w:rPr>
          <w:rFonts w:ascii="Arial" w:cs="Arial" w:eastAsia="Arial" w:hAnsi="Arial"/>
          <w:sz w:val="26"/>
          <w:szCs w:val="26"/>
          <w:color w:val="auto"/>
          <w:vertAlign w:val="superscript"/>
        </w:rPr>
        <w:t>th</w:t>
      </w:r>
      <w:r>
        <w:rPr>
          <w:rFonts w:ascii="Arial" w:cs="Arial" w:eastAsia="Arial" w:hAnsi="Arial"/>
          <w:sz w:val="20"/>
          <w:szCs w:val="20"/>
          <w:color w:val="auto"/>
        </w:rPr>
        <w:t>) calendar day after the date on which you sign this Agreement. The eighth day following your executive of this Agreement shall be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99" w:lineRule="exact"/>
        <w:rPr>
          <w:sz w:val="20"/>
          <w:szCs w:val="20"/>
          <w:color w:val="auto"/>
        </w:rPr>
      </w:pPr>
    </w:p>
    <w:p>
      <w:pPr>
        <w:ind w:right="20" w:firstLine="8"/>
        <w:spacing w:after="0" w:line="246" w:lineRule="auto"/>
        <w:tabs>
          <w:tab w:leader="none" w:pos="44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Requests for References.</w:t>
      </w:r>
      <w:r>
        <w:rPr>
          <w:rFonts w:ascii="Arial" w:cs="Arial" w:eastAsia="Arial" w:hAnsi="Arial"/>
          <w:sz w:val="20"/>
          <w:szCs w:val="20"/>
          <w:color w:val="auto"/>
        </w:rPr>
        <w:t xml:space="preserve"> All external requests for references should be directed to Human Resources at hr@cytomx.com, who will confirm only your job title and dates of employment.</w:t>
      </w:r>
    </w:p>
    <w:p>
      <w:pPr>
        <w:spacing w:after="0" w:line="190" w:lineRule="exact"/>
        <w:rPr>
          <w:rFonts w:ascii="Arial" w:cs="Arial" w:eastAsia="Arial" w:hAnsi="Arial"/>
          <w:sz w:val="20"/>
          <w:szCs w:val="20"/>
          <w:color w:val="auto"/>
        </w:rPr>
      </w:pPr>
    </w:p>
    <w:p>
      <w:pPr>
        <w:ind w:right="200" w:firstLine="8"/>
        <w:spacing w:after="0" w:line="253" w:lineRule="auto"/>
        <w:tabs>
          <w:tab w:leader="none" w:pos="44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Company’s Release of Claims</w:t>
      </w:r>
      <w:r>
        <w:rPr>
          <w:rFonts w:ascii="Arial" w:cs="Arial" w:eastAsia="Arial" w:hAnsi="Arial"/>
          <w:sz w:val="19"/>
          <w:szCs w:val="19"/>
          <w:color w:val="auto"/>
        </w:rPr>
        <w:t>. The Company voluntarily releases and you and your heirs, successors, administrators, representatives and assigns from all Claim which it may have against the you as the result of your employment or the discontinuance of your employment and that are based upon facts known, or which in the exercise of reasonable diligence should have been known, to the Company’s Board of Directors. Notwithstanding the foregoing, nothing herein shall release or discharge any Claim by the Company against you, or the right of the Company to bring any action, legal or otherwise, against you as a result of any failure by you to perform your obligations under this Agreement, the Confidentiality and Inventions Agreement or the Consulting Agreement (if any is entered into), or as a result of any acts of intentional misconduct by you.</w:t>
      </w:r>
    </w:p>
    <w:p>
      <w:pPr>
        <w:spacing w:after="0" w:line="183"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auto"/>
        </w:rPr>
        <w:t>The Company acknowledges that it is aware of and familiar with the provisions of California Civil Code Section 1542, which provides as follows:</w:t>
      </w:r>
    </w:p>
    <w:p>
      <w:pPr>
        <w:spacing w:after="0" w:line="180" w:lineRule="exact"/>
        <w:rPr>
          <w:sz w:val="20"/>
          <w:szCs w:val="20"/>
          <w:color w:val="auto"/>
        </w:rPr>
      </w:pPr>
    </w:p>
    <w:p>
      <w:pPr>
        <w:jc w:val="both"/>
        <w:ind w:left="1500" w:firstLine="453"/>
        <w:spacing w:after="0" w:line="245"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5" w:lineRule="exact"/>
        <w:rPr>
          <w:sz w:val="20"/>
          <w:szCs w:val="20"/>
          <w:color w:val="auto"/>
        </w:rPr>
      </w:pPr>
    </w:p>
    <w:p>
      <w:pPr>
        <w:jc w:val="both"/>
        <w:ind w:left="1500"/>
        <w:spacing w:after="0" w:line="243" w:lineRule="auto"/>
        <w:rPr>
          <w:sz w:val="20"/>
          <w:szCs w:val="20"/>
          <w:color w:val="auto"/>
        </w:rPr>
      </w:pPr>
      <w:r>
        <w:rPr>
          <w:rFonts w:ascii="Arial" w:cs="Arial" w:eastAsia="Arial" w:hAnsi="Arial"/>
          <w:sz w:val="20"/>
          <w:szCs w:val="20"/>
          <w:color w:val="auto"/>
        </w:rPr>
        <w:t>BEING AWARE OF SAID CODE SECTION, THE COMPANY HEREBY EXPRESSLY WAIVES ANY RIGHTS IT MAY HAVE THEREUNDER, AS WELL AS UNDER ANY OTHER STATUTES OR COMMON LAW PRINCIPLES OF SIMILAR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440" w:hanging="432"/>
        <w:spacing w:after="0"/>
        <w:tabs>
          <w:tab w:leader="none" w:pos="44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Employee’s Representations.</w:t>
      </w:r>
      <w:r>
        <w:rPr>
          <w:rFonts w:ascii="Arial" w:cs="Arial" w:eastAsia="Arial" w:hAnsi="Arial"/>
          <w:sz w:val="20"/>
          <w:szCs w:val="20"/>
          <w:color w:val="auto"/>
        </w:rPr>
        <w:t xml:space="preserve"> You represent and warrant that:</w:t>
      </w:r>
    </w:p>
    <w:p>
      <w:pPr>
        <w:spacing w:after="0" w:line="215" w:lineRule="exact"/>
        <w:rPr>
          <w:rFonts w:ascii="Arial" w:cs="Arial" w:eastAsia="Arial" w:hAnsi="Arial"/>
          <w:sz w:val="20"/>
          <w:szCs w:val="20"/>
          <w:color w:val="auto"/>
        </w:rPr>
      </w:pPr>
    </w:p>
    <w:p>
      <w:pPr>
        <w:ind w:left="1500" w:hanging="743"/>
        <w:spacing w:after="0"/>
        <w:tabs>
          <w:tab w:leader="none" w:pos="1500" w:val="left"/>
        </w:tabs>
        <w:numPr>
          <w:ilvl w:val="1"/>
          <w:numId w:val="74"/>
        </w:numPr>
        <w:rPr>
          <w:rFonts w:ascii="Arial" w:cs="Arial" w:eastAsia="Arial" w:hAnsi="Arial"/>
          <w:sz w:val="20"/>
          <w:szCs w:val="20"/>
          <w:color w:val="auto"/>
        </w:rPr>
      </w:pPr>
      <w:r>
        <w:rPr>
          <w:rFonts w:ascii="Arial" w:cs="Arial" w:eastAsia="Arial" w:hAnsi="Arial"/>
          <w:sz w:val="20"/>
          <w:szCs w:val="20"/>
          <w:color w:val="auto"/>
        </w:rPr>
        <w:t>You have returned to the Company all Company property in your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7" w:name="page98"/>
    <w:bookmarkEnd w:id="97"/>
    <w:p>
      <w:pPr>
        <w:ind w:left="1500" w:hanging="743"/>
        <w:spacing w:after="0" w:line="247" w:lineRule="auto"/>
        <w:tabs>
          <w:tab w:leader="none" w:pos="15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You are not owed wages, commissions, bonuses or other compensation, other than as set forth in this Agreement;</w:t>
      </w:r>
    </w:p>
    <w:p>
      <w:pPr>
        <w:spacing w:after="0" w:line="202" w:lineRule="exact"/>
        <w:rPr>
          <w:rFonts w:ascii="Arial" w:cs="Arial" w:eastAsia="Arial" w:hAnsi="Arial"/>
          <w:sz w:val="20"/>
          <w:szCs w:val="20"/>
          <w:color w:val="auto"/>
        </w:rPr>
      </w:pPr>
    </w:p>
    <w:p>
      <w:pPr>
        <w:ind w:left="1500" w:right="20" w:hanging="743"/>
        <w:spacing w:after="0" w:line="246" w:lineRule="auto"/>
        <w:tabs>
          <w:tab w:leader="none" w:pos="15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During the course of your employment you did not sustain any injuries for which you might be entitled to compensation pursuant to worker’s compensation law; and</w:t>
      </w:r>
    </w:p>
    <w:p>
      <w:pPr>
        <w:spacing w:after="0" w:line="190" w:lineRule="exact"/>
        <w:rPr>
          <w:rFonts w:ascii="Arial" w:cs="Arial" w:eastAsia="Arial" w:hAnsi="Arial"/>
          <w:sz w:val="20"/>
          <w:szCs w:val="20"/>
          <w:color w:val="auto"/>
        </w:rPr>
      </w:pPr>
    </w:p>
    <w:p>
      <w:pPr>
        <w:jc w:val="both"/>
        <w:ind w:left="1500" w:hanging="743"/>
        <w:spacing w:after="0" w:line="243" w:lineRule="auto"/>
        <w:tabs>
          <w:tab w:leader="none" w:pos="15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You have not initiated any adversarial proceedings of any kind against the Company or against any other person or entity released herein, nor will you do so in the future, except as specifically allowed by this Agreement.</w:t>
      </w:r>
    </w:p>
    <w:p>
      <w:pPr>
        <w:spacing w:after="0" w:line="205" w:lineRule="exact"/>
        <w:rPr>
          <w:rFonts w:ascii="Arial" w:cs="Arial" w:eastAsia="Arial" w:hAnsi="Arial"/>
          <w:sz w:val="20"/>
          <w:szCs w:val="20"/>
          <w:color w:val="auto"/>
        </w:rPr>
      </w:pPr>
    </w:p>
    <w:p>
      <w:pPr>
        <w:ind w:right="40" w:firstLine="8"/>
        <w:spacing w:after="0" w:line="238" w:lineRule="auto"/>
        <w:tabs>
          <w:tab w:leader="none" w:pos="44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Non-Defamation</w:t>
      </w:r>
      <w:r>
        <w:rPr>
          <w:rFonts w:ascii="Arial" w:cs="Arial" w:eastAsia="Arial" w:hAnsi="Arial"/>
          <w:sz w:val="20"/>
          <w:szCs w:val="20"/>
          <w:color w:val="auto"/>
        </w:rPr>
        <w:t>. You agree not to defame the Company, its directors, officers and employees, Company products or services, or any Releasee, publicly or privately, directly or indirectly through others, by use of any words, actions, gestures or medium, including but not limited to on social media or other internet site. Nothing in this Section 11 or this Agreement shall prevent you from (a) testifying truthfully in response to a subpoena or other legal process; (b) discussing terms and conditions of your employment with the Company, as permitted by the National Labor Relations Act and California law, including but not limited to discussing or disclosing information about unlawful acts in the workplace, such as harassment or discrimination or any other conduct that you have reason to believe is unlawful; or (c) communicating directly with, cooperating with, or providing information to, any federal, state or local government regulator, including, but not limited to, the U.S. Securities and Exchange Commission, the U.S. Commodity Futures Trading Commission, or the U.S. Department of Justice.</w:t>
      </w:r>
    </w:p>
    <w:p>
      <w:pPr>
        <w:spacing w:after="0" w:line="201" w:lineRule="exact"/>
        <w:rPr>
          <w:rFonts w:ascii="Arial" w:cs="Arial" w:eastAsia="Arial" w:hAnsi="Arial"/>
          <w:sz w:val="20"/>
          <w:szCs w:val="20"/>
          <w:color w:val="auto"/>
        </w:rPr>
      </w:pPr>
    </w:p>
    <w:p>
      <w:pPr>
        <w:ind w:right="20" w:firstLine="8"/>
        <w:spacing w:after="0" w:line="262" w:lineRule="auto"/>
        <w:tabs>
          <w:tab w:leader="none" w:pos="44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The provisions of this Agreement are severable. If any provision is held to be invalid or unenforceable, it shall not affect the validity or the enforceability of any other provision. You represent that you have thoroughly read and considered all aspects of this Agreement, that you understand all of its provisions, and that you are voluntarily entering into this Agreement.</w:t>
      </w:r>
    </w:p>
    <w:p>
      <w:pPr>
        <w:spacing w:after="0" w:line="175" w:lineRule="exact"/>
        <w:rPr>
          <w:rFonts w:ascii="Arial" w:cs="Arial" w:eastAsia="Arial" w:hAnsi="Arial"/>
          <w:sz w:val="19"/>
          <w:szCs w:val="19"/>
          <w:color w:val="auto"/>
        </w:rPr>
      </w:pPr>
    </w:p>
    <w:p>
      <w:pPr>
        <w:jc w:val="both"/>
        <w:ind w:firstLine="8"/>
        <w:spacing w:after="0" w:line="230" w:lineRule="auto"/>
        <w:tabs>
          <w:tab w:leader="none" w:pos="44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Governing Law and Attorneys’ Fees.</w:t>
      </w:r>
      <w:r>
        <w:rPr>
          <w:rFonts w:ascii="Arial" w:cs="Arial" w:eastAsia="Arial" w:hAnsi="Arial"/>
          <w:sz w:val="20"/>
          <w:szCs w:val="20"/>
          <w:color w:val="auto"/>
        </w:rPr>
        <w:t xml:space="preserve"> This Agreement will in all respects be interpreted, enforced and governed under the laws of the state in which you were last employed by the Company, without regard to the conflicts of laws rules thereof. If it is necessary to for either party to file suit to enforce this Agreement, the prevailing party shall recover its reasonable costs of enforcement, including costs and reasonable attorneys' fees.</w:t>
      </w:r>
    </w:p>
    <w:p>
      <w:pPr>
        <w:spacing w:after="0" w:line="184" w:lineRule="exact"/>
        <w:rPr>
          <w:rFonts w:ascii="Arial" w:cs="Arial" w:eastAsia="Arial" w:hAnsi="Arial"/>
          <w:sz w:val="20"/>
          <w:szCs w:val="20"/>
          <w:color w:val="auto"/>
        </w:rPr>
      </w:pPr>
    </w:p>
    <w:p>
      <w:pPr>
        <w:jc w:val="both"/>
        <w:ind w:right="120" w:firstLine="8"/>
        <w:spacing w:after="0" w:line="241" w:lineRule="auto"/>
        <w:tabs>
          <w:tab w:leader="none" w:pos="44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Integrated Agreement.</w:t>
      </w:r>
      <w:r>
        <w:rPr>
          <w:rFonts w:ascii="Arial" w:cs="Arial" w:eastAsia="Arial" w:hAnsi="Arial"/>
          <w:sz w:val="20"/>
          <w:szCs w:val="20"/>
          <w:color w:val="auto"/>
        </w:rPr>
        <w:t xml:space="preserve"> This Agreement, together with the Confidentiality and Inventions Agreement, and the Consulting Agreement (if mutually agreed) sets forth the entire agreement between you and Company and supersedes and replaces any and all prior oral or written agreements or understandings between you and Company. You represent that you have signed this Agreement voluntarily.</w:t>
      </w:r>
    </w:p>
    <w:p>
      <w:pPr>
        <w:spacing w:after="0" w:line="210" w:lineRule="exact"/>
        <w:rPr>
          <w:rFonts w:ascii="Arial" w:cs="Arial" w:eastAsia="Arial" w:hAnsi="Arial"/>
          <w:sz w:val="20"/>
          <w:szCs w:val="20"/>
          <w:color w:val="auto"/>
        </w:rPr>
      </w:pPr>
    </w:p>
    <w:p>
      <w:pPr>
        <w:ind w:right="500" w:firstLine="8"/>
        <w:spacing w:after="0" w:line="246" w:lineRule="auto"/>
        <w:tabs>
          <w:tab w:leader="none" w:pos="44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Amendment of this Agreement.</w:t>
      </w:r>
      <w:r>
        <w:rPr>
          <w:rFonts w:ascii="Arial" w:cs="Arial" w:eastAsia="Arial" w:hAnsi="Arial"/>
          <w:sz w:val="20"/>
          <w:szCs w:val="20"/>
          <w:color w:val="auto"/>
        </w:rPr>
        <w:t xml:space="preserve"> This Agreement may not be altered, amended, or modified except by a further written document signed by you and an authorized representative of Company.</w:t>
      </w:r>
    </w:p>
    <w:p>
      <w:pPr>
        <w:spacing w:after="0" w:line="190" w:lineRule="exact"/>
        <w:rPr>
          <w:rFonts w:ascii="Arial" w:cs="Arial" w:eastAsia="Arial" w:hAnsi="Arial"/>
          <w:sz w:val="20"/>
          <w:szCs w:val="20"/>
          <w:color w:val="auto"/>
        </w:rPr>
      </w:pPr>
    </w:p>
    <w:p>
      <w:pPr>
        <w:ind w:right="60" w:firstLine="8"/>
        <w:spacing w:after="0" w:line="272" w:lineRule="auto"/>
        <w:tabs>
          <w:tab w:leader="none" w:pos="44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xml:space="preserve"> This Agreement may be executed in counterparts with the same force and effectiveness as though executed in a single document. Facsimile signatures shall have the same force and effectiveness as original signatures.</w:t>
      </w:r>
    </w:p>
    <w:p>
      <w:pPr>
        <w:spacing w:after="0" w:line="166" w:lineRule="exact"/>
        <w:rPr>
          <w:sz w:val="20"/>
          <w:szCs w:val="20"/>
          <w:color w:val="auto"/>
        </w:rPr>
      </w:pPr>
    </w:p>
    <w:p>
      <w:pPr>
        <w:ind w:right="440" w:firstLine="440"/>
        <w:spacing w:after="0" w:line="246" w:lineRule="auto"/>
        <w:rPr>
          <w:sz w:val="20"/>
          <w:szCs w:val="20"/>
          <w:color w:val="auto"/>
        </w:rPr>
      </w:pPr>
      <w:r>
        <w:rPr>
          <w:rFonts w:ascii="Arial" w:cs="Arial" w:eastAsia="Arial" w:hAnsi="Arial"/>
          <w:sz w:val="20"/>
          <w:szCs w:val="20"/>
          <w:color w:val="auto"/>
        </w:rPr>
        <w:t xml:space="preserve">If the above terms are agreeable to you, please date and sign the original of this letter in the place indicated below and return it to me on or before </w:t>
      </w:r>
      <w:r>
        <w:rPr>
          <w:rFonts w:ascii="Arial" w:cs="Arial" w:eastAsia="Arial" w:hAnsi="Arial"/>
          <w:sz w:val="20"/>
          <w:szCs w:val="20"/>
          <w:b w:val="1"/>
          <w:bCs w:val="1"/>
          <w:color w:val="auto"/>
        </w:rPr>
        <w:t>October 27, 2022</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Lloyd Rowland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Vice President, General Counsel</w:t>
      </w:r>
    </w:p>
    <w:p>
      <w:pPr>
        <w:spacing w:after="0"/>
        <w:rPr>
          <w:sz w:val="20"/>
          <w:szCs w:val="20"/>
          <w:color w:val="auto"/>
        </w:rPr>
      </w:pPr>
      <w:r>
        <w:rPr>
          <w:rFonts w:ascii="Arial" w:cs="Arial" w:eastAsia="Arial" w:hAnsi="Arial"/>
          <w:sz w:val="20"/>
          <w:szCs w:val="20"/>
          <w:b w:val="1"/>
          <w:bCs w:val="1"/>
          <w:color w:val="auto"/>
        </w:rPr>
        <w:t>CytomX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8" w:name="page99"/>
    <w:bookmarkEnd w:id="98"/>
    <w:p>
      <w:pPr>
        <w:spacing w:after="0"/>
        <w:rPr>
          <w:sz w:val="20"/>
          <w:szCs w:val="20"/>
          <w:color w:val="auto"/>
        </w:rPr>
      </w:pPr>
      <w:r>
        <w:rPr>
          <w:rFonts w:ascii="Arial" w:cs="Arial" w:eastAsia="Arial" w:hAnsi="Arial"/>
          <w:sz w:val="19"/>
          <w:szCs w:val="19"/>
          <w:color w:val="auto"/>
        </w:rPr>
        <w:t>Accepted and agreed to on this _</w:t>
      </w:r>
      <w:r>
        <w:rPr>
          <w:rFonts w:ascii="Arial" w:cs="Arial" w:eastAsia="Arial" w:hAnsi="Arial"/>
          <w:sz w:val="19"/>
          <w:szCs w:val="19"/>
          <w:u w:val="single" w:color="auto"/>
          <w:color w:val="auto"/>
        </w:rPr>
        <w:t>6th</w:t>
      </w:r>
      <w:r>
        <w:rPr>
          <w:rFonts w:ascii="Arial" w:cs="Arial" w:eastAsia="Arial" w:hAnsi="Arial"/>
          <w:sz w:val="19"/>
          <w:szCs w:val="19"/>
          <w:color w:val="auto"/>
        </w:rPr>
        <w:t>___ day of ____</w:t>
      </w:r>
      <w:r>
        <w:rPr>
          <w:rFonts w:ascii="Arial" w:cs="Arial" w:eastAsia="Arial" w:hAnsi="Arial"/>
          <w:sz w:val="19"/>
          <w:szCs w:val="19"/>
          <w:u w:val="single" w:color="auto"/>
          <w:color w:val="auto"/>
        </w:rPr>
        <w:t>October</w:t>
      </w:r>
      <w:r>
        <w:rPr>
          <w:rFonts w:ascii="Arial" w:cs="Arial" w:eastAsia="Arial" w:hAnsi="Arial"/>
          <w:sz w:val="19"/>
          <w:szCs w:val="19"/>
          <w:color w:val="auto"/>
        </w:rPr>
        <w:t>______________,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Carlos Campoy</w:t>
      </w:r>
    </w:p>
    <w:p>
      <w:pPr>
        <w:spacing w:after="0" w:line="225" w:lineRule="auto"/>
        <w:rPr>
          <w:sz w:val="20"/>
          <w:szCs w:val="20"/>
          <w:color w:val="auto"/>
        </w:rPr>
      </w:pPr>
      <w:r>
        <w:rPr>
          <w:rFonts w:ascii="Arial" w:cs="Arial" w:eastAsia="Arial" w:hAnsi="Arial"/>
          <w:sz w:val="20"/>
          <w:szCs w:val="20"/>
          <w:color w:val="auto"/>
        </w:rPr>
        <w:t>__________________________________</w:t>
      </w:r>
    </w:p>
    <w:p>
      <w:pPr>
        <w:spacing w:after="0"/>
        <w:rPr>
          <w:sz w:val="20"/>
          <w:szCs w:val="20"/>
          <w:color w:val="auto"/>
        </w:rPr>
      </w:pPr>
      <w:r>
        <w:rPr>
          <w:rFonts w:ascii="Arial" w:cs="Arial" w:eastAsia="Arial" w:hAnsi="Arial"/>
          <w:sz w:val="20"/>
          <w:szCs w:val="20"/>
          <w:color w:val="auto"/>
        </w:rPr>
        <w:t>Carlos Campoy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59" w:right="1440" w:bottom="1440" w:gutter="0" w:footer="0" w:header="0"/>
        </w:sectPr>
      </w:pPr>
    </w:p>
    <w:bookmarkStart w:id="99" w:name="page100"/>
    <w:bookmarkEnd w:id="99"/>
    <w:p>
      <w:pPr>
        <w:jc w:val="center"/>
        <w:ind w:right="-1100"/>
        <w:spacing w:after="0"/>
        <w:rPr>
          <w:sz w:val="20"/>
          <w:szCs w:val="20"/>
          <w:color w:val="auto"/>
        </w:rPr>
      </w:pPr>
      <w:r>
        <w:rPr>
          <w:rFonts w:ascii="Arial" w:cs="Arial" w:eastAsia="Arial" w:hAnsi="Arial"/>
          <w:sz w:val="18"/>
          <w:szCs w:val="18"/>
          <w:b w:val="1"/>
          <w:bCs w:val="1"/>
          <w:color w:val="auto"/>
        </w:rPr>
        <w:t>EXHIBITA</w:t>
      </w:r>
    </w:p>
    <w:p>
      <w:pPr>
        <w:spacing w:after="0" w:line="211" w:lineRule="exact"/>
        <w:rPr>
          <w:sz w:val="20"/>
          <w:szCs w:val="20"/>
          <w:color w:val="auto"/>
        </w:rPr>
      </w:pPr>
    </w:p>
    <w:p>
      <w:pPr>
        <w:jc w:val="right"/>
        <w:ind w:right="2379"/>
        <w:spacing w:after="0"/>
        <w:rPr>
          <w:sz w:val="20"/>
          <w:szCs w:val="20"/>
          <w:color w:val="auto"/>
        </w:rPr>
      </w:pPr>
      <w:r>
        <w:rPr>
          <w:rFonts w:ascii="Arial" w:cs="Arial" w:eastAsia="Arial" w:hAnsi="Arial"/>
          <w:sz w:val="18"/>
          <w:szCs w:val="18"/>
          <w:b w:val="1"/>
          <w:bCs w:val="1"/>
          <w:color w:val="auto"/>
        </w:rPr>
        <w:t>DISCLOSURE CONCERNING SEVERANCE OFFER</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Exhibit 10.4</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September 12, 2022</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Amy C. Peterson, M.D.</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Employment Separation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b w:val="1"/>
          <w:bCs w:val="1"/>
          <w:color w:val="auto"/>
        </w:rPr>
        <w:t>Amy:</w:t>
      </w:r>
    </w:p>
    <w:p>
      <w:pPr>
        <w:spacing w:after="0" w:line="240"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auto"/>
        </w:rPr>
        <w:t>This letter (the "</w:t>
      </w:r>
      <w:r>
        <w:rPr>
          <w:rFonts w:ascii="Arial" w:cs="Arial" w:eastAsia="Arial" w:hAnsi="Arial"/>
          <w:sz w:val="20"/>
          <w:szCs w:val="20"/>
          <w:u w:val="single" w:color="auto"/>
          <w:color w:val="auto"/>
        </w:rPr>
        <w:t>Agreement</w:t>
      </w:r>
      <w:r>
        <w:rPr>
          <w:rFonts w:ascii="Arial" w:cs="Arial" w:eastAsia="Arial" w:hAnsi="Arial"/>
          <w:sz w:val="20"/>
          <w:szCs w:val="20"/>
          <w:color w:val="auto"/>
        </w:rPr>
        <w:t>") confirms the terms of the offer made to you by CytomX Therapeutics,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regarding the separation of your employment, effective as of </w:t>
      </w:r>
      <w:r>
        <w:rPr>
          <w:rFonts w:ascii="Arial" w:cs="Arial" w:eastAsia="Arial" w:hAnsi="Arial"/>
          <w:sz w:val="20"/>
          <w:szCs w:val="20"/>
          <w:b w:val="1"/>
          <w:bCs w:val="1"/>
          <w:color w:val="auto"/>
        </w:rPr>
        <w:t>September 12, 2022</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Separation Date</w:t>
      </w:r>
      <w:r>
        <w:rPr>
          <w:rFonts w:ascii="Arial" w:cs="Arial" w:eastAsia="Arial" w:hAnsi="Arial"/>
          <w:sz w:val="20"/>
          <w:szCs w:val="20"/>
          <w:color w:val="auto"/>
        </w:rPr>
        <w:t xml:space="preserve">”) as a result of a reduction in force. If you sign and return this letter to me on or before </w:t>
      </w:r>
      <w:r>
        <w:rPr>
          <w:rFonts w:ascii="Arial" w:cs="Arial" w:eastAsia="Arial" w:hAnsi="Arial"/>
          <w:sz w:val="20"/>
          <w:szCs w:val="20"/>
          <w:b w:val="1"/>
          <w:bCs w:val="1"/>
          <w:color w:val="auto"/>
        </w:rPr>
        <w:t>October 27, 2022</w:t>
      </w:r>
      <w:r>
        <w:rPr>
          <w:rFonts w:ascii="Arial" w:cs="Arial" w:eastAsia="Arial" w:hAnsi="Arial"/>
          <w:sz w:val="20"/>
          <w:szCs w:val="20"/>
          <w:color w:val="auto"/>
        </w:rPr>
        <w:t xml:space="preserve"> it shall become a binding agreement between you and the Company, and you will receive the separation benefits described herein. If you do not timely sign and return it, or if you revoke it in accordance with the terms of Section 7(d), below, you will receive no payments or benefits from the Company after the Separation Date, including but not limited to Company-paid COBRA premium coverage.</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 xml:space="preserve">Your employment with the Company was terminated effective as of the Separation Date. The Company wishes to provide certain severance benefits to you, pursuant to the terms of the Amended and Restated Severance and Change of Control Agreement between you and the Company dated </w:t>
      </w:r>
      <w:r>
        <w:rPr>
          <w:rFonts w:ascii="Arial" w:cs="Arial" w:eastAsia="Arial" w:hAnsi="Arial"/>
          <w:sz w:val="19"/>
          <w:szCs w:val="19"/>
          <w:b w:val="1"/>
          <w:bCs w:val="1"/>
          <w:color w:val="auto"/>
        </w:rPr>
        <w:t>October 14, 2019</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Severance Agreement</w:t>
      </w:r>
      <w:r>
        <w:rPr>
          <w:rFonts w:ascii="Arial" w:cs="Arial" w:eastAsia="Arial" w:hAnsi="Arial"/>
          <w:sz w:val="19"/>
          <w:szCs w:val="19"/>
          <w:color w:val="auto"/>
        </w:rPr>
        <w:t>”), and you wish to receive such severance benefits. Therefore, for the receipt of good and adequate consideration, you and the Company agree as follows.</w:t>
      </w:r>
    </w:p>
    <w:p>
      <w:pPr>
        <w:spacing w:after="0" w:line="199" w:lineRule="exact"/>
        <w:rPr>
          <w:sz w:val="20"/>
          <w:szCs w:val="20"/>
          <w:color w:val="auto"/>
        </w:rPr>
      </w:pPr>
    </w:p>
    <w:p>
      <w:pPr>
        <w:ind w:firstLine="8"/>
        <w:spacing w:after="0" w:line="237" w:lineRule="auto"/>
        <w:tabs>
          <w:tab w:leader="none" w:pos="44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Return of Company Property.</w:t>
      </w:r>
      <w:r>
        <w:rPr>
          <w:rFonts w:ascii="Arial" w:cs="Arial" w:eastAsia="Arial" w:hAnsi="Arial"/>
          <w:sz w:val="20"/>
          <w:szCs w:val="20"/>
          <w:color w:val="auto"/>
        </w:rPr>
        <w:t xml:space="preserve"> You have returned all property of the Company including, without limitation, confidential information or copies of such information, or other documents or materials, equipment, or other property belonging to the Company, including your laptop computer, provided however, that the Company agrees to return to you or reissue to you a useable laptop computer and/or other electronic devices if the Company requests for you to do work under the Master Consultancy Agreement (separately entered into) on or after September 13, 2022(the “Consulting Agreement”), which you will then be obligated to return to the Company, including, without limitation, confidential information or copies of such information, or other documents or materials, equipment, or other property belonging to the Company at the end of the Consultancy period. Use of and return of Company equipment that is used during the Consultancy period ensures your digital compliance with relevant data and non-disclosure obligations and laws as detailed in the Consulting Agreement.</w:t>
      </w:r>
    </w:p>
    <w:p>
      <w:pPr>
        <w:spacing w:after="0" w:line="210" w:lineRule="exact"/>
        <w:rPr>
          <w:rFonts w:ascii="Arial" w:cs="Arial" w:eastAsia="Arial" w:hAnsi="Arial"/>
          <w:sz w:val="20"/>
          <w:szCs w:val="20"/>
          <w:color w:val="auto"/>
        </w:rPr>
      </w:pPr>
    </w:p>
    <w:p>
      <w:pPr>
        <w:ind w:right="20" w:firstLine="8"/>
        <w:spacing w:after="0" w:line="238" w:lineRule="auto"/>
        <w:tabs>
          <w:tab w:leader="none" w:pos="44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Accrued Wages and Expenses.</w:t>
      </w:r>
      <w:r>
        <w:rPr>
          <w:rFonts w:ascii="Arial" w:cs="Arial" w:eastAsia="Arial" w:hAnsi="Arial"/>
          <w:sz w:val="20"/>
          <w:szCs w:val="20"/>
          <w:color w:val="auto"/>
        </w:rPr>
        <w:t xml:space="preserve"> You acknowledge receipt, on the Separation Date, of a payment in the amount equal to all earned wages owed to you through the Separation Date, including accrued, unused vacation or paid time off, base pay, commissions, bonuses and incentive compensation. On or before </w:t>
      </w:r>
      <w:r>
        <w:rPr>
          <w:rFonts w:ascii="Arial" w:cs="Arial" w:eastAsia="Arial" w:hAnsi="Arial"/>
          <w:sz w:val="20"/>
          <w:szCs w:val="20"/>
          <w:b w:val="1"/>
          <w:bCs w:val="1"/>
          <w:color w:val="auto"/>
        </w:rPr>
        <w:t>September 19, 2022</w:t>
      </w:r>
      <w:r>
        <w:rPr>
          <w:rFonts w:ascii="Arial" w:cs="Arial" w:eastAsia="Arial" w:hAnsi="Arial"/>
          <w:sz w:val="20"/>
          <w:szCs w:val="20"/>
          <w:color w:val="auto"/>
        </w:rPr>
        <w:t>, you will submit for reimbursement in accordance with the Company’s expense reimbursement policies and practices all unreimbursed business expenses incurred by you, so that the Company may promptly pay you.</w:t>
      </w:r>
    </w:p>
    <w:p>
      <w:pPr>
        <w:spacing w:after="0" w:line="196" w:lineRule="exact"/>
        <w:rPr>
          <w:rFonts w:ascii="Arial" w:cs="Arial" w:eastAsia="Arial" w:hAnsi="Arial"/>
          <w:sz w:val="20"/>
          <w:szCs w:val="20"/>
          <w:color w:val="auto"/>
        </w:rPr>
      </w:pPr>
    </w:p>
    <w:p>
      <w:pPr>
        <w:ind w:left="400" w:hanging="392"/>
        <w:spacing w:after="0"/>
        <w:tabs>
          <w:tab w:leader="none" w:pos="40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Severance Payments.</w:t>
      </w:r>
      <w:r>
        <w:rPr>
          <w:rFonts w:ascii="Arial" w:cs="Arial" w:eastAsia="Arial" w:hAnsi="Arial"/>
          <w:sz w:val="20"/>
          <w:szCs w:val="20"/>
          <w:color w:val="auto"/>
        </w:rPr>
        <w:t xml:space="preserve"> Provided you execute and return this Agreement and allow it to become effective:</w:t>
      </w:r>
    </w:p>
    <w:p>
      <w:pPr>
        <w:spacing w:after="0" w:line="202" w:lineRule="exact"/>
        <w:rPr>
          <w:rFonts w:ascii="Arial" w:cs="Arial" w:eastAsia="Arial" w:hAnsi="Arial"/>
          <w:sz w:val="20"/>
          <w:szCs w:val="20"/>
          <w:color w:val="auto"/>
        </w:rPr>
      </w:pPr>
    </w:p>
    <w:p>
      <w:pPr>
        <w:ind w:left="760" w:right="40" w:hanging="378"/>
        <w:spacing w:after="0" w:line="236" w:lineRule="auto"/>
        <w:tabs>
          <w:tab w:leader="none" w:pos="7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On the first Company payroll date that follows by at least three (3) business days the Effective Date as defined in Section 7(d), below, the Company will pay to you severance in a lump sum equivalent to </w:t>
      </w:r>
      <w:r>
        <w:rPr>
          <w:rFonts w:ascii="Arial" w:cs="Arial" w:eastAsia="Arial" w:hAnsi="Arial"/>
          <w:sz w:val="20"/>
          <w:szCs w:val="20"/>
          <w:b w:val="1"/>
          <w:bCs w:val="1"/>
          <w:color w:val="auto"/>
        </w:rPr>
        <w:t>twelve (12) months</w:t>
      </w:r>
      <w:r>
        <w:rPr>
          <w:rFonts w:ascii="Arial" w:cs="Arial" w:eastAsia="Arial" w:hAnsi="Arial"/>
          <w:sz w:val="20"/>
          <w:szCs w:val="20"/>
          <w:color w:val="auto"/>
        </w:rPr>
        <w:t xml:space="preserve"> of wages at your base salary rate, plus your annual target bonus at 100%, prorated for the number of days of your employment in 2022, or $742,123.40 less applicable taxes, garnishments and any other withholding required by law or authorized by you.</w:t>
      </w:r>
    </w:p>
    <w:p>
      <w:pPr>
        <w:spacing w:after="0" w:line="3" w:lineRule="exact"/>
        <w:rPr>
          <w:rFonts w:ascii="Arial" w:cs="Arial" w:eastAsia="Arial" w:hAnsi="Arial"/>
          <w:sz w:val="20"/>
          <w:szCs w:val="20"/>
          <w:color w:val="auto"/>
        </w:rPr>
      </w:pPr>
    </w:p>
    <w:p>
      <w:pPr>
        <w:ind w:left="760" w:hanging="378"/>
        <w:spacing w:after="0"/>
        <w:tabs>
          <w:tab w:leader="none" w:pos="7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Company will pay COBRA costs for the period specified pursuant to Section 4 below.</w:t>
      </w:r>
    </w:p>
    <w:p>
      <w:pPr>
        <w:ind w:left="760" w:right="340" w:hanging="378"/>
        <w:spacing w:after="0" w:line="243" w:lineRule="auto"/>
        <w:tabs>
          <w:tab w:leader="none" w:pos="7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Notwithstanding the foregoing, in the event that the Company experiences a Change of Control, as defined in the Severance Agreement, within 60 (sixty) days of the Separation Date, you will be entitled to the additional severance, bonus and vesting provided in Section 2 of the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1" w:name="page102"/>
    <w:bookmarkEnd w:id="101"/>
    <w:p>
      <w:pPr>
        <w:ind w:left="-8" w:right="40" w:firstLine="8"/>
        <w:spacing w:after="0" w:line="238" w:lineRule="auto"/>
        <w:tabs>
          <w:tab w:leader="none" w:pos="39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COBRA.</w:t>
      </w:r>
      <w:r>
        <w:rPr>
          <w:rFonts w:ascii="Arial" w:cs="Arial" w:eastAsia="Arial" w:hAnsi="Arial"/>
          <w:sz w:val="20"/>
          <w:szCs w:val="20"/>
          <w:color w:val="auto"/>
        </w:rPr>
        <w:t xml:space="preserve"> If you or your dependents are currently enrolled in Company-sponsored healthcare benefits, following the Separation Date, you and your enrolled dependents will be given the opportunity to elect continuation of benefits pursuant to the Consolidated Omnibus Budget Reconciliation Act of 1985, as amended, or the applicable state equivalent (together, “</w:t>
      </w:r>
      <w:r>
        <w:rPr>
          <w:rFonts w:ascii="Arial" w:cs="Arial" w:eastAsia="Arial" w:hAnsi="Arial"/>
          <w:sz w:val="20"/>
          <w:szCs w:val="20"/>
          <w:u w:val="single" w:color="auto"/>
          <w:color w:val="auto"/>
        </w:rPr>
        <w:t>COBRA</w:t>
      </w:r>
      <w:r>
        <w:rPr>
          <w:rFonts w:ascii="Arial" w:cs="Arial" w:eastAsia="Arial" w:hAnsi="Arial"/>
          <w:sz w:val="20"/>
          <w:szCs w:val="20"/>
          <w:color w:val="auto"/>
        </w:rPr>
        <w:t xml:space="preserve">”). Contingent upon your timely execution of this Agreement, allowing it to become effective, and enrollment in COBRA, the Company will direct pay for COBRA premiums through the lesser of </w:t>
      </w:r>
      <w:r>
        <w:rPr>
          <w:rFonts w:ascii="Arial" w:cs="Arial" w:eastAsia="Arial" w:hAnsi="Arial"/>
          <w:sz w:val="20"/>
          <w:szCs w:val="20"/>
          <w:b w:val="1"/>
          <w:bCs w:val="1"/>
          <w:color w:val="auto"/>
        </w:rPr>
        <w:t>twelve (12)</w:t>
      </w:r>
      <w:r>
        <w:rPr>
          <w:rFonts w:ascii="Arial" w:cs="Arial" w:eastAsia="Arial" w:hAnsi="Arial"/>
          <w:sz w:val="20"/>
          <w:szCs w:val="20"/>
          <w:color w:val="auto"/>
        </w:rPr>
        <w:t xml:space="preserve"> month(s) or until you become eligible for healthcare coverage under another employer’s plan(s). Except as expressly provided herein, you are responsible for all COBRA premium costs. You acknowledge that you shall be solely responsible for all matters relating to your continuation of coverage pursuant to COBRA, including, without limitation, your election of such coverage and timely payment of premiums (other than premiums agreed to be paid by the Company pursuant to this Section 4).</w:t>
      </w: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jc w:val="both"/>
        <w:ind w:left="-8" w:firstLine="8"/>
        <w:spacing w:after="0" w:line="241" w:lineRule="auto"/>
        <w:tabs>
          <w:tab w:leader="none" w:pos="39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xml:space="preserve"> If you have vested rights to Company stock (options or restricted stock units) as of your Separation Date, the Company will provide you with a report indicating the equity awards you were vested in. Your rights with respect to all stock option and other equity awards shall be as provided in the applicable equity plans, notices of grant and option or other equity award agreements.</w:t>
      </w:r>
    </w:p>
    <w:p>
      <w:pPr>
        <w:spacing w:after="0" w:line="210" w:lineRule="exact"/>
        <w:rPr>
          <w:rFonts w:ascii="Arial" w:cs="Arial" w:eastAsia="Arial" w:hAnsi="Arial"/>
          <w:sz w:val="20"/>
          <w:szCs w:val="20"/>
          <w:color w:val="auto"/>
        </w:rPr>
      </w:pPr>
    </w:p>
    <w:p>
      <w:pPr>
        <w:ind w:left="-8" w:right="20" w:firstLine="8"/>
        <w:spacing w:after="0" w:line="237" w:lineRule="auto"/>
        <w:tabs>
          <w:tab w:leader="none" w:pos="39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Acknowledgment of Your Continuing Obligations to the Company</w:t>
      </w:r>
      <w:r>
        <w:rPr>
          <w:rFonts w:ascii="Arial" w:cs="Arial" w:eastAsia="Arial" w:hAnsi="Arial"/>
          <w:sz w:val="20"/>
          <w:szCs w:val="20"/>
          <w:color w:val="auto"/>
        </w:rPr>
        <w:t>. In conjunction with your employment by the Company, you acknowledge that you executed an Employee Proprietary Information and Inventions Agreement (the “Confidentiality and Inventions Agreement”) and agree to comply with its continuing obligations, including but not limited to your obligations with respect to proprietary information, Company inventions, to return Company documents, and not to solicit or attempt to solicit any employee, consultant or independent contractor of the Company. Notwithstanding the foregoing, or anything contained in the Confidentiality and Inventions Agreement, you acknowledge that you will not be held criminally or civilly liable for (a) the disclosure of confidential or proprietary information or trade secrets that is made in confidence to a government official or to an attorney solely for the purpose of reporting or investigating a suspected violation of law, or (b) disclosure of confidential or proprietary information or trade secrets in a made in a complaint or other document filed in a lawsuit or other proceeding under seal or pursuant to court order</w:t>
      </w:r>
    </w:p>
    <w:p>
      <w:pPr>
        <w:spacing w:after="0" w:line="199" w:lineRule="exact"/>
        <w:rPr>
          <w:rFonts w:ascii="Arial" w:cs="Arial" w:eastAsia="Arial" w:hAnsi="Arial"/>
          <w:sz w:val="20"/>
          <w:szCs w:val="20"/>
          <w:color w:val="auto"/>
        </w:rPr>
      </w:pPr>
    </w:p>
    <w:p>
      <w:pPr>
        <w:ind w:left="-8" w:right="260" w:firstLine="8"/>
        <w:spacing w:after="0" w:line="243" w:lineRule="auto"/>
        <w:tabs>
          <w:tab w:leader="none" w:pos="43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General Release.</w:t>
      </w:r>
      <w:r>
        <w:rPr>
          <w:rFonts w:ascii="Arial" w:cs="Arial" w:eastAsia="Arial" w:hAnsi="Arial"/>
          <w:sz w:val="20"/>
          <w:szCs w:val="20"/>
          <w:color w:val="auto"/>
        </w:rPr>
        <w:t xml:space="preserve"> You agree not to sue, or otherwise file any claim against, the Company or any of its directors, officers, managers, employees or agents for any reason whatsoever based on anything that has occurred as of the date you sign this Agreement.</w:t>
      </w:r>
    </w:p>
    <w:p>
      <w:pPr>
        <w:spacing w:after="0" w:line="192" w:lineRule="exact"/>
        <w:rPr>
          <w:rFonts w:ascii="Arial" w:cs="Arial" w:eastAsia="Arial" w:hAnsi="Arial"/>
          <w:sz w:val="20"/>
          <w:szCs w:val="20"/>
          <w:color w:val="auto"/>
        </w:rPr>
      </w:pPr>
    </w:p>
    <w:p>
      <w:pPr>
        <w:ind w:left="1452" w:right="820" w:hanging="703"/>
        <w:spacing w:after="0" w:line="250" w:lineRule="auto"/>
        <w:tabs>
          <w:tab w:leader="none" w:pos="1452" w:val="left"/>
        </w:tabs>
        <w:numPr>
          <w:ilvl w:val="1"/>
          <w:numId w:val="78"/>
        </w:numPr>
        <w:rPr>
          <w:rFonts w:ascii="Arial" w:cs="Arial" w:eastAsia="Arial" w:hAnsi="Arial"/>
          <w:sz w:val="19"/>
          <w:szCs w:val="19"/>
          <w:color w:val="auto"/>
        </w:rPr>
      </w:pPr>
      <w:r>
        <w:rPr>
          <w:rFonts w:ascii="Arial" w:cs="Arial" w:eastAsia="Arial" w:hAnsi="Arial"/>
          <w:sz w:val="19"/>
          <w:szCs w:val="19"/>
          <w:color w:val="auto"/>
        </w:rPr>
        <w:t>On behalf of yourself and your executors, administrators, heirs and assigns, you hereby release and forever discharge the “</w:t>
      </w:r>
      <w:r>
        <w:rPr>
          <w:rFonts w:ascii="Arial" w:cs="Arial" w:eastAsia="Arial" w:hAnsi="Arial"/>
          <w:sz w:val="19"/>
          <w:szCs w:val="19"/>
          <w:u w:val="single" w:color="auto"/>
          <w:color w:val="auto"/>
        </w:rPr>
        <w:t>Releasees</w:t>
      </w:r>
      <w:r>
        <w:rPr>
          <w:rFonts w:ascii="Arial" w:cs="Arial" w:eastAsia="Arial" w:hAnsi="Arial"/>
          <w:sz w:val="19"/>
          <w:szCs w:val="19"/>
          <w:color w:val="auto"/>
        </w:rPr>
        <w:t>” hereunder, consisting of the Company, and each of its owners, directors, officers, managers, employees, agents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9"/>
          <w:szCs w:val="19"/>
          <w:u w:val="single" w:color="auto"/>
          <w:color w:val="auto"/>
        </w:rPr>
        <w:t>Claims</w:t>
      </w:r>
      <w:r>
        <w:rPr>
          <w:rFonts w:ascii="Arial" w:cs="Arial" w:eastAsia="Arial" w:hAnsi="Arial"/>
          <w:sz w:val="19"/>
          <w:szCs w:val="19"/>
          <w:color w:val="auto"/>
        </w:rPr>
        <w:t>”), which you now have or may hereafter have against the Releasees, or any of them, by reason of any matter, cause, or thing whatsoever from the beginning of time to the date hereof, including, without limiting the generality of the foregoing, any Claims arising directly or indirectly out of, relating to, or in any other way involving in any manner whatsoever your employment by the Company or the separation thereof, including without limitation any and all claims arising under federal, state, or local laws relating to employment, claims of any kind that may be brought in any court or administrative agency, any claims arising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as amended, 29 U.S.C. § 621, et seq.; the Title VII of the Civil Rights Act of 1964, as amended by the Civil Rights Act of 1991, 42 U.S.C. § 2000 et seq.; the Equal Pay Act, as amended, 29 U.S.C. § 206(d); the Civil Rights Act of 1866, 42 U.S.C. § 1981; the Family and Medical Leave Act of 1993, 29 U.S.C. § 2601 et seq.; the Americans with Disabilities Act of 1990, 42 U.S.C. § 12101 et seq.; the False Claims Act , 31 U.S.C. § 3729 et seq.; the Employee Retirement Income Security Act, as amended, 29 U.S.C. § 1001 et seq.; the Worker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-745490</wp:posOffset>
            </wp:positionV>
            <wp:extent cx="3771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-600075</wp:posOffset>
            </wp:positionV>
            <wp:extent cx="4121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412115"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-308610</wp:posOffset>
            </wp:positionV>
            <wp:extent cx="4121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412115"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-162560</wp:posOffset>
            </wp:positionV>
            <wp:extent cx="4121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41211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-162560</wp:posOffset>
            </wp:positionV>
            <wp:extent cx="4121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412115" cy="825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-25400</wp:posOffset>
            </wp:positionV>
            <wp:extent cx="3771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ectPr>
          <w:pgSz w:w="11900" w:h="16838" w:orient="portrait"/>
          <w:cols w:equalWidth="0" w:num="1">
            <w:col w:w="11232"/>
          </w:cols>
          <w:pgMar w:left="328" w:top="135" w:right="339" w:bottom="1440" w:gutter="0" w:footer="0" w:header="0"/>
        </w:sectPr>
      </w:pPr>
    </w:p>
    <w:bookmarkStart w:id="102" w:name="page103"/>
    <w:bookmarkEnd w:id="102"/>
    <w:p>
      <w:pPr>
        <w:ind w:left="703" w:right="820"/>
        <w:spacing w:after="0" w:line="238" w:lineRule="auto"/>
        <w:rPr>
          <w:sz w:val="20"/>
          <w:szCs w:val="20"/>
          <w:color w:val="auto"/>
        </w:rPr>
      </w:pPr>
      <w:r>
        <w:rPr>
          <w:rFonts w:ascii="Arial" w:cs="Arial" w:eastAsia="Arial" w:hAnsi="Arial"/>
          <w:sz w:val="20"/>
          <w:szCs w:val="20"/>
          <w:color w:val="auto"/>
        </w:rPr>
        <w:t>and Retraining Notification Act, as amended, 29 U.S.C. § 2101 et seq. the Fair Labor Standards Act, 29 U.S.C. § 215 et seq., the Sarbanes-Oxley Act of 2002; the California Fair Employment and Housing Act; the California Family Rights Act; the California Labor Code; California Business &amp; Professions Code Section 17200; Claims arising under the laws, regulations or ordinances of any other California statute or local legislation affecting employment; Claims under the laws, regulations or ordinances of any other state, commonwealth or municipality, including but not limited to Claims arising under the laws, regulations, and local ordinances of municipalities within, Arizona, Connecticut, Florida, Illinois, Indiana, Maryland, Massachusetts, Mississippi, New Jersey, New York, North Carolina, Ohio, Oregon, Texas, Virginia and Wisconsin;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-1904365</wp:posOffset>
            </wp:positionV>
            <wp:extent cx="3771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1335405</wp:posOffset>
            </wp:positionH>
            <wp:positionV relativeFrom="paragraph">
              <wp:posOffset>-1758315</wp:posOffset>
            </wp:positionV>
            <wp:extent cx="4121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412115" cy="8890"/>
                    </a:xfrm>
                    <a:prstGeom prst="rect">
                      <a:avLst/>
                    </a:prstGeom>
                    <a:noFill/>
                  </pic:spPr>
                </pic:pic>
              </a:graphicData>
            </a:graphic>
          </wp:anchor>
        </w:drawing>
      </w:r>
    </w:p>
    <w:p>
      <w:pPr>
        <w:spacing w:after="0" w:line="176" w:lineRule="exact"/>
        <w:rPr>
          <w:sz w:val="20"/>
          <w:szCs w:val="20"/>
          <w:color w:val="auto"/>
        </w:rPr>
      </w:pPr>
    </w:p>
    <w:p>
      <w:pPr>
        <w:ind w:left="703" w:right="740" w:hanging="703"/>
        <w:spacing w:after="0" w:line="249" w:lineRule="auto"/>
        <w:tabs>
          <w:tab w:leader="none" w:pos="703"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Notwithstanding the generality of the foregoing, you do not release any Claims that cannot be released as a matter of law including, without limitation, (i) Claims for indemnity under the Company’s Bylaws, Articles of Incorporation, written indemnification agreement between you and the Company, and/or under applicable law; (ii) any rights that you may have to insurance coverage under any directors and officers liability insurance, other insurance policies of the Company, COBRA or any similar state law; (iii) any Claims for workers compensation, state disability or unemployment insurance benefit; (iv) rights</w:t>
      </w:r>
    </w:p>
    <w:p>
      <w:pPr>
        <w:spacing w:after="0" w:line="3" w:lineRule="exact"/>
        <w:rPr>
          <w:sz w:val="20"/>
          <w:szCs w:val="20"/>
          <w:color w:val="auto"/>
        </w:rPr>
      </w:pPr>
    </w:p>
    <w:p>
      <w:pPr>
        <w:ind w:left="703" w:right="800"/>
        <w:spacing w:after="0" w:line="238" w:lineRule="auto"/>
        <w:rPr>
          <w:sz w:val="20"/>
          <w:szCs w:val="20"/>
          <w:color w:val="auto"/>
        </w:rPr>
      </w:pPr>
      <w:r>
        <w:rPr>
          <w:rFonts w:ascii="Arial" w:cs="Arial" w:eastAsia="Arial" w:hAnsi="Arial"/>
          <w:sz w:val="20"/>
          <w:szCs w:val="20"/>
          <w:color w:val="auto"/>
        </w:rPr>
        <w:t>to any vested benefits under any stock, compensation or other employee benefits plan of the Company; (v) any rights you may have as an existing shareholder of the Company; (vi) any Claims arising after the Effective Date of this Agreement; (vii) your right to bring to the attention of the Equal Employment Opportunity Commission or equivalent local agency claims of discrimination, harassment, interference with leave rights, and retaliation; provided, however, that you do release your right to secure damages for any such alleged treatment; and (viii) your right to communicate directly with, cooperate with, or provide information to, any federal, state or local government regulator, including, but not limited to, the U.S. Securities and Exchange Commission, the U.S. Commodity Futures Trading Commission, or the U.S. Department of Justice.</w:t>
      </w:r>
    </w:p>
    <w:p>
      <w:pPr>
        <w:spacing w:after="0" w:line="202" w:lineRule="exact"/>
        <w:rPr>
          <w:sz w:val="20"/>
          <w:szCs w:val="20"/>
          <w:color w:val="auto"/>
        </w:rPr>
      </w:pPr>
    </w:p>
    <w:p>
      <w:pPr>
        <w:ind w:left="743" w:right="40" w:hanging="743"/>
        <w:spacing w:after="0" w:line="246" w:lineRule="auto"/>
        <w:tabs>
          <w:tab w:leader="none" w:pos="743" w:val="left"/>
        </w:tabs>
        <w:numPr>
          <w:ilvl w:val="0"/>
          <w:numId w:val="80"/>
        </w:numPr>
        <w:rPr>
          <w:rFonts w:ascii="Arial" w:cs="Arial" w:eastAsia="Arial" w:hAnsi="Arial"/>
          <w:sz w:val="20"/>
          <w:szCs w:val="20"/>
          <w:color w:val="auto"/>
        </w:rPr>
      </w:pPr>
      <w:r>
        <w:rPr>
          <w:rFonts w:ascii="Arial" w:cs="Arial" w:eastAsia="Arial" w:hAnsi="Arial"/>
          <w:sz w:val="20"/>
          <w:szCs w:val="20"/>
          <w:color w:val="auto"/>
        </w:rPr>
        <w:t>YOU ACKNOWLEDGE THAT YOU HAVE BEEN ADVISED OF AND ARE FAMILIAR WITH THE PROVISIONS OF CALIFORNIA CIVIL CODE SECTION 1542, WHICH PROVIDES AS FOLLOWS:</w:t>
      </w:r>
    </w:p>
    <w:p>
      <w:pPr>
        <w:spacing w:after="0" w:line="180" w:lineRule="exact"/>
        <w:rPr>
          <w:sz w:val="20"/>
          <w:szCs w:val="20"/>
          <w:color w:val="auto"/>
        </w:rPr>
      </w:pPr>
    </w:p>
    <w:p>
      <w:pPr>
        <w:jc w:val="both"/>
        <w:ind w:left="743" w:firstLine="453"/>
        <w:spacing w:after="0" w:line="245"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5" w:lineRule="exact"/>
        <w:rPr>
          <w:sz w:val="20"/>
          <w:szCs w:val="20"/>
          <w:color w:val="auto"/>
        </w:rPr>
      </w:pPr>
    </w:p>
    <w:p>
      <w:pPr>
        <w:jc w:val="both"/>
        <w:ind w:left="743"/>
        <w:spacing w:after="0" w:line="243" w:lineRule="auto"/>
        <w:rPr>
          <w:sz w:val="20"/>
          <w:szCs w:val="20"/>
          <w:color w:val="auto"/>
        </w:rPr>
      </w:pPr>
      <w:r>
        <w:rPr>
          <w:rFonts w:ascii="Arial" w:cs="Arial" w:eastAsia="Arial" w:hAnsi="Arial"/>
          <w:sz w:val="20"/>
          <w:szCs w:val="20"/>
          <w:color w:val="auto"/>
        </w:rPr>
        <w:t>BEING AWARE OF SAID CODE SECTION, YOU HEREBY EXPRESSLY WAIVE ANY RIGHTS YOU MAY HAVE THEREUNDER, AS WELL AS UNDER ANY OTHER STATUTES OR COMMON LAW PRINCIPLES OF SIMILAR EFFECT.</w:t>
      </w:r>
    </w:p>
    <w:p>
      <w:pPr>
        <w:spacing w:after="0" w:line="206" w:lineRule="exact"/>
        <w:rPr>
          <w:sz w:val="20"/>
          <w:szCs w:val="20"/>
          <w:color w:val="auto"/>
        </w:rPr>
      </w:pPr>
    </w:p>
    <w:p>
      <w:pPr>
        <w:ind w:left="703" w:right="1060" w:hanging="703"/>
        <w:spacing w:after="0" w:line="246" w:lineRule="auto"/>
        <w:tabs>
          <w:tab w:leader="none" w:pos="703"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 accordance with the Older Workers Benefit Protection Act of 1990, you acknowledge that you are aware of the following:</w:t>
      </w:r>
    </w:p>
    <w:p>
      <w:pPr>
        <w:spacing w:after="0" w:line="190" w:lineRule="exact"/>
        <w:rPr>
          <w:rFonts w:ascii="Arial" w:cs="Arial" w:eastAsia="Arial" w:hAnsi="Arial"/>
          <w:sz w:val="20"/>
          <w:szCs w:val="20"/>
          <w:color w:val="auto"/>
        </w:rPr>
      </w:pPr>
    </w:p>
    <w:p>
      <w:pPr>
        <w:ind w:left="1943" w:hanging="446"/>
        <w:spacing w:after="0"/>
        <w:tabs>
          <w:tab w:leader="none" w:pos="1943"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This paragraph, and this Agreement are written in a manner calculated to be understood by you.</w:t>
      </w:r>
    </w:p>
    <w:p>
      <w:pPr>
        <w:spacing w:after="0" w:line="215" w:lineRule="exact"/>
        <w:rPr>
          <w:rFonts w:ascii="Arial" w:cs="Arial" w:eastAsia="Arial" w:hAnsi="Arial"/>
          <w:sz w:val="20"/>
          <w:szCs w:val="20"/>
          <w:color w:val="auto"/>
        </w:rPr>
      </w:pPr>
    </w:p>
    <w:p>
      <w:pPr>
        <w:ind w:left="743" w:right="300" w:firstLine="754"/>
        <w:spacing w:after="0" w:line="236" w:lineRule="auto"/>
        <w:tabs>
          <w:tab w:leader="none" w:pos="1932"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waiver and release of claims under the ADEA contained in this Agreement does not cover rights or claims that may arise after the date on which you sign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191135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35" w:right="339" w:bottom="1440" w:gutter="0" w:footer="0" w:header="0"/>
        </w:sectPr>
      </w:pPr>
    </w:p>
    <w:bookmarkStart w:id="103" w:name="page104"/>
    <w:bookmarkEnd w:id="103"/>
    <w:p>
      <w:pPr>
        <w:ind w:left="1500" w:right="600" w:firstLine="754"/>
        <w:spacing w:after="0" w:line="247" w:lineRule="auto"/>
        <w:tabs>
          <w:tab w:leader="none" w:pos="2688"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This Agreement provides for consideration in addition to anything of value to which you are already entitled.</w:t>
      </w:r>
    </w:p>
    <w:p>
      <w:pPr>
        <w:spacing w:after="0" w:line="188" w:lineRule="exact"/>
        <w:rPr>
          <w:rFonts w:ascii="Arial" w:cs="Arial" w:eastAsia="Arial" w:hAnsi="Arial"/>
          <w:sz w:val="20"/>
          <w:szCs w:val="20"/>
          <w:color w:val="auto"/>
        </w:rPr>
      </w:pPr>
    </w:p>
    <w:p>
      <w:pPr>
        <w:ind w:left="2700" w:hanging="446"/>
        <w:spacing w:after="0"/>
        <w:tabs>
          <w:tab w:leader="none" w:pos="27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You have been advised to consult an attorney before signing this Agreement.</w:t>
      </w:r>
    </w:p>
    <w:p>
      <w:pPr>
        <w:spacing w:after="0" w:line="202" w:lineRule="exact"/>
        <w:rPr>
          <w:rFonts w:ascii="Arial" w:cs="Arial" w:eastAsia="Arial" w:hAnsi="Arial"/>
          <w:sz w:val="20"/>
          <w:szCs w:val="20"/>
          <w:color w:val="auto"/>
        </w:rPr>
      </w:pPr>
    </w:p>
    <w:p>
      <w:pPr>
        <w:ind w:left="1500" w:right="60" w:firstLine="754"/>
        <w:spacing w:after="0" w:line="241" w:lineRule="auto"/>
        <w:tabs>
          <w:tab w:leader="none" w:pos="2688" w:val="left"/>
        </w:tabs>
        <w:numPr>
          <w:ilvl w:val="0"/>
          <w:numId w:val="82"/>
        </w:numPr>
        <w:rPr>
          <w:rFonts w:ascii="Arial" w:cs="Arial" w:eastAsia="Arial" w:hAnsi="Arial"/>
          <w:sz w:val="20"/>
          <w:szCs w:val="20"/>
          <w:color w:val="auto"/>
        </w:rPr>
      </w:pPr>
      <w:r>
        <w:rPr>
          <w:rFonts w:ascii="Arial" w:cs="Arial" w:eastAsia="Arial" w:hAnsi="Arial"/>
          <w:sz w:val="20"/>
          <w:szCs w:val="20"/>
          <w:color w:val="auto"/>
        </w:rPr>
        <w:t>You have been granted forty-five (45) days after you are presented with this Agreement to decide whether or not to sign it. If you execute this Agreement prior to the expiration of such period, you do so voluntarily and after having had the opportunity to consult with an attorney, and hereby waive the remainder of the forty-five (45) day period.</w:t>
      </w:r>
    </w:p>
    <w:p>
      <w:pPr>
        <w:spacing w:after="0" w:line="210" w:lineRule="exact"/>
        <w:rPr>
          <w:rFonts w:ascii="Arial" w:cs="Arial" w:eastAsia="Arial" w:hAnsi="Arial"/>
          <w:sz w:val="20"/>
          <w:szCs w:val="20"/>
          <w:color w:val="auto"/>
        </w:rPr>
      </w:pPr>
    </w:p>
    <w:p>
      <w:pPr>
        <w:ind w:left="1500" w:right="180" w:firstLine="754"/>
        <w:spacing w:after="0" w:line="243" w:lineRule="auto"/>
        <w:tabs>
          <w:tab w:leader="none" w:pos="2688" w:val="left"/>
        </w:tabs>
        <w:numPr>
          <w:ilvl w:val="0"/>
          <w:numId w:val="82"/>
        </w:numPr>
        <w:rPr>
          <w:rFonts w:ascii="Arial" w:cs="Arial" w:eastAsia="Arial" w:hAnsi="Arial"/>
          <w:sz w:val="20"/>
          <w:szCs w:val="20"/>
          <w:color w:val="auto"/>
        </w:rPr>
      </w:pPr>
      <w:r>
        <w:rPr>
          <w:rFonts w:ascii="Arial" w:cs="Arial" w:eastAsia="Arial" w:hAnsi="Arial"/>
          <w:sz w:val="20"/>
          <w:szCs w:val="20"/>
          <w:color w:val="auto"/>
        </w:rPr>
        <w:t>You have the right to revoke this Agreement within seven (7) days of signing it. In the event this Agreement is revoked, it will be null and void in its entirety, and you will not receive the benefits of this Agreement.</w:t>
      </w:r>
    </w:p>
    <w:p>
      <w:pPr>
        <w:spacing w:after="0" w:line="192" w:lineRule="exact"/>
        <w:rPr>
          <w:sz w:val="20"/>
          <w:szCs w:val="20"/>
          <w:color w:val="auto"/>
        </w:rPr>
      </w:pPr>
    </w:p>
    <w:p>
      <w:pPr>
        <w:ind w:left="1500" w:right="60" w:firstLine="661"/>
        <w:spacing w:after="0" w:line="243" w:lineRule="auto"/>
        <w:tabs>
          <w:tab w:leader="none" w:pos="2596"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The job titles and ages of all individuals eligible or selected for the settlement offer and the ages of all individuals in the same job classification or organizational unit who are not eligible for the settlement offer are listed on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92" w:lineRule="exact"/>
        <w:rPr>
          <w:sz w:val="20"/>
          <w:szCs w:val="20"/>
          <w:color w:val="auto"/>
        </w:rPr>
      </w:pPr>
    </w:p>
    <w:p>
      <w:pPr>
        <w:ind w:left="1500" w:right="280"/>
        <w:spacing w:after="0" w:line="227" w:lineRule="auto"/>
        <w:rPr>
          <w:sz w:val="20"/>
          <w:szCs w:val="20"/>
          <w:color w:val="auto"/>
        </w:rPr>
      </w:pPr>
      <w:r>
        <w:rPr>
          <w:rFonts w:ascii="Arial" w:cs="Arial" w:eastAsia="Arial" w:hAnsi="Arial"/>
          <w:sz w:val="20"/>
          <w:szCs w:val="20"/>
          <w:color w:val="auto"/>
        </w:rPr>
        <w:t>If you wish to revoke this Agreement, you must deliver written notice stating that intent to revoke to Danielle Olander, Senior Vice President, Talent and Systems Development dolander@cytomx.com, on or before 5:00 p.m. on the seventh (7</w:t>
      </w:r>
      <w:r>
        <w:rPr>
          <w:rFonts w:ascii="Arial" w:cs="Arial" w:eastAsia="Arial" w:hAnsi="Arial"/>
          <w:sz w:val="26"/>
          <w:szCs w:val="26"/>
          <w:color w:val="auto"/>
          <w:vertAlign w:val="superscript"/>
        </w:rPr>
        <w:t>th</w:t>
      </w:r>
      <w:r>
        <w:rPr>
          <w:rFonts w:ascii="Arial" w:cs="Arial" w:eastAsia="Arial" w:hAnsi="Arial"/>
          <w:sz w:val="20"/>
          <w:szCs w:val="20"/>
          <w:color w:val="auto"/>
        </w:rPr>
        <w:t>) calendar day after the date on which you sign this Agreement. The eighth day following your executive of this Agreement shall be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99" w:lineRule="exact"/>
        <w:rPr>
          <w:sz w:val="20"/>
          <w:szCs w:val="20"/>
          <w:color w:val="auto"/>
        </w:rPr>
      </w:pPr>
    </w:p>
    <w:p>
      <w:pPr>
        <w:ind w:right="20" w:firstLine="8"/>
        <w:spacing w:after="0" w:line="246" w:lineRule="auto"/>
        <w:tabs>
          <w:tab w:leader="none" w:pos="44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Requests for References.</w:t>
      </w:r>
      <w:r>
        <w:rPr>
          <w:rFonts w:ascii="Arial" w:cs="Arial" w:eastAsia="Arial" w:hAnsi="Arial"/>
          <w:sz w:val="20"/>
          <w:szCs w:val="20"/>
          <w:color w:val="auto"/>
        </w:rPr>
        <w:t xml:space="preserve"> All external requests for references should be directed to Human Resources at hr@cytomx.com, who will confirm only your job title and dates of employment.</w:t>
      </w:r>
    </w:p>
    <w:p>
      <w:pPr>
        <w:spacing w:after="0" w:line="190" w:lineRule="exact"/>
        <w:rPr>
          <w:rFonts w:ascii="Arial" w:cs="Arial" w:eastAsia="Arial" w:hAnsi="Arial"/>
          <w:sz w:val="20"/>
          <w:szCs w:val="20"/>
          <w:color w:val="auto"/>
        </w:rPr>
      </w:pPr>
    </w:p>
    <w:p>
      <w:pPr>
        <w:ind w:right="200" w:firstLine="8"/>
        <w:spacing w:after="0" w:line="253" w:lineRule="auto"/>
        <w:tabs>
          <w:tab w:leader="none" w:pos="44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Company’s Release of Claims</w:t>
      </w:r>
      <w:r>
        <w:rPr>
          <w:rFonts w:ascii="Arial" w:cs="Arial" w:eastAsia="Arial" w:hAnsi="Arial"/>
          <w:sz w:val="19"/>
          <w:szCs w:val="19"/>
          <w:color w:val="auto"/>
        </w:rPr>
        <w:t>. The Company voluntarily releases and you and your heirs, successors, administrators, representatives and assigns from all Claim which it may have against the you as the result of your employment or the discontinuance of your employment and that are based upon facts known, or which in the exercise of reasonable diligence should have been known, to the Company’s Board of Directors. Notwithstanding the foregoing, nothing herein shall release or discharge any Claim by the Company against you, or the right of the Company to bring any action, legal or otherwise, against you as a result of any failure by you to perform your obligations under this Agreement, the Confidentiality and Inventions Agreement or the Consulting Agreement (if any is entered into), or as a result of any acts of intentional misconduct by you.</w:t>
      </w:r>
    </w:p>
    <w:p>
      <w:pPr>
        <w:spacing w:after="0" w:line="183"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auto"/>
        </w:rPr>
        <w:t>The Company acknowledges that it is aware of and familiar with the provisions of California Civil Code Section 1542, which provides as follows:</w:t>
      </w:r>
    </w:p>
    <w:p>
      <w:pPr>
        <w:spacing w:after="0" w:line="180" w:lineRule="exact"/>
        <w:rPr>
          <w:sz w:val="20"/>
          <w:szCs w:val="20"/>
          <w:color w:val="auto"/>
        </w:rPr>
      </w:pPr>
    </w:p>
    <w:p>
      <w:pPr>
        <w:jc w:val="both"/>
        <w:ind w:left="1500" w:firstLine="453"/>
        <w:spacing w:after="0" w:line="245"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5" w:lineRule="exact"/>
        <w:rPr>
          <w:sz w:val="20"/>
          <w:szCs w:val="20"/>
          <w:color w:val="auto"/>
        </w:rPr>
      </w:pPr>
    </w:p>
    <w:p>
      <w:pPr>
        <w:jc w:val="both"/>
        <w:ind w:left="1500"/>
        <w:spacing w:after="0" w:line="243" w:lineRule="auto"/>
        <w:rPr>
          <w:sz w:val="20"/>
          <w:szCs w:val="20"/>
          <w:color w:val="auto"/>
        </w:rPr>
      </w:pPr>
      <w:r>
        <w:rPr>
          <w:rFonts w:ascii="Arial" w:cs="Arial" w:eastAsia="Arial" w:hAnsi="Arial"/>
          <w:sz w:val="20"/>
          <w:szCs w:val="20"/>
          <w:color w:val="auto"/>
        </w:rPr>
        <w:t>BEING AWARE OF SAID CODE SECTION, THE COMPANY HEREBY EXPRESSLY WAIVES ANY RIGHTS IT MAY HAVE THEREUNDER, AS WELL AS UNDER ANY OTHER STATUTES OR COMMON LAW PRINCIPLES OF SIMILAR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Employee’s Representations.</w:t>
      </w:r>
      <w:r>
        <w:rPr>
          <w:rFonts w:ascii="Arial" w:cs="Arial" w:eastAsia="Arial" w:hAnsi="Arial"/>
          <w:sz w:val="20"/>
          <w:szCs w:val="20"/>
          <w:color w:val="auto"/>
        </w:rPr>
        <w:t xml:space="preserve"> You represent and warrant that:</w:t>
      </w:r>
    </w:p>
    <w:p>
      <w:pPr>
        <w:spacing w:after="0" w:line="215" w:lineRule="exact"/>
        <w:rPr>
          <w:rFonts w:ascii="Arial" w:cs="Arial" w:eastAsia="Arial" w:hAnsi="Arial"/>
          <w:sz w:val="20"/>
          <w:szCs w:val="20"/>
          <w:color w:val="auto"/>
        </w:rPr>
      </w:pPr>
    </w:p>
    <w:p>
      <w:pPr>
        <w:ind w:left="1500" w:hanging="743"/>
        <w:spacing w:after="0"/>
        <w:tabs>
          <w:tab w:leader="none" w:pos="1500" w:val="left"/>
        </w:tabs>
        <w:numPr>
          <w:ilvl w:val="1"/>
          <w:numId w:val="85"/>
        </w:numPr>
        <w:rPr>
          <w:rFonts w:ascii="Arial" w:cs="Arial" w:eastAsia="Arial" w:hAnsi="Arial"/>
          <w:sz w:val="20"/>
          <w:szCs w:val="20"/>
          <w:color w:val="auto"/>
        </w:rPr>
      </w:pPr>
      <w:r>
        <w:rPr>
          <w:rFonts w:ascii="Arial" w:cs="Arial" w:eastAsia="Arial" w:hAnsi="Arial"/>
          <w:sz w:val="20"/>
          <w:szCs w:val="20"/>
          <w:color w:val="auto"/>
        </w:rPr>
        <w:t>You have returned to the Company all Company property in your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4" w:name="page105"/>
    <w:bookmarkEnd w:id="104"/>
    <w:p>
      <w:pPr>
        <w:ind w:left="1500" w:hanging="743"/>
        <w:spacing w:after="0" w:line="247" w:lineRule="auto"/>
        <w:tabs>
          <w:tab w:leader="none" w:pos="1500" w:val="left"/>
        </w:tabs>
        <w:numPr>
          <w:ilvl w:val="1"/>
          <w:numId w:val="86"/>
        </w:numPr>
        <w:rPr>
          <w:rFonts w:ascii="Arial" w:cs="Arial" w:eastAsia="Arial" w:hAnsi="Arial"/>
          <w:sz w:val="20"/>
          <w:szCs w:val="20"/>
          <w:color w:val="auto"/>
        </w:rPr>
      </w:pPr>
      <w:r>
        <w:rPr>
          <w:rFonts w:ascii="Arial" w:cs="Arial" w:eastAsia="Arial" w:hAnsi="Arial"/>
          <w:sz w:val="20"/>
          <w:szCs w:val="20"/>
          <w:color w:val="auto"/>
        </w:rPr>
        <w:t>You are not owed wages, commissions, bonuses or other compensation, other than as set forth in this Agreement;</w:t>
      </w:r>
    </w:p>
    <w:p>
      <w:pPr>
        <w:spacing w:after="0" w:line="202" w:lineRule="exact"/>
        <w:rPr>
          <w:rFonts w:ascii="Arial" w:cs="Arial" w:eastAsia="Arial" w:hAnsi="Arial"/>
          <w:sz w:val="20"/>
          <w:szCs w:val="20"/>
          <w:color w:val="auto"/>
        </w:rPr>
      </w:pPr>
    </w:p>
    <w:p>
      <w:pPr>
        <w:ind w:left="1500" w:right="20" w:hanging="743"/>
        <w:spacing w:after="0" w:line="246" w:lineRule="auto"/>
        <w:tabs>
          <w:tab w:leader="none" w:pos="1500" w:val="left"/>
        </w:tabs>
        <w:numPr>
          <w:ilvl w:val="1"/>
          <w:numId w:val="86"/>
        </w:numPr>
        <w:rPr>
          <w:rFonts w:ascii="Arial" w:cs="Arial" w:eastAsia="Arial" w:hAnsi="Arial"/>
          <w:sz w:val="20"/>
          <w:szCs w:val="20"/>
          <w:color w:val="auto"/>
        </w:rPr>
      </w:pPr>
      <w:r>
        <w:rPr>
          <w:rFonts w:ascii="Arial" w:cs="Arial" w:eastAsia="Arial" w:hAnsi="Arial"/>
          <w:sz w:val="20"/>
          <w:szCs w:val="20"/>
          <w:color w:val="auto"/>
        </w:rPr>
        <w:t>During the course of your employment you did not sustain any injuries for which you might be entitled to compensation pursuant to worker’s compensation law; and</w:t>
      </w:r>
    </w:p>
    <w:p>
      <w:pPr>
        <w:spacing w:after="0" w:line="190" w:lineRule="exact"/>
        <w:rPr>
          <w:rFonts w:ascii="Arial" w:cs="Arial" w:eastAsia="Arial" w:hAnsi="Arial"/>
          <w:sz w:val="20"/>
          <w:szCs w:val="20"/>
          <w:color w:val="auto"/>
        </w:rPr>
      </w:pPr>
    </w:p>
    <w:p>
      <w:pPr>
        <w:jc w:val="both"/>
        <w:ind w:left="1500" w:hanging="743"/>
        <w:spacing w:after="0" w:line="243" w:lineRule="auto"/>
        <w:tabs>
          <w:tab w:leader="none" w:pos="1500" w:val="left"/>
        </w:tabs>
        <w:numPr>
          <w:ilvl w:val="1"/>
          <w:numId w:val="86"/>
        </w:numPr>
        <w:rPr>
          <w:rFonts w:ascii="Arial" w:cs="Arial" w:eastAsia="Arial" w:hAnsi="Arial"/>
          <w:sz w:val="20"/>
          <w:szCs w:val="20"/>
          <w:color w:val="auto"/>
        </w:rPr>
      </w:pPr>
      <w:r>
        <w:rPr>
          <w:rFonts w:ascii="Arial" w:cs="Arial" w:eastAsia="Arial" w:hAnsi="Arial"/>
          <w:sz w:val="20"/>
          <w:szCs w:val="20"/>
          <w:color w:val="auto"/>
        </w:rPr>
        <w:t>You have not initiated any adversarial proceedings of any kind against the Company or against any other person or entity released herein, nor will you do so in the future, except as specifically allowed by this Agreement.</w:t>
      </w:r>
    </w:p>
    <w:p>
      <w:pPr>
        <w:spacing w:after="0" w:line="205" w:lineRule="exact"/>
        <w:rPr>
          <w:rFonts w:ascii="Arial" w:cs="Arial" w:eastAsia="Arial" w:hAnsi="Arial"/>
          <w:sz w:val="20"/>
          <w:szCs w:val="20"/>
          <w:color w:val="auto"/>
        </w:rPr>
      </w:pPr>
    </w:p>
    <w:p>
      <w:pPr>
        <w:ind w:right="40" w:firstLine="8"/>
        <w:spacing w:after="0" w:line="238" w:lineRule="auto"/>
        <w:tabs>
          <w:tab w:leader="none" w:pos="44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Non-Defamation</w:t>
      </w:r>
      <w:r>
        <w:rPr>
          <w:rFonts w:ascii="Arial" w:cs="Arial" w:eastAsia="Arial" w:hAnsi="Arial"/>
          <w:sz w:val="20"/>
          <w:szCs w:val="20"/>
          <w:color w:val="auto"/>
        </w:rPr>
        <w:t>. You agree not to defame the Company, its directors, officers and employees, Company products or services, or any Releasee, publicly or privately, directly or indirectly through others, by use of any words, actions, gestures or medium, including but not limited to on social media or other internet site. Nothing in this Section 11 or this Agreement shall prevent you from (a) testifying truthfully in response to a subpoena or other legal process; (b) discussing terms and conditions of your employment with the Company, as permitted by the National Labor Relations Act and California law, including but not limited to discussing or disclosing information about unlawful acts in the workplace, such as harassment or discrimination or any other conduct that you have reason to believe is unlawful; or (c) communicating directly with, cooperating with, or providing information to, any federal, state or local government regulator, including, but not limited to, the U.S. Securities and Exchange Commission, the U.S. Commodity Futures Trading Commission, or the U.S. Department of Justice.</w:t>
      </w:r>
    </w:p>
    <w:p>
      <w:pPr>
        <w:spacing w:after="0" w:line="201" w:lineRule="exact"/>
        <w:rPr>
          <w:rFonts w:ascii="Arial" w:cs="Arial" w:eastAsia="Arial" w:hAnsi="Arial"/>
          <w:sz w:val="20"/>
          <w:szCs w:val="20"/>
          <w:color w:val="auto"/>
        </w:rPr>
      </w:pPr>
    </w:p>
    <w:p>
      <w:pPr>
        <w:ind w:right="20" w:firstLine="8"/>
        <w:spacing w:after="0" w:line="262" w:lineRule="auto"/>
        <w:tabs>
          <w:tab w:leader="none" w:pos="44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The provisions of this Agreement are severable. If any provision is held to be invalid or unenforceable, it shall not affect the validity or the enforceability of any other provision. You represent that you have thoroughly read and considered all aspects of this Agreement, that you understand all of its provisions, and that you are voluntarily entering into this Agreement.</w:t>
      </w:r>
    </w:p>
    <w:p>
      <w:pPr>
        <w:spacing w:after="0" w:line="175" w:lineRule="exact"/>
        <w:rPr>
          <w:rFonts w:ascii="Arial" w:cs="Arial" w:eastAsia="Arial" w:hAnsi="Arial"/>
          <w:sz w:val="19"/>
          <w:szCs w:val="19"/>
          <w:color w:val="auto"/>
        </w:rPr>
      </w:pPr>
    </w:p>
    <w:p>
      <w:pPr>
        <w:jc w:val="both"/>
        <w:ind w:firstLine="8"/>
        <w:spacing w:after="0" w:line="230" w:lineRule="auto"/>
        <w:tabs>
          <w:tab w:leader="none" w:pos="44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Governing Law and Attorneys’ Fees.</w:t>
      </w:r>
      <w:r>
        <w:rPr>
          <w:rFonts w:ascii="Arial" w:cs="Arial" w:eastAsia="Arial" w:hAnsi="Arial"/>
          <w:sz w:val="20"/>
          <w:szCs w:val="20"/>
          <w:color w:val="auto"/>
        </w:rPr>
        <w:t xml:space="preserve"> This Agreement will in all respects be interpreted, enforced and governed under the laws of the state in which you were last employed by the Company, without regard to the conflicts of laws rules thereof. If it is necessary to for either party to file suit to enforce this Agreement, the prevailing party shall recover its reasonable costs of enforcement, including costs and reasonable attorneys' fees.</w:t>
      </w:r>
    </w:p>
    <w:p>
      <w:pPr>
        <w:spacing w:after="0" w:line="184" w:lineRule="exact"/>
        <w:rPr>
          <w:rFonts w:ascii="Arial" w:cs="Arial" w:eastAsia="Arial" w:hAnsi="Arial"/>
          <w:sz w:val="20"/>
          <w:szCs w:val="20"/>
          <w:color w:val="auto"/>
        </w:rPr>
      </w:pPr>
    </w:p>
    <w:p>
      <w:pPr>
        <w:jc w:val="both"/>
        <w:ind w:right="120" w:firstLine="8"/>
        <w:spacing w:after="0" w:line="241" w:lineRule="auto"/>
        <w:tabs>
          <w:tab w:leader="none" w:pos="44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Integrated Agreement.</w:t>
      </w:r>
      <w:r>
        <w:rPr>
          <w:rFonts w:ascii="Arial" w:cs="Arial" w:eastAsia="Arial" w:hAnsi="Arial"/>
          <w:sz w:val="20"/>
          <w:szCs w:val="20"/>
          <w:color w:val="auto"/>
        </w:rPr>
        <w:t xml:space="preserve"> This Agreement, together with the Confidentiality and Inventions Agreement, and the Consulting Agreement (if mutually agreed) sets forth the entire agreement between you and Company and supersedes and replaces any and all prior oral or written agreements or understandings between you and Company. You represent that you have signed this Agreement voluntarily.</w:t>
      </w:r>
    </w:p>
    <w:p>
      <w:pPr>
        <w:spacing w:after="0" w:line="210" w:lineRule="exact"/>
        <w:rPr>
          <w:rFonts w:ascii="Arial" w:cs="Arial" w:eastAsia="Arial" w:hAnsi="Arial"/>
          <w:sz w:val="20"/>
          <w:szCs w:val="20"/>
          <w:color w:val="auto"/>
        </w:rPr>
      </w:pPr>
    </w:p>
    <w:p>
      <w:pPr>
        <w:ind w:right="500" w:firstLine="8"/>
        <w:spacing w:after="0" w:line="246" w:lineRule="auto"/>
        <w:tabs>
          <w:tab w:leader="none" w:pos="44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Amendment of this Agreement.</w:t>
      </w:r>
      <w:r>
        <w:rPr>
          <w:rFonts w:ascii="Arial" w:cs="Arial" w:eastAsia="Arial" w:hAnsi="Arial"/>
          <w:sz w:val="20"/>
          <w:szCs w:val="20"/>
          <w:color w:val="auto"/>
        </w:rPr>
        <w:t xml:space="preserve"> This Agreement may not be altered, amended, or modified except by a further written document signed by you and an authorized representative of Company.</w:t>
      </w:r>
    </w:p>
    <w:p>
      <w:pPr>
        <w:spacing w:after="0" w:line="190" w:lineRule="exact"/>
        <w:rPr>
          <w:rFonts w:ascii="Arial" w:cs="Arial" w:eastAsia="Arial" w:hAnsi="Arial"/>
          <w:sz w:val="20"/>
          <w:szCs w:val="20"/>
          <w:color w:val="auto"/>
        </w:rPr>
      </w:pPr>
    </w:p>
    <w:p>
      <w:pPr>
        <w:ind w:right="60" w:firstLine="8"/>
        <w:spacing w:after="0" w:line="272" w:lineRule="auto"/>
        <w:tabs>
          <w:tab w:leader="none" w:pos="44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xml:space="preserve"> This Agreement may be executed in counterparts with the same force and effectiveness as though executed in a single document. Facsimile signatures shall have the same force and effectiveness as original signatures.</w:t>
      </w:r>
    </w:p>
    <w:p>
      <w:pPr>
        <w:spacing w:after="0" w:line="166" w:lineRule="exact"/>
        <w:rPr>
          <w:sz w:val="20"/>
          <w:szCs w:val="20"/>
          <w:color w:val="auto"/>
        </w:rPr>
      </w:pPr>
    </w:p>
    <w:p>
      <w:pPr>
        <w:ind w:right="440" w:firstLine="440"/>
        <w:spacing w:after="0" w:line="246" w:lineRule="auto"/>
        <w:rPr>
          <w:sz w:val="20"/>
          <w:szCs w:val="20"/>
          <w:color w:val="auto"/>
        </w:rPr>
      </w:pPr>
      <w:r>
        <w:rPr>
          <w:rFonts w:ascii="Arial" w:cs="Arial" w:eastAsia="Arial" w:hAnsi="Arial"/>
          <w:sz w:val="20"/>
          <w:szCs w:val="20"/>
          <w:color w:val="auto"/>
        </w:rPr>
        <w:t xml:space="preserve">If the above terms are agreeable to you, please date and sign the original of this letter in the place indicated below and return it to me on or before </w:t>
      </w:r>
      <w:r>
        <w:rPr>
          <w:rFonts w:ascii="Arial" w:cs="Arial" w:eastAsia="Arial" w:hAnsi="Arial"/>
          <w:sz w:val="20"/>
          <w:szCs w:val="20"/>
          <w:b w:val="1"/>
          <w:bCs w:val="1"/>
          <w:color w:val="auto"/>
        </w:rPr>
        <w:t>October 27, 2022</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Lloyd Rowland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Vice President, General Counsel</w:t>
      </w:r>
    </w:p>
    <w:p>
      <w:pPr>
        <w:spacing w:after="0"/>
        <w:rPr>
          <w:sz w:val="20"/>
          <w:szCs w:val="20"/>
          <w:color w:val="auto"/>
        </w:rPr>
      </w:pPr>
      <w:r>
        <w:rPr>
          <w:rFonts w:ascii="Arial" w:cs="Arial" w:eastAsia="Arial" w:hAnsi="Arial"/>
          <w:sz w:val="20"/>
          <w:szCs w:val="20"/>
          <w:b w:val="1"/>
          <w:bCs w:val="1"/>
          <w:color w:val="auto"/>
        </w:rPr>
        <w:t>CytomX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color w:val="auto"/>
        </w:rPr>
        <w:t>Accepted and agreed to on this _</w:t>
      </w:r>
      <w:r>
        <w:rPr>
          <w:rFonts w:ascii="Arial" w:cs="Arial" w:eastAsia="Arial" w:hAnsi="Arial"/>
          <w:sz w:val="19"/>
          <w:szCs w:val="19"/>
          <w:u w:val="single" w:color="auto"/>
          <w:color w:val="auto"/>
        </w:rPr>
        <w:t>_12</w:t>
      </w:r>
      <w:r>
        <w:rPr>
          <w:rFonts w:ascii="Arial" w:cs="Arial" w:eastAsia="Arial" w:hAnsi="Arial"/>
          <w:sz w:val="19"/>
          <w:szCs w:val="19"/>
          <w:color w:val="auto"/>
        </w:rPr>
        <w:t xml:space="preserve"> day of ____</w:t>
      </w:r>
      <w:r>
        <w:rPr>
          <w:rFonts w:ascii="Arial" w:cs="Arial" w:eastAsia="Arial" w:hAnsi="Arial"/>
          <w:sz w:val="19"/>
          <w:szCs w:val="19"/>
          <w:u w:val="single" w:color="auto"/>
          <w:color w:val="auto"/>
        </w:rPr>
        <w:t>September</w:t>
      </w:r>
      <w:r>
        <w:rPr>
          <w:rFonts w:ascii="Arial" w:cs="Arial" w:eastAsia="Arial" w:hAnsi="Arial"/>
          <w:sz w:val="19"/>
          <w:szCs w:val="19"/>
          <w:color w:val="auto"/>
        </w:rPr>
        <w:t>___________,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Amy Peterson</w:t>
      </w:r>
    </w:p>
    <w:p>
      <w:pPr>
        <w:spacing w:after="0" w:line="225" w:lineRule="auto"/>
        <w:rPr>
          <w:sz w:val="20"/>
          <w:szCs w:val="20"/>
          <w:color w:val="auto"/>
        </w:rPr>
      </w:pPr>
      <w:r>
        <w:rPr>
          <w:rFonts w:ascii="Arial" w:cs="Arial" w:eastAsia="Arial" w:hAnsi="Arial"/>
          <w:sz w:val="20"/>
          <w:szCs w:val="20"/>
          <w:color w:val="auto"/>
        </w:rPr>
        <w:t>__________________________________</w:t>
      </w:r>
    </w:p>
    <w:p>
      <w:pPr>
        <w:spacing w:after="0"/>
        <w:rPr>
          <w:sz w:val="20"/>
          <w:szCs w:val="20"/>
          <w:color w:val="auto"/>
        </w:rPr>
      </w:pPr>
      <w:r>
        <w:rPr>
          <w:rFonts w:ascii="Arial" w:cs="Arial" w:eastAsia="Arial" w:hAnsi="Arial"/>
          <w:sz w:val="20"/>
          <w:szCs w:val="20"/>
          <w:color w:val="auto"/>
        </w:rPr>
        <w:t>Dr. Amy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59" w:right="1440" w:bottom="1440" w:gutter="0" w:footer="0" w:header="0"/>
        </w:sectPr>
      </w:pPr>
    </w:p>
    <w:bookmarkStart w:id="106" w:name="page107"/>
    <w:bookmarkEnd w:id="106"/>
    <w:p>
      <w:pPr>
        <w:jc w:val="center"/>
        <w:ind w:right="-1100"/>
        <w:spacing w:after="0"/>
        <w:rPr>
          <w:sz w:val="20"/>
          <w:szCs w:val="20"/>
          <w:color w:val="auto"/>
        </w:rPr>
      </w:pPr>
      <w:r>
        <w:rPr>
          <w:rFonts w:ascii="Arial" w:cs="Arial" w:eastAsia="Arial" w:hAnsi="Arial"/>
          <w:sz w:val="18"/>
          <w:szCs w:val="18"/>
          <w:b w:val="1"/>
          <w:bCs w:val="1"/>
          <w:color w:val="auto"/>
        </w:rPr>
        <w:t>EXHIBITA</w:t>
      </w:r>
    </w:p>
    <w:p>
      <w:pPr>
        <w:spacing w:after="0" w:line="211" w:lineRule="exact"/>
        <w:rPr>
          <w:sz w:val="20"/>
          <w:szCs w:val="20"/>
          <w:color w:val="auto"/>
        </w:rPr>
      </w:pPr>
    </w:p>
    <w:p>
      <w:pPr>
        <w:jc w:val="right"/>
        <w:ind w:right="2379"/>
        <w:spacing w:after="0"/>
        <w:rPr>
          <w:sz w:val="20"/>
          <w:szCs w:val="20"/>
          <w:color w:val="auto"/>
        </w:rPr>
      </w:pPr>
      <w:r>
        <w:rPr>
          <w:rFonts w:ascii="Arial" w:cs="Arial" w:eastAsia="Arial" w:hAnsi="Arial"/>
          <w:sz w:val="18"/>
          <w:szCs w:val="18"/>
          <w:b w:val="1"/>
          <w:bCs w:val="1"/>
          <w:color w:val="auto"/>
        </w:rPr>
        <w:t>DISCLOSURE CONCERNING SEVERANCE OFFER</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color w:val="auto"/>
        </w:rPr>
        <w:t>Exhibit 10.5</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September 30, 2022</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Alison Hannah, M.D.</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Employment Separation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b w:val="1"/>
          <w:bCs w:val="1"/>
          <w:color w:val="auto"/>
        </w:rPr>
        <w:t>Alison:</w:t>
      </w:r>
    </w:p>
    <w:p>
      <w:pPr>
        <w:spacing w:after="0" w:line="240"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auto"/>
        </w:rPr>
        <w:t>This letter (the "</w:t>
      </w:r>
      <w:r>
        <w:rPr>
          <w:rFonts w:ascii="Arial" w:cs="Arial" w:eastAsia="Arial" w:hAnsi="Arial"/>
          <w:sz w:val="20"/>
          <w:szCs w:val="20"/>
          <w:u w:val="single" w:color="auto"/>
          <w:color w:val="auto"/>
        </w:rPr>
        <w:t>Agreement</w:t>
      </w:r>
      <w:r>
        <w:rPr>
          <w:rFonts w:ascii="Arial" w:cs="Arial" w:eastAsia="Arial" w:hAnsi="Arial"/>
          <w:sz w:val="20"/>
          <w:szCs w:val="20"/>
          <w:color w:val="auto"/>
        </w:rPr>
        <w:t>") confirms the terms of the offer made to you by CytomX Therapeutics,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regarding the separation of your employment, effective as of </w:t>
      </w:r>
      <w:r>
        <w:rPr>
          <w:rFonts w:ascii="Arial" w:cs="Arial" w:eastAsia="Arial" w:hAnsi="Arial"/>
          <w:sz w:val="20"/>
          <w:szCs w:val="20"/>
          <w:b w:val="1"/>
          <w:bCs w:val="1"/>
          <w:color w:val="auto"/>
        </w:rPr>
        <w:t>September 30, 2022</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Separation Date</w:t>
      </w:r>
      <w:r>
        <w:rPr>
          <w:rFonts w:ascii="Arial" w:cs="Arial" w:eastAsia="Arial" w:hAnsi="Arial"/>
          <w:sz w:val="20"/>
          <w:szCs w:val="20"/>
          <w:color w:val="auto"/>
        </w:rPr>
        <w:t xml:space="preserve">”) as a result of a reduction in force. If you sign and return this letter to me on or before </w:t>
      </w:r>
      <w:r>
        <w:rPr>
          <w:rFonts w:ascii="Arial" w:cs="Arial" w:eastAsia="Arial" w:hAnsi="Arial"/>
          <w:sz w:val="20"/>
          <w:szCs w:val="20"/>
          <w:b w:val="1"/>
          <w:bCs w:val="1"/>
          <w:color w:val="auto"/>
        </w:rPr>
        <w:t>November 14, 2022</w:t>
      </w:r>
      <w:r>
        <w:rPr>
          <w:rFonts w:ascii="Arial" w:cs="Arial" w:eastAsia="Arial" w:hAnsi="Arial"/>
          <w:sz w:val="20"/>
          <w:szCs w:val="20"/>
          <w:color w:val="auto"/>
        </w:rPr>
        <w:t xml:space="preserve"> it shall become a binding agreement between you and the Company, and you will receive the separation benefits described herein. If you do not timely sign and return it, or if you revoke it in accordance with the terms of Section 7(d), below, you will receive no payments or benefits from the Company after the Separation Date, including but not limited to Company-paid COBRA premium coverage.</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 xml:space="preserve">Your employment with the Company was terminated effective as of the Separation Date. The Company wishes to provide certain severance benefits to you, pursuant to the terms of the Amended and Restated Severance and Change of Control Agreement between you and the Company dated </w:t>
      </w:r>
      <w:r>
        <w:rPr>
          <w:rFonts w:ascii="Arial" w:cs="Arial" w:eastAsia="Arial" w:hAnsi="Arial"/>
          <w:sz w:val="19"/>
          <w:szCs w:val="19"/>
          <w:b w:val="1"/>
          <w:bCs w:val="1"/>
          <w:color w:val="auto"/>
        </w:rPr>
        <w:t>February 3, 2020</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Severance Agreement</w:t>
      </w:r>
      <w:r>
        <w:rPr>
          <w:rFonts w:ascii="Arial" w:cs="Arial" w:eastAsia="Arial" w:hAnsi="Arial"/>
          <w:sz w:val="19"/>
          <w:szCs w:val="19"/>
          <w:color w:val="auto"/>
        </w:rPr>
        <w:t>”), and you wish to receive such severance benefits. Therefore, for the receipt of good and adequate consideration, you and the Company agree as follows.</w:t>
      </w:r>
    </w:p>
    <w:p>
      <w:pPr>
        <w:spacing w:after="0" w:line="199" w:lineRule="exact"/>
        <w:rPr>
          <w:sz w:val="20"/>
          <w:szCs w:val="20"/>
          <w:color w:val="auto"/>
        </w:rPr>
      </w:pPr>
    </w:p>
    <w:p>
      <w:pPr>
        <w:ind w:right="500" w:firstLine="8"/>
        <w:spacing w:after="0" w:line="237" w:lineRule="auto"/>
        <w:tabs>
          <w:tab w:leader="none" w:pos="44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Return of Company Property.</w:t>
      </w:r>
      <w:r>
        <w:rPr>
          <w:rFonts w:ascii="Arial" w:cs="Arial" w:eastAsia="Arial" w:hAnsi="Arial"/>
          <w:sz w:val="20"/>
          <w:szCs w:val="20"/>
          <w:color w:val="auto"/>
        </w:rPr>
        <w:t xml:space="preserve"> You have returned all property of the Company including, without limitation, confidential information or copies of such information, or other documents or materials, equipment, or other property belonging to the Company, including your laptop computer.</w:t>
      </w:r>
    </w:p>
    <w:p>
      <w:pPr>
        <w:spacing w:after="0" w:line="196" w:lineRule="exact"/>
        <w:rPr>
          <w:rFonts w:ascii="Arial" w:cs="Arial" w:eastAsia="Arial" w:hAnsi="Arial"/>
          <w:sz w:val="20"/>
          <w:szCs w:val="20"/>
          <w:color w:val="auto"/>
        </w:rPr>
      </w:pPr>
    </w:p>
    <w:p>
      <w:pPr>
        <w:ind w:right="20" w:firstLine="8"/>
        <w:spacing w:after="0" w:line="241" w:lineRule="auto"/>
        <w:tabs>
          <w:tab w:leader="none" w:pos="44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Accrued Wages and Expenses.</w:t>
      </w:r>
      <w:r>
        <w:rPr>
          <w:rFonts w:ascii="Arial" w:cs="Arial" w:eastAsia="Arial" w:hAnsi="Arial"/>
          <w:sz w:val="20"/>
          <w:szCs w:val="20"/>
          <w:color w:val="auto"/>
        </w:rPr>
        <w:t xml:space="preserve"> You acknowledge receipt, on the Separation Date, of a payment in the amount equal to all earned wages owed to you through the Separation Date, including accrued, unused vacation or paid time off, base pay, commissions, bonuses and incentive compensation. On or before </w:t>
      </w:r>
      <w:r>
        <w:rPr>
          <w:rFonts w:ascii="Arial" w:cs="Arial" w:eastAsia="Arial" w:hAnsi="Arial"/>
          <w:sz w:val="20"/>
          <w:szCs w:val="20"/>
          <w:b w:val="1"/>
          <w:bCs w:val="1"/>
          <w:color w:val="auto"/>
        </w:rPr>
        <w:t>October 7, 2022</w:t>
      </w:r>
      <w:r>
        <w:rPr>
          <w:rFonts w:ascii="Arial" w:cs="Arial" w:eastAsia="Arial" w:hAnsi="Arial"/>
          <w:sz w:val="20"/>
          <w:szCs w:val="20"/>
          <w:color w:val="auto"/>
        </w:rPr>
        <w:t>, you will submit for reimbursement in accordance with the Company’s expense reimbursement policies and practices all unreimbursed business expenses incurred by you, so that the Company may promptly pay you.</w:t>
      </w:r>
    </w:p>
    <w:p>
      <w:pPr>
        <w:spacing w:after="0" w:line="195" w:lineRule="exact"/>
        <w:rPr>
          <w:rFonts w:ascii="Arial" w:cs="Arial" w:eastAsia="Arial" w:hAnsi="Arial"/>
          <w:sz w:val="20"/>
          <w:szCs w:val="20"/>
          <w:color w:val="auto"/>
        </w:rPr>
      </w:pPr>
    </w:p>
    <w:p>
      <w:pPr>
        <w:ind w:left="400" w:hanging="392"/>
        <w:spacing w:after="0"/>
        <w:tabs>
          <w:tab w:leader="none" w:pos="40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Severance Payments.</w:t>
      </w:r>
      <w:r>
        <w:rPr>
          <w:rFonts w:ascii="Arial" w:cs="Arial" w:eastAsia="Arial" w:hAnsi="Arial"/>
          <w:sz w:val="20"/>
          <w:szCs w:val="20"/>
          <w:color w:val="auto"/>
        </w:rPr>
        <w:t xml:space="preserve"> Provided you execute and return this Agreement and allow it to become effective:</w:t>
      </w:r>
    </w:p>
    <w:p>
      <w:pPr>
        <w:spacing w:after="0" w:line="202" w:lineRule="exact"/>
        <w:rPr>
          <w:rFonts w:ascii="Arial" w:cs="Arial" w:eastAsia="Arial" w:hAnsi="Arial"/>
          <w:sz w:val="20"/>
          <w:szCs w:val="20"/>
          <w:color w:val="auto"/>
        </w:rPr>
      </w:pPr>
    </w:p>
    <w:p>
      <w:pPr>
        <w:ind w:left="760" w:right="40" w:hanging="378"/>
        <w:spacing w:after="0" w:line="236" w:lineRule="auto"/>
        <w:tabs>
          <w:tab w:leader="none" w:pos="7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 xml:space="preserve">On the first Company payroll date that follows by at least three (3) business days the Effective Date as defined in Section 7(d), below, the Company will pay to you severance in a lump sum equivalent to </w:t>
      </w:r>
      <w:r>
        <w:rPr>
          <w:rFonts w:ascii="Arial" w:cs="Arial" w:eastAsia="Arial" w:hAnsi="Arial"/>
          <w:sz w:val="20"/>
          <w:szCs w:val="20"/>
          <w:b w:val="1"/>
          <w:bCs w:val="1"/>
          <w:color w:val="auto"/>
        </w:rPr>
        <w:t>twelve (12) months</w:t>
      </w:r>
      <w:r>
        <w:rPr>
          <w:rFonts w:ascii="Arial" w:cs="Arial" w:eastAsia="Arial" w:hAnsi="Arial"/>
          <w:sz w:val="20"/>
          <w:szCs w:val="20"/>
          <w:color w:val="auto"/>
        </w:rPr>
        <w:t xml:space="preserve"> of wages at your base salary rate, plus your annual target bonus at 100%, prorated for the number of days of your employment in 2022, or </w:t>
      </w:r>
      <w:r>
        <w:rPr>
          <w:rFonts w:ascii="Arial" w:cs="Arial" w:eastAsia="Arial" w:hAnsi="Arial"/>
          <w:sz w:val="20"/>
          <w:szCs w:val="20"/>
          <w:b w:val="1"/>
          <w:bCs w:val="1"/>
          <w:color w:val="auto"/>
        </w:rPr>
        <w:t>$624,455.10</w:t>
      </w:r>
      <w:r>
        <w:rPr>
          <w:rFonts w:ascii="Arial" w:cs="Arial" w:eastAsia="Arial" w:hAnsi="Arial"/>
          <w:sz w:val="20"/>
          <w:szCs w:val="20"/>
          <w:color w:val="auto"/>
        </w:rPr>
        <w:t xml:space="preserve"> less applicable taxes, garnishments and any other withholding required by law or authorized by you.</w:t>
      </w:r>
    </w:p>
    <w:p>
      <w:pPr>
        <w:spacing w:after="0" w:line="3" w:lineRule="exact"/>
        <w:rPr>
          <w:rFonts w:ascii="Arial" w:cs="Arial" w:eastAsia="Arial" w:hAnsi="Arial"/>
          <w:sz w:val="20"/>
          <w:szCs w:val="20"/>
          <w:color w:val="auto"/>
        </w:rPr>
      </w:pPr>
    </w:p>
    <w:p>
      <w:pPr>
        <w:ind w:left="760" w:hanging="378"/>
        <w:spacing w:after="0"/>
        <w:tabs>
          <w:tab w:leader="none" w:pos="7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 Company will pay COBRA costs for the period specified pursuant to Section 4 below.</w:t>
      </w:r>
    </w:p>
    <w:p>
      <w:pPr>
        <w:ind w:left="760" w:right="340" w:hanging="378"/>
        <w:spacing w:after="0" w:line="243" w:lineRule="auto"/>
        <w:tabs>
          <w:tab w:leader="none" w:pos="7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Notwithstanding the foregoing, in the event that the Company experiences a Change of Control, as defined in the Severance Agreement, within 60 (sixty) days of the Separation Date, you will be entitled to the additional severance, bonus and vesting provided in Section 2 of the Severance Agreement.</w:t>
      </w:r>
    </w:p>
    <w:p>
      <w:pPr>
        <w:spacing w:after="0" w:line="192" w:lineRule="exact"/>
        <w:rPr>
          <w:rFonts w:ascii="Arial" w:cs="Arial" w:eastAsia="Arial" w:hAnsi="Arial"/>
          <w:sz w:val="20"/>
          <w:szCs w:val="20"/>
          <w:color w:val="auto"/>
        </w:rPr>
      </w:pPr>
    </w:p>
    <w:p>
      <w:pPr>
        <w:ind w:right="40" w:firstLine="8"/>
        <w:spacing w:after="0" w:line="238" w:lineRule="auto"/>
        <w:tabs>
          <w:tab w:leader="none" w:pos="40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COBRA.</w:t>
      </w:r>
      <w:r>
        <w:rPr>
          <w:rFonts w:ascii="Arial" w:cs="Arial" w:eastAsia="Arial" w:hAnsi="Arial"/>
          <w:sz w:val="20"/>
          <w:szCs w:val="20"/>
          <w:color w:val="auto"/>
        </w:rPr>
        <w:t xml:space="preserve"> If you or your dependents are currently enrolled in Company-sponsored healthcare benefits, following the Separation Date, you and your enrolled dependents will be given the opportunity to elect continuation of benefits pursuant to the Consolidated Omnibus Budget Reconciliation Act of 1985, as amended, or the applicable state equivalent (together, “</w:t>
      </w:r>
      <w:r>
        <w:rPr>
          <w:rFonts w:ascii="Arial" w:cs="Arial" w:eastAsia="Arial" w:hAnsi="Arial"/>
          <w:sz w:val="20"/>
          <w:szCs w:val="20"/>
          <w:u w:val="single" w:color="auto"/>
          <w:color w:val="auto"/>
        </w:rPr>
        <w:t>COBRA</w:t>
      </w:r>
      <w:r>
        <w:rPr>
          <w:rFonts w:ascii="Arial" w:cs="Arial" w:eastAsia="Arial" w:hAnsi="Arial"/>
          <w:sz w:val="20"/>
          <w:szCs w:val="20"/>
          <w:color w:val="auto"/>
        </w:rPr>
        <w:t xml:space="preserve">”). Contingent upon your timely execution of this Agreement, allowing it to become effective, and enrollment in COBRA, the Company will direct pay for COBRA premiums through the lesser of </w:t>
      </w:r>
      <w:r>
        <w:rPr>
          <w:rFonts w:ascii="Arial" w:cs="Arial" w:eastAsia="Arial" w:hAnsi="Arial"/>
          <w:sz w:val="20"/>
          <w:szCs w:val="20"/>
          <w:b w:val="1"/>
          <w:bCs w:val="1"/>
          <w:color w:val="auto"/>
        </w:rPr>
        <w:t>twelve (12)</w:t>
      </w:r>
      <w:r>
        <w:rPr>
          <w:rFonts w:ascii="Arial" w:cs="Arial" w:eastAsia="Arial" w:hAnsi="Arial"/>
          <w:sz w:val="20"/>
          <w:szCs w:val="20"/>
          <w:color w:val="auto"/>
        </w:rPr>
        <w:t xml:space="preserve"> month(s) or until you become eligible for healthcare coverage under another employer’s plan(s). Except as expressly provided herein, you are responsible for all COBRA premium costs. You acknowledge that you shall be solely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ind w:right="60"/>
        <w:spacing w:after="0" w:line="272" w:lineRule="auto"/>
        <w:rPr>
          <w:sz w:val="20"/>
          <w:szCs w:val="20"/>
          <w:color w:val="auto"/>
        </w:rPr>
      </w:pPr>
      <w:r>
        <w:rPr>
          <w:rFonts w:ascii="Arial" w:cs="Arial" w:eastAsia="Arial" w:hAnsi="Arial"/>
          <w:sz w:val="19"/>
          <w:szCs w:val="19"/>
          <w:color w:val="auto"/>
        </w:rPr>
        <w:t>for all matters relating to your continuation of coverage pursuant to COBRA, including, without limitation, your election of such coverage and timely payment of premiums (other than premiums agreed to be paid by the Company pursuant to this Section 4).</w:t>
      </w:r>
    </w:p>
    <w:p>
      <w:pPr>
        <w:spacing w:after="0" w:line="369" w:lineRule="exact"/>
        <w:rPr>
          <w:sz w:val="20"/>
          <w:szCs w:val="20"/>
          <w:color w:val="auto"/>
        </w:rPr>
      </w:pPr>
    </w:p>
    <w:p>
      <w:pPr>
        <w:jc w:val="both"/>
        <w:ind w:firstLine="8"/>
        <w:spacing w:after="0" w:line="241" w:lineRule="auto"/>
        <w:tabs>
          <w:tab w:leader="none" w:pos="40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xml:space="preserve"> If you have vested rights to Company stock (options or restricted stock units) as of your Separation Date, the Company will provide you with a report indicating the equity awards you were vested in. Your rights with respect to all stock option and other equity awards shall be as provided in the applicable equity plans, notices of grant and option or other equity award agreements.</w:t>
      </w:r>
    </w:p>
    <w:p>
      <w:pPr>
        <w:spacing w:after="0" w:line="210" w:lineRule="exact"/>
        <w:rPr>
          <w:rFonts w:ascii="Arial" w:cs="Arial" w:eastAsia="Arial" w:hAnsi="Arial"/>
          <w:sz w:val="20"/>
          <w:szCs w:val="20"/>
          <w:color w:val="auto"/>
        </w:rPr>
      </w:pPr>
    </w:p>
    <w:p>
      <w:pPr>
        <w:ind w:right="20" w:firstLine="8"/>
        <w:spacing w:after="0" w:line="237" w:lineRule="auto"/>
        <w:tabs>
          <w:tab w:leader="none" w:pos="40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Acknowledgment of Your Continuing Obligations to the Company</w:t>
      </w:r>
      <w:r>
        <w:rPr>
          <w:rFonts w:ascii="Arial" w:cs="Arial" w:eastAsia="Arial" w:hAnsi="Arial"/>
          <w:sz w:val="20"/>
          <w:szCs w:val="20"/>
          <w:color w:val="auto"/>
        </w:rPr>
        <w:t>. In conjunction with your employment by the Company, you acknowledge that you executed an Employee Proprietary Information and Inventions Agreement (the “Confidentiality and Inventions Agreement”) and agree to comply with its continuing obligations, including but not limited to your obligations with respect to proprietary information, Company inventions, to return Company documents, and not to solicit or attempt to solicit any employee, consultant or independent contractor of the Company. Notwithstanding the foregoing, or anything contained in the Confidentiality and Inventions Agreement, you acknowledge that you will not be held criminally or civilly liable for (a) the disclosure of confidential or proprietary information or trade secrets that is made in confidence to a government official or to an attorney solely for the purpose of reporting or investigating a suspected violation of law, or (b) disclosure of confidential or proprietary information or trade secrets in a made in a complaint or other document filed in a lawsuit or other proceeding under seal or pursuant to court order</w:t>
      </w:r>
    </w:p>
    <w:p>
      <w:pPr>
        <w:spacing w:after="0" w:line="199" w:lineRule="exact"/>
        <w:rPr>
          <w:rFonts w:ascii="Arial" w:cs="Arial" w:eastAsia="Arial" w:hAnsi="Arial"/>
          <w:sz w:val="20"/>
          <w:szCs w:val="20"/>
          <w:color w:val="auto"/>
        </w:rPr>
      </w:pPr>
    </w:p>
    <w:p>
      <w:pPr>
        <w:ind w:right="260" w:firstLine="8"/>
        <w:spacing w:after="0" w:line="243" w:lineRule="auto"/>
        <w:tabs>
          <w:tab w:leader="none" w:pos="44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General Release.</w:t>
      </w:r>
      <w:r>
        <w:rPr>
          <w:rFonts w:ascii="Arial" w:cs="Arial" w:eastAsia="Arial" w:hAnsi="Arial"/>
          <w:sz w:val="20"/>
          <w:szCs w:val="20"/>
          <w:color w:val="auto"/>
        </w:rPr>
        <w:t xml:space="preserve"> You agree not to sue, or otherwise file any claim against, the Company or any of its directors, officers, managers, employees or agents for any reason whatsoever based on anything that has occurred as of the date you sign this Agreement.</w:t>
      </w:r>
    </w:p>
    <w:p>
      <w:pPr>
        <w:spacing w:after="0" w:line="192" w:lineRule="exact"/>
        <w:rPr>
          <w:rFonts w:ascii="Arial" w:cs="Arial" w:eastAsia="Arial" w:hAnsi="Arial"/>
          <w:sz w:val="20"/>
          <w:szCs w:val="20"/>
          <w:color w:val="auto"/>
        </w:rPr>
      </w:pPr>
    </w:p>
    <w:p>
      <w:pPr>
        <w:ind w:left="1460" w:right="820" w:hanging="703"/>
        <w:spacing w:after="0" w:line="237" w:lineRule="auto"/>
        <w:tabs>
          <w:tab w:leader="none" w:pos="1460" w:val="left"/>
        </w:tabs>
        <w:numPr>
          <w:ilvl w:val="1"/>
          <w:numId w:val="89"/>
        </w:numPr>
        <w:rPr>
          <w:rFonts w:ascii="Arial" w:cs="Arial" w:eastAsia="Arial" w:hAnsi="Arial"/>
          <w:sz w:val="20"/>
          <w:szCs w:val="20"/>
          <w:color w:val="auto"/>
        </w:rPr>
      </w:pPr>
      <w:r>
        <w:rPr>
          <w:rFonts w:ascii="Arial" w:cs="Arial" w:eastAsia="Arial" w:hAnsi="Arial"/>
          <w:sz w:val="20"/>
          <w:szCs w:val="20"/>
          <w:color w:val="auto"/>
        </w:rPr>
        <w:t>On behalf of yourself and your executors, administrators, heirs and assigns, you hereby release and forever discharge the “</w:t>
      </w:r>
      <w:r>
        <w:rPr>
          <w:rFonts w:ascii="Arial" w:cs="Arial" w:eastAsia="Arial" w:hAnsi="Arial"/>
          <w:sz w:val="20"/>
          <w:szCs w:val="20"/>
          <w:u w:val="single" w:color="auto"/>
          <w:color w:val="auto"/>
        </w:rPr>
        <w:t>Releasees</w:t>
      </w:r>
      <w:r>
        <w:rPr>
          <w:rFonts w:ascii="Arial" w:cs="Arial" w:eastAsia="Arial" w:hAnsi="Arial"/>
          <w:sz w:val="20"/>
          <w:szCs w:val="20"/>
          <w:color w:val="auto"/>
        </w:rPr>
        <w:t>” hereunder, consisting of the Company, and each of its owners, directors, officers, managers, employees, agents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20"/>
          <w:szCs w:val="20"/>
          <w:u w:val="single" w:color="auto"/>
          <w:color w:val="auto"/>
        </w:rPr>
        <w:t>Claims</w:t>
      </w:r>
      <w:r>
        <w:rPr>
          <w:rFonts w:ascii="Arial" w:cs="Arial" w:eastAsia="Arial" w:hAnsi="Arial"/>
          <w:sz w:val="20"/>
          <w:szCs w:val="20"/>
          <w:color w:val="auto"/>
        </w:rPr>
        <w:t>”), which you now have or may hereafter have against the Releasees, or any of them, by reason of any matter, cause, or thing whatsoever from the beginning of time to the date hereof, including, without limiting the generality of the foregoing, any Claims arising directly or indirectly out of, relating to, or in any other way involving in any manner whatsoever your employment by the Company or the separation thereof, including without limitation any and all claims arising under federal, state, or local laws relating to employment, claims of any kind that may be brought in any court or administrative agency, any claims arising under the Age Discrimination in Employment Act ("</w:t>
      </w:r>
      <w:r>
        <w:rPr>
          <w:rFonts w:ascii="Arial" w:cs="Arial" w:eastAsia="Arial" w:hAnsi="Arial"/>
          <w:sz w:val="20"/>
          <w:szCs w:val="20"/>
          <w:u w:val="single" w:color="auto"/>
          <w:color w:val="auto"/>
        </w:rPr>
        <w:t>ADEA</w:t>
      </w:r>
      <w:r>
        <w:rPr>
          <w:rFonts w:ascii="Arial" w:cs="Arial" w:eastAsia="Arial" w:hAnsi="Arial"/>
          <w:sz w:val="20"/>
          <w:szCs w:val="20"/>
          <w:color w:val="auto"/>
        </w:rPr>
        <w:t>"), as amended, 29 U.S.C. § 621, et seq.; the Title VII of the Civil Rights Act of 1964, as amended by the Civil Rights Act of 1991, 42 U.S.C. § 2000 et seq.; the Equal Pay Act, as amended, 29 U.S.C. § 206(d); the Civil Rights Act of 1866, 42 U.S.C. § 1981; the Family and Medical Leave Act of 1993, 29 U.S.C. § 2601 et seq.; the Americans with Disabilities Act of 1990, 42 U.S.C. § 12101 et seq.; the False Claims Act , 31 U.S.C. § 3729 et seq.; the Employee Retirement Income Security Act, as amended, 29 U.S.C. § 1001 et seq.; the Worker Adjustment and Retraining Notification Act, as amended, 29 U.S.C. § 2101 et seq. the Fair Labor Standards Act, 29 U.S.C. § 215 et seq., the Sarbanes-Oxley Act of 2002; the California Fair Employment and Housing Act; the California Family Rights Act; the California Labor Code; California Business &amp; Professions Code Section 17200; Claims arising under the laws, regulations or ordinances of any other California statute or local legislation affecting employment; Claims under the laws, regulations or ordinances of any other state, commonwealth or municipality, including but not limited to Claims arising under the laws, regulations, and local ordinances of municipalities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-1749425</wp:posOffset>
            </wp:positionV>
            <wp:extent cx="3771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-1603375</wp:posOffset>
            </wp:positionV>
            <wp:extent cx="4121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41211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-1311910</wp:posOffset>
            </wp:positionV>
            <wp:extent cx="4121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41211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-1166495</wp:posOffset>
            </wp:positionV>
            <wp:extent cx="41211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412115" cy="889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-1166495</wp:posOffset>
            </wp:positionV>
            <wp:extent cx="4121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412115" cy="8890"/>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-1029335</wp:posOffset>
            </wp:positionV>
            <wp:extent cx="3771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-883285</wp:posOffset>
            </wp:positionV>
            <wp:extent cx="3771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1641475</wp:posOffset>
            </wp:positionH>
            <wp:positionV relativeFrom="paragraph">
              <wp:posOffset>-737870</wp:posOffset>
            </wp:positionV>
            <wp:extent cx="4121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412115" cy="88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9" w:name="page110"/>
    <w:bookmarkEnd w:id="109"/>
    <w:p>
      <w:pPr>
        <w:ind w:left="703" w:right="920"/>
        <w:spacing w:after="0" w:line="238" w:lineRule="auto"/>
        <w:rPr>
          <w:sz w:val="20"/>
          <w:szCs w:val="20"/>
          <w:color w:val="auto"/>
        </w:rPr>
      </w:pPr>
      <w:r>
        <w:rPr>
          <w:rFonts w:ascii="Arial" w:cs="Arial" w:eastAsia="Arial" w:hAnsi="Arial"/>
          <w:sz w:val="20"/>
          <w:szCs w:val="20"/>
          <w:color w:val="auto"/>
        </w:rPr>
        <w:t>within, Arizona, Connecticut, Florida, Illinois, Indiana, Maryland, Massachusetts, Mississippi, New Jersey, New York, North Carolina, Ohio, Oregon, Texas, Virginia and Wisconsin;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99" w:lineRule="exact"/>
        <w:rPr>
          <w:sz w:val="20"/>
          <w:szCs w:val="20"/>
          <w:color w:val="auto"/>
        </w:rPr>
      </w:pPr>
    </w:p>
    <w:p>
      <w:pPr>
        <w:ind w:left="703" w:right="740" w:hanging="703"/>
        <w:spacing w:after="0" w:line="249" w:lineRule="auto"/>
        <w:tabs>
          <w:tab w:leader="none" w:pos="703" w:val="left"/>
        </w:tabs>
        <w:numPr>
          <w:ilvl w:val="0"/>
          <w:numId w:val="90"/>
        </w:numPr>
        <w:rPr>
          <w:rFonts w:ascii="Arial" w:cs="Arial" w:eastAsia="Arial" w:hAnsi="Arial"/>
          <w:sz w:val="19"/>
          <w:szCs w:val="19"/>
          <w:color w:val="auto"/>
        </w:rPr>
      </w:pPr>
      <w:r>
        <w:rPr>
          <w:rFonts w:ascii="Arial" w:cs="Arial" w:eastAsia="Arial" w:hAnsi="Arial"/>
          <w:sz w:val="19"/>
          <w:szCs w:val="19"/>
          <w:color w:val="auto"/>
        </w:rPr>
        <w:t>Notwithstanding the generality of the foregoing, you do not release any Claims that cannot be released as a matter of law including, without limitation, (i) Claims for indemnity under the Company’s Bylaws, Articles of Incorporation, written indemnification agreement between you and the Company, and/or under applicable law; (ii) any rights that you may have to insurance coverage under any directors and officers liability insurance, other insurance policies of the Company, COBRA or any similar state law; (iii) any Claims for workers compensation, state disability or unemployment insurance benefit; (iv) rights</w:t>
      </w:r>
    </w:p>
    <w:p>
      <w:pPr>
        <w:spacing w:after="0" w:line="3" w:lineRule="exact"/>
        <w:rPr>
          <w:sz w:val="20"/>
          <w:szCs w:val="20"/>
          <w:color w:val="auto"/>
        </w:rPr>
      </w:pPr>
    </w:p>
    <w:p>
      <w:pPr>
        <w:ind w:left="703" w:right="800"/>
        <w:spacing w:after="0" w:line="238" w:lineRule="auto"/>
        <w:rPr>
          <w:sz w:val="20"/>
          <w:szCs w:val="20"/>
          <w:color w:val="auto"/>
        </w:rPr>
      </w:pPr>
      <w:r>
        <w:rPr>
          <w:rFonts w:ascii="Arial" w:cs="Arial" w:eastAsia="Arial" w:hAnsi="Arial"/>
          <w:sz w:val="20"/>
          <w:szCs w:val="20"/>
          <w:color w:val="auto"/>
        </w:rPr>
        <w:t>to any vested benefits under any stock, compensation or other employee benefits plan of the Company; (v) any rights you may have as an existing shareholder of the Company; (vi) any Claims arising after the Effective Date of this Agreement; (vii) your right to bring to the attention of the Equal Employment Opportunity Commission or equivalent local agency claims of discrimination, harassment, interference with leave rights, and retaliation; provided, however, that you do release your right to secure damages for any such alleged treatment; and (viii) your right to communicate directly with, cooperate with, or provide information to, any federal, state or local government regulator, including, but not limited to, the U.S. Securities and Exchange Commission, the U.S. Commodity Futures Trading Commission, or the U.S. Department of Justice.</w:t>
      </w:r>
    </w:p>
    <w:p>
      <w:pPr>
        <w:spacing w:after="0" w:line="202" w:lineRule="exact"/>
        <w:rPr>
          <w:sz w:val="20"/>
          <w:szCs w:val="20"/>
          <w:color w:val="auto"/>
        </w:rPr>
      </w:pPr>
    </w:p>
    <w:p>
      <w:pPr>
        <w:ind w:left="743" w:right="40" w:hanging="743"/>
        <w:spacing w:after="0" w:line="246" w:lineRule="auto"/>
        <w:tabs>
          <w:tab w:leader="none" w:pos="743" w:val="left"/>
        </w:tabs>
        <w:numPr>
          <w:ilvl w:val="0"/>
          <w:numId w:val="91"/>
        </w:numPr>
        <w:rPr>
          <w:rFonts w:ascii="Arial" w:cs="Arial" w:eastAsia="Arial" w:hAnsi="Arial"/>
          <w:sz w:val="20"/>
          <w:szCs w:val="20"/>
          <w:color w:val="auto"/>
        </w:rPr>
      </w:pPr>
      <w:r>
        <w:rPr>
          <w:rFonts w:ascii="Arial" w:cs="Arial" w:eastAsia="Arial" w:hAnsi="Arial"/>
          <w:sz w:val="20"/>
          <w:szCs w:val="20"/>
          <w:color w:val="auto"/>
        </w:rPr>
        <w:t>YOU ACKNOWLEDGE THAT YOU HAVE BEEN ADVISED OF AND ARE FAMILIAR WITH THE PROVISIONS OF CALIFORNIA CIVIL CODE SECTION 1542, WHICH PROVIDES AS FOLLOWS:</w:t>
      </w:r>
    </w:p>
    <w:p>
      <w:pPr>
        <w:spacing w:after="0" w:line="180" w:lineRule="exact"/>
        <w:rPr>
          <w:sz w:val="20"/>
          <w:szCs w:val="20"/>
          <w:color w:val="auto"/>
        </w:rPr>
      </w:pPr>
    </w:p>
    <w:p>
      <w:pPr>
        <w:jc w:val="both"/>
        <w:ind w:left="743" w:firstLine="453"/>
        <w:spacing w:after="0" w:line="245"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5" w:lineRule="exact"/>
        <w:rPr>
          <w:sz w:val="20"/>
          <w:szCs w:val="20"/>
          <w:color w:val="auto"/>
        </w:rPr>
      </w:pPr>
    </w:p>
    <w:p>
      <w:pPr>
        <w:jc w:val="both"/>
        <w:ind w:left="743"/>
        <w:spacing w:after="0" w:line="243" w:lineRule="auto"/>
        <w:rPr>
          <w:sz w:val="20"/>
          <w:szCs w:val="20"/>
          <w:color w:val="auto"/>
        </w:rPr>
      </w:pPr>
      <w:r>
        <w:rPr>
          <w:rFonts w:ascii="Arial" w:cs="Arial" w:eastAsia="Arial" w:hAnsi="Arial"/>
          <w:sz w:val="20"/>
          <w:szCs w:val="20"/>
          <w:color w:val="auto"/>
        </w:rPr>
        <w:t>BEING AWARE OF SAID CODE SECTION, YOU HEREBY EXPRESSLY WAIVE ANY RIGHTS YOU MAY HAVE THEREUNDER, AS WELL AS UNDER ANY OTHER STATUTES OR COMMON LAW PRINCIPLES OF SIMILAR EFFECT.</w:t>
      </w:r>
    </w:p>
    <w:p>
      <w:pPr>
        <w:spacing w:after="0" w:line="206" w:lineRule="exact"/>
        <w:rPr>
          <w:sz w:val="20"/>
          <w:szCs w:val="20"/>
          <w:color w:val="auto"/>
        </w:rPr>
      </w:pPr>
    </w:p>
    <w:p>
      <w:pPr>
        <w:ind w:left="703" w:right="1060" w:hanging="703"/>
        <w:spacing w:after="0" w:line="246" w:lineRule="auto"/>
        <w:tabs>
          <w:tab w:leader="none" w:pos="703" w:val="left"/>
        </w:tabs>
        <w:numPr>
          <w:ilvl w:val="0"/>
          <w:numId w:val="92"/>
        </w:numPr>
        <w:rPr>
          <w:rFonts w:ascii="Arial" w:cs="Arial" w:eastAsia="Arial" w:hAnsi="Arial"/>
          <w:sz w:val="20"/>
          <w:szCs w:val="20"/>
          <w:color w:val="auto"/>
        </w:rPr>
      </w:pPr>
      <w:r>
        <w:rPr>
          <w:rFonts w:ascii="Arial" w:cs="Arial" w:eastAsia="Arial" w:hAnsi="Arial"/>
          <w:sz w:val="20"/>
          <w:szCs w:val="20"/>
          <w:color w:val="auto"/>
        </w:rPr>
        <w:t>In accordance with the Older Workers Benefit Protection Act of 1990, you acknowledge that you are aware of the following:</w:t>
      </w:r>
    </w:p>
    <w:p>
      <w:pPr>
        <w:spacing w:after="0" w:line="190" w:lineRule="exact"/>
        <w:rPr>
          <w:rFonts w:ascii="Arial" w:cs="Arial" w:eastAsia="Arial" w:hAnsi="Arial"/>
          <w:sz w:val="20"/>
          <w:szCs w:val="20"/>
          <w:color w:val="auto"/>
        </w:rPr>
      </w:pPr>
    </w:p>
    <w:p>
      <w:pPr>
        <w:ind w:left="1943" w:hanging="446"/>
        <w:spacing w:after="0"/>
        <w:tabs>
          <w:tab w:leader="none" w:pos="1943"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This paragraph, and this Agreement are written in a manner calculated to be understood by you.</w:t>
      </w:r>
    </w:p>
    <w:p>
      <w:pPr>
        <w:spacing w:after="0" w:line="215" w:lineRule="exact"/>
        <w:rPr>
          <w:rFonts w:ascii="Arial" w:cs="Arial" w:eastAsia="Arial" w:hAnsi="Arial"/>
          <w:sz w:val="20"/>
          <w:szCs w:val="20"/>
          <w:color w:val="auto"/>
        </w:rPr>
      </w:pPr>
    </w:p>
    <w:p>
      <w:pPr>
        <w:ind w:left="743" w:right="300" w:firstLine="754"/>
        <w:spacing w:after="0" w:line="236" w:lineRule="auto"/>
        <w:tabs>
          <w:tab w:leader="none" w:pos="1932"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waiver and release of claims under the ADEA contained in this Agreement does not cover rights or claims that may arise after the date on which you sign this Agreement.</w:t>
      </w:r>
    </w:p>
    <w:p>
      <w:pPr>
        <w:spacing w:after="0" w:line="209" w:lineRule="exact"/>
        <w:rPr>
          <w:rFonts w:ascii="Arial" w:cs="Arial" w:eastAsia="Arial" w:hAnsi="Arial"/>
          <w:sz w:val="20"/>
          <w:szCs w:val="20"/>
          <w:color w:val="auto"/>
        </w:rPr>
      </w:pPr>
    </w:p>
    <w:p>
      <w:pPr>
        <w:ind w:left="743" w:right="600" w:firstLine="754"/>
        <w:spacing w:after="0" w:line="236" w:lineRule="auto"/>
        <w:tabs>
          <w:tab w:leader="none" w:pos="1932"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This Agreement provides for consideration in addition to anything of value to which you are already entitled.</w:t>
      </w:r>
    </w:p>
    <w:p>
      <w:pPr>
        <w:spacing w:after="0" w:line="209" w:lineRule="exact"/>
        <w:rPr>
          <w:rFonts w:ascii="Arial" w:cs="Arial" w:eastAsia="Arial" w:hAnsi="Arial"/>
          <w:sz w:val="20"/>
          <w:szCs w:val="20"/>
          <w:color w:val="auto"/>
        </w:rPr>
      </w:pPr>
    </w:p>
    <w:p>
      <w:pPr>
        <w:ind w:left="1943" w:hanging="446"/>
        <w:spacing w:after="0"/>
        <w:tabs>
          <w:tab w:leader="none" w:pos="1943" w:val="left"/>
        </w:tabs>
        <w:numPr>
          <w:ilvl w:val="1"/>
          <w:numId w:val="92"/>
        </w:numPr>
        <w:rPr>
          <w:rFonts w:ascii="Arial" w:cs="Arial" w:eastAsia="Arial" w:hAnsi="Arial"/>
          <w:sz w:val="20"/>
          <w:szCs w:val="20"/>
          <w:color w:val="auto"/>
        </w:rPr>
      </w:pPr>
      <w:r>
        <w:rPr>
          <w:rFonts w:ascii="Arial" w:cs="Arial" w:eastAsia="Arial" w:hAnsi="Arial"/>
          <w:sz w:val="20"/>
          <w:szCs w:val="20"/>
          <w:color w:val="auto"/>
        </w:rPr>
        <w:t>You have been advised to consult an attorney before signing this Agreement.</w:t>
      </w:r>
    </w:p>
    <w:p>
      <w:pPr>
        <w:spacing w:after="0" w:line="202" w:lineRule="exact"/>
        <w:rPr>
          <w:rFonts w:ascii="Arial" w:cs="Arial" w:eastAsia="Arial" w:hAnsi="Arial"/>
          <w:sz w:val="20"/>
          <w:szCs w:val="20"/>
          <w:color w:val="auto"/>
        </w:rPr>
      </w:pPr>
    </w:p>
    <w:p>
      <w:pPr>
        <w:ind w:left="743" w:right="60" w:firstLine="754"/>
        <w:spacing w:after="0" w:line="246" w:lineRule="auto"/>
        <w:tabs>
          <w:tab w:leader="none" w:pos="1932" w:val="left"/>
        </w:tabs>
        <w:numPr>
          <w:ilvl w:val="1"/>
          <w:numId w:val="92"/>
        </w:numPr>
        <w:rPr>
          <w:rFonts w:ascii="Arial" w:cs="Arial" w:eastAsia="Arial" w:hAnsi="Arial"/>
          <w:sz w:val="20"/>
          <w:szCs w:val="20"/>
          <w:color w:val="auto"/>
        </w:rPr>
      </w:pPr>
      <w:r>
        <w:rPr>
          <w:rFonts w:ascii="Arial" w:cs="Arial" w:eastAsia="Arial" w:hAnsi="Arial"/>
          <w:sz w:val="20"/>
          <w:szCs w:val="20"/>
          <w:color w:val="auto"/>
        </w:rPr>
        <w:t>You have been granted forty-five (45) days after you are presented with this Agreement to decide whether or not to sign it. If you execute this Agreement prior to the expiration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41910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35" w:right="339" w:bottom="1440" w:gutter="0" w:footer="0" w:header="0"/>
        </w:sectPr>
      </w:pPr>
    </w:p>
    <w:bookmarkStart w:id="110" w:name="page111"/>
    <w:bookmarkEnd w:id="110"/>
    <w:p>
      <w:pPr>
        <w:ind w:left="1500" w:right="380"/>
        <w:spacing w:after="0" w:line="247" w:lineRule="auto"/>
        <w:rPr>
          <w:sz w:val="20"/>
          <w:szCs w:val="20"/>
          <w:color w:val="auto"/>
        </w:rPr>
      </w:pPr>
      <w:r>
        <w:rPr>
          <w:rFonts w:ascii="Arial" w:cs="Arial" w:eastAsia="Arial" w:hAnsi="Arial"/>
          <w:sz w:val="20"/>
          <w:szCs w:val="20"/>
          <w:color w:val="auto"/>
        </w:rPr>
        <w:t>you do so voluntarily and after having had the opportunity to consult with an attorney, and hereby waive the remainder of the forty-five (45) day period.</w:t>
      </w:r>
    </w:p>
    <w:p>
      <w:pPr>
        <w:spacing w:after="0" w:line="216" w:lineRule="exact"/>
        <w:rPr>
          <w:sz w:val="20"/>
          <w:szCs w:val="20"/>
          <w:color w:val="auto"/>
        </w:rPr>
      </w:pPr>
    </w:p>
    <w:p>
      <w:pPr>
        <w:ind w:left="1500" w:right="180" w:firstLine="754"/>
        <w:spacing w:after="0" w:line="237" w:lineRule="auto"/>
        <w:tabs>
          <w:tab w:leader="none" w:pos="2688" w:val="left"/>
        </w:tabs>
        <w:numPr>
          <w:ilvl w:val="1"/>
          <w:numId w:val="93"/>
        </w:numPr>
        <w:rPr>
          <w:rFonts w:ascii="Arial" w:cs="Arial" w:eastAsia="Arial" w:hAnsi="Arial"/>
          <w:sz w:val="20"/>
          <w:szCs w:val="20"/>
          <w:color w:val="auto"/>
        </w:rPr>
      </w:pPr>
      <w:r>
        <w:rPr>
          <w:rFonts w:ascii="Arial" w:cs="Arial" w:eastAsia="Arial" w:hAnsi="Arial"/>
          <w:sz w:val="20"/>
          <w:szCs w:val="20"/>
          <w:color w:val="auto"/>
        </w:rPr>
        <w:t>You have the right to revoke this Agreement within seven (7) days of signing it. In the event this Agreement is revoked, it will be null and void in its entirety, and you will not receive the benefits of this Agreement.</w:t>
      </w:r>
    </w:p>
    <w:p>
      <w:pPr>
        <w:spacing w:after="0" w:line="196" w:lineRule="exact"/>
        <w:rPr>
          <w:rFonts w:ascii="Arial" w:cs="Arial" w:eastAsia="Arial" w:hAnsi="Arial"/>
          <w:sz w:val="20"/>
          <w:szCs w:val="20"/>
          <w:color w:val="auto"/>
        </w:rPr>
      </w:pPr>
    </w:p>
    <w:p>
      <w:pPr>
        <w:ind w:left="1500" w:right="60" w:firstLine="661"/>
        <w:spacing w:after="0" w:line="243" w:lineRule="auto"/>
        <w:tabs>
          <w:tab w:leader="none" w:pos="2596"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The job titles and ages of all individuals eligible or selected for the settlement offer and the ages of all individuals in the same job classification or organizational unit who are not eligible for the settlement offer are listed on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92" w:lineRule="exact"/>
        <w:rPr>
          <w:sz w:val="20"/>
          <w:szCs w:val="20"/>
          <w:color w:val="auto"/>
        </w:rPr>
      </w:pPr>
    </w:p>
    <w:p>
      <w:pPr>
        <w:ind w:left="1500" w:right="280"/>
        <w:spacing w:after="0" w:line="227" w:lineRule="auto"/>
        <w:rPr>
          <w:sz w:val="20"/>
          <w:szCs w:val="20"/>
          <w:color w:val="auto"/>
        </w:rPr>
      </w:pPr>
      <w:r>
        <w:rPr>
          <w:rFonts w:ascii="Arial" w:cs="Arial" w:eastAsia="Arial" w:hAnsi="Arial"/>
          <w:sz w:val="20"/>
          <w:szCs w:val="20"/>
          <w:color w:val="auto"/>
        </w:rPr>
        <w:t>If you wish to revoke this Agreement, you must deliver written notice stating that intent to revoke to Danielle Olander, Senior Vice President, Talent and Systems Development dolander@cytomx.com, on or before 5:00 p.m. on the seventh (7</w:t>
      </w:r>
      <w:r>
        <w:rPr>
          <w:rFonts w:ascii="Arial" w:cs="Arial" w:eastAsia="Arial" w:hAnsi="Arial"/>
          <w:sz w:val="26"/>
          <w:szCs w:val="26"/>
          <w:color w:val="auto"/>
          <w:vertAlign w:val="superscript"/>
        </w:rPr>
        <w:t>th</w:t>
      </w:r>
      <w:r>
        <w:rPr>
          <w:rFonts w:ascii="Arial" w:cs="Arial" w:eastAsia="Arial" w:hAnsi="Arial"/>
          <w:sz w:val="20"/>
          <w:szCs w:val="20"/>
          <w:color w:val="auto"/>
        </w:rPr>
        <w:t>) calendar day after the date on which you sign this Agreement. The eighth day following your executive of this Agreement shall be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99" w:lineRule="exact"/>
        <w:rPr>
          <w:sz w:val="20"/>
          <w:szCs w:val="20"/>
          <w:color w:val="auto"/>
        </w:rPr>
      </w:pPr>
    </w:p>
    <w:p>
      <w:pPr>
        <w:ind w:right="20" w:firstLine="8"/>
        <w:spacing w:after="0" w:line="246" w:lineRule="auto"/>
        <w:tabs>
          <w:tab w:leader="none" w:pos="44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Requests for References.</w:t>
      </w:r>
      <w:r>
        <w:rPr>
          <w:rFonts w:ascii="Arial" w:cs="Arial" w:eastAsia="Arial" w:hAnsi="Arial"/>
          <w:sz w:val="20"/>
          <w:szCs w:val="20"/>
          <w:color w:val="auto"/>
        </w:rPr>
        <w:t xml:space="preserve"> All external requests for references should be directed to Human Resources at hr@cytomx.com, who will confirm only your job title and dates of employment.</w:t>
      </w:r>
    </w:p>
    <w:p>
      <w:pPr>
        <w:spacing w:after="0" w:line="190" w:lineRule="exact"/>
        <w:rPr>
          <w:rFonts w:ascii="Arial" w:cs="Arial" w:eastAsia="Arial" w:hAnsi="Arial"/>
          <w:sz w:val="20"/>
          <w:szCs w:val="20"/>
          <w:color w:val="auto"/>
        </w:rPr>
      </w:pPr>
    </w:p>
    <w:p>
      <w:pPr>
        <w:ind w:right="200" w:firstLine="8"/>
        <w:spacing w:after="0" w:line="238" w:lineRule="auto"/>
        <w:tabs>
          <w:tab w:leader="none" w:pos="44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Company’s Release of Claims</w:t>
      </w:r>
      <w:r>
        <w:rPr>
          <w:rFonts w:ascii="Arial" w:cs="Arial" w:eastAsia="Arial" w:hAnsi="Arial"/>
          <w:sz w:val="20"/>
          <w:szCs w:val="20"/>
          <w:color w:val="auto"/>
        </w:rPr>
        <w:t>. The Company voluntarily releases and you and your heirs, successors, administrators, representatives and assigns from all Claim which it may have against the you as the result of your employment or the discontinuance of your employment and that are based upon facts known, or which in the exercise of reasonable diligence should have been known, to the Company’s Board of Directors. Notwithstanding the foregoing, nothing herein shall release or discharge any Claim by the Company against you, or the right of the Company to bring any action, legal or otherwise, against you as a result of any failure by you to perform your obligations under this Agreement, or the Confidentiality and Inventions Agreement, or as a result of any acts of intentional misconduct by you.</w:t>
      </w:r>
    </w:p>
    <w:p>
      <w:pPr>
        <w:spacing w:after="0" w:line="199"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auto"/>
        </w:rPr>
        <w:t>The Company acknowledges that it is aware of and familiar with the provisions of California Civil Code Section 1542, which provides as follows:</w:t>
      </w:r>
    </w:p>
    <w:p>
      <w:pPr>
        <w:spacing w:after="0" w:line="180" w:lineRule="exact"/>
        <w:rPr>
          <w:sz w:val="20"/>
          <w:szCs w:val="20"/>
          <w:color w:val="auto"/>
        </w:rPr>
      </w:pPr>
    </w:p>
    <w:p>
      <w:pPr>
        <w:jc w:val="both"/>
        <w:ind w:left="1500" w:firstLine="453"/>
        <w:spacing w:after="0" w:line="245"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5" w:lineRule="exact"/>
        <w:rPr>
          <w:sz w:val="20"/>
          <w:szCs w:val="20"/>
          <w:color w:val="auto"/>
        </w:rPr>
      </w:pPr>
    </w:p>
    <w:p>
      <w:pPr>
        <w:jc w:val="both"/>
        <w:ind w:left="1500"/>
        <w:spacing w:after="0" w:line="243" w:lineRule="auto"/>
        <w:rPr>
          <w:sz w:val="20"/>
          <w:szCs w:val="20"/>
          <w:color w:val="auto"/>
        </w:rPr>
      </w:pPr>
      <w:r>
        <w:rPr>
          <w:rFonts w:ascii="Arial" w:cs="Arial" w:eastAsia="Arial" w:hAnsi="Arial"/>
          <w:sz w:val="20"/>
          <w:szCs w:val="20"/>
          <w:color w:val="auto"/>
        </w:rPr>
        <w:t>BEING AWARE OF SAID CODE SECTION, THE COMPANY HEREBY EXPRESSLY WAIVES ANY RIGHTS IT MAY HAVE THEREUNDER, AS WELL AS UNDER ANY OTHER STATUTES OR COMMON LAW PRINCIPLES OF SIMILAR EFFECT.</w:t>
      </w:r>
    </w:p>
    <w:p>
      <w:pPr>
        <w:spacing w:after="0" w:line="200" w:lineRule="exact"/>
        <w:rPr>
          <w:sz w:val="20"/>
          <w:szCs w:val="20"/>
          <w:color w:val="auto"/>
        </w:rPr>
      </w:pPr>
    </w:p>
    <w:p>
      <w:pPr>
        <w:spacing w:after="0" w:line="208" w:lineRule="exact"/>
        <w:rPr>
          <w:sz w:val="20"/>
          <w:szCs w:val="20"/>
          <w:color w:val="auto"/>
        </w:rPr>
      </w:pPr>
    </w:p>
    <w:p>
      <w:pPr>
        <w:ind w:left="440" w:hanging="432"/>
        <w:spacing w:after="0"/>
        <w:tabs>
          <w:tab w:leader="none" w:pos="44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Employee’s Representations.</w:t>
      </w:r>
      <w:r>
        <w:rPr>
          <w:rFonts w:ascii="Arial" w:cs="Arial" w:eastAsia="Arial" w:hAnsi="Arial"/>
          <w:sz w:val="20"/>
          <w:szCs w:val="20"/>
          <w:color w:val="auto"/>
        </w:rPr>
        <w:t xml:space="preserve"> You represent and warrant that:</w:t>
      </w:r>
    </w:p>
    <w:p>
      <w:pPr>
        <w:spacing w:after="0" w:line="215" w:lineRule="exact"/>
        <w:rPr>
          <w:rFonts w:ascii="Arial" w:cs="Arial" w:eastAsia="Arial" w:hAnsi="Arial"/>
          <w:sz w:val="20"/>
          <w:szCs w:val="20"/>
          <w:color w:val="auto"/>
        </w:rPr>
      </w:pPr>
    </w:p>
    <w:p>
      <w:pPr>
        <w:ind w:left="1500" w:hanging="743"/>
        <w:spacing w:after="0"/>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You have returned to the Company all Company property in your possession;</w:t>
      </w:r>
    </w:p>
    <w:p>
      <w:pPr>
        <w:spacing w:after="0" w:line="215" w:lineRule="exact"/>
        <w:rPr>
          <w:rFonts w:ascii="Arial" w:cs="Arial" w:eastAsia="Arial" w:hAnsi="Arial"/>
          <w:sz w:val="20"/>
          <w:szCs w:val="20"/>
          <w:color w:val="auto"/>
        </w:rPr>
      </w:pPr>
    </w:p>
    <w:p>
      <w:pPr>
        <w:ind w:left="1500" w:hanging="743"/>
        <w:spacing w:after="0" w:line="246" w:lineRule="auto"/>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You are not owed wages, commissions, bonuses or other compensation, other than as set forth in this Agreement;</w:t>
      </w:r>
    </w:p>
    <w:p>
      <w:pPr>
        <w:spacing w:after="0" w:line="190" w:lineRule="exact"/>
        <w:rPr>
          <w:rFonts w:ascii="Arial" w:cs="Arial" w:eastAsia="Arial" w:hAnsi="Arial"/>
          <w:sz w:val="20"/>
          <w:szCs w:val="20"/>
          <w:color w:val="auto"/>
        </w:rPr>
      </w:pPr>
    </w:p>
    <w:p>
      <w:pPr>
        <w:ind w:left="1500" w:right="20" w:hanging="743"/>
        <w:spacing w:after="0" w:line="246" w:lineRule="auto"/>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During the course of your employment you did not sustain any injuries for which you might be entitled to compensation pursuant to worker’s compensation law; and</w:t>
      </w:r>
    </w:p>
    <w:p>
      <w:pPr>
        <w:spacing w:after="0" w:line="203" w:lineRule="exact"/>
        <w:rPr>
          <w:rFonts w:ascii="Arial" w:cs="Arial" w:eastAsia="Arial" w:hAnsi="Arial"/>
          <w:sz w:val="20"/>
          <w:szCs w:val="20"/>
          <w:color w:val="auto"/>
        </w:rPr>
      </w:pPr>
    </w:p>
    <w:p>
      <w:pPr>
        <w:jc w:val="both"/>
        <w:ind w:left="1500" w:hanging="743"/>
        <w:spacing w:after="0" w:line="243" w:lineRule="auto"/>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You have not initiated any adversarial proceedings of any kind against the Company or against any other person or entity released herein, nor will you do so in the future, except as specifically allowed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1" w:name="page112"/>
    <w:bookmarkEnd w:id="111"/>
    <w:p>
      <w:pPr>
        <w:ind w:right="40" w:firstLine="8"/>
        <w:spacing w:after="0" w:line="238" w:lineRule="auto"/>
        <w:tabs>
          <w:tab w:leader="none" w:pos="44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Non-Defamation</w:t>
      </w:r>
      <w:r>
        <w:rPr>
          <w:rFonts w:ascii="Arial" w:cs="Arial" w:eastAsia="Arial" w:hAnsi="Arial"/>
          <w:sz w:val="20"/>
          <w:szCs w:val="20"/>
          <w:color w:val="auto"/>
        </w:rPr>
        <w:t>. You agree not to defame the Company, its directors, officers and employees, Company products or services, or any Releasee, publicly or privately, directly or indirectly through others, by use of any words, actions, gestures or medium, including but not limited to on social media or other internet site. Nothing in this Section 11 or this Agreement shall prevent you from (a) testifying truthfully in response to a subpoena or other legal process; (b) discussing terms and conditions of your employment with the Company, as permitted by the National Labor Relations Act and California law, including but not limited to discussing or disclosing information about unlawful acts in the workplace, such as harassment or discrimination or any other conduct that you have reason to believe is unlawful; or (c) communicating directly with, cooperating with, or providing information to, any federal, state or local government regulator, including, but not limited to, the U.S. Securities and Exchange Commission, the U.S. Commodity Futures Trading Commission, or the U.S. Department of Justice.</w:t>
      </w:r>
    </w:p>
    <w:p>
      <w:pPr>
        <w:spacing w:after="0" w:line="202" w:lineRule="exact"/>
        <w:rPr>
          <w:rFonts w:ascii="Arial" w:cs="Arial" w:eastAsia="Arial" w:hAnsi="Arial"/>
          <w:sz w:val="20"/>
          <w:szCs w:val="20"/>
          <w:color w:val="auto"/>
        </w:rPr>
      </w:pPr>
    </w:p>
    <w:p>
      <w:pPr>
        <w:ind w:right="20" w:firstLine="8"/>
        <w:spacing w:after="0" w:line="262" w:lineRule="auto"/>
        <w:tabs>
          <w:tab w:leader="none" w:pos="44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The provisions of this Agreement are severable. If any provision is held to be invalid or unenforceable, it shall not affect the validity or the enforceability of any other provision. You represent that you have thoroughly read and considered all aspects of this Agreement, that you understand all of its provisions, and that you are voluntarily entering into this Agreement.</w:t>
      </w:r>
    </w:p>
    <w:p>
      <w:pPr>
        <w:spacing w:after="0" w:line="175" w:lineRule="exact"/>
        <w:rPr>
          <w:rFonts w:ascii="Arial" w:cs="Arial" w:eastAsia="Arial" w:hAnsi="Arial"/>
          <w:sz w:val="19"/>
          <w:szCs w:val="19"/>
          <w:color w:val="auto"/>
        </w:rPr>
      </w:pPr>
    </w:p>
    <w:p>
      <w:pPr>
        <w:jc w:val="both"/>
        <w:ind w:firstLine="8"/>
        <w:spacing w:after="0" w:line="230" w:lineRule="auto"/>
        <w:tabs>
          <w:tab w:leader="none" w:pos="44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Governing Law and Attorneys’ Fees.</w:t>
      </w:r>
      <w:r>
        <w:rPr>
          <w:rFonts w:ascii="Arial" w:cs="Arial" w:eastAsia="Arial" w:hAnsi="Arial"/>
          <w:sz w:val="20"/>
          <w:szCs w:val="20"/>
          <w:color w:val="auto"/>
        </w:rPr>
        <w:t xml:space="preserve"> This Agreement will in all respects be interpreted, enforced and governed under the laws of the state in which you were last employed by the Company, without regard to the conflicts of laws rules thereof. If it is necessary to for either party to file suit to enforce this Agreement, the prevailing party shall recover its reasonable costs of enforcement, including costs and reasonable attorneys' fees.</w:t>
      </w:r>
    </w:p>
    <w:p>
      <w:pPr>
        <w:spacing w:after="0" w:line="184" w:lineRule="exact"/>
        <w:rPr>
          <w:rFonts w:ascii="Arial" w:cs="Arial" w:eastAsia="Arial" w:hAnsi="Arial"/>
          <w:sz w:val="20"/>
          <w:szCs w:val="20"/>
          <w:color w:val="auto"/>
        </w:rPr>
      </w:pPr>
    </w:p>
    <w:p>
      <w:pPr>
        <w:ind w:right="280" w:firstLine="8"/>
        <w:spacing w:after="0" w:line="243" w:lineRule="auto"/>
        <w:tabs>
          <w:tab w:leader="none" w:pos="44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Integrated Agreement.</w:t>
      </w:r>
      <w:r>
        <w:rPr>
          <w:rFonts w:ascii="Arial" w:cs="Arial" w:eastAsia="Arial" w:hAnsi="Arial"/>
          <w:sz w:val="20"/>
          <w:szCs w:val="20"/>
          <w:color w:val="auto"/>
        </w:rPr>
        <w:t xml:space="preserve"> This Agreement, together with the Confidentiality and Inventions Agreement, sets forth the entire agreement between you and Company and supersedes and replaces any and all prior oral or written agreements or understandings between you and Company. You represent that you have signed this Agreement voluntarily.</w:t>
      </w:r>
    </w:p>
    <w:p>
      <w:pPr>
        <w:spacing w:after="0" w:line="205" w:lineRule="exact"/>
        <w:rPr>
          <w:rFonts w:ascii="Arial" w:cs="Arial" w:eastAsia="Arial" w:hAnsi="Arial"/>
          <w:sz w:val="20"/>
          <w:szCs w:val="20"/>
          <w:color w:val="auto"/>
        </w:rPr>
      </w:pPr>
    </w:p>
    <w:p>
      <w:pPr>
        <w:ind w:right="500" w:firstLine="8"/>
        <w:spacing w:after="0" w:line="246" w:lineRule="auto"/>
        <w:tabs>
          <w:tab w:leader="none" w:pos="44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Amendment of this Agreement.</w:t>
      </w:r>
      <w:r>
        <w:rPr>
          <w:rFonts w:ascii="Arial" w:cs="Arial" w:eastAsia="Arial" w:hAnsi="Arial"/>
          <w:sz w:val="20"/>
          <w:szCs w:val="20"/>
          <w:color w:val="auto"/>
        </w:rPr>
        <w:t xml:space="preserve"> This Agreement may not be altered, amended, or modified except by a further written document signed by you and an authorized representative of Company.</w:t>
      </w:r>
    </w:p>
    <w:p>
      <w:pPr>
        <w:spacing w:after="0" w:line="190" w:lineRule="exact"/>
        <w:rPr>
          <w:rFonts w:ascii="Arial" w:cs="Arial" w:eastAsia="Arial" w:hAnsi="Arial"/>
          <w:sz w:val="20"/>
          <w:szCs w:val="20"/>
          <w:color w:val="auto"/>
        </w:rPr>
      </w:pPr>
    </w:p>
    <w:p>
      <w:pPr>
        <w:ind w:right="60" w:firstLine="8"/>
        <w:spacing w:after="0" w:line="272" w:lineRule="auto"/>
        <w:tabs>
          <w:tab w:leader="none" w:pos="44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xml:space="preserve"> This Agreement may be executed in counterparts with the same force and effectiveness as though executed in a single document. Facsimile signatures shall have the same force and effectiveness as original signatures.</w:t>
      </w:r>
    </w:p>
    <w:p>
      <w:pPr>
        <w:spacing w:after="0" w:line="166" w:lineRule="exact"/>
        <w:rPr>
          <w:sz w:val="20"/>
          <w:szCs w:val="20"/>
          <w:color w:val="auto"/>
        </w:rPr>
      </w:pPr>
    </w:p>
    <w:p>
      <w:pPr>
        <w:ind w:right="440" w:firstLine="440"/>
        <w:spacing w:after="0" w:line="246" w:lineRule="auto"/>
        <w:rPr>
          <w:sz w:val="20"/>
          <w:szCs w:val="20"/>
          <w:color w:val="auto"/>
        </w:rPr>
      </w:pPr>
      <w:r>
        <w:rPr>
          <w:rFonts w:ascii="Arial" w:cs="Arial" w:eastAsia="Arial" w:hAnsi="Arial"/>
          <w:sz w:val="20"/>
          <w:szCs w:val="20"/>
          <w:color w:val="auto"/>
        </w:rPr>
        <w:t xml:space="preserve">If the above terms are agreeable to you, please date and sign the original of this letter in the place indicated below and return it to me on or before </w:t>
      </w:r>
      <w:r>
        <w:rPr>
          <w:rFonts w:ascii="Arial" w:cs="Arial" w:eastAsia="Arial" w:hAnsi="Arial"/>
          <w:sz w:val="20"/>
          <w:szCs w:val="20"/>
          <w:b w:val="1"/>
          <w:bCs w:val="1"/>
          <w:color w:val="auto"/>
        </w:rPr>
        <w:t>November 14, 2022</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Lloyd Rowland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Vice President, General Counsel</w:t>
      </w:r>
    </w:p>
    <w:p>
      <w:pPr>
        <w:spacing w:after="0"/>
        <w:rPr>
          <w:sz w:val="20"/>
          <w:szCs w:val="20"/>
          <w:color w:val="auto"/>
        </w:rPr>
      </w:pPr>
      <w:r>
        <w:rPr>
          <w:rFonts w:ascii="Arial" w:cs="Arial" w:eastAsia="Arial" w:hAnsi="Arial"/>
          <w:sz w:val="20"/>
          <w:szCs w:val="20"/>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 on this __</w:t>
      </w:r>
      <w:r>
        <w:rPr>
          <w:rFonts w:ascii="Arial" w:cs="Arial" w:eastAsia="Arial" w:hAnsi="Arial"/>
          <w:sz w:val="20"/>
          <w:szCs w:val="20"/>
          <w:u w:val="single" w:color="auto"/>
          <w:color w:val="auto"/>
        </w:rPr>
        <w:t>7</w:t>
      </w:r>
      <w:r>
        <w:rPr>
          <w:rFonts w:ascii="Arial" w:cs="Arial" w:eastAsia="Arial" w:hAnsi="Arial"/>
          <w:sz w:val="20"/>
          <w:szCs w:val="20"/>
          <w:color w:val="auto"/>
        </w:rPr>
        <w:t>__ day of _______</w:t>
      </w:r>
      <w:r>
        <w:rPr>
          <w:rFonts w:ascii="Arial" w:cs="Arial" w:eastAsia="Arial" w:hAnsi="Arial"/>
          <w:sz w:val="20"/>
          <w:szCs w:val="20"/>
          <w:u w:val="single" w:color="auto"/>
          <w:color w:val="auto"/>
        </w:rPr>
        <w:t>October</w:t>
      </w:r>
      <w:r>
        <w:rPr>
          <w:rFonts w:ascii="Arial" w:cs="Arial" w:eastAsia="Arial" w:hAnsi="Arial"/>
          <w:sz w:val="20"/>
          <w:szCs w:val="20"/>
          <w:color w:val="auto"/>
        </w:rPr>
        <w:t>________, 2022.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 Alison Hannah</w:t>
      </w:r>
    </w:p>
    <w:p>
      <w:pPr>
        <w:spacing w:after="0" w:line="225" w:lineRule="auto"/>
        <w:rPr>
          <w:sz w:val="20"/>
          <w:szCs w:val="20"/>
          <w:color w:val="auto"/>
        </w:rPr>
      </w:pPr>
      <w:r>
        <w:rPr>
          <w:rFonts w:ascii="Arial" w:cs="Arial" w:eastAsia="Arial" w:hAnsi="Arial"/>
          <w:sz w:val="20"/>
          <w:szCs w:val="20"/>
          <w:color w:val="auto"/>
        </w:rPr>
        <w:t>__________________________________</w:t>
      </w:r>
    </w:p>
    <w:p>
      <w:pPr>
        <w:spacing w:after="0"/>
        <w:rPr>
          <w:sz w:val="20"/>
          <w:szCs w:val="20"/>
          <w:color w:val="auto"/>
        </w:rPr>
      </w:pPr>
      <w:r>
        <w:rPr>
          <w:rFonts w:ascii="Arial" w:cs="Arial" w:eastAsia="Arial" w:hAnsi="Arial"/>
          <w:sz w:val="20"/>
          <w:szCs w:val="20"/>
          <w:color w:val="auto"/>
        </w:rPr>
        <w:t>Alison Hannah,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941705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ind w:right="-1100"/>
        <w:spacing w:after="0"/>
        <w:rPr>
          <w:sz w:val="20"/>
          <w:szCs w:val="20"/>
          <w:color w:val="auto"/>
        </w:rPr>
      </w:pPr>
      <w:r>
        <w:rPr>
          <w:rFonts w:ascii="Arial" w:cs="Arial" w:eastAsia="Arial" w:hAnsi="Arial"/>
          <w:sz w:val="18"/>
          <w:szCs w:val="18"/>
          <w:b w:val="1"/>
          <w:bCs w:val="1"/>
          <w:color w:val="auto"/>
        </w:rPr>
        <w:t>EXHIBITA</w:t>
      </w:r>
    </w:p>
    <w:p>
      <w:pPr>
        <w:spacing w:after="0" w:line="211" w:lineRule="exact"/>
        <w:rPr>
          <w:sz w:val="20"/>
          <w:szCs w:val="20"/>
          <w:color w:val="auto"/>
        </w:rPr>
      </w:pPr>
    </w:p>
    <w:p>
      <w:pPr>
        <w:jc w:val="right"/>
        <w:ind w:right="2379"/>
        <w:spacing w:after="0"/>
        <w:rPr>
          <w:sz w:val="20"/>
          <w:szCs w:val="20"/>
          <w:color w:val="auto"/>
        </w:rPr>
      </w:pPr>
      <w:r>
        <w:rPr>
          <w:rFonts w:ascii="Arial" w:cs="Arial" w:eastAsia="Arial" w:hAnsi="Arial"/>
          <w:sz w:val="18"/>
          <w:szCs w:val="18"/>
          <w:b w:val="1"/>
          <w:bCs w:val="1"/>
          <w:color w:val="auto"/>
        </w:rPr>
        <w:t>DISCLOSURE CONCERNING SEVERANCE OFFER</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10.6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31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mendment</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umber</w:t>
      </w:r>
      <w:r>
        <w:rPr>
          <w:rFonts w:ascii="Arial" w:cs="Arial" w:eastAsia="Arial" w:hAnsi="Arial"/>
          <w:sz w:val="20"/>
          <w:szCs w:val="20"/>
          <w:b w:val="1"/>
          <w:bCs w:val="1"/>
          <w:color w:val="auto"/>
        </w:rPr>
        <w:t xml:space="preserve"> 3 </w:t>
      </w:r>
      <w:r>
        <w:rPr>
          <w:rFonts w:ascii="Arial" w:cs="Arial" w:eastAsia="Arial" w:hAnsi="Arial"/>
          <w:sz w:val="20"/>
          <w:szCs w:val="20"/>
          <w:color w:val="auto"/>
        </w:rPr>
        <w:t>(the “</w:t>
      </w:r>
      <w:r>
        <w:rPr>
          <w:rFonts w:ascii="Arial" w:cs="Arial" w:eastAsia="Arial" w:hAnsi="Arial"/>
          <w:sz w:val="20"/>
          <w:szCs w:val="20"/>
          <w:b w:val="1"/>
          <w:bCs w:val="1"/>
          <w:color w:val="auto"/>
        </w:rPr>
        <w:t>Amendment</w:t>
      </w:r>
      <w:r>
        <w:rPr>
          <w:rFonts w:ascii="Arial" w:cs="Arial" w:eastAsia="Arial" w:hAnsi="Arial"/>
          <w:sz w:val="20"/>
          <w:szCs w:val="20"/>
          <w:color w:val="auto"/>
        </w:rPr>
        <w:t>”), effective as of October 11, 2022 (the “</w:t>
      </w:r>
      <w:r>
        <w:rPr>
          <w:rFonts w:ascii="Arial" w:cs="Arial" w:eastAsia="Arial" w:hAnsi="Arial"/>
          <w:sz w:val="20"/>
          <w:szCs w:val="20"/>
          <w:b w:val="1"/>
          <w:bCs w:val="1"/>
          <w:color w:val="auto"/>
        </w:rPr>
        <w:t>Amendment No 3 Effective Date</w:t>
      </w:r>
      <w:r>
        <w:rPr>
          <w:rFonts w:ascii="Arial" w:cs="Arial" w:eastAsia="Arial" w:hAnsi="Arial"/>
          <w:sz w:val="20"/>
          <w:szCs w:val="20"/>
          <w:color w:val="auto"/>
        </w:rPr>
        <w:t>”) amends that certain Collaboration and License Agreement entered into as of May 23, 2014 by and between</w:t>
      </w:r>
      <w:r>
        <w:rPr>
          <w:rFonts w:ascii="Arial" w:cs="Arial" w:eastAsia="Arial" w:hAnsi="Arial"/>
          <w:sz w:val="20"/>
          <w:szCs w:val="20"/>
          <w:b w:val="1"/>
          <w:bCs w:val="1"/>
          <w:color w:val="auto"/>
        </w:rPr>
        <w:t xml:space="preserve"> CYTOMX THERAPEUTICS, INC.</w:t>
      </w:r>
      <w:r>
        <w:rPr>
          <w:rFonts w:ascii="Arial" w:cs="Arial" w:eastAsia="Arial" w:hAnsi="Arial"/>
          <w:sz w:val="20"/>
          <w:szCs w:val="20"/>
          <w:color w:val="auto"/>
        </w:rPr>
        <w:t>, a corporation organized under the laws of the State of Delaware, having its principal place of</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at 151 Oyster Point Blvd., Suite 400, South San Francisco, CA, 94080 (“</w:t>
      </w:r>
      <w:r>
        <w:rPr>
          <w:rFonts w:ascii="Arial" w:cs="Arial" w:eastAsia="Arial" w:hAnsi="Arial"/>
          <w:sz w:val="20"/>
          <w:szCs w:val="20"/>
          <w:b w:val="1"/>
          <w:bCs w:val="1"/>
          <w:color w:val="auto"/>
        </w:rPr>
        <w:t>CytomX</w:t>
      </w:r>
      <w:r>
        <w:rPr>
          <w:rFonts w:ascii="Arial" w:cs="Arial" w:eastAsia="Arial" w:hAnsi="Arial"/>
          <w:sz w:val="20"/>
          <w:szCs w:val="20"/>
          <w:color w:val="auto"/>
        </w:rPr>
        <w:t xml:space="preserve">”), and </w:t>
      </w:r>
      <w:r>
        <w:rPr>
          <w:rFonts w:ascii="Arial" w:cs="Arial" w:eastAsia="Arial" w:hAnsi="Arial"/>
          <w:sz w:val="20"/>
          <w:szCs w:val="20"/>
          <w:b w:val="1"/>
          <w:bCs w:val="1"/>
          <w:color w:val="auto"/>
        </w:rPr>
        <w:t>BRISTOL-MYERS SQUIBB</w:t>
      </w:r>
      <w:r>
        <w:rPr>
          <w:rFonts w:ascii="Arial" w:cs="Arial" w:eastAsia="Arial" w:hAnsi="Arial"/>
          <w:sz w:val="20"/>
          <w:szCs w:val="20"/>
          <w:color w:val="auto"/>
        </w:rPr>
        <w:t xml:space="preserve"> </w:t>
      </w:r>
      <w:r>
        <w:rPr>
          <w:rFonts w:ascii="Arial" w:cs="Arial" w:eastAsia="Arial" w:hAnsi="Arial"/>
          <w:sz w:val="20"/>
          <w:szCs w:val="20"/>
          <w:b w:val="1"/>
          <w:bCs w:val="1"/>
          <w:color w:val="auto"/>
        </w:rPr>
        <w:t>COMPANY</w:t>
      </w:r>
      <w:r>
        <w:rPr>
          <w:rFonts w:ascii="Arial" w:cs="Arial" w:eastAsia="Arial" w:hAnsi="Arial"/>
          <w:sz w:val="20"/>
          <w:szCs w:val="20"/>
          <w:color w:val="auto"/>
        </w:rPr>
        <w:t>, a Delaware corporation headquartered at 345 Park Avenue, New York, New York, USA 10154 (“</w:t>
      </w:r>
      <w:r>
        <w:rPr>
          <w:rFonts w:ascii="Arial" w:cs="Arial" w:eastAsia="Arial" w:hAnsi="Arial"/>
          <w:sz w:val="20"/>
          <w:szCs w:val="20"/>
          <w:b w:val="1"/>
          <w:bCs w:val="1"/>
          <w:color w:val="auto"/>
        </w:rPr>
        <w:t>BMS</w:t>
      </w:r>
      <w:r>
        <w:rPr>
          <w:rFonts w:ascii="Arial" w:cs="Arial" w:eastAsia="Arial" w:hAnsi="Arial"/>
          <w:sz w:val="20"/>
          <w:szCs w:val="20"/>
          <w:color w:val="auto"/>
        </w:rPr>
        <w:t>”), as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by Amendment Number 1 to Extend Collaboration and License Agreement, dated as of March 17, 2017 and Amendment Number 2, dated as of February 21, 2021 (collectively,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CytomX and BMS desire to amend certain provisions of the Agreement.</w:t>
      </w:r>
    </w:p>
    <w:p>
      <w:pPr>
        <w:spacing w:after="0" w:line="274" w:lineRule="exact"/>
        <w:rPr>
          <w:sz w:val="20"/>
          <w:szCs w:val="20"/>
          <w:color w:val="auto"/>
        </w:rPr>
      </w:pPr>
    </w:p>
    <w:p>
      <w:pPr>
        <w:jc w:val="both"/>
        <w:ind w:firstLine="432"/>
        <w:spacing w:after="0" w:line="29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promises, covenants and conditions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No 3, the Parties agree to amend the Collaboration Agreement as follows.</w:t>
      </w:r>
    </w:p>
    <w:p>
      <w:pPr>
        <w:spacing w:after="0" w:line="161" w:lineRule="exact"/>
        <w:rPr>
          <w:sz w:val="20"/>
          <w:szCs w:val="20"/>
          <w:color w:val="auto"/>
        </w:rPr>
      </w:pPr>
    </w:p>
    <w:p>
      <w:pPr>
        <w:ind w:left="760" w:hanging="378"/>
        <w:spacing w:after="0"/>
        <w:tabs>
          <w:tab w:leader="none" w:pos="760"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The following two additional definitions are added to the Agreement:</w:t>
      </w:r>
    </w:p>
    <w:p>
      <w:pPr>
        <w:spacing w:after="0" w:line="273"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 xml:space="preserve">1.136.   </w:t>
      </w:r>
      <w:r>
        <w:rPr>
          <w:rFonts w:ascii="Arial" w:cs="Arial" w:eastAsia="Arial" w:hAnsi="Arial"/>
          <w:sz w:val="22"/>
          <w:szCs w:val="22"/>
          <w:b w:val="1"/>
          <w:bCs w:val="1"/>
          <w:color w:val="auto"/>
        </w:rPr>
        <w:t>“[***]”</w:t>
      </w:r>
      <w:r>
        <w:rPr>
          <w:rFonts w:ascii="Arial" w:cs="Arial" w:eastAsia="Arial" w:hAnsi="Arial"/>
          <w:sz w:val="22"/>
          <w:szCs w:val="22"/>
          <w:color w:val="auto"/>
        </w:rPr>
        <w:t xml:space="preserve"> means [***].</w:t>
      </w:r>
    </w:p>
    <w:p>
      <w:pPr>
        <w:spacing w:after="0" w:line="273"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 xml:space="preserve">1.137.   </w:t>
      </w:r>
      <w:r>
        <w:rPr>
          <w:rFonts w:ascii="Arial" w:cs="Arial" w:eastAsia="Arial" w:hAnsi="Arial"/>
          <w:sz w:val="22"/>
          <w:szCs w:val="22"/>
          <w:b w:val="1"/>
          <w:bCs w:val="1"/>
          <w:color w:val="auto"/>
        </w:rPr>
        <w:t>“[***]”</w:t>
      </w:r>
      <w:r>
        <w:rPr>
          <w:rFonts w:ascii="Arial" w:cs="Arial" w:eastAsia="Arial" w:hAnsi="Arial"/>
          <w:sz w:val="22"/>
          <w:szCs w:val="22"/>
          <w:color w:val="auto"/>
        </w:rPr>
        <w:t xml:space="preserve"> means [***].</w:t>
      </w:r>
    </w:p>
    <w:p>
      <w:pPr>
        <w:spacing w:after="0" w:line="260"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 xml:space="preserve">1.138.   </w:t>
      </w:r>
      <w:r>
        <w:rPr>
          <w:rFonts w:ascii="Arial" w:cs="Arial" w:eastAsia="Arial" w:hAnsi="Arial"/>
          <w:sz w:val="22"/>
          <w:szCs w:val="22"/>
          <w:b w:val="1"/>
          <w:bCs w:val="1"/>
          <w:color w:val="auto"/>
        </w:rPr>
        <w:t>“Inventions”</w:t>
      </w:r>
      <w:r>
        <w:rPr>
          <w:rFonts w:ascii="Arial" w:cs="Arial" w:eastAsia="Arial" w:hAnsi="Arial"/>
          <w:sz w:val="22"/>
          <w:szCs w:val="22"/>
          <w:color w:val="auto"/>
        </w:rPr>
        <w:t xml:space="preserve"> means “Sole Inventions” and “Joint Inventions.”</w:t>
      </w:r>
    </w:p>
    <w:p>
      <w:pPr>
        <w:spacing w:after="0" w:line="273" w:lineRule="exact"/>
        <w:rPr>
          <w:rFonts w:ascii="Arial" w:cs="Arial" w:eastAsia="Arial" w:hAnsi="Arial"/>
          <w:sz w:val="22"/>
          <w:szCs w:val="22"/>
          <w:color w:val="auto"/>
        </w:rPr>
      </w:pPr>
    </w:p>
    <w:p>
      <w:pPr>
        <w:ind w:left="760" w:hanging="378"/>
        <w:spacing w:after="0"/>
        <w:tabs>
          <w:tab w:leader="none" w:pos="760"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Preclinical Plan</w:t>
      </w:r>
      <w:r>
        <w:rPr>
          <w:rFonts w:ascii="Arial" w:cs="Arial" w:eastAsia="Arial" w:hAnsi="Arial"/>
          <w:sz w:val="22"/>
          <w:szCs w:val="22"/>
          <w:color w:val="auto"/>
        </w:rPr>
        <w:t>. Section 3.3(a) is hereby deleted in its entirety and replaced with the following:</w:t>
      </w:r>
    </w:p>
    <w:p>
      <w:pPr>
        <w:spacing w:after="0" w:line="273" w:lineRule="exact"/>
        <w:rPr>
          <w:rFonts w:ascii="Arial" w:cs="Arial" w:eastAsia="Arial" w:hAnsi="Arial"/>
          <w:sz w:val="22"/>
          <w:szCs w:val="22"/>
          <w:color w:val="auto"/>
        </w:rPr>
      </w:pPr>
    </w:p>
    <w:p>
      <w:pPr>
        <w:ind w:left="1180" w:hanging="423"/>
        <w:spacing w:after="0"/>
        <w:tabs>
          <w:tab w:leader="none" w:pos="1180" w:val="left"/>
        </w:tabs>
        <w:numPr>
          <w:ilvl w:val="1"/>
          <w:numId w:val="98"/>
        </w:numPr>
        <w:rPr>
          <w:rFonts w:ascii="Arial" w:cs="Arial" w:eastAsia="Arial" w:hAnsi="Arial"/>
          <w:sz w:val="22"/>
          <w:szCs w:val="22"/>
          <w:color w:val="auto"/>
        </w:rPr>
      </w:pPr>
      <w:r>
        <w:rPr>
          <w:rFonts w:ascii="Arial" w:cs="Arial" w:eastAsia="Arial" w:hAnsi="Arial"/>
          <w:sz w:val="22"/>
          <w:szCs w:val="22"/>
          <w:b w:val="1"/>
          <w:bCs w:val="1"/>
          <w:color w:val="auto"/>
        </w:rPr>
        <w:t>Preclinical Plan</w:t>
      </w:r>
      <w:r>
        <w:rPr>
          <w:rFonts w:ascii="Arial" w:cs="Arial" w:eastAsia="Arial" w:hAnsi="Arial"/>
          <w:sz w:val="22"/>
          <w:szCs w:val="22"/>
          <w:color w:val="auto"/>
        </w:rPr>
        <w:t>.</w:t>
      </w:r>
    </w:p>
    <w:p>
      <w:pPr>
        <w:spacing w:after="0" w:line="279" w:lineRule="exact"/>
        <w:rPr>
          <w:rFonts w:ascii="Arial" w:cs="Arial" w:eastAsia="Arial" w:hAnsi="Arial"/>
          <w:sz w:val="22"/>
          <w:szCs w:val="22"/>
          <w:color w:val="auto"/>
        </w:rPr>
      </w:pPr>
    </w:p>
    <w:p>
      <w:pPr>
        <w:ind w:left="760" w:right="40" w:firstLine="432"/>
        <w:spacing w:after="0" w:line="313" w:lineRule="auto"/>
        <w:rPr>
          <w:rFonts w:ascii="Arial" w:cs="Arial" w:eastAsia="Arial" w:hAnsi="Arial"/>
          <w:sz w:val="22"/>
          <w:szCs w:val="22"/>
          <w:color w:val="auto"/>
        </w:rPr>
      </w:pPr>
      <w:r>
        <w:rPr>
          <w:rFonts w:ascii="Arial" w:cs="Arial" w:eastAsia="Arial" w:hAnsi="Arial"/>
          <w:sz w:val="19"/>
          <w:szCs w:val="19"/>
          <w:color w:val="auto"/>
        </w:rPr>
        <w:t>(i) The Preclinical Development Program will be carried out in accordance with a written research plan (the “</w:t>
      </w:r>
      <w:r>
        <w:rPr>
          <w:rFonts w:ascii="Arial" w:cs="Arial" w:eastAsia="Arial" w:hAnsi="Arial"/>
          <w:sz w:val="19"/>
          <w:szCs w:val="19"/>
          <w:b w:val="1"/>
          <w:bCs w:val="1"/>
          <w:color w:val="auto"/>
        </w:rPr>
        <w:t>Preclinical Plan</w:t>
      </w:r>
      <w:r>
        <w:rPr>
          <w:rFonts w:ascii="Arial" w:cs="Arial" w:eastAsia="Arial" w:hAnsi="Arial"/>
          <w:sz w:val="19"/>
          <w:szCs w:val="19"/>
          <w:color w:val="auto"/>
        </w:rPr>
        <w:t xml:space="preserve">”). The initial Preclinical Plan that has been agreed to by the Parties as of the Execution Date is attached as </w:t>
      </w:r>
      <w:r>
        <w:rPr>
          <w:rFonts w:ascii="Arial" w:cs="Arial" w:eastAsia="Arial" w:hAnsi="Arial"/>
          <w:sz w:val="19"/>
          <w:szCs w:val="19"/>
          <w:b w:val="1"/>
          <w:bCs w:val="1"/>
          <w:color w:val="auto"/>
        </w:rPr>
        <w:t>Exhibit E</w:t>
      </w:r>
      <w:r>
        <w:rPr>
          <w:rFonts w:ascii="Arial" w:cs="Arial" w:eastAsia="Arial" w:hAnsi="Arial"/>
          <w:sz w:val="19"/>
          <w:szCs w:val="19"/>
          <w:color w:val="auto"/>
        </w:rPr>
        <w:t>. The purpose of the Preclinical Plan is to detail the responsibilities and activities of CytomX and BMS with respect to carrying out the Preclinical Development Program. The Preclinical Plan will include a description of the specific activities to be performed by CytomX in support of the Preclinical Development Program, the number of qualified CytomX FTEs to perform the activities in support of the Preclinical Development Program, projected timelines</w:t>
      </w:r>
    </w:p>
    <w:p>
      <w:pPr>
        <w:spacing w:after="0" w:line="4" w:lineRule="exact"/>
        <w:rPr>
          <w:rFonts w:ascii="Arial" w:cs="Arial" w:eastAsia="Arial" w:hAnsi="Arial"/>
          <w:sz w:val="22"/>
          <w:szCs w:val="22"/>
          <w:color w:val="auto"/>
        </w:rPr>
      </w:pPr>
    </w:p>
    <w:p>
      <w:pPr>
        <w:ind w:left="760" w:right="20"/>
        <w:spacing w:after="0" w:line="323" w:lineRule="auto"/>
        <w:rPr>
          <w:rFonts w:ascii="Arial" w:cs="Arial" w:eastAsia="Arial" w:hAnsi="Arial"/>
          <w:sz w:val="22"/>
          <w:szCs w:val="22"/>
          <w:color w:val="auto"/>
        </w:rPr>
      </w:pPr>
      <w:r>
        <w:rPr>
          <w:rFonts w:ascii="Arial" w:cs="Arial" w:eastAsia="Arial" w:hAnsi="Arial"/>
          <w:sz w:val="19"/>
          <w:szCs w:val="19"/>
          <w:color w:val="auto"/>
        </w:rPr>
        <w:t>for completion of such activities and, as applicable, provisions for the supply of Compound by CytomX to BMS. The Preclinical Plan will also include a budget for the BMS-funded CytomX FTEs (based on the number of BMS-funded CytomX FTEs and the FTE Rate) and any projected Third Party Costs, with such budget to be update periodically by the JRC (the “</w:t>
      </w:r>
      <w:r>
        <w:rPr>
          <w:rFonts w:ascii="Arial" w:cs="Arial" w:eastAsia="Arial" w:hAnsi="Arial"/>
          <w:sz w:val="19"/>
          <w:szCs w:val="19"/>
          <w:b w:val="1"/>
          <w:bCs w:val="1"/>
          <w:color w:val="auto"/>
        </w:rPr>
        <w:t>Budget</w:t>
      </w:r>
      <w:r>
        <w:rPr>
          <w:rFonts w:ascii="Arial" w:cs="Arial" w:eastAsia="Arial" w:hAnsi="Arial"/>
          <w:sz w:val="19"/>
          <w:szCs w:val="19"/>
          <w:color w:val="auto"/>
        </w:rPr>
        <w:t>”), with such Budget to be updated in advance for each calendar quarter by the JRC, subject to this Section 3.3 and Section 3.4. As part of this calendar quarter update to the Budget, the JRC shall specify in writing for the coming calendar quarter period the number of CytomX FTEs assigned to the Preclinical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5" w:name="page116"/>
    <w:bookmarkEnd w:id="115"/>
    <w:p>
      <w:pPr>
        <w:ind w:left="380" w:right="100"/>
        <w:spacing w:after="0" w:line="275" w:lineRule="auto"/>
        <w:rPr>
          <w:sz w:val="20"/>
          <w:szCs w:val="20"/>
          <w:color w:val="auto"/>
        </w:rPr>
      </w:pPr>
      <w:r>
        <w:rPr>
          <w:rFonts w:ascii="Arial" w:cs="Arial" w:eastAsia="Arial" w:hAnsi="Arial"/>
          <w:sz w:val="22"/>
          <w:szCs w:val="22"/>
          <w:color w:val="auto"/>
        </w:rPr>
        <w:t>(in accordance with Section 3.4), a summary of their activities, a listing of the CytomX scientists comprising such FTEs and their percentage of time devoted to working on the Preclinical Development Program. If BMS has concerns regarding any specific scientist assigned to the Preclinical Development Program, such concerns shall be communicated to the JRC for its consideration.</w:t>
      </w:r>
    </w:p>
    <w:p>
      <w:pPr>
        <w:spacing w:after="0" w:line="218" w:lineRule="exact"/>
        <w:rPr>
          <w:sz w:val="20"/>
          <w:szCs w:val="20"/>
          <w:color w:val="auto"/>
        </w:rPr>
      </w:pPr>
    </w:p>
    <w:p>
      <w:pPr>
        <w:jc w:val="both"/>
        <w:ind w:left="380" w:firstLine="745"/>
        <w:spacing w:after="0" w:line="318" w:lineRule="auto"/>
        <w:tabs>
          <w:tab w:leader="none" w:pos="1511" w:val="left"/>
        </w:tabs>
        <w:numPr>
          <w:ilvl w:val="4"/>
          <w:numId w:val="99"/>
        </w:numPr>
        <w:rPr>
          <w:rFonts w:ascii="Arial" w:cs="Arial" w:eastAsia="Arial" w:hAnsi="Arial"/>
          <w:sz w:val="19"/>
          <w:szCs w:val="19"/>
          <w:color w:val="auto"/>
        </w:rPr>
      </w:pPr>
      <w:r>
        <w:rPr>
          <w:rFonts w:ascii="Arial" w:cs="Arial" w:eastAsia="Arial" w:hAnsi="Arial"/>
          <w:sz w:val="19"/>
          <w:szCs w:val="19"/>
          <w:color w:val="auto"/>
        </w:rPr>
        <w:t>In accordance with the Preclinical Plan, CytomX will develop and optimize Masks, Substrates and Compounds, and will deliver such Masks, Substrates and Compounds to BMS. Such Masks, Substrates and Compounds</w:t>
      </w:r>
    </w:p>
    <w:p>
      <w:pPr>
        <w:spacing w:after="0" w:line="1" w:lineRule="exact"/>
        <w:rPr>
          <w:rFonts w:ascii="Arial" w:cs="Arial" w:eastAsia="Arial" w:hAnsi="Arial"/>
          <w:sz w:val="19"/>
          <w:szCs w:val="19"/>
          <w:color w:val="auto"/>
        </w:rPr>
      </w:pPr>
    </w:p>
    <w:p>
      <w:pPr>
        <w:jc w:val="both"/>
        <w:ind w:left="380"/>
        <w:spacing w:after="0" w:line="275" w:lineRule="auto"/>
        <w:rPr>
          <w:rFonts w:ascii="Arial" w:cs="Arial" w:eastAsia="Arial" w:hAnsi="Arial"/>
          <w:sz w:val="19"/>
          <w:szCs w:val="19"/>
          <w:color w:val="auto"/>
        </w:rPr>
      </w:pPr>
      <w:r>
        <w:rPr>
          <w:rFonts w:ascii="Arial" w:cs="Arial" w:eastAsia="Arial" w:hAnsi="Arial"/>
          <w:sz w:val="22"/>
          <w:szCs w:val="22"/>
          <w:color w:val="auto"/>
        </w:rPr>
        <w:t>may be further modified by BMS, provided no substantive changes shall be made to the Mask or Substrate of such Compound. Examples of permitted modifications to Mask or Substrate include modifications in the course of optimizing a Compound or a Product, provided that BMS may make any changes to the Antibody portion of the Compound or Product.</w:t>
      </w:r>
    </w:p>
    <w:p>
      <w:pPr>
        <w:spacing w:after="0" w:line="217" w:lineRule="exact"/>
        <w:rPr>
          <w:rFonts w:ascii="Arial" w:cs="Arial" w:eastAsia="Arial" w:hAnsi="Arial"/>
          <w:sz w:val="19"/>
          <w:szCs w:val="19"/>
          <w:color w:val="auto"/>
        </w:rPr>
      </w:pPr>
    </w:p>
    <w:p>
      <w:pPr>
        <w:jc w:val="both"/>
        <w:ind w:left="380" w:firstLine="371"/>
        <w:spacing w:after="0" w:line="311" w:lineRule="auto"/>
        <w:tabs>
          <w:tab w:leader="none" w:pos="1173" w:val="left"/>
        </w:tabs>
        <w:numPr>
          <w:ilvl w:val="3"/>
          <w:numId w:val="100"/>
        </w:numPr>
        <w:rPr>
          <w:rFonts w:ascii="Arial" w:cs="Arial" w:eastAsia="Arial" w:hAnsi="Arial"/>
          <w:sz w:val="19"/>
          <w:szCs w:val="19"/>
          <w:color w:val="auto"/>
        </w:rPr>
      </w:pPr>
      <w:r>
        <w:rPr>
          <w:rFonts w:ascii="Arial" w:cs="Arial" w:eastAsia="Arial" w:hAnsi="Arial"/>
          <w:sz w:val="19"/>
          <w:szCs w:val="19"/>
          <w:color w:val="auto"/>
        </w:rPr>
        <w:t>Notwithstanding the foregoing, unless agreed upon in writing by the Parties (x) BMS shall not make any changes to or generate any variants of [***], (y) CytomX shall not make any changes to or generate any variants of</w:t>
      </w:r>
    </w:p>
    <w:p>
      <w:pPr>
        <w:ind w:left="380" w:hanging="3"/>
        <w:spacing w:after="0" w:line="289" w:lineRule="auto"/>
        <w:tabs>
          <w:tab w:leader="none" w:pos="917" w:val="left"/>
        </w:tabs>
        <w:numPr>
          <w:ilvl w:val="2"/>
          <w:numId w:val="100"/>
        </w:numPr>
        <w:rPr>
          <w:rFonts w:ascii="Arial" w:cs="Arial" w:eastAsia="Arial" w:hAnsi="Arial"/>
          <w:sz w:val="22"/>
          <w:szCs w:val="22"/>
          <w:color w:val="auto"/>
        </w:rPr>
      </w:pPr>
      <w:r>
        <w:rPr>
          <w:rFonts w:ascii="Arial" w:cs="Arial" w:eastAsia="Arial" w:hAnsi="Arial"/>
          <w:sz w:val="22"/>
          <w:szCs w:val="22"/>
          <w:color w:val="auto"/>
        </w:rPr>
        <w:t>and (z) BMS shall not use [***] and CytomX shall not use [***], respectively, outside the scope of each Party’s rights and obligations under the Agreement.</w:t>
      </w:r>
    </w:p>
    <w:p>
      <w:pPr>
        <w:spacing w:after="0" w:line="194" w:lineRule="exact"/>
        <w:rPr>
          <w:rFonts w:ascii="Arial" w:cs="Arial" w:eastAsia="Arial" w:hAnsi="Arial"/>
          <w:sz w:val="22"/>
          <w:szCs w:val="22"/>
          <w:color w:val="auto"/>
        </w:rPr>
      </w:pPr>
    </w:p>
    <w:p>
      <w:pPr>
        <w:ind w:left="380" w:hanging="378"/>
        <w:spacing w:after="0"/>
        <w:tabs>
          <w:tab w:leader="none" w:pos="380"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Materials Transfer</w:t>
      </w:r>
      <w:r>
        <w:rPr>
          <w:rFonts w:ascii="Arial" w:cs="Arial" w:eastAsia="Arial" w:hAnsi="Arial"/>
          <w:sz w:val="22"/>
          <w:szCs w:val="22"/>
          <w:color w:val="auto"/>
        </w:rPr>
        <w:t>. Section 3.9(a) is hereby deleted in its entirety and replaced with the following:</w:t>
      </w:r>
    </w:p>
    <w:p>
      <w:pPr>
        <w:spacing w:after="0" w:line="273"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2"/>
          <w:szCs w:val="22"/>
          <w:b w:val="1"/>
          <w:bCs w:val="1"/>
          <w:color w:val="auto"/>
        </w:rPr>
        <w:t>3.9 Materials Transfer.</w:t>
      </w:r>
    </w:p>
    <w:p>
      <w:pPr>
        <w:spacing w:after="0" w:line="279" w:lineRule="exact"/>
        <w:rPr>
          <w:rFonts w:ascii="Arial" w:cs="Arial" w:eastAsia="Arial" w:hAnsi="Arial"/>
          <w:sz w:val="22"/>
          <w:szCs w:val="22"/>
          <w:color w:val="auto"/>
        </w:rPr>
      </w:pPr>
    </w:p>
    <w:p>
      <w:pPr>
        <w:jc w:val="both"/>
        <w:ind w:firstLine="376"/>
        <w:spacing w:after="0" w:line="313" w:lineRule="auto"/>
        <w:tabs>
          <w:tab w:leader="none" w:pos="71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In order to facilitate the Preclinical Development Program, either Party may provide to the other Party certain materials (other than samples of Compounds, and starting materials, intermediates and reagents for the synthesis of Compounds, provided by CytomX to BMS under this Agreement) for use by the other Party in furtherance of the Preclinical Development Program and the Development and Commercialization of Compounds and Products. All such materials (including, as applicable, any progeny, expression products, mutants, replicates, derivatives and modifications thereof that are made by the receiving Party and that include the materials of the supplying Party), to the extent such material is not generally available from a Third Party (any such materials provided by BMS, the “</w:t>
      </w:r>
      <w:r>
        <w:rPr>
          <w:rFonts w:ascii="Arial" w:cs="Arial" w:eastAsia="Arial" w:hAnsi="Arial"/>
          <w:sz w:val="19"/>
          <w:szCs w:val="19"/>
          <w:b w:val="1"/>
          <w:bCs w:val="1"/>
          <w:color w:val="auto"/>
        </w:rPr>
        <w:t>BMS Materials</w:t>
      </w:r>
      <w:r>
        <w:rPr>
          <w:rFonts w:ascii="Arial" w:cs="Arial" w:eastAsia="Arial" w:hAnsi="Arial"/>
          <w:sz w:val="19"/>
          <w:szCs w:val="19"/>
          <w:color w:val="auto"/>
        </w:rPr>
        <w:t>”), shall be used by the receiving Party in accordance with the terms and conditions of this Agreement solely for purposes of performing its rights and obligations under this Agreement, and the receiving Party shall not transfer such materials (including, as applicable, any progeny, expression products, mutants, replicates, derivatives and modifications thereof) to any Third Party unless expressly contemplated by this Agreement (including the Preclinical Plan) or upon the written consent of the supplying Party. For clarity, this Section 3.9(a) shall not restrict either Party from using materials that are publicly available from a Third Party.</w:t>
      </w:r>
    </w:p>
    <w:p>
      <w:pPr>
        <w:spacing w:after="0" w:line="9" w:lineRule="exact"/>
        <w:rPr>
          <w:rFonts w:ascii="Arial" w:cs="Arial" w:eastAsia="Arial" w:hAnsi="Arial"/>
          <w:sz w:val="19"/>
          <w:szCs w:val="19"/>
          <w:color w:val="auto"/>
        </w:rPr>
      </w:pPr>
    </w:p>
    <w:p>
      <w:pPr>
        <w:jc w:val="both"/>
        <w:spacing w:after="0" w:line="289" w:lineRule="auto"/>
        <w:rPr>
          <w:rFonts w:ascii="Arial" w:cs="Arial" w:eastAsia="Arial" w:hAnsi="Arial"/>
          <w:sz w:val="19"/>
          <w:szCs w:val="19"/>
          <w:color w:val="auto"/>
        </w:rPr>
      </w:pPr>
      <w:r>
        <w:rPr>
          <w:rFonts w:ascii="Arial" w:cs="Arial" w:eastAsia="Arial" w:hAnsi="Arial"/>
          <w:sz w:val="21"/>
          <w:szCs w:val="21"/>
          <w:color w:val="auto"/>
        </w:rPr>
        <w:t xml:space="preserve">As set forth in the Preclinical Plan, CytomX shall provide BMS with samples of CytomX Materials and BMS shall provide CytomX with samples of BMS Materials, for use by the other Party in accordance with the terms and conditions of this Agreement (including the Preclinical Plan). For clarity, CytomX shall supply sufficient quantities of Compounds for both Parties to perform their responsibilities through the completion of Section 9a of the initial Preclinical Plan set forth on </w:t>
      </w:r>
      <w:r>
        <w:rPr>
          <w:rFonts w:ascii="Arial" w:cs="Arial" w:eastAsia="Arial" w:hAnsi="Arial"/>
          <w:sz w:val="21"/>
          <w:szCs w:val="21"/>
          <w:b w:val="1"/>
          <w:bCs w:val="1"/>
          <w:color w:val="auto"/>
        </w:rPr>
        <w:t xml:space="preserve">Exhibit E </w:t>
      </w:r>
      <w:r>
        <w:rPr>
          <w:rFonts w:ascii="Arial" w:cs="Arial" w:eastAsia="Arial" w:hAnsi="Arial"/>
          <w:sz w:val="21"/>
          <w:szCs w:val="21"/>
          <w:color w:val="auto"/>
        </w:rPr>
        <w:t>for each Product, and thereafter as mutually agreed by the Parties.</w:t>
      </w:r>
    </w:p>
    <w:p>
      <w:pPr>
        <w:spacing w:after="0" w:line="207"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22"/>
          <w:szCs w:val="22"/>
          <w:color w:val="auto"/>
        </w:rPr>
        <w:t>Any BMS Materials provided by BMS to CytomX (including, as applicable [***] any progeny, expression products, mutants, replicates, derivatives and modifications thereof) shall be used by CytomX solely for purposes of conducting the Preclinical Development Program and will be returned to BMS (or destroyed as may be requested by BMS in writing) promptly following the end of the Research Term or earlier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5" w:right="339" w:bottom="1440" w:gutter="0" w:footer="0" w:header="0"/>
        </w:sectPr>
      </w:pPr>
    </w:p>
    <w:bookmarkStart w:id="116" w:name="page117"/>
    <w:bookmarkEnd w:id="116"/>
    <w:p>
      <w:pPr>
        <w:jc w:val="both"/>
        <w:spacing w:after="0" w:line="288" w:lineRule="auto"/>
        <w:rPr>
          <w:sz w:val="20"/>
          <w:szCs w:val="20"/>
          <w:color w:val="auto"/>
        </w:rPr>
      </w:pPr>
      <w:r>
        <w:rPr>
          <w:rFonts w:ascii="Arial" w:cs="Arial" w:eastAsia="Arial" w:hAnsi="Arial"/>
          <w:sz w:val="21"/>
          <w:szCs w:val="21"/>
          <w:color w:val="auto"/>
        </w:rPr>
        <w:t>by BMS. All Information to the extent directed to such BMS Materials shall be BMS Confidential Information. CytomX agrees to use all such BMS Materials with prudence and appropriate caution in any experimental work, since all of their characteristics may not be known. Conversely, any [***] (including, as applicable, any progeny, expression products, mutants, replicates, derivatives and modifications thereof) provided by CytomX to BMS shall be used by BMS solely for purposes of performing activities hereunder in support of the Preclinical Development Program, or for the Development, manufacturing and Commercialization of Compounds and Products. All Information that pertains solely to [***] shall be deemed CytomX Confidential Information. BMS agrees to use all such CytomX Materials with prudence and appropriate caution in any experimental work, since all of their characteristics may not be known.</w:t>
      </w:r>
    </w:p>
    <w:p>
      <w:pPr>
        <w:spacing w:after="0" w:line="206" w:lineRule="exact"/>
        <w:rPr>
          <w:sz w:val="20"/>
          <w:szCs w:val="20"/>
          <w:color w:val="auto"/>
        </w:rPr>
      </w:pPr>
    </w:p>
    <w:p>
      <w:pPr>
        <w:jc w:val="both"/>
        <w:ind w:firstLine="374"/>
        <w:spacing w:after="0" w:line="293" w:lineRule="auto"/>
        <w:rPr>
          <w:sz w:val="20"/>
          <w:szCs w:val="20"/>
          <w:color w:val="auto"/>
        </w:rPr>
      </w:pPr>
      <w:r>
        <w:rPr>
          <w:rFonts w:ascii="Arial" w:cs="Arial" w:eastAsia="Arial" w:hAnsi="Arial"/>
          <w:sz w:val="21"/>
          <w:szCs w:val="21"/>
          <w:color w:val="auto"/>
        </w:rPr>
        <w:t>If CytomX develops any assays, that are not Tools, used in the Preclinical Development Program, upon request by BMS, CytomX shall transfer to BMS the CytomX Materials and Information to enable BMS to use such assays in support of BMS’ research and development activities under this Agreement. Upon request by BMS, CytomX shall deliver to BMS (at BMS’ expense) or dispose of any animals in CytomX’s possession following completion of the Research Term or earlier termination of this Agreement by BMS pursuant to Section 13.3(a) or Section 13.5.</w:t>
      </w:r>
    </w:p>
    <w:p>
      <w:pPr>
        <w:spacing w:after="0" w:line="180" w:lineRule="exact"/>
        <w:rPr>
          <w:sz w:val="20"/>
          <w:szCs w:val="20"/>
          <w:color w:val="auto"/>
        </w:rPr>
      </w:pPr>
    </w:p>
    <w:p>
      <w:pPr>
        <w:ind w:left="380" w:hanging="378"/>
        <w:spacing w:after="0"/>
        <w:tabs>
          <w:tab w:leader="none" w:pos="380"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License to BMS</w:t>
      </w:r>
      <w:r>
        <w:rPr>
          <w:rFonts w:ascii="Arial" w:cs="Arial" w:eastAsia="Arial" w:hAnsi="Arial"/>
          <w:sz w:val="22"/>
          <w:szCs w:val="22"/>
          <w:color w:val="auto"/>
        </w:rPr>
        <w:t>. Section 7.1 is hereby deleted in its entirety and replaced with the following:</w:t>
      </w:r>
    </w:p>
    <w:p>
      <w:pPr>
        <w:spacing w:after="0" w:line="279" w:lineRule="exact"/>
        <w:rPr>
          <w:rFonts w:ascii="Arial" w:cs="Arial" w:eastAsia="Arial" w:hAnsi="Arial"/>
          <w:sz w:val="22"/>
          <w:szCs w:val="22"/>
          <w:color w:val="auto"/>
        </w:rPr>
      </w:pPr>
    </w:p>
    <w:p>
      <w:pPr>
        <w:ind w:right="400" w:firstLine="376"/>
        <w:spacing w:after="0" w:line="316" w:lineRule="auto"/>
        <w:tabs>
          <w:tab w:leader="none" w:pos="66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CytomX hereby grants to BMS an exclusive (even as to CytomX) license, with the right to grant sublicenses as provided in Section 7.2, under the Product Specific Patents to research, develop, make, have made, use, sell, offer for sale, export and import (including the exclusive right to Develop,</w:t>
      </w:r>
    </w:p>
    <w:p>
      <w:pPr>
        <w:ind w:right="160"/>
        <w:spacing w:after="0" w:line="323" w:lineRule="auto"/>
        <w:rPr>
          <w:rFonts w:ascii="Arial" w:cs="Arial" w:eastAsia="Arial" w:hAnsi="Arial"/>
          <w:sz w:val="19"/>
          <w:szCs w:val="19"/>
          <w:color w:val="auto"/>
        </w:rPr>
      </w:pPr>
      <w:r>
        <w:rPr>
          <w:rFonts w:ascii="Arial" w:cs="Arial" w:eastAsia="Arial" w:hAnsi="Arial"/>
          <w:sz w:val="19"/>
          <w:szCs w:val="19"/>
          <w:color w:val="auto"/>
        </w:rPr>
        <w:t xml:space="preserve">have Developed, Commercialize and have Commercialized) Compounds, alone or as incorporated in Products in the Territory (including, for clarity, the Masks and Antibodies set forth on </w:t>
      </w:r>
      <w:r>
        <w:rPr>
          <w:rFonts w:ascii="Arial" w:cs="Arial" w:eastAsia="Arial" w:hAnsi="Arial"/>
          <w:sz w:val="19"/>
          <w:szCs w:val="19"/>
          <w:u w:val="single" w:color="auto"/>
          <w:color w:val="auto"/>
        </w:rPr>
        <w:t>Schedule 1.30</w:t>
      </w:r>
      <w:r>
        <w:rPr>
          <w:rFonts w:ascii="Arial" w:cs="Arial" w:eastAsia="Arial" w:hAnsi="Arial"/>
          <w:sz w:val="19"/>
          <w:szCs w:val="19"/>
          <w:color w:val="auto"/>
        </w:rPr>
        <w:t xml:space="preserve">, or any Compounds comprising such materials, but excluding Masks to [***] that are not incorporated in Compounds);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BMS covenants to CytomX that BMS, and its Affiliates and Sublicensees, shall only practice under such exclusive license in the Field in the Territory; and further provided, [***]. For clarity, in the event BMS has contributed to the Preclinical Development Program [***], CytomX shall have no right to such [***] other than to perform its obligations under this Agreement.</w:t>
      </w:r>
    </w:p>
    <w:p>
      <w:pPr>
        <w:spacing w:after="0" w:line="179" w:lineRule="exact"/>
        <w:rPr>
          <w:rFonts w:ascii="Arial" w:cs="Arial" w:eastAsia="Arial" w:hAnsi="Arial"/>
          <w:sz w:val="19"/>
          <w:szCs w:val="19"/>
          <w:color w:val="auto"/>
        </w:rPr>
      </w:pPr>
    </w:p>
    <w:p>
      <w:pPr>
        <w:ind w:right="180" w:firstLine="376"/>
        <w:spacing w:after="0" w:line="316" w:lineRule="auto"/>
        <w:tabs>
          <w:tab w:leader="none" w:pos="68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CytomX hereby grants to BMS an exclusive (even as to CytomX) license, with the right to grant sublicenses as provided in Section 7.2, under the CytomX Technology, to research, develop, make, have made, use, sell, offer for sale, export and import (including the exclusive right to Develop, have</w:t>
      </w:r>
    </w:p>
    <w:p>
      <w:pPr>
        <w:ind w:right="160"/>
        <w:spacing w:after="0" w:line="331" w:lineRule="auto"/>
        <w:rPr>
          <w:rFonts w:ascii="Arial" w:cs="Arial" w:eastAsia="Arial" w:hAnsi="Arial"/>
          <w:sz w:val="19"/>
          <w:szCs w:val="19"/>
          <w:color w:val="auto"/>
        </w:rPr>
      </w:pPr>
      <w:r>
        <w:rPr>
          <w:rFonts w:ascii="Arial" w:cs="Arial" w:eastAsia="Arial" w:hAnsi="Arial"/>
          <w:sz w:val="19"/>
          <w:szCs w:val="19"/>
          <w:color w:val="auto"/>
        </w:rPr>
        <w:t>Developed, Commercialize and have Commercialized) Compounds, alone or as incorporated in Products, in the Field in the Territory. Notwithstanding the foregoing, in the case of a Compound that meets the criteria of Section 1.30 (iv), the license grant in this Section 7.1(b) shall (x) be limited to a [***] in which [***]; (y) be [***] with respect to [***]; and (z) exclude the right to use Masks to [***] other than in the performance of BMS’ obligations under the Agreement.</w:t>
      </w:r>
    </w:p>
    <w:p>
      <w:pPr>
        <w:spacing w:after="0" w:line="171" w:lineRule="exact"/>
        <w:rPr>
          <w:rFonts w:ascii="Arial" w:cs="Arial" w:eastAsia="Arial" w:hAnsi="Arial"/>
          <w:sz w:val="19"/>
          <w:szCs w:val="19"/>
          <w:color w:val="auto"/>
        </w:rPr>
      </w:pPr>
    </w:p>
    <w:p>
      <w:pPr>
        <w:ind w:right="180" w:firstLine="376"/>
        <w:spacing w:after="0" w:line="275" w:lineRule="auto"/>
        <w:tabs>
          <w:tab w:leader="none" w:pos="668" w:val="left"/>
        </w:tabs>
        <w:numPr>
          <w:ilvl w:val="1"/>
          <w:numId w:val="102"/>
        </w:numPr>
        <w:rPr>
          <w:rFonts w:ascii="Arial" w:cs="Arial" w:eastAsia="Arial" w:hAnsi="Arial"/>
          <w:sz w:val="22"/>
          <w:szCs w:val="22"/>
          <w:color w:val="auto"/>
        </w:rPr>
      </w:pPr>
      <w:r>
        <w:rPr>
          <w:rFonts w:ascii="Arial" w:cs="Arial" w:eastAsia="Arial" w:hAnsi="Arial"/>
          <w:sz w:val="22"/>
          <w:szCs w:val="22"/>
          <w:color w:val="auto"/>
        </w:rPr>
        <w:t xml:space="preserve">BMS (working alone or in collaboration with Third Parties) shall have the right to use the Compounds and CytomX Information related to such Compounds and the Collaboration Targets for research purposes in support of BMS’ research programs on the Collaboration Targets,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such Third Party shall be bound by obligations with respect to the use and disclosure of CytomX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36195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5" w:right="339" w:bottom="1440" w:gutter="0" w:footer="0" w:header="0"/>
        </w:sectPr>
      </w:pPr>
    </w:p>
    <w:bookmarkStart w:id="117" w:name="page118"/>
    <w:bookmarkEnd w:id="117"/>
    <w:p>
      <w:pPr>
        <w:ind w:right="320"/>
        <w:spacing w:after="0" w:line="279" w:lineRule="auto"/>
        <w:rPr>
          <w:sz w:val="20"/>
          <w:szCs w:val="20"/>
          <w:color w:val="auto"/>
        </w:rPr>
      </w:pPr>
      <w:r>
        <w:rPr>
          <w:rFonts w:ascii="Arial" w:cs="Arial" w:eastAsia="Arial" w:hAnsi="Arial"/>
          <w:sz w:val="22"/>
          <w:szCs w:val="22"/>
          <w:color w:val="auto"/>
        </w:rPr>
        <w:t>Confidential Information in accordance with Article 12. Notwithstanding the foregoing, the rights granted to BMS in this Section 7.1(c) exclude the right to use [***], any CytomX Know-How pertaining to Masks to [***], and Information pertaining thereto other than in the performance of BMS’ obligations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-57150</wp:posOffset>
            </wp:positionV>
            <wp:extent cx="342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1" w:lineRule="exact"/>
        <w:rPr>
          <w:sz w:val="20"/>
          <w:szCs w:val="20"/>
          <w:color w:val="auto"/>
        </w:rPr>
      </w:pPr>
    </w:p>
    <w:p>
      <w:pPr>
        <w:ind w:right="240" w:firstLine="376"/>
        <w:spacing w:after="0" w:line="316" w:lineRule="auto"/>
        <w:tabs>
          <w:tab w:leader="none" w:pos="68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BMS’s rights under this Section 7.1 include the right to modify Compounds, provided no substantive changes shall be made to Mask or Substrate of such Compound other than modifications to Mask or Substrate made in the course of optimizing a Compound or a Product, and provided that BMS may make any changes to the Antibody portion of the</w:t>
      </w:r>
    </w:p>
    <w:p>
      <w:pPr>
        <w:ind w:right="160"/>
        <w:spacing w:after="0" w:line="372" w:lineRule="auto"/>
        <w:rPr>
          <w:rFonts w:ascii="Arial" w:cs="Arial" w:eastAsia="Arial" w:hAnsi="Arial"/>
          <w:sz w:val="19"/>
          <w:szCs w:val="19"/>
          <w:color w:val="auto"/>
        </w:rPr>
      </w:pPr>
      <w:r>
        <w:rPr>
          <w:rFonts w:ascii="Arial" w:cs="Arial" w:eastAsia="Arial" w:hAnsi="Arial"/>
          <w:sz w:val="19"/>
          <w:szCs w:val="19"/>
          <w:color w:val="auto"/>
        </w:rPr>
        <w:t>Compound. Notwithstanding the foregoing, unless agreed upon in writing by CytomX, BMS (i) shall not make any changes or generate any variants to [***] or (ii) use [***] outside the scope of BMS’ rights and obligations under the Agreement.</w:t>
      </w:r>
    </w:p>
    <w:p>
      <w:pPr>
        <w:spacing w:after="0" w:line="126" w:lineRule="exact"/>
        <w:rPr>
          <w:rFonts w:ascii="Arial" w:cs="Arial" w:eastAsia="Arial" w:hAnsi="Arial"/>
          <w:sz w:val="19"/>
          <w:szCs w:val="19"/>
          <w:color w:val="auto"/>
        </w:rPr>
      </w:pPr>
    </w:p>
    <w:p>
      <w:pPr>
        <w:ind w:left="380" w:right="860" w:hanging="378"/>
        <w:spacing w:after="0" w:line="295" w:lineRule="auto"/>
        <w:tabs>
          <w:tab w:leader="none" w:pos="380"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Ownership of Information and Inventions</w:t>
      </w:r>
      <w:r>
        <w:rPr>
          <w:rFonts w:ascii="Arial" w:cs="Arial" w:eastAsia="Arial" w:hAnsi="Arial"/>
          <w:sz w:val="22"/>
          <w:szCs w:val="22"/>
          <w:color w:val="auto"/>
        </w:rPr>
        <w:t>. Section 9.1 is hereby deleted in its entirety and replaced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w:t>
      </w:r>
    </w:p>
    <w:p>
      <w:pPr>
        <w:spacing w:after="0" w:line="174"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1"/>
          <w:szCs w:val="21"/>
          <w:b w:val="1"/>
          <w:bCs w:val="1"/>
          <w:color w:val="auto"/>
        </w:rPr>
        <w:t>9.1 Ownership of Information and Inventions</w:t>
      </w:r>
      <w:r>
        <w:rPr>
          <w:rFonts w:ascii="Arial" w:cs="Arial" w:eastAsia="Arial" w:hAnsi="Arial"/>
          <w:sz w:val="21"/>
          <w:szCs w:val="21"/>
          <w:color w:val="auto"/>
        </w:rPr>
        <w:t>. Except as provided in this Section 9.1, each Party will own all</w:t>
      </w:r>
    </w:p>
    <w:p>
      <w:pPr>
        <w:spacing w:after="0" w:line="62"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inventions (and Patents that claim such inventions) solely invented by or on behalf of it and/or its Affiliates and/or their respective employees, agents and independent contractors in the course of conducting its activities under this Agreement (collectively, “</w:t>
      </w:r>
      <w:r>
        <w:rPr>
          <w:rFonts w:ascii="Arial" w:cs="Arial" w:eastAsia="Arial" w:hAnsi="Arial"/>
          <w:sz w:val="19"/>
          <w:szCs w:val="19"/>
          <w:b w:val="1"/>
          <w:bCs w:val="1"/>
          <w:color w:val="auto"/>
        </w:rPr>
        <w:t>Sole Inventions</w:t>
      </w:r>
      <w:r>
        <w:rPr>
          <w:rFonts w:ascii="Arial" w:cs="Arial" w:eastAsia="Arial" w:hAnsi="Arial"/>
          <w:sz w:val="19"/>
          <w:szCs w:val="19"/>
          <w:color w:val="auto"/>
        </w:rPr>
        <w:t>”). All inventions invented jointly by employees, Affiliates, agents, or independent contractors of each Party in the course of conducting its activities under this Agreement (collectively, “</w:t>
      </w:r>
      <w:r>
        <w:rPr>
          <w:rFonts w:ascii="Arial" w:cs="Arial" w:eastAsia="Arial" w:hAnsi="Arial"/>
          <w:sz w:val="19"/>
          <w:szCs w:val="19"/>
          <w:b w:val="1"/>
          <w:bCs w:val="1"/>
          <w:color w:val="auto"/>
        </w:rPr>
        <w:t>Joint Inventions</w:t>
      </w:r>
      <w:r>
        <w:rPr>
          <w:rFonts w:ascii="Arial" w:cs="Arial" w:eastAsia="Arial" w:hAnsi="Arial"/>
          <w:sz w:val="19"/>
          <w:szCs w:val="19"/>
          <w:color w:val="auto"/>
        </w:rPr>
        <w:t>”) and Joint Patents will be owned jointly by the Parties. Notwithstanding the foregoing, any Sole Inventions or Joint Inventions that: (a) are invented after the Effective Date, and (b) pertain to modifications to any Substrates or Masks, shall be solely owned by CytomX (“</w:t>
      </w:r>
      <w:r>
        <w:rPr>
          <w:rFonts w:ascii="Arial" w:cs="Arial" w:eastAsia="Arial" w:hAnsi="Arial"/>
          <w:sz w:val="19"/>
          <w:szCs w:val="19"/>
          <w:b w:val="1"/>
          <w:bCs w:val="1"/>
          <w:color w:val="auto"/>
        </w:rPr>
        <w:t>Mask/Substrate Inventions</w:t>
      </w:r>
      <w:r>
        <w:rPr>
          <w:rFonts w:ascii="Arial" w:cs="Arial" w:eastAsia="Arial" w:hAnsi="Arial"/>
          <w:sz w:val="19"/>
          <w:szCs w:val="19"/>
          <w:color w:val="auto"/>
        </w:rPr>
        <w:t>”). Subject to a Party’s obligations under applicable terms of this Agreement (e.g., licenses granted hereunder, confidentiality obligations, etc.) with respect to same, any Information generated during or resulting from a Party’s activities under this Agreement may be used by such Party for any purpose. Notwithstanding the foregoing, use of Information pertaining to either (x) [***] by CytomX or (y) [***] by BMS, as applicable, shall be limited solely to the performance of activities in furtherance of a Party’s rights and obligations under this Agreement.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22"/>
          <w:szCs w:val="22"/>
          <w:color w:val="auto"/>
        </w:rPr>
        <w:t>CytomX shall own all Inventions and Information pertaining solely to [***]. BMS shall own all Inventions and Information pertaining solely to [***] (such Inventions and Information, for avoidance of doubt, do not include Masks or Substrates). Such Inventions of each Party in the foregoing sentences shall be deemed the “Sole Inventions” of such Party. If BMS has developed or generated any Inventions pertaining solely to [***], BMS shall assign, and hereby assigns, to CytomX all of its right, title, and interest in and to any Invention(s) pertaining solely to [***]. Conversely, if CytomX has developed or generated any Inventions pertaining solely to a [***] (which for the avoidance of doubt, do not include Masks or Substrates), CytomX shall assign, and hereby assigns, to BMS all of its right, title, and interest in and to any Invention(s) pertaining solely to [***].</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This Agreement will be understood to be a joint research agreement under 35 U.S.C. §103(c)(3) entered into for the purpose of researching, identifying and developing Compounds and Products under the terms set forth herein. Subject to the rights and licenses granted under this Agreement, it is understood that neither Party shall have any obligation to account to the other Party for profits, or to obtain any approval of the other Party to license, assign or otherwise exploit such Joint Inventions, by reason of joint ownership thereof, and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43815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5" w:right="339" w:bottom="1440" w:gutter="0" w:footer="0" w:header="0"/>
        </w:sectPr>
      </w:pPr>
    </w:p>
    <w:bookmarkStart w:id="118" w:name="page119"/>
    <w:bookmarkEnd w:id="118"/>
    <w:p>
      <w:pPr>
        <w:jc w:val="both"/>
        <w:ind w:right="20"/>
        <w:spacing w:after="0" w:line="289" w:lineRule="auto"/>
        <w:rPr>
          <w:sz w:val="20"/>
          <w:szCs w:val="20"/>
          <w:color w:val="auto"/>
        </w:rPr>
      </w:pPr>
      <w:r>
        <w:rPr>
          <w:rFonts w:ascii="Arial" w:cs="Arial" w:eastAsia="Arial" w:hAnsi="Arial"/>
          <w:sz w:val="22"/>
          <w:szCs w:val="22"/>
          <w:color w:val="auto"/>
        </w:rPr>
        <w:t>hereby waives any right it may have under the Applicable Law of any jurisdiction to require any such approval or accounting.</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1"/>
          <w:szCs w:val="21"/>
          <w:color w:val="auto"/>
        </w:rPr>
        <w:t xml:space="preserve">BMS shall assign, and does hereby assign, to CytomX such Patents, Know-How or other intellectual property rights as necessary to achieve ownership of Mask/Substrate Inventions as provided in this </w:t>
      </w:r>
      <w:r>
        <w:rPr>
          <w:rFonts w:ascii="Arial" w:cs="Arial" w:eastAsia="Arial" w:hAnsi="Arial"/>
          <w:sz w:val="21"/>
          <w:szCs w:val="21"/>
          <w:u w:val="single" w:color="auto"/>
          <w:color w:val="auto"/>
        </w:rPr>
        <w:t>Section 9.1</w:t>
      </w:r>
      <w:r>
        <w:rPr>
          <w:rFonts w:ascii="Arial" w:cs="Arial" w:eastAsia="Arial" w:hAnsi="Arial"/>
          <w:sz w:val="21"/>
          <w:szCs w:val="21"/>
          <w:color w:val="auto"/>
        </w:rPr>
        <w:t>. BMS shall execute and deliver all documents and instruments reasonably requested by CytomX to evidence or record such assignment or to file for, perfect or enforce the assigned rights. BMS shall make its relevant employees, agents and independent contractors (and their assignments and signatures on such documents and instruments) reasonably available to CytomX for assistance in accordance with this Section 9.1 at no charge.</w:t>
      </w:r>
    </w:p>
    <w:p>
      <w:pPr>
        <w:spacing w:after="0" w:line="20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9"/>
          <w:szCs w:val="19"/>
          <w:b w:val="1"/>
          <w:bCs w:val="1"/>
          <w:color w:val="auto"/>
        </w:rPr>
        <w:t>Confidentiality</w:t>
      </w:r>
      <w:r>
        <w:rPr>
          <w:rFonts w:ascii="Arial" w:cs="Arial" w:eastAsia="Arial" w:hAnsi="Arial"/>
          <w:sz w:val="19"/>
          <w:szCs w:val="19"/>
          <w:color w:val="auto"/>
        </w:rPr>
        <w:t>. Section 12.1 is hereby deleted in its entirety and replaced with the following:</w:t>
      </w:r>
    </w:p>
    <w:p>
      <w:pPr>
        <w:spacing w:after="0" w:line="260" w:lineRule="exact"/>
        <w:rPr>
          <w:sz w:val="20"/>
          <w:szCs w:val="20"/>
          <w:color w:val="auto"/>
        </w:rPr>
      </w:pPr>
    </w:p>
    <w:p>
      <w:pPr>
        <w:jc w:val="both"/>
        <w:ind w:firstLine="374"/>
        <w:spacing w:after="0" w:line="327" w:lineRule="auto"/>
        <w:rPr>
          <w:sz w:val="20"/>
          <w:szCs w:val="20"/>
          <w:color w:val="auto"/>
        </w:rPr>
      </w:pPr>
      <w:r>
        <w:rPr>
          <w:rFonts w:ascii="Arial" w:cs="Arial" w:eastAsia="Arial" w:hAnsi="Arial"/>
          <w:sz w:val="19"/>
          <w:szCs w:val="19"/>
          <w:b w:val="1"/>
          <w:bCs w:val="1"/>
          <w:color w:val="auto"/>
        </w:rPr>
        <w:t xml:space="preserve">12.1 Confidentiality. </w:t>
      </w:r>
      <w:r>
        <w:rPr>
          <w:rFonts w:ascii="Arial" w:cs="Arial" w:eastAsia="Arial" w:hAnsi="Arial"/>
          <w:sz w:val="19"/>
          <w:szCs w:val="19"/>
          <w:color w:val="auto"/>
        </w:rPr>
        <w:t>Except to the extent expressly authorized by this Agreement or otherwise agreed in writing by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each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agrees that, for the Term and for five (5) years thereafter, it shall keep 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(the “</w:t>
      </w:r>
      <w:r>
        <w:rPr>
          <w:rFonts w:ascii="Arial" w:cs="Arial" w:eastAsia="Arial" w:hAnsi="Arial"/>
          <w:sz w:val="19"/>
          <w:szCs w:val="19"/>
          <w:b w:val="1"/>
          <w:bCs w:val="1"/>
          <w:color w:val="auto"/>
        </w:rPr>
        <w:t>Disclosing Party</w:t>
      </w:r>
      <w:r>
        <w:rPr>
          <w:rFonts w:ascii="Arial" w:cs="Arial" w:eastAsia="Arial" w:hAnsi="Arial"/>
          <w:sz w:val="19"/>
          <w:szCs w:val="19"/>
          <w:color w:val="auto"/>
        </w:rPr>
        <w:t>”) pursuant to this Agreement except for that portion of such Information that the Receiving Party can demonstrate by competent written proof:</w:t>
      </w:r>
    </w:p>
    <w:p>
      <w:pPr>
        <w:spacing w:after="0" w:line="177" w:lineRule="exact"/>
        <w:rPr>
          <w:sz w:val="20"/>
          <w:szCs w:val="20"/>
          <w:color w:val="auto"/>
        </w:rPr>
      </w:pPr>
    </w:p>
    <w:p>
      <w:pPr>
        <w:ind w:right="20" w:firstLine="2"/>
        <w:spacing w:after="0" w:line="268" w:lineRule="auto"/>
        <w:tabs>
          <w:tab w:leader="none" w:pos="30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was already known to the Receiving Party or any of its Affiliates, other than under an obligation of confidentiality to the Disclosing Party, at the time of disclosure by the other Party;</w:t>
      </w:r>
    </w:p>
    <w:p>
      <w:pPr>
        <w:spacing w:after="0" w:line="2" w:lineRule="exact"/>
        <w:rPr>
          <w:rFonts w:ascii="Arial" w:cs="Arial" w:eastAsia="Arial" w:hAnsi="Arial"/>
          <w:sz w:val="22"/>
          <w:szCs w:val="22"/>
          <w:color w:val="auto"/>
        </w:rPr>
      </w:pPr>
    </w:p>
    <w:p>
      <w:pPr>
        <w:ind w:firstLine="2"/>
        <w:spacing w:after="0" w:line="268" w:lineRule="auto"/>
        <w:tabs>
          <w:tab w:leader="none" w:pos="31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was generally available to the public or otherwise part of the public domain at the time of its disclosure to the Receiving Party;</w:t>
      </w:r>
    </w:p>
    <w:p>
      <w:pPr>
        <w:spacing w:after="0" w:line="2" w:lineRule="exact"/>
        <w:rPr>
          <w:rFonts w:ascii="Arial" w:cs="Arial" w:eastAsia="Arial" w:hAnsi="Arial"/>
          <w:sz w:val="22"/>
          <w:szCs w:val="22"/>
          <w:color w:val="auto"/>
        </w:rPr>
      </w:pPr>
    </w:p>
    <w:p>
      <w:pPr>
        <w:ind w:firstLine="2"/>
        <w:spacing w:after="0" w:line="275" w:lineRule="auto"/>
        <w:tabs>
          <w:tab w:leader="none" w:pos="29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became generally available to the public or otherwise part of the public domain after its disclosure and other than through any act or omission of the Receiving Party in breach of this Agreement;</w:t>
      </w:r>
    </w:p>
    <w:p>
      <w:pPr>
        <w:ind w:firstLine="2"/>
        <w:spacing w:after="0" w:line="268" w:lineRule="auto"/>
        <w:tabs>
          <w:tab w:leader="none" w:pos="35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is subsequently disclosed to the Receiving Party or any of its Affiliates by a Third Party without obligations of confidentiality to the Disclosing Party with respect thereto; or</w:t>
      </w:r>
    </w:p>
    <w:p>
      <w:pPr>
        <w:spacing w:after="0" w:line="2" w:lineRule="exact"/>
        <w:rPr>
          <w:rFonts w:ascii="Arial" w:cs="Arial" w:eastAsia="Arial" w:hAnsi="Arial"/>
          <w:sz w:val="22"/>
          <w:szCs w:val="22"/>
          <w:color w:val="auto"/>
        </w:rPr>
      </w:pPr>
    </w:p>
    <w:p>
      <w:pPr>
        <w:jc w:val="both"/>
        <w:ind w:firstLine="2"/>
        <w:spacing w:after="0" w:line="279" w:lineRule="auto"/>
        <w:tabs>
          <w:tab w:leader="none" w:pos="29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is subsequently independently discovered or developed by the Receiving Party or its Affiliate without the aid, application, or use of Confidential Information of the Disclosing Party, as demonstrated by documented evidence prepared contemporaneously with such independent development.</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22"/>
          <w:szCs w:val="22"/>
          <w:color w:val="auto"/>
        </w:rPr>
        <w:t>All Information generated by either Party in the Development of a Compound or Product after the Effective Date or licensed to BMS hereunder shall be treated as the Confidential Information of BMS. Notwithstanding the foregoing, Information that is generated by a Party pertaining solely to [***] or other Information that is CytomX Know-How (including, Masks and Substrates) shall be treated as the Confidential Information of CytomX.</w:t>
      </w:r>
    </w:p>
    <w:p>
      <w:pPr>
        <w:spacing w:after="0" w:line="190" w:lineRule="exact"/>
        <w:rPr>
          <w:sz w:val="20"/>
          <w:szCs w:val="20"/>
          <w:color w:val="auto"/>
        </w:rPr>
      </w:pPr>
    </w:p>
    <w:p>
      <w:pPr>
        <w:ind w:left="380" w:hanging="378"/>
        <w:spacing w:after="0"/>
        <w:tabs>
          <w:tab w:leader="none" w:pos="380" w:val="left"/>
        </w:tabs>
        <w:numPr>
          <w:ilvl w:val="0"/>
          <w:numId w:val="106"/>
        </w:numPr>
        <w:rPr>
          <w:rFonts w:ascii="Arial" w:cs="Arial" w:eastAsia="Arial" w:hAnsi="Arial"/>
          <w:sz w:val="19"/>
          <w:szCs w:val="19"/>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Except as expressly set forth herein, this Amendment shall not be construed to modify any of the</w:t>
      </w:r>
    </w:p>
    <w:p>
      <w:pPr>
        <w:spacing w:after="0" w:line="84" w:lineRule="exact"/>
        <w:rPr>
          <w:rFonts w:ascii="Arial" w:cs="Arial" w:eastAsia="Arial" w:hAnsi="Arial"/>
          <w:sz w:val="19"/>
          <w:szCs w:val="19"/>
          <w:color w:val="auto"/>
        </w:rPr>
      </w:pPr>
    </w:p>
    <w:p>
      <w:pPr>
        <w:ind w:left="380" w:right="60"/>
        <w:spacing w:after="0" w:line="274" w:lineRule="auto"/>
        <w:rPr>
          <w:rFonts w:ascii="Arial" w:cs="Arial" w:eastAsia="Arial" w:hAnsi="Arial"/>
          <w:sz w:val="19"/>
          <w:szCs w:val="19"/>
          <w:color w:val="auto"/>
        </w:rPr>
      </w:pPr>
      <w:r>
        <w:rPr>
          <w:rFonts w:ascii="Arial" w:cs="Arial" w:eastAsia="Arial" w:hAnsi="Arial"/>
          <w:sz w:val="22"/>
          <w:szCs w:val="22"/>
          <w:color w:val="auto"/>
        </w:rPr>
        <w:t>Parties’ respective rights and obligations under the Agreement. This Amendment shall be construed and interpreted according to the laws of the State of Delaware, without regard to conflicts of laws principles. This Amendment may be executed in more than one counterpart, each of which shall be deemed to be an original but all of which taken together shall be deemed a single instrument. An electronic signature or facsimile transmission of the signed Amendment will be legal and binding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35560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5" w:right="339" w:bottom="1440" w:gutter="0" w:footer="0" w:header="0"/>
        </w:sectPr>
      </w:pPr>
    </w:p>
    <w:bookmarkStart w:id="119" w:name="page120"/>
    <w:bookmarkEnd w:id="119"/>
    <w:p>
      <w:pPr>
        <w:spacing w:after="0" w:line="268" w:lineRule="auto"/>
        <w:rPr>
          <w:sz w:val="20"/>
          <w:szCs w:val="20"/>
          <w:color w:val="auto"/>
        </w:rPr>
      </w:pPr>
      <w:r>
        <w:rPr>
          <w:rFonts w:ascii="Arial" w:cs="Arial" w:eastAsia="Arial" w:hAnsi="Arial"/>
          <w:sz w:val="22"/>
          <w:szCs w:val="22"/>
          <w:color w:val="auto"/>
        </w:rPr>
        <w:t>both Parties. This Amendment shall be incorporated into and shall, as of the Amendment No 3 Effective Date, form part of the Collaboration Agreement between the Parties.</w:t>
      </w:r>
    </w:p>
    <w:p>
      <w:pPr>
        <w:spacing w:after="0" w:line="2" w:lineRule="exact"/>
        <w:rPr>
          <w:sz w:val="20"/>
          <w:szCs w:val="20"/>
          <w:color w:val="auto"/>
        </w:rPr>
      </w:pPr>
    </w:p>
    <w:p>
      <w:pPr>
        <w:ind w:left="3800"/>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208915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45" w:right="379" w:bottom="1440" w:gutter="0" w:footer="0" w:header="0"/>
        </w:sectPr>
      </w:pPr>
    </w:p>
    <w:bookmarkStart w:id="120" w:name="page121"/>
    <w:bookmarkEnd w:id="120"/>
    <w:p>
      <w:pPr>
        <w:ind w:firstLine="749"/>
        <w:spacing w:after="0" w:line="295"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color w:val="auto"/>
        </w:rPr>
        <w:t>, the Parties have caused this Amendment to be executed by their duly authorized representatives</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Amendment No 3 Effective Date.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CYTOMX THERAPEUTICS, INC.  BRISTOL-MYERS SQUIBB COMPANY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gridSpan w:val="5"/>
          </w:tcPr>
          <w:p>
            <w:pPr>
              <w:spacing w:after="0"/>
              <w:rPr>
                <w:sz w:val="20"/>
                <w:szCs w:val="20"/>
                <w:color w:val="auto"/>
              </w:rPr>
            </w:pPr>
            <w:r>
              <w:rPr>
                <w:rFonts w:ascii="Arial" w:cs="Arial" w:eastAsia="Arial" w:hAnsi="Arial"/>
                <w:sz w:val="22"/>
                <w:szCs w:val="22"/>
                <w:color w:val="auto"/>
              </w:rPr>
              <w:t>By: /s/ Lloyd Rowland</w:t>
            </w:r>
          </w:p>
        </w:tc>
        <w:tc>
          <w:tcPr>
            <w:tcW w:w="8640" w:type="dxa"/>
            <w:vAlign w:val="bottom"/>
            <w:gridSpan w:val="6"/>
          </w:tcPr>
          <w:p>
            <w:pPr>
              <w:spacing w:after="0"/>
              <w:rPr>
                <w:sz w:val="20"/>
                <w:szCs w:val="20"/>
                <w:color w:val="auto"/>
              </w:rPr>
            </w:pPr>
            <w:r>
              <w:rPr>
                <w:rFonts w:ascii="Arial" w:cs="Arial" w:eastAsia="Arial" w:hAnsi="Arial"/>
                <w:sz w:val="22"/>
                <w:szCs w:val="22"/>
                <w:color w:val="auto"/>
              </w:rPr>
              <w:t>By: /s/ Amos J. Sanches</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79"/>
        </w:trPr>
        <w:tc>
          <w:tcPr>
            <w:tcW w:w="2600" w:type="dxa"/>
            <w:vAlign w:val="bottom"/>
            <w:gridSpan w:val="5"/>
          </w:tcPr>
          <w:p>
            <w:pPr>
              <w:spacing w:after="0"/>
              <w:rPr>
                <w:sz w:val="20"/>
                <w:szCs w:val="20"/>
                <w:color w:val="auto"/>
              </w:rPr>
            </w:pPr>
            <w:r>
              <w:rPr>
                <w:rFonts w:ascii="Arial" w:cs="Arial" w:eastAsia="Arial" w:hAnsi="Arial"/>
                <w:sz w:val="22"/>
                <w:szCs w:val="22"/>
                <w:color w:val="auto"/>
              </w:rPr>
              <w:t>Name: Lloyd Rowland</w:t>
            </w:r>
          </w:p>
        </w:tc>
        <w:tc>
          <w:tcPr>
            <w:tcW w:w="8640" w:type="dxa"/>
            <w:vAlign w:val="bottom"/>
            <w:gridSpan w:val="6"/>
          </w:tcPr>
          <w:p>
            <w:pPr>
              <w:spacing w:after="0"/>
              <w:rPr>
                <w:sz w:val="20"/>
                <w:szCs w:val="20"/>
                <w:color w:val="auto"/>
              </w:rPr>
            </w:pPr>
            <w:r>
              <w:rPr>
                <w:rFonts w:ascii="Arial" w:cs="Arial" w:eastAsia="Arial" w:hAnsi="Arial"/>
                <w:sz w:val="22"/>
                <w:szCs w:val="22"/>
                <w:color w:val="auto"/>
              </w:rPr>
              <w:t>Name: Amos J. Sanches</w:t>
            </w: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80"/>
        </w:trPr>
        <w:tc>
          <w:tcPr>
            <w:tcW w:w="2600" w:type="dxa"/>
            <w:vAlign w:val="bottom"/>
            <w:gridSpan w:val="5"/>
          </w:tcPr>
          <w:p>
            <w:pPr>
              <w:spacing w:after="0"/>
              <w:rPr>
                <w:sz w:val="20"/>
                <w:szCs w:val="20"/>
                <w:color w:val="auto"/>
              </w:rPr>
            </w:pPr>
            <w:r>
              <w:rPr>
                <w:rFonts w:ascii="Arial" w:cs="Arial" w:eastAsia="Arial" w:hAnsi="Arial"/>
                <w:sz w:val="22"/>
                <w:szCs w:val="22"/>
                <w:color w:val="auto"/>
                <w:w w:val="93"/>
              </w:rPr>
              <w:t>Title: SVP, General Counsel</w:t>
            </w:r>
          </w:p>
        </w:tc>
        <w:tc>
          <w:tcPr>
            <w:tcW w:w="420" w:type="dxa"/>
            <w:vAlign w:val="bottom"/>
          </w:tcPr>
          <w:p>
            <w:pPr>
              <w:spacing w:after="0"/>
              <w:rPr>
                <w:sz w:val="24"/>
                <w:szCs w:val="24"/>
                <w:color w:val="auto"/>
              </w:rPr>
            </w:pPr>
          </w:p>
        </w:tc>
        <w:tc>
          <w:tcPr>
            <w:tcW w:w="8220" w:type="dxa"/>
            <w:vAlign w:val="bottom"/>
            <w:gridSpan w:val="5"/>
          </w:tcPr>
          <w:p>
            <w:pPr>
              <w:ind w:left="20"/>
              <w:spacing w:after="0"/>
              <w:rPr>
                <w:sz w:val="20"/>
                <w:szCs w:val="20"/>
                <w:color w:val="auto"/>
              </w:rPr>
            </w:pPr>
            <w:r>
              <w:rPr>
                <w:rFonts w:ascii="Arial" w:cs="Arial" w:eastAsia="Arial" w:hAnsi="Arial"/>
                <w:sz w:val="22"/>
                <w:szCs w:val="22"/>
                <w:color w:val="auto"/>
              </w:rPr>
              <w:t>Title: Director, Global Alliances</w:t>
            </w:r>
          </w:p>
        </w:tc>
      </w:tr>
      <w:tr>
        <w:trPr>
          <w:trHeight w:val="392"/>
        </w:trPr>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60" w:type="dxa"/>
            <w:vAlign w:val="bottom"/>
            <w:tcBorders>
              <w:top w:val="single" w:sz="8" w:color="auto"/>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Chief Executive Officer of CytomX Therapeutics, Inc., certify that:</w:t>
      </w:r>
    </w:p>
    <w:p>
      <w:pPr>
        <w:spacing w:after="0" w:line="117" w:lineRule="exact"/>
        <w:rPr>
          <w:sz w:val="20"/>
          <w:szCs w:val="20"/>
          <w:color w:val="auto"/>
        </w:rPr>
      </w:pPr>
    </w:p>
    <w:p>
      <w:pPr>
        <w:ind w:left="1020" w:hanging="503"/>
        <w:spacing w:after="0"/>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11" w:lineRule="exact"/>
        <w:rPr>
          <w:rFonts w:ascii="Arial" w:cs="Arial" w:eastAsia="Arial" w:hAnsi="Arial"/>
          <w:sz w:val="18"/>
          <w:szCs w:val="18"/>
          <w:color w:val="auto"/>
        </w:rPr>
      </w:pPr>
    </w:p>
    <w:p>
      <w:pPr>
        <w:jc w:val="both"/>
        <w:ind w:left="1020" w:right="20" w:hanging="503"/>
        <w:spacing w:after="0" w:line="256" w:lineRule="auto"/>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6"/>
          <w:szCs w:val="16"/>
          <w:color w:val="auto"/>
        </w:rPr>
      </w:pPr>
    </w:p>
    <w:p>
      <w:pPr>
        <w:ind w:left="1020" w:right="120" w:hanging="503"/>
        <w:spacing w:after="0" w:line="216" w:lineRule="exact"/>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540" w:right="600" w:hanging="514"/>
        <w:spacing w:after="0" w:line="256" w:lineRule="auto"/>
        <w:tabs>
          <w:tab w:leader="none" w:pos="15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540" w:right="180" w:hanging="514"/>
        <w:spacing w:after="0" w:line="256" w:lineRule="auto"/>
        <w:tabs>
          <w:tab w:leader="none" w:pos="15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540" w:hanging="514"/>
        <w:spacing w:after="0" w:line="256" w:lineRule="auto"/>
        <w:tabs>
          <w:tab w:leader="none" w:pos="15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540" w:right="380" w:hanging="514"/>
        <w:spacing w:after="0" w:line="278" w:lineRule="auto"/>
        <w:tabs>
          <w:tab w:leader="none" w:pos="15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Date: November 8, 2022</w:t>
            </w:r>
          </w:p>
        </w:tc>
        <w:tc>
          <w:tcPr>
            <w:tcW w:w="2620" w:type="dxa"/>
            <w:vAlign w:val="bottom"/>
          </w:tcPr>
          <w:p>
            <w:pPr>
              <w:ind w:left="17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A. McCarthy</w:t>
            </w:r>
          </w:p>
        </w:tc>
        <w:tc>
          <w:tcPr>
            <w:tcW w:w="580" w:type="dxa"/>
            <w:vAlign w:val="bottom"/>
          </w:tcPr>
          <w:p>
            <w:pPr>
              <w:spacing w:after="0"/>
              <w:rPr>
                <w:sz w:val="20"/>
                <w:szCs w:val="20"/>
                <w:color w:val="auto"/>
              </w:rPr>
            </w:pPr>
          </w:p>
        </w:tc>
      </w:tr>
      <w:tr>
        <w:trPr>
          <w:trHeight w:val="222"/>
        </w:trPr>
        <w:tc>
          <w:tcPr>
            <w:tcW w:w="3520" w:type="dxa"/>
            <w:vAlign w:val="bottom"/>
          </w:tcPr>
          <w:p>
            <w:pPr>
              <w:spacing w:after="0"/>
              <w:rPr>
                <w:sz w:val="19"/>
                <w:szCs w:val="19"/>
                <w:color w:val="auto"/>
              </w:rPr>
            </w:pPr>
          </w:p>
        </w:tc>
        <w:tc>
          <w:tcPr>
            <w:tcW w:w="2620" w:type="dxa"/>
            <w:vAlign w:val="bottom"/>
          </w:tcPr>
          <w:p>
            <w:pPr>
              <w:ind w:left="1740"/>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Sean A. McCarthy, D. Phil.</w:t>
            </w:r>
          </w:p>
        </w:tc>
        <w:tc>
          <w:tcPr>
            <w:tcW w:w="58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620" w:type="dxa"/>
            <w:vAlign w:val="bottom"/>
          </w:tcPr>
          <w:p>
            <w:pPr>
              <w:ind w:left="1740"/>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580" w:type="dxa"/>
            <w:vAlign w:val="bottom"/>
          </w:tcPr>
          <w:p>
            <w:pPr>
              <w:spacing w:after="0"/>
              <w:rPr>
                <w:sz w:val="20"/>
                <w:szCs w:val="20"/>
                <w:color w:val="auto"/>
              </w:rPr>
            </w:pPr>
          </w:p>
        </w:tc>
      </w:tr>
      <w:tr>
        <w:trPr>
          <w:trHeight w:val="533"/>
        </w:trPr>
        <w:tc>
          <w:tcPr>
            <w:tcW w:w="35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W. Ogden, Senior Vice President, Finance and Accounting of CytomX Therapeutics, Inc., certify that:</w:t>
      </w:r>
    </w:p>
    <w:p>
      <w:pPr>
        <w:spacing w:after="0" w:line="117" w:lineRule="exact"/>
        <w:rPr>
          <w:sz w:val="20"/>
          <w:szCs w:val="20"/>
          <w:color w:val="auto"/>
        </w:rPr>
      </w:pPr>
    </w:p>
    <w:p>
      <w:pPr>
        <w:ind w:left="1020" w:hanging="503"/>
        <w:spacing w:after="0"/>
        <w:tabs>
          <w:tab w:leader="none" w:pos="10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11" w:lineRule="exact"/>
        <w:rPr>
          <w:rFonts w:ascii="Arial" w:cs="Arial" w:eastAsia="Arial" w:hAnsi="Arial"/>
          <w:sz w:val="18"/>
          <w:szCs w:val="18"/>
          <w:color w:val="auto"/>
        </w:rPr>
      </w:pPr>
    </w:p>
    <w:p>
      <w:pPr>
        <w:jc w:val="both"/>
        <w:ind w:left="1020" w:right="20" w:hanging="503"/>
        <w:spacing w:after="0" w:line="256" w:lineRule="auto"/>
        <w:tabs>
          <w:tab w:leader="none" w:pos="10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6"/>
          <w:szCs w:val="16"/>
          <w:color w:val="auto"/>
        </w:rPr>
      </w:pPr>
    </w:p>
    <w:p>
      <w:pPr>
        <w:ind w:left="1020" w:right="120" w:hanging="503"/>
        <w:spacing w:after="0" w:line="216" w:lineRule="exact"/>
        <w:tabs>
          <w:tab w:leader="none" w:pos="10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540" w:right="600" w:hanging="514"/>
        <w:spacing w:after="0" w:line="256" w:lineRule="auto"/>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540" w:right="180" w:hanging="514"/>
        <w:spacing w:after="0" w:line="256" w:lineRule="auto"/>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540" w:hanging="514"/>
        <w:spacing w:after="0" w:line="256" w:lineRule="auto"/>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540" w:right="380" w:hanging="514"/>
        <w:spacing w:after="0" w:line="278" w:lineRule="auto"/>
        <w:tabs>
          <w:tab w:leader="none" w:pos="15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5240" w:val="left"/>
          <w:tab w:leader="none" w:pos="60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294005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7" w:lineRule="exact"/>
        <w:rPr>
          <w:sz w:val="20"/>
          <w:szCs w:val="20"/>
          <w:color w:val="auto"/>
        </w:rPr>
      </w:pPr>
    </w:p>
    <w:p>
      <w:pPr>
        <w:ind w:left="5260"/>
        <w:spacing w:after="0"/>
        <w:tabs>
          <w:tab w:leader="none" w:pos="6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Christopher W. Ogden</w:t>
      </w:r>
    </w:p>
    <w:p>
      <w:pPr>
        <w:spacing w:after="0" w:line="22" w:lineRule="exact"/>
        <w:rPr>
          <w:sz w:val="20"/>
          <w:szCs w:val="20"/>
          <w:color w:val="auto"/>
        </w:rPr>
      </w:pPr>
    </w:p>
    <w:p>
      <w:pPr>
        <w:ind w:left="526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Senior Vice President, 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September 30, 2022,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0" w:lineRule="exact"/>
        <w:rPr>
          <w:sz w:val="20"/>
          <w:szCs w:val="20"/>
          <w:color w:val="auto"/>
        </w:rPr>
      </w:pPr>
    </w:p>
    <w:p>
      <w:pPr>
        <w:ind w:left="520" w:hanging="512"/>
        <w:spacing w:after="0"/>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November 8, 2022</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A. McCarthy</w:t>
            </w:r>
          </w:p>
        </w:tc>
      </w:tr>
      <w:tr>
        <w:trPr>
          <w:trHeight w:val="168"/>
        </w:trPr>
        <w:tc>
          <w:tcPr>
            <w:tcW w:w="3540" w:type="dxa"/>
            <w:vAlign w:val="bottom"/>
          </w:tcPr>
          <w:p>
            <w:pPr>
              <w:spacing w:after="0"/>
              <w:rPr>
                <w:sz w:val="14"/>
                <w:szCs w:val="14"/>
                <w:color w:val="auto"/>
              </w:rPr>
            </w:pPr>
          </w:p>
        </w:tc>
        <w:tc>
          <w:tcPr>
            <w:tcW w:w="2520" w:type="dxa"/>
            <w:vAlign w:val="bottom"/>
          </w:tcPr>
          <w:p>
            <w:pPr>
              <w:ind w:left="1760"/>
              <w:spacing w:after="0" w:line="168" w:lineRule="exact"/>
              <w:rPr>
                <w:sz w:val="20"/>
                <w:szCs w:val="20"/>
                <w:color w:val="auto"/>
              </w:rPr>
            </w:pPr>
            <w:r>
              <w:rPr>
                <w:rFonts w:ascii="Arial" w:cs="Arial" w:eastAsia="Arial" w:hAnsi="Arial"/>
                <w:sz w:val="18"/>
                <w:szCs w:val="18"/>
                <w:color w:val="auto"/>
              </w:rPr>
              <w:t>Name:</w:t>
            </w:r>
          </w:p>
        </w:tc>
        <w:tc>
          <w:tcPr>
            <w:tcW w:w="4600" w:type="dxa"/>
            <w:vAlign w:val="bottom"/>
          </w:tcPr>
          <w:p>
            <w:pPr>
              <w:ind w:left="20"/>
              <w:spacing w:after="0" w:line="168" w:lineRule="exact"/>
              <w:rPr>
                <w:sz w:val="20"/>
                <w:szCs w:val="20"/>
                <w:color w:val="auto"/>
              </w:rPr>
            </w:pPr>
            <w:r>
              <w:rPr>
                <w:rFonts w:ascii="Arial" w:cs="Arial" w:eastAsia="Arial" w:hAnsi="Arial"/>
                <w:sz w:val="18"/>
                <w:szCs w:val="18"/>
                <w:color w:val="auto"/>
              </w:rPr>
              <w:t>Sean A. McCarthy, D. Phil.</w:t>
            </w:r>
          </w:p>
        </w:tc>
      </w:tr>
      <w:tr>
        <w:trPr>
          <w:trHeight w:val="230"/>
        </w:trPr>
        <w:tc>
          <w:tcPr>
            <w:tcW w:w="3540" w:type="dxa"/>
            <w:vAlign w:val="bottom"/>
          </w:tcPr>
          <w:p>
            <w:pPr>
              <w:spacing w:after="0"/>
              <w:rPr>
                <w:sz w:val="20"/>
                <w:szCs w:val="20"/>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188"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jc w:val="both"/>
        <w:ind w:right="100"/>
        <w:spacing w:after="0" w:line="303" w:lineRule="auto"/>
        <w:rPr>
          <w:sz w:val="20"/>
          <w:szCs w:val="20"/>
          <w:color w:val="auto"/>
        </w:rPr>
      </w:pPr>
      <w:r>
        <w:rPr>
          <w:rFonts w:ascii="Arial" w:cs="Arial" w:eastAsia="Arial" w:hAnsi="Arial"/>
          <w:sz w:val="16"/>
          <w:szCs w:val="16"/>
          <w:color w:val="auto"/>
        </w:rPr>
        <w:t>In connection with the Quarterly Report of CytomX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September 30, 2022,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Christopher W. Ogden, Senior Vice President, Finance and Accounting of the Company, certify, pursuant to 18 U.S.C. Section 1350, as adopted pursuant to Section 906 of the Sarbanes-Oxley Act of 2002 (the “</w:t>
      </w:r>
      <w:r>
        <w:rPr>
          <w:rFonts w:ascii="Arial" w:cs="Arial" w:eastAsia="Arial" w:hAnsi="Arial"/>
          <w:sz w:val="16"/>
          <w:szCs w:val="16"/>
          <w:u w:val="single" w:color="auto"/>
          <w:color w:val="auto"/>
        </w:rPr>
        <w:t>Act</w:t>
      </w:r>
      <w:r>
        <w:rPr>
          <w:rFonts w:ascii="Arial" w:cs="Arial" w:eastAsia="Arial" w:hAnsi="Arial"/>
          <w:sz w:val="16"/>
          <w:szCs w:val="16"/>
          <w:color w:val="auto"/>
        </w:rPr>
        <w:t>”), that:</w:t>
      </w:r>
    </w:p>
    <w:p>
      <w:pPr>
        <w:spacing w:after="0" w:line="32" w:lineRule="exact"/>
        <w:rPr>
          <w:sz w:val="20"/>
          <w:szCs w:val="20"/>
          <w:color w:val="auto"/>
        </w:rPr>
      </w:pPr>
    </w:p>
    <w:p>
      <w:pPr>
        <w:ind w:left="520" w:hanging="512"/>
        <w:spacing w:after="0"/>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November 8, 2022</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W. Ogden</w:t>
            </w:r>
          </w:p>
        </w:tc>
      </w:tr>
      <w:tr>
        <w:trPr>
          <w:trHeight w:val="168"/>
        </w:trPr>
        <w:tc>
          <w:tcPr>
            <w:tcW w:w="3540" w:type="dxa"/>
            <w:vAlign w:val="bottom"/>
          </w:tcPr>
          <w:p>
            <w:pPr>
              <w:spacing w:after="0"/>
              <w:rPr>
                <w:sz w:val="14"/>
                <w:szCs w:val="14"/>
                <w:color w:val="auto"/>
              </w:rPr>
            </w:pPr>
          </w:p>
        </w:tc>
        <w:tc>
          <w:tcPr>
            <w:tcW w:w="2520" w:type="dxa"/>
            <w:vAlign w:val="bottom"/>
          </w:tcPr>
          <w:p>
            <w:pPr>
              <w:ind w:left="1760"/>
              <w:spacing w:after="0" w:line="168" w:lineRule="exact"/>
              <w:rPr>
                <w:sz w:val="20"/>
                <w:szCs w:val="20"/>
                <w:color w:val="auto"/>
              </w:rPr>
            </w:pPr>
            <w:r>
              <w:rPr>
                <w:rFonts w:ascii="Arial" w:cs="Arial" w:eastAsia="Arial" w:hAnsi="Arial"/>
                <w:sz w:val="18"/>
                <w:szCs w:val="18"/>
                <w:color w:val="auto"/>
              </w:rPr>
              <w:t>Name:</w:t>
            </w:r>
          </w:p>
        </w:tc>
        <w:tc>
          <w:tcPr>
            <w:tcW w:w="4600" w:type="dxa"/>
            <w:vAlign w:val="bottom"/>
          </w:tcPr>
          <w:p>
            <w:pPr>
              <w:ind w:left="20"/>
              <w:spacing w:after="0" w:line="168" w:lineRule="exact"/>
              <w:rPr>
                <w:sz w:val="20"/>
                <w:szCs w:val="20"/>
                <w:color w:val="auto"/>
              </w:rPr>
            </w:pPr>
            <w:r>
              <w:rPr>
                <w:rFonts w:ascii="Arial" w:cs="Arial" w:eastAsia="Arial" w:hAnsi="Arial"/>
                <w:sz w:val="18"/>
                <w:szCs w:val="18"/>
                <w:color w:val="auto"/>
              </w:rPr>
              <w:t>Christopher W. Ogden</w:t>
            </w:r>
          </w:p>
        </w:tc>
      </w:tr>
      <w:tr>
        <w:trPr>
          <w:trHeight w:val="230"/>
        </w:trPr>
        <w:tc>
          <w:tcPr>
            <w:tcW w:w="3540" w:type="dxa"/>
            <w:vAlign w:val="bottom"/>
          </w:tcPr>
          <w:p>
            <w:pPr>
              <w:spacing w:after="0"/>
              <w:rPr>
                <w:sz w:val="20"/>
                <w:szCs w:val="20"/>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Senior Vice President, Finance and Accounting</w:t>
            </w:r>
          </w:p>
        </w:tc>
      </w:tr>
    </w:tbl>
    <w:p>
      <w:pPr>
        <w:spacing w:after="0" w:line="188"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1."/>
      <w:numFmt w:val="decimal"/>
      <w:start w:val="2"/>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1."/>
      <w:numFmt w:val="decimal"/>
      <w:start w:val="7"/>
    </w:lvl>
  </w:abstractNum>
  <w:abstractNum w:abstractNumId="9">
    <w:nsid w:val="741226BB"/>
    <w:multiLevelType w:val="hybridMultilevel"/>
    <w:lvl w:ilvl="0">
      <w:lvlJc w:val="left"/>
      <w:lvlText w:val="%1."/>
      <w:numFmt w:val="decimal"/>
      <w:start w:val="10"/>
    </w:lvl>
  </w:abstractNum>
  <w:abstractNum w:abstractNumId="10">
    <w:nsid w:val="D34B6A8"/>
    <w:multiLevelType w:val="hybridMultilevel"/>
    <w:lvl w:ilvl="0">
      <w:lvlJc w:val="left"/>
      <w:lvlText w:val="%1."/>
      <w:numFmt w:val="decimal"/>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1)"/>
      <w:numFmt w:val="decimal"/>
      <w:start w:val="72"/>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1."/>
      <w:numFmt w:val="decimal"/>
      <w:start w:val="3"/>
    </w:lvl>
  </w:abstractNum>
  <w:abstractNum w:abstractNumId="51">
    <w:nsid w:val="60B6DF70"/>
    <w:multiLevelType w:val="hybridMultilevel"/>
    <w:lvl w:ilvl="0">
      <w:lvlJc w:val="left"/>
      <w:lvlText w:val="%1."/>
      <w:numFmt w:val="decimal"/>
      <w:start w:val="4"/>
    </w:lvl>
  </w:abstractNum>
  <w:abstractNum w:abstractNumId="52">
    <w:nsid w:val="6A5EE64"/>
    <w:multiLevelType w:val="hybridMultilevel"/>
    <w:lvl w:ilvl="0">
      <w:lvlJc w:val="left"/>
      <w:lvlText w:val="%1."/>
      <w:numFmt w:val="decimal"/>
      <w:start w:val="7"/>
    </w:lvl>
  </w:abstractNum>
  <w:abstractNum w:abstractNumId="53">
    <w:nsid w:val="14330624"/>
    <w:multiLevelType w:val="hybridMultilevel"/>
    <w:lvl w:ilvl="0">
      <w:lvlJc w:val="left"/>
      <w:lvlText w:val="%1."/>
      <w:numFmt w:val="decimal"/>
      <w:start w:val="8"/>
    </w:lvl>
  </w:abstractNum>
  <w:abstractNum w:abstractNumId="54">
    <w:nsid w:val="7FFFCA11"/>
    <w:multiLevelType w:val="hybridMultilevel"/>
    <w:lvl w:ilvl="0">
      <w:lvlJc w:val="left"/>
      <w:lvlText w:val="%1."/>
      <w:numFmt w:val="decimal"/>
      <w:start w:val="11"/>
    </w:lvl>
  </w:abstractNum>
  <w:abstractNum w:abstractNumId="55">
    <w:nsid w:val="1A27709E"/>
    <w:multiLevelType w:val="hybridMultilevel"/>
    <w:lvl w:ilvl="0">
      <w:lvlJc w:val="left"/>
      <w:lvlText w:val="%1"/>
      <w:numFmt w:val="decimal"/>
      <w:start w:val="1"/>
    </w:lvl>
    <w:lvl w:ilvl="1">
      <w:lvlJc w:val="left"/>
      <w:lvlText w:val="%2."/>
      <w:numFmt w:val="decimal"/>
      <w:start w:val="15"/>
    </w:lvl>
  </w:abstractNum>
  <w:abstractNum w:abstractNumId="56">
    <w:nsid w:val="71EA1109"/>
    <w:multiLevelType w:val="hybridMultilevel"/>
    <w:lvl w:ilvl="0">
      <w:lvlJc w:val="left"/>
      <w:lvlText w:val="%1."/>
      <w:numFmt w:val="decimal"/>
      <w:start w:val="18"/>
    </w:lvl>
    <w:lvl w:ilvl="1">
      <w:lvlJc w:val="left"/>
      <w:lvlText w:val="%2."/>
      <w:numFmt w:val="decimal"/>
      <w:start w:val="19"/>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1."/>
      <w:numFmt w:val="decimal"/>
      <w:start w:val="2"/>
    </w:lvl>
    <w:lvl w:ilvl="1">
      <w:lvlJc w:val="left"/>
      <w:lvlText w:val="%2."/>
      <w:numFmt w:val="decimal"/>
      <w:start w:val="3"/>
    </w:lvl>
  </w:abstractNum>
  <w:abstractNum w:abstractNumId="59">
    <w:nsid w:val="6EB5BD4"/>
    <w:multiLevelType w:val="hybridMultilevel"/>
    <w:lvl w:ilvl="0">
      <w:lvlJc w:val="left"/>
      <w:lvlText w:val="%1."/>
      <w:numFmt w:val="decimal"/>
      <w:start w:val="4"/>
    </w:lvl>
  </w:abstractNum>
  <w:abstractNum w:abstractNumId="60">
    <w:nsid w:val="6F6DD9AC"/>
    <w:multiLevelType w:val="hybridMultilevel"/>
    <w:lvl w:ilvl="0">
      <w:lvlJc w:val="left"/>
      <w:lvlText w:val="%1."/>
      <w:numFmt w:val="decimal"/>
      <w:start w:val="7"/>
    </w:lvl>
  </w:abstractNum>
  <w:abstractNum w:abstractNumId="61">
    <w:nsid w:val="94211F2"/>
    <w:multiLevelType w:val="hybridMultilevel"/>
    <w:lvl w:ilvl="0">
      <w:lvlJc w:val="left"/>
      <w:lvlText w:val="%1."/>
      <w:numFmt w:val="decimal"/>
      <w:start w:val="8"/>
    </w:lvl>
  </w:abstractNum>
  <w:abstractNum w:abstractNumId="62">
    <w:nsid w:val="885E1B"/>
    <w:multiLevelType w:val="hybridMultilevel"/>
    <w:lvl w:ilvl="0">
      <w:lvlJc w:val="left"/>
      <w:lvlText w:val="%1."/>
      <w:numFmt w:val="decimal"/>
      <w:start w:val="11"/>
    </w:lvl>
  </w:abstractNum>
  <w:abstractNum w:abstractNumId="63">
    <w:nsid w:val="76272110"/>
    <w:multiLevelType w:val="hybridMultilevel"/>
    <w:lvl w:ilvl="0">
      <w:lvlJc w:val="left"/>
      <w:lvlText w:val="%1"/>
      <w:numFmt w:val="decimal"/>
      <w:start w:val="1"/>
    </w:lvl>
    <w:lvl w:ilvl="1">
      <w:lvlJc w:val="left"/>
      <w:lvlText w:val="%2."/>
      <w:numFmt w:val="decimal"/>
      <w:start w:val="15"/>
    </w:lvl>
  </w:abstractNum>
  <w:abstractNum w:abstractNumId="64">
    <w:nsid w:val="4C04A8AF"/>
    <w:multiLevelType w:val="hybridMultilevel"/>
    <w:lvl w:ilvl="0">
      <w:lvlJc w:val="left"/>
      <w:lvlText w:val="%1."/>
      <w:numFmt w:val="decimal"/>
      <w:start w:val="18"/>
    </w:lvl>
    <w:lvl w:ilvl="1">
      <w:lvlJc w:val="left"/>
      <w:lvlText w:val="%2."/>
      <w:numFmt w:val="decimal"/>
      <w:start w:val="19"/>
    </w:lvl>
  </w:abstractNum>
  <w:abstractNum w:abstractNumId="65">
    <w:nsid w:val="1716703B"/>
    <w:multiLevelType w:val="hybridMultilevel"/>
    <w:lvl w:ilvl="0">
      <w:lvlJc w:val="left"/>
      <w:lvlText w:val="%1."/>
      <w:numFmt w:val="decimal"/>
      <w:start w:val="1"/>
    </w:lvl>
    <w:lvl w:ilvl="1">
      <w:lvlJc w:val="left"/>
      <w:lvlText w:val="%2."/>
      <w:numFmt w:val="lowerLetter"/>
      <w:start w:val="1"/>
    </w:lvl>
  </w:abstractNum>
  <w:abstractNum w:abstractNumId="66">
    <w:nsid w:val="14E17E33"/>
    <w:multiLevelType w:val="hybridMultilevel"/>
    <w:lvl w:ilvl="0">
      <w:lvlJc w:val="left"/>
      <w:lvlText w:val="%1."/>
      <w:numFmt w:val="decimal"/>
      <w:start w:val="4"/>
    </w:lvl>
    <w:lvl w:ilvl="1">
      <w:lvlJc w:val="left"/>
      <w:lvlText w:val="%2)"/>
      <w:numFmt w:val="lowerLetter"/>
      <w:start w:val="1"/>
    </w:lvl>
  </w:abstractNum>
  <w:abstractNum w:abstractNumId="67">
    <w:nsid w:val="3222E7CD"/>
    <w:multiLevelType w:val="hybridMultilevel"/>
    <w:lvl w:ilvl="0">
      <w:lvlJc w:val="left"/>
      <w:lvlText w:val="%1)"/>
      <w:numFmt w:val="lowerLetter"/>
      <w:start w:val="2"/>
    </w:lvl>
  </w:abstractNum>
  <w:abstractNum w:abstractNumId="68">
    <w:nsid w:val="74DE0EE3"/>
    <w:multiLevelType w:val="hybridMultilevel"/>
    <w:lvl w:ilvl="0">
      <w:lvlJc w:val="left"/>
      <w:lvlText w:val="%1)"/>
      <w:numFmt w:val="lowerLetter"/>
      <w:start w:val="3"/>
    </w:lvl>
  </w:abstractNum>
  <w:abstractNum w:abstractNumId="69">
    <w:nsid w:val="68EBC550"/>
    <w:multiLevelType w:val="hybridMultilevel"/>
    <w:lvl w:ilvl="0">
      <w:lvlJc w:val="left"/>
      <w:lvlText w:val="%1)"/>
      <w:numFmt w:val="lowerLetter"/>
      <w:start w:val="4"/>
    </w:lvl>
    <w:lvl w:ilvl="1">
      <w:lvlJc w:val="left"/>
      <w:lvlText w:val="(%2)"/>
      <w:numFmt w:val="lowerRoman"/>
      <w:start w:val="1"/>
    </w:lvl>
  </w:abstractNum>
  <w:abstractNum w:abstractNumId="70">
    <w:nsid w:val="2DF6D648"/>
    <w:multiLevelType w:val="hybridMultilevel"/>
    <w:lvl w:ilvl="0">
      <w:lvlJc w:val="left"/>
      <w:lvlText w:val="(%1)"/>
      <w:numFmt w:val="lowerRoman"/>
      <w:start w:val="3"/>
    </w:lvl>
  </w:abstractNum>
  <w:abstractNum w:abstractNumId="71">
    <w:nsid w:val="46B7D447"/>
    <w:multiLevelType w:val="hybridMultilevel"/>
    <w:lvl w:ilvl="0">
      <w:lvlJc w:val="left"/>
      <w:lvlText w:val="(%1)"/>
      <w:numFmt w:val="lowerRoman"/>
      <w:start w:val="7"/>
    </w:lvl>
  </w:abstractNum>
  <w:abstractNum w:abstractNumId="72">
    <w:nsid w:val="4A2AC315"/>
    <w:multiLevelType w:val="hybridMultilevel"/>
    <w:lvl w:ilvl="0">
      <w:lvlJc w:val="left"/>
      <w:lvlText w:val="%1."/>
      <w:numFmt w:val="decimal"/>
      <w:start w:val="8"/>
    </w:lvl>
  </w:abstractNum>
  <w:abstractNum w:abstractNumId="73">
    <w:nsid w:val="39EE015C"/>
    <w:multiLevelType w:val="hybridMultilevel"/>
    <w:lvl w:ilvl="0">
      <w:lvlJc w:val="left"/>
      <w:lvlText w:val="%1."/>
      <w:numFmt w:val="decimal"/>
      <w:start w:val="10"/>
    </w:lvl>
    <w:lvl w:ilvl="1">
      <w:lvlJc w:val="left"/>
      <w:lvlText w:val="%2)"/>
      <w:numFmt w:val="lowerLetter"/>
      <w:start w:val="1"/>
    </w:lvl>
  </w:abstractNum>
  <w:abstractNum w:abstractNumId="74">
    <w:nsid w:val="57FC4FBB"/>
    <w:multiLevelType w:val="hybridMultilevel"/>
    <w:lvl w:ilvl="0">
      <w:lvlJc w:val="left"/>
      <w:lvlText w:val="%1"/>
      <w:numFmt w:val="decimal"/>
      <w:start w:val="1"/>
    </w:lvl>
    <w:lvl w:ilvl="1">
      <w:lvlJc w:val="left"/>
      <w:lvlText w:val="%2)"/>
      <w:numFmt w:val="lowerLetter"/>
      <w:start w:val="2"/>
    </w:lvl>
  </w:abstractNum>
  <w:abstractNum w:abstractNumId="75">
    <w:nsid w:val="CC1016F"/>
    <w:multiLevelType w:val="hybridMultilevel"/>
    <w:lvl w:ilvl="0">
      <w:lvlJc w:val="left"/>
      <w:lvlText w:val="%1."/>
      <w:numFmt w:val="decimal"/>
      <w:start w:val="11"/>
    </w:lvl>
    <w:lvl w:ilvl="1">
      <w:lvlJc w:val="left"/>
      <w:lvlText w:val="%2"/>
      <w:numFmt w:val="lowerLetter"/>
      <w:start w:val="1"/>
    </w:lvl>
  </w:abstractNum>
  <w:abstractNum w:abstractNumId="76">
    <w:nsid w:val="43F18422"/>
    <w:multiLevelType w:val="hybridMultilevel"/>
    <w:lvl w:ilvl="0">
      <w:lvlJc w:val="left"/>
      <w:lvlText w:val="%1."/>
      <w:numFmt w:val="decimal"/>
      <w:start w:val="1"/>
    </w:lvl>
    <w:lvl w:ilvl="1">
      <w:lvlJc w:val="left"/>
      <w:lvlText w:val="%2."/>
      <w:numFmt w:val="lowerLetter"/>
      <w:start w:val="1"/>
    </w:lvl>
  </w:abstractNum>
  <w:abstractNum w:abstractNumId="77">
    <w:nsid w:val="60EF0119"/>
    <w:multiLevelType w:val="hybridMultilevel"/>
    <w:lvl w:ilvl="0">
      <w:lvlJc w:val="left"/>
      <w:lvlText w:val="%1."/>
      <w:numFmt w:val="decimal"/>
      <w:start w:val="4"/>
    </w:lvl>
    <w:lvl w:ilvl="1">
      <w:lvlJc w:val="left"/>
      <w:lvlText w:val="%2)"/>
      <w:numFmt w:val="lowerLetter"/>
      <w:start w:val="1"/>
    </w:lvl>
  </w:abstractNum>
  <w:abstractNum w:abstractNumId="78">
    <w:nsid w:val="26F324BA"/>
    <w:multiLevelType w:val="hybridMultilevel"/>
    <w:lvl w:ilvl="0">
      <w:lvlJc w:val="left"/>
      <w:lvlText w:val="%1)"/>
      <w:numFmt w:val="lowerLetter"/>
      <w:start w:val="2"/>
    </w:lvl>
  </w:abstractNum>
  <w:abstractNum w:abstractNumId="79">
    <w:nsid w:val="7F01579B"/>
    <w:multiLevelType w:val="hybridMultilevel"/>
    <w:lvl w:ilvl="0">
      <w:lvlJc w:val="left"/>
      <w:lvlText w:val="%1)"/>
      <w:numFmt w:val="lowerLetter"/>
      <w:start w:val="3"/>
    </w:lvl>
  </w:abstractNum>
  <w:abstractNum w:abstractNumId="80">
    <w:nsid w:val="49DA307D"/>
    <w:multiLevelType w:val="hybridMultilevel"/>
    <w:lvl w:ilvl="0">
      <w:lvlJc w:val="left"/>
      <w:lvlText w:val="%1)"/>
      <w:numFmt w:val="lowerLetter"/>
      <w:start w:val="4"/>
    </w:lvl>
    <w:lvl w:ilvl="1">
      <w:lvlJc w:val="left"/>
      <w:lvlText w:val="(%2)"/>
      <w:numFmt w:val="lowerRoman"/>
      <w:start w:val="1"/>
    </w:lvl>
  </w:abstractNum>
  <w:abstractNum w:abstractNumId="81">
    <w:nsid w:val="7055A5F5"/>
    <w:multiLevelType w:val="hybridMultilevel"/>
    <w:lvl w:ilvl="0">
      <w:lvlJc w:val="left"/>
      <w:lvlText w:val="(%1)"/>
      <w:numFmt w:val="lowerRoman"/>
      <w:start w:val="3"/>
    </w:lvl>
  </w:abstractNum>
  <w:abstractNum w:abstractNumId="82">
    <w:nsid w:val="5FB8370B"/>
    <w:multiLevelType w:val="hybridMultilevel"/>
    <w:lvl w:ilvl="0">
      <w:lvlJc w:val="left"/>
      <w:lvlText w:val="(%1)"/>
      <w:numFmt w:val="lowerRoman"/>
      <w:start w:val="7"/>
    </w:lvl>
  </w:abstractNum>
  <w:abstractNum w:abstractNumId="83">
    <w:nsid w:val="50801EE1"/>
    <w:multiLevelType w:val="hybridMultilevel"/>
    <w:lvl w:ilvl="0">
      <w:lvlJc w:val="left"/>
      <w:lvlText w:val="%1."/>
      <w:numFmt w:val="decimal"/>
      <w:start w:val="8"/>
    </w:lvl>
  </w:abstractNum>
  <w:abstractNum w:abstractNumId="84">
    <w:nsid w:val="488AC1A"/>
    <w:multiLevelType w:val="hybridMultilevel"/>
    <w:lvl w:ilvl="0">
      <w:lvlJc w:val="left"/>
      <w:lvlText w:val="%1."/>
      <w:numFmt w:val="decimal"/>
      <w:start w:val="10"/>
    </w:lvl>
    <w:lvl w:ilvl="1">
      <w:lvlJc w:val="left"/>
      <w:lvlText w:val="%2)"/>
      <w:numFmt w:val="lowerLetter"/>
      <w:start w:val="1"/>
    </w:lvl>
  </w:abstractNum>
  <w:abstractNum w:abstractNumId="85">
    <w:nsid w:val="5FB8011C"/>
    <w:multiLevelType w:val="hybridMultilevel"/>
    <w:lvl w:ilvl="0">
      <w:lvlJc w:val="left"/>
      <w:lvlText w:val="%1"/>
      <w:numFmt w:val="decimal"/>
      <w:start w:val="1"/>
    </w:lvl>
    <w:lvl w:ilvl="1">
      <w:lvlJc w:val="left"/>
      <w:lvlText w:val="%2)"/>
      <w:numFmt w:val="lowerLetter"/>
      <w:start w:val="2"/>
    </w:lvl>
  </w:abstractNum>
  <w:abstractNum w:abstractNumId="86">
    <w:nsid w:val="6AA78F7F"/>
    <w:multiLevelType w:val="hybridMultilevel"/>
    <w:lvl w:ilvl="0">
      <w:lvlJc w:val="left"/>
      <w:lvlText w:val="%1."/>
      <w:numFmt w:val="decimal"/>
      <w:start w:val="11"/>
    </w:lvl>
    <w:lvl w:ilvl="1">
      <w:lvlJc w:val="left"/>
      <w:lvlText w:val="%2"/>
      <w:numFmt w:val="lowerLetter"/>
      <w:start w:val="1"/>
    </w:lvl>
  </w:abstractNum>
  <w:abstractNum w:abstractNumId="87">
    <w:nsid w:val="7672BD23"/>
    <w:multiLevelType w:val="hybridMultilevel"/>
    <w:lvl w:ilvl="0">
      <w:lvlJc w:val="left"/>
      <w:lvlText w:val="%1."/>
      <w:numFmt w:val="decimal"/>
      <w:start w:val="1"/>
    </w:lvl>
    <w:lvl w:ilvl="1">
      <w:lvlJc w:val="left"/>
      <w:lvlText w:val="%2."/>
      <w:numFmt w:val="lowerLetter"/>
      <w:start w:val="1"/>
    </w:lvl>
  </w:abstractNum>
  <w:abstractNum w:abstractNumId="88">
    <w:nsid w:val="6FC75AF8"/>
    <w:multiLevelType w:val="hybridMultilevel"/>
    <w:lvl w:ilvl="0">
      <w:lvlJc w:val="left"/>
      <w:lvlText w:val="%1."/>
      <w:numFmt w:val="decimal"/>
      <w:start w:val="5"/>
    </w:lvl>
    <w:lvl w:ilvl="1">
      <w:lvlJc w:val="left"/>
      <w:lvlText w:val="%2)"/>
      <w:numFmt w:val="lowerLetter"/>
      <w:start w:val="1"/>
    </w:lvl>
  </w:abstractNum>
  <w:abstractNum w:abstractNumId="89">
    <w:nsid w:val="6A5F7029"/>
    <w:multiLevelType w:val="hybridMultilevel"/>
    <w:lvl w:ilvl="0">
      <w:lvlJc w:val="left"/>
      <w:lvlText w:val="%1)"/>
      <w:numFmt w:val="lowerLetter"/>
      <w:start w:val="2"/>
    </w:lvl>
  </w:abstractNum>
  <w:abstractNum w:abstractNumId="90">
    <w:nsid w:val="7D5E18F8"/>
    <w:multiLevelType w:val="hybridMultilevel"/>
    <w:lvl w:ilvl="0">
      <w:lvlJc w:val="left"/>
      <w:lvlText w:val="%1)"/>
      <w:numFmt w:val="lowerLetter"/>
      <w:start w:val="3"/>
    </w:lvl>
  </w:abstractNum>
  <w:abstractNum w:abstractNumId="91">
    <w:nsid w:val="5F3534A4"/>
    <w:multiLevelType w:val="hybridMultilevel"/>
    <w:lvl w:ilvl="0">
      <w:lvlJc w:val="left"/>
      <w:lvlText w:val="%1)"/>
      <w:numFmt w:val="lowerLetter"/>
      <w:start w:val="4"/>
    </w:lvl>
    <w:lvl w:ilvl="1">
      <w:lvlJc w:val="left"/>
      <w:lvlText w:val="(%2)"/>
      <w:numFmt w:val="lowerRoman"/>
      <w:start w:val="1"/>
    </w:lvl>
  </w:abstractNum>
  <w:abstractNum w:abstractNumId="92">
    <w:nsid w:val="73A1821B"/>
    <w:multiLevelType w:val="hybridMultilevel"/>
    <w:lvl w:ilvl="0">
      <w:lvlJc w:val="left"/>
      <w:lvlText w:val="%1"/>
      <w:numFmt w:val="lowerRoman"/>
      <w:start w:val="1"/>
    </w:lvl>
    <w:lvl w:ilvl="1">
      <w:lvlJc w:val="left"/>
      <w:lvlText w:val="(%2)"/>
      <w:numFmt w:val="lowerRoman"/>
      <w:start w:val="6"/>
    </w:lvl>
  </w:abstractNum>
  <w:abstractNum w:abstractNumId="93">
    <w:nsid w:val="7DE67713"/>
    <w:multiLevelType w:val="hybridMultilevel"/>
    <w:lvl w:ilvl="0">
      <w:lvlJc w:val="left"/>
      <w:lvlText w:val="(%1)"/>
      <w:numFmt w:val="lowerRoman"/>
      <w:start w:val="7"/>
    </w:lvl>
    <w:lvl w:ilvl="1">
      <w:lvlJc w:val="left"/>
      <w:lvlText w:val="%2"/>
      <w:numFmt w:val="lowerRoman"/>
      <w:start w:val="1"/>
    </w:lvl>
  </w:abstractNum>
  <w:abstractNum w:abstractNumId="94">
    <w:nsid w:val="555C55B5"/>
    <w:multiLevelType w:val="hybridMultilevel"/>
    <w:lvl w:ilvl="0">
      <w:lvlJc w:val="left"/>
      <w:lvlText w:val="%1."/>
      <w:numFmt w:val="decimal"/>
      <w:start w:val="8"/>
    </w:lvl>
  </w:abstractNum>
  <w:abstractNum w:abstractNumId="95">
    <w:nsid w:val="3FA62ACA"/>
    <w:multiLevelType w:val="hybridMultilevel"/>
    <w:lvl w:ilvl="0">
      <w:lvlJc w:val="left"/>
      <w:lvlText w:val="%1."/>
      <w:numFmt w:val="decimal"/>
      <w:start w:val="10"/>
    </w:lvl>
    <w:lvl w:ilvl="1">
      <w:lvlJc w:val="left"/>
      <w:lvlText w:val="%2)"/>
      <w:numFmt w:val="lowerLetter"/>
      <w:start w:val="1"/>
    </w:lvl>
  </w:abstractNum>
  <w:abstractNum w:abstractNumId="96">
    <w:nsid w:val="14FCE74E"/>
    <w:multiLevelType w:val="hybridMultilevel"/>
    <w:lvl w:ilvl="0">
      <w:lvlJc w:val="left"/>
      <w:lvlText w:val="%1."/>
      <w:numFmt w:val="decimal"/>
      <w:start w:val="11"/>
    </w:lvl>
  </w:abstractNum>
  <w:abstractNum w:abstractNumId="97">
    <w:nsid w:val="6A3DD3E8"/>
    <w:multiLevelType w:val="hybridMultilevel"/>
    <w:lvl w:ilvl="0">
      <w:lvlJc w:val="left"/>
      <w:lvlText w:val="%1."/>
      <w:numFmt w:val="decimal"/>
      <w:start w:val="1"/>
    </w:lvl>
    <w:lvl w:ilvl="1">
      <w:lvlJc w:val="left"/>
      <w:lvlText w:val="(%2)"/>
      <w:numFmt w:val="lowerLetter"/>
      <w:start w:val="1"/>
    </w:lvl>
  </w:abstractNum>
  <w:abstractNum w:abstractNumId="98">
    <w:nsid w:val="71C9129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5)"/>
      <w:numFmt w:val="lowerRoman"/>
      <w:start w:val="2"/>
    </w:lvl>
  </w:abstractNum>
  <w:abstractNum w:abstractNumId="99">
    <w:nsid w:val="9DAF63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61"/>
    </w:lvl>
    <w:lvl w:ilvl="4">
      <w:lvlJc w:val="left"/>
      <w:lvlText w:val="%5"/>
      <w:numFmt w:val="lowerRoman"/>
      <w:start w:val="1"/>
    </w:lvl>
  </w:abstractNum>
  <w:abstractNum w:abstractNumId="100">
    <w:nsid w:val="53299938"/>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5"/>
      <w:numFmt w:val="lowerRoman"/>
      <w:start w:val="1"/>
    </w:lvl>
  </w:abstractNum>
  <w:abstractNum w:abstractNumId="101">
    <w:nsid w:val="1FBFE8E0"/>
    <w:multiLevelType w:val="hybridMultilevel"/>
    <w:lvl w:ilvl="0">
      <w:lvlJc w:val="left"/>
      <w:lvlText w:val="%1."/>
      <w:numFmt w:val="decimal"/>
      <w:start w:val="4"/>
    </w:lvl>
    <w:lvl w:ilvl="1">
      <w:lvlJc w:val="left"/>
      <w:lvlText w:val="(%2)"/>
      <w:numFmt w:val="lowerLetter"/>
      <w:start w:val="1"/>
    </w:lvl>
  </w:abstractNum>
  <w:abstractNum w:abstractNumId="102">
    <w:nsid w:val="5092CA79"/>
    <w:multiLevelType w:val="hybridMultilevel"/>
    <w:lvl w:ilvl="0">
      <w:lvlJc w:val="left"/>
      <w:lvlText w:val="%1"/>
      <w:numFmt w:val="decimal"/>
      <w:start w:val="1"/>
    </w:lvl>
    <w:lvl w:ilvl="1">
      <w:lvlJc w:val="left"/>
      <w:lvlText w:val="(%2)"/>
      <w:numFmt w:val="lowerLetter"/>
      <w:start w:val="4"/>
    </w:lvl>
  </w:abstractNum>
  <w:abstractNum w:abstractNumId="103">
    <w:nsid w:val="1D545C4D"/>
    <w:multiLevelType w:val="hybridMultilevel"/>
    <w:lvl w:ilvl="0">
      <w:lvlJc w:val="left"/>
      <w:lvlText w:val="%1."/>
      <w:numFmt w:val="decimal"/>
      <w:start w:val="5"/>
    </w:lvl>
    <w:lvl w:ilvl="1">
      <w:lvlJc w:val="left"/>
      <w:lvlText w:val="%2"/>
      <w:numFmt w:val="lowerLetter"/>
      <w:start w:val="1"/>
    </w:lvl>
  </w:abstractNum>
  <w:abstractNum w:abstractNumId="104">
    <w:nsid w:val="59ADEA3D"/>
    <w:multiLevelType w:val="hybridMultilevel"/>
    <w:lvl w:ilvl="0">
      <w:lvlJc w:val="left"/>
      <w:lvlText w:val="(%1)"/>
      <w:numFmt w:val="lowerLetter"/>
      <w:start w:val="1"/>
    </w:lvl>
  </w:abstractNum>
  <w:abstractNum w:abstractNumId="105">
    <w:nsid w:val="288F1A34"/>
    <w:multiLevelType w:val="hybridMultilevel"/>
    <w:lvl w:ilvl="0">
      <w:lvlJc w:val="left"/>
      <w:lvlText w:val="%1."/>
      <w:numFmt w:val="decimal"/>
      <w:start w:val="7"/>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226" Type="http://schemas.openxmlformats.org/officeDocument/2006/relationships/hyperlink" Target="https://www.sec.gov/Archives/edgar/data/0001501989/000119312515347080/d78795dex31.htm" TargetMode="External"/><Relationship Id="rId227" Type="http://schemas.openxmlformats.org/officeDocument/2006/relationships/hyperlink" Target="https://www.sec.gov/Archives/edgar/data/1501989/000119312520176532/d920733dex31.htm" TargetMode="External"/><Relationship Id="rId228" Type="http://schemas.openxmlformats.org/officeDocument/2006/relationships/hyperlink" Target="https://www.sec.gov/Archives/edgar/data/0001501989/000119312515347080/d78795dex32.htm" TargetMode="External"/><Relationship Id="rId229" Type="http://schemas.openxmlformats.org/officeDocument/2006/relationships/hyperlink" Target="https://www.sec.gov/Archives/edgar/data/0001501989/000119312515329662/d94853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2022-11-08T15:30:21Z</dcterms:created>
  <dcterms:modified xsi:type="dcterms:W3CDTF">2022-11-08T15:30:21Z</dcterms:modified>
</cp:coreProperties>
</file>