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Carvajal Alejandra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CYTOMX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OYSTER POINT BLVD.,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CytomX Therapeutics, Inc.</w:t>
              </w:r>
            </w:hyperlink>
            <w:r>
              <w:rPr/>
              <w:t xml:space="preserve"> [ </w:t>
            </w:r>
            <w:r>
              <w:rPr>
                <w:rFonts w:ascii="Times;serif" w:hAnsi="Times;serif"/>
                <w:color w:val="0000FF"/>
                <w:sz w:val="24"/>
                <w:shd w:fill="FFFFFF" w:val="clear"/>
              </w:rPr>
              <w:t>CTMX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Constitute restricted stock units ("RSUs") for which the Reporting Person is entitled to receive one (1) share of Common Stock for each RSU upon vesting. 25% of the RSUs vest annually on September 15 of each year, with the first 25% vesting on September 15, 2027, subject to the Reporting Person's continued service to the Issuer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100,000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subject to the option vest on the one-year anniversary measured from August 3, 2026 (the "Vesting Commencement Date"), and 1/48 monthly thereafter such that 100% of the shares subject to the option will be fully vested and exercisable on the fourth anniversary of the Vesting Commencement Date, subject to the Reporting Person's continued service to the Issuer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Ogden, as Attorney-in-Fact for Alejandra Carvajal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755" TargetMode="External"/><Relationship Id="rId5" Type="http://schemas.openxmlformats.org/officeDocument/2006/relationships/hyperlink" Target="http://www.sec.gov/cgi-bin/browse-edgar?action=getcompany&amp;CIK=0001501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3894</Characters>
  <CharactersWithSpaces>4534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