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80" w:right="260" w:hanging="459"/>
        <w:spacing w:after="0" w:line="269"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80" w:right="260" w:hanging="459"/>
        <w:spacing w:after="0" w:line="269"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CytomX Therapeutics,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jc w:val="center"/>
              <w:ind w:left="1759"/>
              <w:spacing w:after="0"/>
              <w:rPr>
                <w:sz w:val="20"/>
                <w:szCs w:val="20"/>
                <w:color w:val="auto"/>
              </w:rPr>
            </w:pPr>
            <w:r>
              <w:rPr>
                <w:rFonts w:ascii="Arial" w:cs="Arial" w:eastAsia="Arial" w:hAnsi="Arial"/>
                <w:sz w:val="18"/>
                <w:szCs w:val="18"/>
                <w:b w:val="1"/>
                <w:bCs w:val="1"/>
                <w:color w:val="auto"/>
                <w:w w:val="91"/>
              </w:rPr>
              <w:t>Delaware</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20" w:type="dxa"/>
            <w:vAlign w:val="bottom"/>
          </w:tcPr>
          <w:p>
            <w:pPr>
              <w:jc w:val="center"/>
              <w:ind w:right="1701"/>
              <w:spacing w:after="0"/>
              <w:rPr>
                <w:sz w:val="20"/>
                <w:szCs w:val="20"/>
                <w:color w:val="auto"/>
              </w:rPr>
            </w:pPr>
            <w:r>
              <w:rPr>
                <w:rFonts w:ascii="Arial" w:cs="Arial" w:eastAsia="Arial" w:hAnsi="Arial"/>
                <w:sz w:val="18"/>
                <w:szCs w:val="18"/>
                <w:b w:val="1"/>
                <w:bCs w:val="1"/>
                <w:color w:val="auto"/>
                <w:w w:val="89"/>
              </w:rPr>
              <w:t>27-3521219</w:t>
            </w:r>
          </w:p>
        </w:tc>
      </w:tr>
      <w:tr>
        <w:trPr>
          <w:trHeight w:val="193"/>
        </w:trPr>
        <w:tc>
          <w:tcPr>
            <w:tcW w:w="3800" w:type="dxa"/>
            <w:vAlign w:val="bottom"/>
          </w:tcPr>
          <w:p>
            <w:pPr>
              <w:jc w:val="center"/>
              <w:ind w:left="1759"/>
              <w:spacing w:after="0"/>
              <w:rPr>
                <w:sz w:val="20"/>
                <w:szCs w:val="20"/>
                <w:color w:val="auto"/>
              </w:rPr>
            </w:pPr>
            <w:r>
              <w:rPr>
                <w:rFonts w:ascii="Arial" w:cs="Arial" w:eastAsia="Arial" w:hAnsi="Arial"/>
                <w:sz w:val="14"/>
                <w:szCs w:val="14"/>
                <w:b w:val="1"/>
                <w:bCs w:val="1"/>
                <w:color w:val="auto"/>
                <w:w w:val="93"/>
              </w:rPr>
              <w:t>(State or other jurisdiction of</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720" w:type="dxa"/>
            <w:vAlign w:val="bottom"/>
          </w:tcPr>
          <w:p>
            <w:pPr>
              <w:jc w:val="center"/>
              <w:ind w:right="16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800" w:type="dxa"/>
            <w:vAlign w:val="bottom"/>
          </w:tcPr>
          <w:p>
            <w:pPr>
              <w:jc w:val="center"/>
              <w:ind w:left="1759"/>
              <w:spacing w:after="0"/>
              <w:rPr>
                <w:sz w:val="20"/>
                <w:szCs w:val="20"/>
                <w:color w:val="auto"/>
              </w:rPr>
            </w:pPr>
            <w:r>
              <w:rPr>
                <w:rFonts w:ascii="Arial" w:cs="Arial" w:eastAsia="Arial" w:hAnsi="Arial"/>
                <w:sz w:val="14"/>
                <w:szCs w:val="14"/>
                <w:b w:val="1"/>
                <w:bCs w:val="1"/>
                <w:color w:val="auto"/>
                <w:w w:val="94"/>
              </w:rPr>
              <w:t>incorporation or organization)</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720" w:type="dxa"/>
            <w:vAlign w:val="bottom"/>
          </w:tcPr>
          <w:p>
            <w:pPr>
              <w:jc w:val="center"/>
              <w:ind w:right="1701"/>
              <w:spacing w:after="0"/>
              <w:rPr>
                <w:sz w:val="20"/>
                <w:szCs w:val="20"/>
                <w:color w:val="auto"/>
              </w:rPr>
            </w:pPr>
            <w:r>
              <w:rPr>
                <w:rFonts w:ascii="Arial" w:cs="Arial" w:eastAsia="Arial" w:hAnsi="Arial"/>
                <w:sz w:val="14"/>
                <w:szCs w:val="14"/>
                <w:b w:val="1"/>
                <w:bCs w:val="1"/>
                <w:color w:val="auto"/>
                <w:w w:val="96"/>
              </w:rPr>
              <w:t>Identification No.)</w:t>
            </w:r>
          </w:p>
        </w:tc>
      </w:tr>
      <w:tr>
        <w:trPr>
          <w:trHeight w:val="385"/>
        </w:trPr>
        <w:tc>
          <w:tcPr>
            <w:tcW w:w="3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90"/>
              </w:rPr>
              <w:t>151 Oyster Point Blvd., Suite 400</w:t>
            </w:r>
          </w:p>
        </w:tc>
        <w:tc>
          <w:tcPr>
            <w:tcW w:w="3720" w:type="dxa"/>
            <w:vAlign w:val="bottom"/>
          </w:tcPr>
          <w:p>
            <w:pPr>
              <w:spacing w:after="0"/>
              <w:rPr>
                <w:sz w:val="24"/>
                <w:szCs w:val="24"/>
                <w:color w:val="auto"/>
              </w:rPr>
            </w:pPr>
          </w:p>
        </w:tc>
      </w:tr>
      <w:tr>
        <w:trPr>
          <w:trHeight w:val="225"/>
        </w:trPr>
        <w:tc>
          <w:tcPr>
            <w:tcW w:w="3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89"/>
              </w:rPr>
              <w:t>South San Francisco, CA 94080</w:t>
            </w:r>
          </w:p>
        </w:tc>
        <w:tc>
          <w:tcPr>
            <w:tcW w:w="3720" w:type="dxa"/>
            <w:vAlign w:val="bottom"/>
          </w:tcPr>
          <w:p>
            <w:pPr>
              <w:spacing w:after="0"/>
              <w:rPr>
                <w:sz w:val="19"/>
                <w:szCs w:val="19"/>
                <w:color w:val="auto"/>
              </w:rPr>
            </w:pPr>
          </w:p>
        </w:tc>
      </w:tr>
      <w:tr>
        <w:trPr>
          <w:trHeight w:val="180"/>
        </w:trPr>
        <w:tc>
          <w:tcPr>
            <w:tcW w:w="3800" w:type="dxa"/>
            <w:vAlign w:val="bottom"/>
          </w:tcPr>
          <w:p>
            <w:pPr>
              <w:spacing w:after="0"/>
              <w:rPr>
                <w:sz w:val="15"/>
                <w:szCs w:val="15"/>
                <w:color w:val="auto"/>
              </w:rPr>
            </w:pPr>
          </w:p>
        </w:tc>
        <w:tc>
          <w:tcPr>
            <w:tcW w:w="37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720" w:type="dxa"/>
            <w:vAlign w:val="bottom"/>
          </w:tcPr>
          <w:p>
            <w:pPr>
              <w:spacing w:after="0"/>
              <w:rPr>
                <w:sz w:val="15"/>
                <w:szCs w:val="15"/>
                <w:color w:val="auto"/>
              </w:rPr>
            </w:pPr>
          </w:p>
        </w:tc>
      </w:tr>
      <w:tr>
        <w:trPr>
          <w:trHeight w:val="225"/>
        </w:trPr>
        <w:tc>
          <w:tcPr>
            <w:tcW w:w="3800" w:type="dxa"/>
            <w:vAlign w:val="bottom"/>
          </w:tcPr>
          <w:p>
            <w:pPr>
              <w:spacing w:after="0"/>
              <w:rPr>
                <w:sz w:val="19"/>
                <w:szCs w:val="19"/>
                <w:color w:val="auto"/>
              </w:rPr>
            </w:pPr>
          </w:p>
        </w:tc>
        <w:tc>
          <w:tcPr>
            <w:tcW w:w="2940" w:type="dxa"/>
            <w:vAlign w:val="bottom"/>
            <w:gridSpan w:val="4"/>
          </w:tcPr>
          <w:p>
            <w:pPr>
              <w:jc w:val="right"/>
              <w:ind w:right="499"/>
              <w:spacing w:after="0"/>
              <w:rPr>
                <w:sz w:val="20"/>
                <w:szCs w:val="20"/>
                <w:color w:val="auto"/>
              </w:rPr>
            </w:pPr>
            <w:r>
              <w:rPr>
                <w:rFonts w:ascii="Arial" w:cs="Arial" w:eastAsia="Arial" w:hAnsi="Arial"/>
                <w:sz w:val="18"/>
                <w:szCs w:val="18"/>
                <w:b w:val="1"/>
                <w:bCs w:val="1"/>
                <w:color w:val="auto"/>
              </w:rPr>
              <w:t>(650) 515-3185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186"/>
        </w:trPr>
        <w:tc>
          <w:tcPr>
            <w:tcW w:w="3800" w:type="dxa"/>
            <w:vAlign w:val="bottom"/>
          </w:tcPr>
          <w:p>
            <w:pPr>
              <w:spacing w:after="0"/>
              <w:rPr>
                <w:sz w:val="16"/>
                <w:szCs w:val="16"/>
                <w:color w:val="auto"/>
              </w:rPr>
            </w:pPr>
          </w:p>
        </w:tc>
        <w:tc>
          <w:tcPr>
            <w:tcW w:w="37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20" w:type="dxa"/>
            <w:vAlign w:val="bottom"/>
          </w:tcPr>
          <w:p>
            <w:pPr>
              <w:spacing w:after="0"/>
              <w:rPr>
                <w:sz w:val="16"/>
                <w:szCs w:val="16"/>
                <w:color w:val="auto"/>
              </w:rPr>
            </w:pPr>
          </w:p>
        </w:tc>
      </w:tr>
      <w:tr>
        <w:trPr>
          <w:trHeight w:val="174"/>
        </w:trPr>
        <w:tc>
          <w:tcPr>
            <w:tcW w:w="42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720" w:type="dxa"/>
            <w:vAlign w:val="bottom"/>
          </w:tcPr>
          <w:p>
            <w:pPr>
              <w:spacing w:after="0"/>
              <w:rPr>
                <w:sz w:val="15"/>
                <w:szCs w:val="15"/>
                <w:color w:val="auto"/>
              </w:rPr>
            </w:pPr>
          </w:p>
        </w:tc>
      </w:tr>
      <w:tr>
        <w:trPr>
          <w:trHeight w:val="331"/>
        </w:trPr>
        <w:tc>
          <w:tcPr>
            <w:tcW w:w="752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720" w:type="dxa"/>
            <w:vAlign w:val="bottom"/>
          </w:tcPr>
          <w:p>
            <w:pPr>
              <w:spacing w:after="0"/>
              <w:rPr>
                <w:sz w:val="24"/>
                <w:szCs w:val="24"/>
                <w:color w:val="auto"/>
              </w:rPr>
            </w:pPr>
          </w:p>
        </w:tc>
      </w:tr>
      <w:tr>
        <w:trPr>
          <w:trHeight w:val="223"/>
        </w:trPr>
        <w:tc>
          <w:tcPr>
            <w:tcW w:w="380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w w:val="88"/>
              </w:rPr>
              <w:t>Title of each class</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Trading Symbol(s)</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jc w:val="center"/>
              <w:ind w:right="441"/>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0"/>
        </w:trPr>
        <w:tc>
          <w:tcPr>
            <w:tcW w:w="3800" w:type="dxa"/>
            <w:vAlign w:val="bottom"/>
          </w:tcPr>
          <w:p>
            <w:pPr>
              <w:jc w:val="center"/>
              <w:ind w:left="419"/>
              <w:spacing w:after="0"/>
              <w:rPr>
                <w:sz w:val="20"/>
                <w:szCs w:val="20"/>
                <w:color w:val="auto"/>
              </w:rPr>
            </w:pPr>
            <w:r>
              <w:rPr>
                <w:rFonts w:ascii="Arial" w:cs="Arial" w:eastAsia="Arial" w:hAnsi="Arial"/>
                <w:sz w:val="16"/>
                <w:szCs w:val="16"/>
                <w:color w:val="auto"/>
                <w:w w:val="91"/>
              </w:rPr>
              <w:t>Common Stock, $0.00001 par value per share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4"/>
          </w:tcPr>
          <w:p>
            <w:pPr>
              <w:jc w:val="center"/>
              <w:ind w:right="740"/>
              <w:spacing w:after="0"/>
              <w:rPr>
                <w:sz w:val="20"/>
                <w:szCs w:val="20"/>
                <w:color w:val="auto"/>
              </w:rPr>
            </w:pPr>
            <w:r>
              <w:rPr>
                <w:rFonts w:ascii="Arial" w:cs="Arial" w:eastAsia="Arial" w:hAnsi="Arial"/>
                <w:sz w:val="16"/>
                <w:szCs w:val="16"/>
                <w:color w:val="auto"/>
              </w:rPr>
              <w:t>CTMX</w:t>
            </w:r>
          </w:p>
        </w:tc>
        <w:tc>
          <w:tcPr>
            <w:tcW w:w="3720" w:type="dxa"/>
            <w:vAlign w:val="bottom"/>
          </w:tcPr>
          <w:p>
            <w:pPr>
              <w:jc w:val="center"/>
              <w:ind w:right="441"/>
              <w:spacing w:after="0"/>
              <w:rPr>
                <w:sz w:val="20"/>
                <w:szCs w:val="20"/>
                <w:color w:val="auto"/>
              </w:rPr>
            </w:pPr>
            <w:r>
              <w:rPr>
                <w:rFonts w:ascii="Arial" w:cs="Arial" w:eastAsia="Arial" w:hAnsi="Arial"/>
                <w:sz w:val="16"/>
                <w:szCs w:val="16"/>
                <w:color w:val="auto"/>
                <w:w w:val="92"/>
              </w:rPr>
              <w:t>Nasdaq Global Select Market</w:t>
            </w:r>
          </w:p>
        </w:tc>
      </w:tr>
    </w:tbl>
    <w:p>
      <w:pPr>
        <w:spacing w:after="0" w:line="113" w:lineRule="exact"/>
        <w:rPr>
          <w:sz w:val="24"/>
          <w:szCs w:val="24"/>
          <w:color w:val="auto"/>
        </w:rPr>
      </w:pPr>
    </w:p>
    <w:p>
      <w:pPr>
        <w:ind w:right="40"/>
        <w:spacing w:after="0" w:line="219" w:lineRule="exact"/>
        <w:rPr>
          <w:sz w:val="20"/>
          <w:szCs w:val="20"/>
          <w:color w:val="auto"/>
        </w:rPr>
      </w:pPr>
      <w:r>
        <w:rPr>
          <w:rFonts w:ascii="Arial" w:cs="Arial" w:eastAsia="Arial" w:hAnsi="Arial"/>
          <w:sz w:val="18"/>
          <w:szCs w:val="18"/>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360"/>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32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3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4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ind w:left="32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3040" w:type="dxa"/>
            <w:vAlign w:val="bottom"/>
          </w:tcPr>
          <w:p>
            <w:pPr>
              <w:spacing w:after="0"/>
              <w:rPr>
                <w:sz w:val="20"/>
                <w:szCs w:val="20"/>
                <w:color w:val="auto"/>
              </w:rPr>
            </w:pPr>
            <w:r>
              <w:rPr>
                <w:rFonts w:ascii="Arial" w:cs="Arial" w:eastAsia="Arial" w:hAnsi="Arial"/>
                <w:sz w:val="18"/>
                <w:szCs w:val="18"/>
                <w:color w:val="auto"/>
              </w:rPr>
              <w:t>Non-accelerated filer</w:t>
            </w:r>
          </w:p>
        </w:tc>
        <w:tc>
          <w:tcPr>
            <w:tcW w:w="194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ind w:left="32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3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right="1720"/>
        <w:spacing w:after="0" w:line="28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31, 2021, the registrant had 65,157,003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20" w:type="dxa"/>
            <w:vAlign w:val="bottom"/>
            <w:gridSpan w:val="7"/>
          </w:tcPr>
          <w:p>
            <w:pPr>
              <w:jc w:val="center"/>
              <w:ind w:right="1760"/>
              <w:spacing w:after="0"/>
              <w:rPr>
                <w:sz w:val="20"/>
                <w:szCs w:val="20"/>
                <w:color w:val="auto"/>
              </w:rPr>
            </w:pPr>
            <w:r>
              <w:rPr>
                <w:rFonts w:ascii="Arial" w:cs="Arial" w:eastAsia="Arial" w:hAnsi="Arial"/>
                <w:sz w:val="18"/>
                <w:szCs w:val="18"/>
                <w:b w:val="1"/>
                <w:bCs w:val="1"/>
                <w:color w:val="auto"/>
              </w:rPr>
              <w:t>PART I – FINANCIAL INFORMATION</w:t>
            </w:r>
          </w:p>
        </w:tc>
        <w:tc>
          <w:tcPr>
            <w:tcW w:w="1960" w:type="dxa"/>
            <w:vAlign w:val="bottom"/>
          </w:tcPr>
          <w:p>
            <w:pPr>
              <w:spacing w:after="0"/>
              <w:rPr>
                <w:sz w:val="20"/>
                <w:szCs w:val="20"/>
                <w:color w:val="auto"/>
              </w:rPr>
            </w:pPr>
          </w:p>
        </w:tc>
      </w:tr>
      <w:tr>
        <w:trPr>
          <w:trHeight w:val="378"/>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8220" w:type="dxa"/>
            <w:vAlign w:val="bottom"/>
            <w:gridSpan w:val="1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Financial Statements (Unaudited)</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20" w:type="dxa"/>
            <w:vAlign w:val="bottom"/>
            <w:gridSpan w:val="1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Balance Sheets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20" w:type="dxa"/>
            <w:vAlign w:val="bottom"/>
            <w:gridSpan w:val="1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Statements of Operations and Comprehensive Loss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20" w:type="dxa"/>
            <w:vAlign w:val="bottom"/>
            <w:gridSpan w:val="1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Statements of Stockholders’ Equity</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20" w:type="dxa"/>
            <w:vAlign w:val="bottom"/>
            <w:gridSpan w:val="14"/>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Statements of Cash Flows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20" w:type="dxa"/>
            <w:vAlign w:val="bottom"/>
            <w:gridSpan w:val="14"/>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Financial Statements (Unaudited)</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0" w:type="dxa"/>
            <w:vAlign w:val="bottom"/>
            <w:tcBorders>
              <w:right w:val="single" w:sz="8" w:color="0000EE"/>
            </w:tcBorders>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7"/>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220" w:type="dxa"/>
            <w:vAlign w:val="bottom"/>
            <w:gridSpan w:val="1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7"/>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220" w:type="dxa"/>
            <w:vAlign w:val="bottom"/>
            <w:gridSpan w:val="1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Quantitative and Qualitative Disclosures About Market Risk</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880" w:type="dxa"/>
            <w:vAlign w:val="bottom"/>
            <w:tcBorders>
              <w:left w:val="single" w:sz="8" w:color="0000FF"/>
            </w:tcBorders>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7"/>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220" w:type="dxa"/>
            <w:vAlign w:val="bottom"/>
            <w:gridSpan w:val="1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gridSpan w:val="7"/>
          </w:tcPr>
          <w:p>
            <w:pPr>
              <w:jc w:val="center"/>
              <w:ind w:right="1780"/>
              <w:spacing w:after="0"/>
              <w:rPr>
                <w:sz w:val="20"/>
                <w:szCs w:val="20"/>
                <w:color w:val="auto"/>
              </w:rPr>
            </w:pPr>
            <w:r>
              <w:rPr>
                <w:rFonts w:ascii="Arial" w:cs="Arial" w:eastAsia="Arial" w:hAnsi="Arial"/>
                <w:sz w:val="18"/>
                <w:szCs w:val="18"/>
                <w:b w:val="1"/>
                <w:bCs w:val="1"/>
                <w:color w:val="auto"/>
              </w:rPr>
              <w:t>PART II – OTHER INFORMATION</w:t>
            </w:r>
          </w:p>
        </w:tc>
        <w:tc>
          <w:tcPr>
            <w:tcW w:w="1960" w:type="dxa"/>
            <w:vAlign w:val="bottom"/>
          </w:tcPr>
          <w:p>
            <w:pPr>
              <w:spacing w:after="0"/>
              <w:rPr>
                <w:sz w:val="24"/>
                <w:szCs w:val="24"/>
                <w:color w:val="auto"/>
              </w:rPr>
            </w:pPr>
          </w:p>
        </w:tc>
      </w:tr>
      <w:tr>
        <w:trPr>
          <w:trHeight w:val="378"/>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8220" w:type="dxa"/>
            <w:vAlign w:val="bottom"/>
            <w:gridSpan w:val="1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Legal Proceedings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7"/>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8220" w:type="dxa"/>
            <w:vAlign w:val="bottom"/>
            <w:gridSpan w:val="1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Risk Factors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7"/>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220" w:type="dxa"/>
            <w:vAlign w:val="bottom"/>
            <w:gridSpan w:val="14"/>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Unregistered Sales of Equity Securities and Use of Proceeds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6"/>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220" w:type="dxa"/>
            <w:vAlign w:val="bottom"/>
            <w:gridSpan w:val="14"/>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Defaults Upon Senior Securities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7"/>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220" w:type="dxa"/>
            <w:vAlign w:val="bottom"/>
            <w:gridSpan w:val="14"/>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Mine Safety Disclosures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60" w:type="dxa"/>
            <w:vAlign w:val="bottom"/>
            <w:gridSpan w:val="1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7"/>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8220" w:type="dxa"/>
            <w:vAlign w:val="bottom"/>
            <w:gridSpan w:val="14"/>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Other Information</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920" w:type="dxa"/>
            <w:vAlign w:val="bottom"/>
            <w:gridSpan w:val="11"/>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7"/>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8220" w:type="dxa"/>
            <w:vAlign w:val="bottom"/>
            <w:gridSpan w:val="14"/>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Exhibits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6"/>
        </w:trPr>
        <w:tc>
          <w:tcPr>
            <w:tcW w:w="1060" w:type="dxa"/>
            <w:vAlign w:val="bottom"/>
            <w:gridSpan w:val="3"/>
          </w:tcPr>
          <w:p>
            <w:pPr>
              <w:ind w:left="20"/>
              <w:spacing w:after="0"/>
              <w:rPr>
                <w:rFonts w:ascii="Arial" w:cs="Arial" w:eastAsia="Arial" w:hAnsi="Arial"/>
                <w:sz w:val="18"/>
                <w:szCs w:val="18"/>
                <w:color w:val="0000FF"/>
              </w:rPr>
            </w:pPr>
            <w:hyperlink w:anchor="page73">
              <w:r>
                <w:rPr>
                  <w:rFonts w:ascii="Arial" w:cs="Arial" w:eastAsia="Arial" w:hAnsi="Arial"/>
                  <w:sz w:val="18"/>
                  <w:szCs w:val="18"/>
                  <w:color w:val="0000FF"/>
                </w:rPr>
                <w:t>Signatures</w:t>
              </w:r>
            </w:hyperlink>
          </w:p>
        </w:tc>
        <w:tc>
          <w:tcPr>
            <w:tcW w:w="58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72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440" w:type="dxa"/>
            <w:vAlign w:val="bottom"/>
            <w:gridSpan w:val="13"/>
          </w:tcPr>
          <w:p>
            <w:pPr>
              <w:jc w:val="center"/>
              <w:ind w:left="2590"/>
              <w:spacing w:after="0"/>
              <w:rPr>
                <w:sz w:val="20"/>
                <w:szCs w:val="20"/>
                <w:color w:val="auto"/>
              </w:rPr>
            </w:pPr>
            <w:r>
              <w:rPr>
                <w:rFonts w:ascii="Arial" w:cs="Arial" w:eastAsia="Arial" w:hAnsi="Arial"/>
                <w:sz w:val="18"/>
                <w:szCs w:val="18"/>
                <w:color w:val="auto"/>
                <w:w w:val="79"/>
              </w:rPr>
              <w:t>2</w:t>
            </w: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2" w:lineRule="exact"/>
        <w:rPr>
          <w:sz w:val="20"/>
          <w:szCs w:val="20"/>
          <w:color w:val="auto"/>
        </w:rPr>
      </w:pPr>
    </w:p>
    <w:p>
      <w:pPr>
        <w:ind w:right="100"/>
        <w:spacing w:after="0" w:line="359"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44" w:lineRule="exact"/>
        <w:rPr>
          <w:sz w:val="20"/>
          <w:szCs w:val="20"/>
          <w:color w:val="auto"/>
        </w:rPr>
      </w:pPr>
    </w:p>
    <w:p>
      <w:pPr>
        <w:ind w:left="960" w:right="280"/>
        <w:spacing w:after="0" w:line="324" w:lineRule="auto"/>
        <w:rPr>
          <w:sz w:val="20"/>
          <w:szCs w:val="20"/>
          <w:color w:val="auto"/>
        </w:rPr>
      </w:pPr>
      <w:r>
        <w:rPr>
          <w:rFonts w:ascii="Arial" w:cs="Arial" w:eastAsia="Arial" w:hAnsi="Arial"/>
          <w:sz w:val="17"/>
          <w:szCs w:val="17"/>
          <w:color w:val="auto"/>
        </w:rPr>
        <w:t>the extent to which the COVID-19 pandemic and related governmental regulations and restrictions may impact our business, including our research, clinical trials, including ongoing site initiation and patient enrollment, manufacturing and financial condition;</w:t>
      </w:r>
    </w:p>
    <w:p>
      <w:pPr>
        <w:spacing w:after="0" w:line="66" w:lineRule="exact"/>
        <w:rPr>
          <w:sz w:val="20"/>
          <w:szCs w:val="20"/>
          <w:color w:val="auto"/>
        </w:rPr>
      </w:pPr>
    </w:p>
    <w:p>
      <w:pPr>
        <w:ind w:left="960" w:right="480"/>
        <w:spacing w:after="0" w:line="293" w:lineRule="auto"/>
        <w:rPr>
          <w:sz w:val="20"/>
          <w:szCs w:val="20"/>
          <w:color w:val="auto"/>
        </w:rPr>
      </w:pPr>
      <w:r>
        <w:rPr>
          <w:rFonts w:ascii="Arial" w:cs="Arial" w:eastAsia="Arial" w:hAnsi="Arial"/>
          <w:sz w:val="18"/>
          <w:szCs w:val="18"/>
          <w:color w:val="auto"/>
        </w:rPr>
        <w:t>our expectations regarding the potential benefits, activity, effectiveness and safety of our product candidates and therapeutics developed utilizing our Probody® platform technology;</w:t>
      </w:r>
    </w:p>
    <w:p>
      <w:pPr>
        <w:spacing w:after="0" w:line="89" w:lineRule="exact"/>
        <w:rPr>
          <w:sz w:val="20"/>
          <w:szCs w:val="20"/>
          <w:color w:val="auto"/>
        </w:rPr>
      </w:pPr>
    </w:p>
    <w:p>
      <w:pPr>
        <w:ind w:left="960" w:right="220"/>
        <w:spacing w:after="0" w:line="279" w:lineRule="auto"/>
        <w:rPr>
          <w:sz w:val="20"/>
          <w:szCs w:val="20"/>
          <w:color w:val="auto"/>
        </w:rPr>
      </w:pPr>
      <w:r>
        <w:rPr>
          <w:rFonts w:ascii="Arial" w:cs="Arial" w:eastAsia="Arial" w:hAnsi="Arial"/>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102" w:lineRule="exact"/>
        <w:rPr>
          <w:sz w:val="20"/>
          <w:szCs w:val="20"/>
          <w:color w:val="auto"/>
        </w:rPr>
      </w:pPr>
    </w:p>
    <w:p>
      <w:pPr>
        <w:ind w:left="960" w:right="960"/>
        <w:spacing w:after="0" w:line="422" w:lineRule="auto"/>
        <w:rPr>
          <w:sz w:val="20"/>
          <w:szCs w:val="20"/>
          <w:color w:val="auto"/>
        </w:rPr>
      </w:pPr>
      <w:r>
        <w:rPr>
          <w:rFonts w:ascii="Arial" w:cs="Arial" w:eastAsia="Arial" w:hAnsi="Arial"/>
          <w:sz w:val="18"/>
          <w:szCs w:val="18"/>
          <w:color w:val="auto"/>
        </w:rPr>
        <w:t>the timing of the completion of our ongoing clinical trials and the timing and availability of clinical data from such clinical trials; our ability to identify and develop additional product candidates;</w:t>
      </w:r>
    </w:p>
    <w:p>
      <w:pPr>
        <w:spacing w:after="0" w:line="1" w:lineRule="exact"/>
        <w:rPr>
          <w:sz w:val="20"/>
          <w:szCs w:val="20"/>
          <w:color w:val="auto"/>
        </w:rPr>
      </w:pPr>
    </w:p>
    <w:p>
      <w:pPr>
        <w:ind w:left="960" w:right="920"/>
        <w:spacing w:after="0" w:line="293" w:lineRule="auto"/>
        <w:rPr>
          <w:sz w:val="20"/>
          <w:szCs w:val="20"/>
          <w:color w:val="auto"/>
        </w:rPr>
      </w:pPr>
      <w:r>
        <w:rPr>
          <w:rFonts w:ascii="Arial" w:cs="Arial" w:eastAsia="Arial" w:hAnsi="Arial"/>
          <w:sz w:val="18"/>
          <w:szCs w:val="18"/>
          <w:color w:val="auto"/>
        </w:rPr>
        <w:t>our dependence on collaborators for developing, obtaining regulatory approval for and commercializing product candidates in the collaboration;</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or a collaborator’s ability to obtain and maintain regulatory approval of any of our product candidates;</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our receipt and timing of any milestone payments or royalties under any research collaboration and license agreements or arrangements;</w:t>
      </w:r>
    </w:p>
    <w:p>
      <w:pPr>
        <w:spacing w:after="0" w:line="18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our expectations and beliefs regarding the evolution of the market for cancer therapies and development of the immuno-oncology industry;</w:t>
      </w:r>
    </w:p>
    <w:p>
      <w:pPr>
        <w:spacing w:after="0" w:line="18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rate and degree of market acceptance of any approved product candidates;</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commercialization of any approved product candidates;</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establish and maintain collaborations and retain commercial rights for our product candidates in such collaborations;</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implementation of our business model and strategic plans for our business, technologies and product candidates;</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estimates of our expenses, ongoing losses, future revenue and capital requirements;</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obtain additional funds for our operations;</w:t>
      </w:r>
    </w:p>
    <w:p>
      <w:pPr>
        <w:spacing w:after="0" w:line="158"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reliance on third parties to conduct our preclinical studies or any future clinical trials;</w:t>
      </w:r>
    </w:p>
    <w:p>
      <w:pPr>
        <w:spacing w:after="0" w:line="158"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89" w:lineRule="exact"/>
        <w:rPr>
          <w:sz w:val="20"/>
          <w:szCs w:val="20"/>
          <w:color w:val="auto"/>
        </w:rPr>
      </w:pPr>
    </w:p>
    <w:p>
      <w:pPr>
        <w:ind w:left="5580" w:right="4320" w:hanging="4618"/>
        <w:spacing w:after="0" w:line="293" w:lineRule="auto"/>
        <w:rPr>
          <w:sz w:val="20"/>
          <w:szCs w:val="20"/>
          <w:color w:val="auto"/>
        </w:rPr>
      </w:pPr>
      <w:r>
        <w:rPr>
          <w:rFonts w:ascii="Arial" w:cs="Arial" w:eastAsia="Arial" w:hAnsi="Arial"/>
          <w:sz w:val="18"/>
          <w:szCs w:val="18"/>
          <w:color w:val="auto"/>
        </w:rPr>
        <w:t>our ability to attract and retain qualified key management and technical personnel;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3" w:name="page4"/>
    <w:bookmarkEnd w:id="3"/>
    <w:p>
      <w:pPr>
        <w:ind w:left="960"/>
        <w:spacing w:after="0"/>
        <w:rPr>
          <w:sz w:val="20"/>
          <w:szCs w:val="20"/>
          <w:color w:val="auto"/>
        </w:rPr>
      </w:pPr>
      <w:r>
        <w:rPr>
          <w:rFonts w:ascii="Arial" w:cs="Arial" w:eastAsia="Arial" w:hAnsi="Arial"/>
          <w:sz w:val="18"/>
          <w:szCs w:val="18"/>
          <w:color w:val="auto"/>
        </w:rPr>
        <w:t>our ability to secure and maintain licenses of intellectual property to protect our technologies and product candidates;</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financial performance; and</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developments relating to our competitors or our industry.</w:t>
      </w:r>
    </w:p>
    <w:p>
      <w:pPr>
        <w:spacing w:after="0" w:line="239"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6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Except where the context otherwise requires, in this Quarterly Report on Form 10-Q, “we,” “us,” “our” and the “Company” refer to CytomX Therapeutics,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3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03" w:right="419" w:bottom="1440" w:gutter="0" w:footer="0" w:header="0"/>
        </w:sectPr>
      </w:pPr>
    </w:p>
    <w:bookmarkStart w:id="4" w:name="page5"/>
    <w:bookmarkEnd w:id="4"/>
    <w:p>
      <w:pPr>
        <w:ind w:left="4040"/>
        <w:spacing w:after="0"/>
        <w:rPr>
          <w:sz w:val="20"/>
          <w:szCs w:val="20"/>
          <w:color w:val="auto"/>
        </w:rPr>
      </w:pPr>
      <w:r>
        <w:rPr>
          <w:rFonts w:ascii="Arial" w:cs="Arial" w:eastAsia="Arial" w:hAnsi="Arial"/>
          <w:sz w:val="18"/>
          <w:szCs w:val="18"/>
          <w:b w:val="1"/>
          <w:bCs w:val="1"/>
          <w:color w:val="auto"/>
        </w:rPr>
        <w:t>PART I –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(Unaudited)</w:t>
      </w:r>
    </w:p>
    <w:p>
      <w:pPr>
        <w:spacing w:after="0" w:line="23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6"/>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7"/>
                <w:szCs w:val="17"/>
                <w:color w:val="auto"/>
              </w:rPr>
            </w:pPr>
          </w:p>
        </w:tc>
        <w:tc>
          <w:tcPr>
            <w:tcW w:w="1320" w:type="dxa"/>
            <w:vAlign w:val="bottom"/>
          </w:tcPr>
          <w:p>
            <w:pPr>
              <w:jc w:val="right"/>
              <w:ind w:right="612"/>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r>
      <w:tr>
        <w:trPr>
          <w:trHeight w:val="26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256,146</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191,859</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10,031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124,260</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Pr>
          <w:p>
            <w:pPr>
              <w:spacing w:after="0"/>
              <w:rPr>
                <w:sz w:val="21"/>
                <w:szCs w:val="2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271,005</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324,013</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99,914</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6,950</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1,094</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917</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w:t>
            </w: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20,961</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22,495</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1"/>
                <w:szCs w:val="21"/>
                <w:color w:val="auto"/>
              </w:rPr>
            </w:pPr>
          </w:p>
        </w:tc>
      </w:tr>
      <w:tr>
        <w:trPr>
          <w:trHeight w:val="29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402,440</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358,663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1,755</w:t>
            </w:r>
          </w:p>
        </w:tc>
        <w:tc>
          <w:tcPr>
            <w:tcW w:w="2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19,253</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23,059</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Deferred revenue, current portion</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72,369</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74,869</w:t>
            </w:r>
          </w:p>
        </w:tc>
        <w:tc>
          <w:tcPr>
            <w:tcW w:w="100" w:type="dxa"/>
            <w:vAlign w:val="bottom"/>
          </w:tcPr>
          <w:p>
            <w:pPr>
              <w:spacing w:after="0"/>
              <w:rPr>
                <w:sz w:val="21"/>
                <w:szCs w:val="21"/>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93,377</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100,924</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158,189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186,261</w:t>
            </w:r>
          </w:p>
        </w:tc>
        <w:tc>
          <w:tcPr>
            <w:tcW w:w="100" w:type="dxa"/>
            <w:vAlign w:val="bottom"/>
          </w:tcPr>
          <w:p>
            <w:pPr>
              <w:spacing w:after="0"/>
              <w:rPr>
                <w:sz w:val="21"/>
                <w:szCs w:val="21"/>
                <w:color w:val="auto"/>
              </w:rPr>
            </w:pPr>
          </w:p>
        </w:tc>
      </w:tr>
      <w:tr>
        <w:trPr>
          <w:trHeight w:val="25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 - long term</w:t>
            </w:r>
          </w:p>
        </w:tc>
        <w:tc>
          <w:tcPr>
            <w:tcW w:w="26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19,921</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271,487</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308,860</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11)</w:t>
            </w: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1"/>
              </w:rPr>
              <w:t>Convertible preferred stock, $0.00001 par value; 10,000,000 shares authorized and no shares issued and</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June 30, 2021 and December 31, 2020.</w:t>
            </w:r>
          </w:p>
        </w:tc>
        <w:tc>
          <w:tcPr>
            <w:tcW w:w="2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2"/>
        </w:trPr>
        <w:tc>
          <w:tcPr>
            <w:tcW w:w="7720" w:type="dxa"/>
            <w:vAlign w:val="bottom"/>
          </w:tcPr>
          <w:p>
            <w:pPr>
              <w:ind w:left="20"/>
              <w:spacing w:after="0"/>
              <w:rPr>
                <w:sz w:val="20"/>
                <w:szCs w:val="20"/>
                <w:color w:val="auto"/>
              </w:rPr>
            </w:pPr>
            <w:r>
              <w:rPr>
                <w:rFonts w:ascii="Arial" w:cs="Arial" w:eastAsia="Arial" w:hAnsi="Arial"/>
                <w:sz w:val="18"/>
                <w:szCs w:val="18"/>
                <w:color w:val="auto"/>
              </w:rPr>
              <w:t>Common stock, $0.00001 par value; 150,000,000 shares authorized and 65,157,003 and</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w w:val="98"/>
              </w:rPr>
              <w:t>48,251,819 shares issued and outstanding at June 30, 2021 and December 31, 2020, respectively</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615,849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499,964</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(47 )</w:t>
            </w:r>
          </w:p>
        </w:tc>
      </w:tr>
      <w:tr>
        <w:trPr>
          <w:trHeight w:val="257"/>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(484,912 )</w:t>
            </w:r>
          </w:p>
        </w:tc>
        <w:tc>
          <w:tcPr>
            <w:tcW w:w="2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(450,115 )</w:t>
            </w:r>
          </w:p>
        </w:tc>
      </w:tr>
      <w:tr>
        <w:trPr>
          <w:trHeight w:val="250"/>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130,953</w:t>
            </w:r>
          </w:p>
        </w:tc>
        <w:tc>
          <w:tcPr>
            <w:tcW w:w="28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49,803</w:t>
            </w:r>
          </w:p>
        </w:tc>
        <w:tc>
          <w:tcPr>
            <w:tcW w:w="100" w:type="dxa"/>
            <w:vAlign w:val="bottom"/>
            <w:tcBorders>
              <w:top w:val="single" w:sz="8" w:color="CFF0FC"/>
            </w:tcBorders>
          </w:tcPr>
          <w:p>
            <w:pPr>
              <w:spacing w:after="0"/>
              <w:rPr>
                <w:sz w:val="21"/>
                <w:szCs w:val="21"/>
                <w:color w:val="auto"/>
              </w:rPr>
            </w:pPr>
          </w:p>
        </w:tc>
      </w:tr>
      <w:tr>
        <w:trPr>
          <w:trHeight w:val="29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402,440</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358,663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7"/>
        </w:trPr>
        <w:tc>
          <w:tcPr>
            <w:tcW w:w="7720" w:type="dxa"/>
            <w:vAlign w:val="bottom"/>
          </w:tcPr>
          <w:p>
            <w:pPr>
              <w:spacing w:after="0"/>
              <w:rPr>
                <w:sz w:val="20"/>
                <w:szCs w:val="20"/>
                <w:color w:val="auto"/>
              </w:rPr>
            </w:pPr>
            <w:r>
              <w:rPr>
                <w:rFonts w:ascii="Arial" w:cs="Arial" w:eastAsia="Arial" w:hAnsi="Arial"/>
                <w:sz w:val="18"/>
                <w:szCs w:val="18"/>
                <w:color w:val="auto"/>
              </w:rPr>
              <w:t>__________________</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-3454400</wp:posOffset>
            </wp:positionV>
            <wp:extent cx="1797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-3437255</wp:posOffset>
            </wp:positionV>
            <wp:extent cx="179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-3454400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-3437255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-2114550</wp:posOffset>
            </wp:positionV>
            <wp:extent cx="17970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-2114550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-511175</wp:posOffset>
            </wp:positionV>
            <wp:extent cx="17970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-511175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-171450</wp:posOffset>
            </wp:positionV>
            <wp:extent cx="1797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-154305</wp:posOffset>
            </wp:positionV>
            <wp:extent cx="1797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-171450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-154305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 w:lineRule="exact"/>
        <w:rPr>
          <w:sz w:val="20"/>
          <w:szCs w:val="20"/>
          <w:color w:val="auto"/>
        </w:rPr>
      </w:pPr>
    </w:p>
    <w:p>
      <w:pPr>
        <w:ind w:left="520" w:right="140" w:hanging="512"/>
        <w:spacing w:after="0" w:line="228" w:lineRule="auto"/>
        <w:tabs>
          <w:tab w:leader="none" w:pos="466" w:val="left"/>
        </w:tabs>
        <w:numPr>
          <w:ilvl w:val="0"/>
          <w:numId w:val="3"/>
        </w:numPr>
        <w:rPr>
          <w:rFonts w:ascii="Arial" w:cs="Arial" w:eastAsia="Arial" w:hAnsi="Arial"/>
          <w:sz w:val="24"/>
          <w:szCs w:val="24"/>
          <w:color w:val="auto"/>
          <w:vertAlign w:val="superscript"/>
        </w:rPr>
      </w:pPr>
      <w:r>
        <w:rPr>
          <w:rFonts w:ascii="Arial" w:cs="Arial" w:eastAsia="Arial" w:hAnsi="Arial"/>
          <w:sz w:val="18"/>
          <w:szCs w:val="18"/>
          <w:color w:val="auto"/>
        </w:rPr>
        <w:t>The condensed balance sheet as of December 31, 2020 was derived from the audited financial statements included in the Company's Annual Report on Form 10-K for the year ended December 31, 2020.</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208"/>
        </w:trPr>
        <w:tc>
          <w:tcPr>
            <w:tcW w:w="5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16,608</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32,259</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66,201</w:t>
            </w: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26,100</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24,066</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48,472</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66,880</w:t>
            </w: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8,680</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18,619</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18,252</w:t>
            </w:r>
          </w:p>
        </w:tc>
        <w:tc>
          <w:tcPr>
            <w:tcW w:w="100" w:type="dxa"/>
            <w:vAlign w:val="bottom"/>
          </w:tcPr>
          <w:p>
            <w:pPr>
              <w:spacing w:after="0"/>
              <w:rPr>
                <w:sz w:val="21"/>
                <w:szCs w:val="21"/>
                <w:color w:val="auto"/>
              </w:rPr>
            </w:pPr>
          </w:p>
        </w:tc>
      </w:tr>
      <w:tr>
        <w:trPr>
          <w:trHeight w:val="250"/>
        </w:trPr>
        <w:tc>
          <w:tcPr>
            <w:tcW w:w="58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35,493</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32,746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67,091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(19,205 )</w:t>
            </w:r>
          </w:p>
        </w:tc>
        <w:tc>
          <w:tcPr>
            <w:tcW w:w="2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(16,138 )</w:t>
            </w: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(34,832 )</w:t>
            </w:r>
          </w:p>
        </w:tc>
        <w:tc>
          <w:tcPr>
            <w:tcW w:w="2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(18,931 )</w:t>
            </w:r>
          </w:p>
        </w:tc>
      </w:tr>
      <w:tr>
        <w:trPr>
          <w:trHeight w:val="26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(82 )</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(77 )</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(19,243 )</w:t>
            </w:r>
          </w:p>
        </w:tc>
        <w:tc>
          <w:tcPr>
            <w:tcW w:w="2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(15,679 )</w:t>
            </w:r>
          </w:p>
        </w:tc>
        <w:tc>
          <w:tcPr>
            <w:tcW w:w="2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(34,797 )</w:t>
            </w:r>
          </w:p>
        </w:tc>
        <w:tc>
          <w:tcPr>
            <w:tcW w:w="2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(17,385 )</w:t>
            </w: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(13,911 )</w:t>
            </w: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(19,243 )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(15,679 )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(34,797 )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(3,474 )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64"/>
        </w:trPr>
        <w:tc>
          <w:tcPr>
            <w:tcW w:w="58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(0.30 )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(0.34 )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(0.55 )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(0.08 )</w:t>
            </w: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Shares used to compute net loss per share, basic and diluted</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65,055,998</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46,057,063</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63,023,349</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45,890,510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gain (loss) on investments, net of tax</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(320 )</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(41 )</w:t>
            </w: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(19,185 )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(15,999 )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(34,735 )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(3,515 )</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-1925320</wp:posOffset>
            </wp:positionV>
            <wp:extent cx="17145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-1925320</wp:posOffset>
            </wp:positionV>
            <wp:extent cx="15430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-1925320</wp:posOffset>
            </wp:positionV>
            <wp:extent cx="15430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-1925320</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-925195</wp:posOffset>
            </wp:positionV>
            <wp:extent cx="1714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-908050</wp:posOffset>
            </wp:positionV>
            <wp:extent cx="1714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-925195</wp:posOffset>
            </wp:positionV>
            <wp:extent cx="1543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-908050</wp:posOffset>
            </wp:positionV>
            <wp:extent cx="1543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-925195</wp:posOffset>
            </wp:positionV>
            <wp:extent cx="1543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-908050</wp:posOffset>
            </wp:positionV>
            <wp:extent cx="1543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-548005</wp:posOffset>
            </wp:positionV>
            <wp:extent cx="1714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2603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-548005</wp:posOffset>
            </wp:positionV>
            <wp:extent cx="15430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 cy="2603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-548005</wp:posOffset>
            </wp:positionV>
            <wp:extent cx="15430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-193675</wp:posOffset>
            </wp:positionV>
            <wp:extent cx="17145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-193675</wp:posOffset>
            </wp:positionV>
            <wp:extent cx="15430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-193675</wp:posOffset>
            </wp:positionV>
            <wp:extent cx="15430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54"/>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232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12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Income/(Loss)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48,251,819</w:t>
            </w:r>
          </w:p>
        </w:tc>
        <w:tc>
          <w:tcPr>
            <w:tcW w:w="1120" w:type="dxa"/>
            <w:vAlign w:val="bottom"/>
            <w:gridSpan w:val="2"/>
            <w:shd w:val="clear" w:color="auto" w:fill="CFF0FC"/>
          </w:tcPr>
          <w:p>
            <w:pPr>
              <w:jc w:val="right"/>
              <w:ind w:right="7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499,964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(450,115 )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49,803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340" w:type="dxa"/>
            <w:vAlign w:val="bottom"/>
          </w:tcPr>
          <w:p>
            <w:pPr>
              <w:ind w:left="20"/>
              <w:spacing w:after="0"/>
              <w:rPr>
                <w:sz w:val="20"/>
                <w:szCs w:val="20"/>
                <w:color w:val="auto"/>
              </w:rPr>
            </w:pPr>
            <w:r>
              <w:rPr>
                <w:rFonts w:ascii="Arial" w:cs="Arial" w:eastAsia="Arial" w:hAnsi="Arial"/>
                <w:sz w:val="18"/>
                <w:szCs w:val="18"/>
                <w:color w:val="auto"/>
              </w:rPr>
              <w:t>Issuance of common stock in follow-on</w:t>
            </w: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0"/>
              <w:spacing w:after="0"/>
              <w:rPr>
                <w:sz w:val="20"/>
                <w:szCs w:val="20"/>
                <w:color w:val="auto"/>
              </w:rPr>
            </w:pPr>
            <w:r>
              <w:rPr>
                <w:rFonts w:ascii="Arial" w:cs="Arial" w:eastAsia="Arial" w:hAnsi="Arial"/>
                <w:sz w:val="18"/>
                <w:szCs w:val="18"/>
                <w:color w:val="auto"/>
              </w:rPr>
              <w:t>offering, net of issuance costs</w:t>
            </w:r>
          </w:p>
        </w:tc>
        <w:tc>
          <w:tcPr>
            <w:tcW w:w="1200" w:type="dxa"/>
            <w:vAlign w:val="bottom"/>
          </w:tcPr>
          <w:p>
            <w:pPr>
              <w:jc w:val="right"/>
              <w:spacing w:after="0"/>
              <w:rPr>
                <w:sz w:val="20"/>
                <w:szCs w:val="20"/>
                <w:color w:val="auto"/>
              </w:rPr>
            </w:pPr>
            <w:r>
              <w:rPr>
                <w:rFonts w:ascii="Arial" w:cs="Arial" w:eastAsia="Arial" w:hAnsi="Arial"/>
                <w:sz w:val="18"/>
                <w:szCs w:val="18"/>
                <w:color w:val="auto"/>
              </w:rPr>
              <w:t>16,428,571</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107,712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107,712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322,507</w:t>
            </w: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(15,554 )</w:t>
            </w:r>
          </w:p>
        </w:tc>
        <w:tc>
          <w:tcPr>
            <w:tcW w:w="12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(15,554 )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65,002,897</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717"/>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611,733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(465,669 )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200" w:type="dxa"/>
            <w:vAlign w:val="bottom"/>
          </w:tcPr>
          <w:p>
            <w:pPr>
              <w:jc w:val="right"/>
              <w:spacing w:after="0"/>
              <w:rPr>
                <w:sz w:val="20"/>
                <w:szCs w:val="20"/>
                <w:color w:val="auto"/>
              </w:rPr>
            </w:pPr>
            <w:r>
              <w:rPr>
                <w:rFonts w:ascii="Arial" w:cs="Arial" w:eastAsia="Arial" w:hAnsi="Arial"/>
                <w:sz w:val="18"/>
                <w:szCs w:val="18"/>
                <w:color w:val="auto"/>
              </w:rPr>
              <w:t>68,971</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Issuance of common stock under the ESPP</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85,135</w:t>
            </w: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(19,243 )</w:t>
            </w:r>
          </w:p>
        </w:tc>
        <w:tc>
          <w:tcPr>
            <w:tcW w:w="12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(19,243 )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65,157,003</w:t>
            </w:r>
          </w:p>
        </w:tc>
        <w:tc>
          <w:tcPr>
            <w:tcW w:w="22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717"/>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615,849</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(484,912 )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130,953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34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54"/>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232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12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Income/(Loss)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200" w:type="dxa"/>
            <w:vAlign w:val="bottom"/>
          </w:tcPr>
          <w:p>
            <w:pPr>
              <w:jc w:val="right"/>
              <w:spacing w:after="0"/>
              <w:rPr>
                <w:sz w:val="20"/>
                <w:szCs w:val="20"/>
                <w:color w:val="auto"/>
              </w:rPr>
            </w:pPr>
            <w:r>
              <w:rPr>
                <w:rFonts w:ascii="Arial" w:cs="Arial" w:eastAsia="Arial" w:hAnsi="Arial"/>
                <w:sz w:val="18"/>
                <w:szCs w:val="18"/>
                <w:color w:val="auto"/>
              </w:rPr>
              <w:t>45,523,088</w:t>
            </w:r>
          </w:p>
        </w:tc>
        <w:tc>
          <w:tcPr>
            <w:tcW w:w="1120" w:type="dxa"/>
            <w:vAlign w:val="bottom"/>
            <w:gridSpan w:val="2"/>
          </w:tcPr>
          <w:p>
            <w:pPr>
              <w:jc w:val="right"/>
              <w:ind w:right="717"/>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468,285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(417,230 )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51,113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395,528</w:t>
            </w: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12,205</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45,918,616</w:t>
            </w:r>
          </w:p>
        </w:tc>
        <w:tc>
          <w:tcPr>
            <w:tcW w:w="1120" w:type="dxa"/>
            <w:vAlign w:val="bottom"/>
            <w:gridSpan w:val="2"/>
            <w:shd w:val="clear" w:color="auto" w:fill="CFF0FC"/>
          </w:tcPr>
          <w:p>
            <w:pPr>
              <w:jc w:val="right"/>
              <w:ind w:right="7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474,455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(405,025 )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199,139</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Issuance of common stock under the ESPP</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72,315</w:t>
            </w: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(320 )</w:t>
            </w: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256"/>
        </w:trPr>
        <w:tc>
          <w:tcPr>
            <w:tcW w:w="3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(15,679 )</w:t>
            </w:r>
          </w:p>
        </w:tc>
        <w:tc>
          <w:tcPr>
            <w:tcW w:w="12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(15,679 )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46,190,070</w:t>
            </w:r>
          </w:p>
        </w:tc>
        <w:tc>
          <w:tcPr>
            <w:tcW w:w="220" w:type="dxa"/>
            <w:vAlign w:val="bottom"/>
            <w:shd w:val="clear" w:color="auto" w:fill="CFF0FC"/>
          </w:tcPr>
          <w:p>
            <w:pPr>
              <w:spacing w:after="0"/>
              <w:rPr>
                <w:sz w:val="23"/>
                <w:szCs w:val="23"/>
                <w:color w:val="auto"/>
              </w:rPr>
            </w:pPr>
          </w:p>
        </w:tc>
        <w:tc>
          <w:tcPr>
            <w:tcW w:w="900" w:type="dxa"/>
            <w:vAlign w:val="bottom"/>
            <w:shd w:val="clear" w:color="auto" w:fill="CFF0FC"/>
          </w:tcPr>
          <w:p>
            <w:pPr>
              <w:jc w:val="right"/>
              <w:ind w:right="717"/>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479,516</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(420,704 )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58,829</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-2733675</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-2716530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-2733675</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-2716530</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-2733675</wp:posOffset>
            </wp:positionV>
            <wp:extent cx="120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-2716530</wp:posOffset>
            </wp:positionV>
            <wp:extent cx="120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-2733675</wp:posOffset>
            </wp:positionV>
            <wp:extent cx="120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-2716530</wp:posOffset>
            </wp:positionV>
            <wp:extent cx="120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-2733675</wp:posOffset>
            </wp:positionV>
            <wp:extent cx="120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-2716530</wp:posOffset>
            </wp:positionV>
            <wp:extent cx="120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-24765</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-7620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137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120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1200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1200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120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1200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120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7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7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7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(34,797 )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(3,474 )</w:t>
            </w:r>
          </w:p>
        </w:tc>
      </w:tr>
      <w:tr>
        <w:trPr>
          <w:trHeight w:val="263"/>
        </w:trPr>
        <w:tc>
          <w:tcPr>
            <w:tcW w:w="7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20" w:type="dxa"/>
            <w:vAlign w:val="bottom"/>
          </w:tcPr>
          <w:p>
            <w:pPr>
              <w:ind w:left="5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r>
      <w:tr>
        <w:trPr>
          <w:trHeight w:val="263"/>
        </w:trPr>
        <w:tc>
          <w:tcPr>
            <w:tcW w:w="79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FF0FC"/>
          </w:tcPr>
          <w:p>
            <w:pPr>
              <w:spacing w:after="0"/>
              <w:rPr>
                <w:sz w:val="22"/>
                <w:szCs w:val="22"/>
                <w:color w:val="auto"/>
              </w:rPr>
            </w:pPr>
          </w:p>
        </w:tc>
      </w:tr>
      <w:tr>
        <w:trPr>
          <w:trHeight w:val="250"/>
        </w:trPr>
        <w:tc>
          <w:tcPr>
            <w:tcW w:w="7920" w:type="dxa"/>
            <w:vAlign w:val="bottom"/>
          </w:tcPr>
          <w:p>
            <w:pPr>
              <w:ind w:left="520"/>
              <w:spacing w:after="0"/>
              <w:rPr>
                <w:sz w:val="20"/>
                <w:szCs w:val="20"/>
                <w:color w:val="auto"/>
              </w:rPr>
            </w:pPr>
            <w:r>
              <w:rPr>
                <w:rFonts w:ascii="Arial" w:cs="Arial" w:eastAsia="Arial" w:hAnsi="Arial"/>
                <w:sz w:val="18"/>
                <w:szCs w:val="18"/>
                <w:color w:val="auto"/>
              </w:rPr>
              <w:t>Amortization of premium (accretion of discounts) on investments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(314 )</w:t>
            </w:r>
          </w:p>
        </w:tc>
      </w:tr>
      <w:tr>
        <w:trPr>
          <w:trHeight w:val="263"/>
        </w:trPr>
        <w:tc>
          <w:tcPr>
            <w:tcW w:w="79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6,459</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7,526</w:t>
            </w:r>
          </w:p>
        </w:tc>
        <w:tc>
          <w:tcPr>
            <w:tcW w:w="100" w:type="dxa"/>
            <w:vAlign w:val="bottom"/>
            <w:shd w:val="clear" w:color="auto" w:fill="CFF0FC"/>
          </w:tcPr>
          <w:p>
            <w:pPr>
              <w:spacing w:after="0"/>
              <w:rPr>
                <w:sz w:val="22"/>
                <w:szCs w:val="22"/>
                <w:color w:val="auto"/>
              </w:rPr>
            </w:pPr>
          </w:p>
        </w:tc>
      </w:tr>
      <w:tr>
        <w:trPr>
          <w:trHeight w:val="250"/>
        </w:trPr>
        <w:tc>
          <w:tcPr>
            <w:tcW w:w="7920" w:type="dxa"/>
            <w:vAlign w:val="bottom"/>
          </w:tcPr>
          <w:p>
            <w:pPr>
              <w:ind w:left="52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1,534</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r>
      <w:tr>
        <w:trPr>
          <w:trHeight w:val="263"/>
        </w:trPr>
        <w:tc>
          <w:tcPr>
            <w:tcW w:w="79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20" w:type="dxa"/>
            <w:vAlign w:val="bottom"/>
          </w:tcPr>
          <w:p>
            <w:pPr>
              <w:ind w:left="7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(133 )</w:t>
            </w:r>
          </w:p>
        </w:tc>
        <w:tc>
          <w:tcPr>
            <w:tcW w:w="5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(193 )</w:t>
            </w:r>
          </w:p>
        </w:tc>
      </w:tr>
      <w:tr>
        <w:trPr>
          <w:trHeight w:val="263"/>
        </w:trPr>
        <w:tc>
          <w:tcPr>
            <w:tcW w:w="79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3,199</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(12,782 )</w:t>
            </w:r>
          </w:p>
        </w:tc>
      </w:tr>
      <w:tr>
        <w:trPr>
          <w:trHeight w:val="250"/>
        </w:trPr>
        <w:tc>
          <w:tcPr>
            <w:tcW w:w="7920" w:type="dxa"/>
            <w:vAlign w:val="bottom"/>
          </w:tcPr>
          <w:p>
            <w:pPr>
              <w:ind w:left="7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1,271</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r>
      <w:tr>
        <w:trPr>
          <w:trHeight w:val="263"/>
        </w:trPr>
        <w:tc>
          <w:tcPr>
            <w:tcW w:w="79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(1,173 )</w:t>
            </w: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FF0FC"/>
          </w:tcPr>
          <w:p>
            <w:pPr>
              <w:spacing w:after="0"/>
              <w:rPr>
                <w:sz w:val="22"/>
                <w:szCs w:val="22"/>
                <w:color w:val="auto"/>
              </w:rPr>
            </w:pPr>
          </w:p>
        </w:tc>
      </w:tr>
      <w:tr>
        <w:trPr>
          <w:trHeight w:val="250"/>
        </w:trPr>
        <w:tc>
          <w:tcPr>
            <w:tcW w:w="7920" w:type="dxa"/>
            <w:vAlign w:val="bottom"/>
          </w:tcPr>
          <w:p>
            <w:pPr>
              <w:ind w:left="780"/>
              <w:spacing w:after="0"/>
              <w:rPr>
                <w:sz w:val="20"/>
                <w:szCs w:val="20"/>
                <w:color w:val="auto"/>
              </w:rPr>
            </w:pPr>
            <w:r>
              <w:rPr>
                <w:rFonts w:ascii="Arial" w:cs="Arial" w:eastAsia="Arial" w:hAnsi="Arial"/>
                <w:sz w:val="18"/>
                <w:szCs w:val="18"/>
                <w:color w:val="auto"/>
              </w:rPr>
              <w:t>Accrued liabilities and other long-term liabilities</w:t>
            </w:r>
          </w:p>
        </w:tc>
        <w:tc>
          <w:tcPr>
            <w:tcW w:w="3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(5,559 )</w:t>
            </w:r>
          </w:p>
        </w:tc>
        <w:tc>
          <w:tcPr>
            <w:tcW w:w="5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(11,302 )</w:t>
            </w:r>
          </w:p>
        </w:tc>
      </w:tr>
      <w:tr>
        <w:trPr>
          <w:trHeight w:val="256"/>
        </w:trPr>
        <w:tc>
          <w:tcPr>
            <w:tcW w:w="79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(30,572 )</w:t>
            </w: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64,014</w:t>
            </w:r>
          </w:p>
        </w:tc>
        <w:tc>
          <w:tcPr>
            <w:tcW w:w="100" w:type="dxa"/>
            <w:vAlign w:val="bottom"/>
            <w:shd w:val="clear" w:color="auto" w:fill="CFF0FC"/>
          </w:tcPr>
          <w:p>
            <w:pPr>
              <w:spacing w:after="0"/>
              <w:rPr>
                <w:sz w:val="22"/>
                <w:szCs w:val="22"/>
                <w:color w:val="auto"/>
              </w:rPr>
            </w:pPr>
          </w:p>
        </w:tc>
      </w:tr>
      <w:tr>
        <w:trPr>
          <w:trHeight w:val="20"/>
        </w:trPr>
        <w:tc>
          <w:tcPr>
            <w:tcW w:w="79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920" w:type="dxa"/>
            <w:vAlign w:val="bottom"/>
          </w:tcPr>
          <w:p>
            <w:pPr>
              <w:ind w:left="78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(58,139 )</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47,364</w:t>
            </w:r>
          </w:p>
        </w:tc>
        <w:tc>
          <w:tcPr>
            <w:tcW w:w="100" w:type="dxa"/>
            <w:vAlign w:val="bottom"/>
          </w:tcPr>
          <w:p>
            <w:pPr>
              <w:spacing w:after="0"/>
              <w:rPr>
                <w:sz w:val="21"/>
                <w:szCs w:val="21"/>
                <w:color w:val="auto"/>
              </w:rPr>
            </w:pPr>
          </w:p>
        </w:tc>
      </w:tr>
      <w:tr>
        <w:trPr>
          <w:trHeight w:val="257"/>
        </w:trPr>
        <w:tc>
          <w:tcPr>
            <w:tcW w:w="7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shd w:val="clear" w:color="auto" w:fill="CFF0FC"/>
          </w:tcPr>
          <w:p>
            <w:pPr>
              <w:spacing w:after="0"/>
              <w:rPr>
                <w:sz w:val="22"/>
                <w:szCs w:val="22"/>
                <w:color w:val="auto"/>
              </w:rPr>
            </w:pPr>
          </w:p>
        </w:tc>
        <w:tc>
          <w:tcPr>
            <w:tcW w:w="114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00" w:type="dxa"/>
            <w:vAlign w:val="bottom"/>
            <w:tcBorders>
              <w:top w:val="single" w:sz="8" w:color="auto"/>
            </w:tcBorders>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20" w:type="dxa"/>
            <w:vAlign w:val="bottom"/>
          </w:tcPr>
          <w:p>
            <w:pPr>
              <w:ind w:left="2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(1,096 )</w:t>
            </w:r>
          </w:p>
        </w:tc>
        <w:tc>
          <w:tcPr>
            <w:tcW w:w="5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(1,086 )</w:t>
            </w:r>
          </w:p>
        </w:tc>
      </w:tr>
      <w:tr>
        <w:trPr>
          <w:trHeight w:val="263"/>
        </w:trPr>
        <w:tc>
          <w:tcPr>
            <w:tcW w:w="7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Purchases of investments</w:t>
            </w:r>
          </w:p>
        </w:tc>
        <w:tc>
          <w:tcPr>
            <w:tcW w:w="3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(99,898 )</w:t>
            </w:r>
          </w:p>
        </w:tc>
        <w:tc>
          <w:tcPr>
            <w:tcW w:w="5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(44,707 )</w:t>
            </w:r>
          </w:p>
        </w:tc>
      </w:tr>
      <w:tr>
        <w:trPr>
          <w:trHeight w:val="250"/>
        </w:trPr>
        <w:tc>
          <w:tcPr>
            <w:tcW w:w="7920" w:type="dxa"/>
            <w:vAlign w:val="bottom"/>
          </w:tcPr>
          <w:p>
            <w:pPr>
              <w:ind w:left="280"/>
              <w:spacing w:after="0"/>
              <w:rPr>
                <w:sz w:val="20"/>
                <w:szCs w:val="20"/>
                <w:color w:val="auto"/>
              </w:rPr>
            </w:pPr>
            <w:r>
              <w:rPr>
                <w:rFonts w:ascii="Arial" w:cs="Arial" w:eastAsia="Arial" w:hAnsi="Arial"/>
                <w:sz w:val="18"/>
                <w:szCs w:val="18"/>
                <w:color w:val="auto"/>
              </w:rPr>
              <w:t>Maturities of investments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113,994</w:t>
            </w:r>
          </w:p>
        </w:tc>
        <w:tc>
          <w:tcPr>
            <w:tcW w:w="2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97,687</w:t>
            </w:r>
          </w:p>
        </w:tc>
        <w:tc>
          <w:tcPr>
            <w:tcW w:w="100" w:type="dxa"/>
            <w:vAlign w:val="bottom"/>
          </w:tcPr>
          <w:p>
            <w:pPr>
              <w:spacing w:after="0"/>
              <w:rPr>
                <w:sz w:val="21"/>
                <w:szCs w:val="21"/>
                <w:color w:val="auto"/>
              </w:rPr>
            </w:pPr>
          </w:p>
        </w:tc>
      </w:tr>
      <w:tr>
        <w:trPr>
          <w:trHeight w:val="250"/>
        </w:trPr>
        <w:tc>
          <w:tcPr>
            <w:tcW w:w="792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issuance of common stock, net of issuance costs</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107,712</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920" w:type="dxa"/>
            <w:vAlign w:val="bottom"/>
          </w:tcPr>
          <w:p>
            <w:pPr>
              <w:ind w:left="280"/>
              <w:spacing w:after="0"/>
              <w:rPr>
                <w:sz w:val="20"/>
                <w:szCs w:val="20"/>
                <w:color w:val="auto"/>
              </w:rPr>
            </w:pPr>
            <w:r>
              <w:rPr>
                <w:rFonts w:ascii="Arial" w:cs="Arial" w:eastAsia="Arial" w:hAnsi="Arial"/>
                <w:sz w:val="18"/>
                <w:szCs w:val="18"/>
                <w:color w:val="auto"/>
              </w:rPr>
              <w:t>Proceeds from employee stock purchase plan and exercise of stock options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2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21"/>
                <w:szCs w:val="21"/>
                <w:color w:val="auto"/>
              </w:rPr>
            </w:pPr>
          </w:p>
        </w:tc>
      </w:tr>
      <w:tr>
        <w:trPr>
          <w:trHeight w:val="250"/>
        </w:trPr>
        <w:tc>
          <w:tcPr>
            <w:tcW w:w="792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109,426</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92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64,287</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102,963</w:t>
            </w:r>
          </w:p>
        </w:tc>
        <w:tc>
          <w:tcPr>
            <w:tcW w:w="100" w:type="dxa"/>
            <w:vAlign w:val="bottom"/>
          </w:tcPr>
          <w:p>
            <w:pPr>
              <w:spacing w:after="0"/>
              <w:rPr>
                <w:sz w:val="21"/>
                <w:szCs w:val="21"/>
                <w:color w:val="auto"/>
              </w:rPr>
            </w:pPr>
          </w:p>
        </w:tc>
      </w:tr>
      <w:tr>
        <w:trPr>
          <w:trHeight w:val="257"/>
        </w:trPr>
        <w:tc>
          <w:tcPr>
            <w:tcW w:w="7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192,776</w:t>
            </w:r>
          </w:p>
        </w:tc>
        <w:tc>
          <w:tcPr>
            <w:tcW w:w="2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189,342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9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257,063</w:t>
            </w:r>
          </w:p>
        </w:tc>
        <w:tc>
          <w:tcPr>
            <w:tcW w:w="28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292,305</w:t>
            </w:r>
          </w:p>
        </w:tc>
        <w:tc>
          <w:tcPr>
            <w:tcW w:w="100" w:type="dxa"/>
            <w:vAlign w:val="bottom"/>
          </w:tcPr>
          <w:p>
            <w:pPr>
              <w:spacing w:after="0"/>
              <w:rPr>
                <w:sz w:val="21"/>
                <w:szCs w:val="21"/>
                <w:color w:val="auto"/>
              </w:rPr>
            </w:pPr>
          </w:p>
        </w:tc>
      </w:tr>
      <w:tr>
        <w:trPr>
          <w:trHeight w:val="20"/>
        </w:trPr>
        <w:tc>
          <w:tcPr>
            <w:tcW w:w="7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items: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Purchases of property and equipment in accounts payable and accrued liabilities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-2687955</wp:posOffset>
            </wp:positionV>
            <wp:extent cx="18859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-2687955</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-1685290</wp:posOffset>
            </wp:positionV>
            <wp:extent cx="18859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-1685290</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-1016635</wp:posOffset>
            </wp:positionV>
            <wp:extent cx="18859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-1016635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-681990</wp:posOffset>
            </wp:positionV>
            <wp:extent cx="18859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-681990</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35"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CytomX Therapeutics, Inc. (the “Company”) is a clinical-stage, oncology-focused biopharmaceutical company with a vision of transforming lives with safer, more effective therapies. The Company aims to build a commercial enterprise to maximize its impact on the treatment of cancer. The Company is advancing potential first-in-class and best-in-class antibody-based therapeutics created using its Probody® therapeutic technology platform that could meaningfully improve outcomes for cancer patients. Its proprietary and unique Probody technology platform is designed to enable “conditional activation” of antibody-based drugs in the tumor microenvironment while minimizing drug activity in healthy tissues and in circulation. The Company is located in South San Francisco, California and was incorporated in the state of Delaware in September 2010.</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1"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31" w:lineRule="exact"/>
        <w:rPr>
          <w:sz w:val="20"/>
          <w:szCs w:val="20"/>
          <w:color w:val="auto"/>
        </w:rPr>
      </w:pPr>
    </w:p>
    <w:p>
      <w:pPr>
        <w:jc w:val="both"/>
        <w:ind w:right="460"/>
        <w:spacing w:after="0" w:line="279" w:lineRule="auto"/>
        <w:rPr>
          <w:sz w:val="20"/>
          <w:szCs w:val="20"/>
          <w:color w:val="auto"/>
        </w:rPr>
      </w:pPr>
      <w:r>
        <w:rPr>
          <w:rFonts w:ascii="Arial" w:cs="Arial" w:eastAsia="Arial" w:hAnsi="Arial"/>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183"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 condensed balance sheet data, as of December 31, 2020, was derived from audited financial statements, but does not include all disclosures required by U.S. GAAP. The condensed results of operations for the three and six months ended June 30, 2021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2020 filed with the SEC.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ind w:right="760"/>
        <w:spacing w:after="0" w:line="293"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at the date of purchase to be cash equivalents.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a standby letter of credit issued pursuant to an office lease entered in December 2015.</w:t>
      </w:r>
    </w:p>
    <w:p>
      <w:pPr>
        <w:spacing w:after="0" w:line="239"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balance sheets that sum to the total of the amounts shown in the condensed 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17"/>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5"/>
                <w:szCs w:val="15"/>
                <w:color w:val="auto"/>
              </w:rPr>
            </w:pPr>
          </w:p>
        </w:tc>
      </w:tr>
      <w:tr>
        <w:trPr>
          <w:trHeight w:val="192"/>
        </w:trPr>
        <w:tc>
          <w:tcPr>
            <w:tcW w:w="4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4"/>
        </w:trPr>
        <w:tc>
          <w:tcPr>
            <w:tcW w:w="4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(in thousands)</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5"/>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256,146</w:t>
            </w:r>
          </w:p>
        </w:tc>
        <w:tc>
          <w:tcPr>
            <w:tcW w:w="5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191,859</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291,388</w:t>
            </w:r>
          </w:p>
        </w:tc>
        <w:tc>
          <w:tcPr>
            <w:tcW w:w="5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188,425</w:t>
            </w:r>
          </w:p>
        </w:tc>
        <w:tc>
          <w:tcPr>
            <w:tcW w:w="100" w:type="dxa"/>
            <w:vAlign w:val="bottom"/>
            <w:shd w:val="clear" w:color="auto" w:fill="CFF0FC"/>
          </w:tcPr>
          <w:p>
            <w:pPr>
              <w:spacing w:after="0"/>
              <w:rPr>
                <w:sz w:val="23"/>
                <w:szCs w:val="23"/>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Restricted cash - non-current assets</w:t>
            </w:r>
          </w:p>
        </w:tc>
        <w:tc>
          <w:tcPr>
            <w:tcW w:w="2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r>
      <w:tr>
        <w:trPr>
          <w:trHeight w:val="290"/>
        </w:trPr>
        <w:tc>
          <w:tcPr>
            <w:tcW w:w="4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2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257,063</w:t>
            </w:r>
          </w:p>
        </w:tc>
        <w:tc>
          <w:tcPr>
            <w:tcW w:w="5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192,776</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292,305</w:t>
            </w:r>
          </w:p>
        </w:tc>
        <w:tc>
          <w:tcPr>
            <w:tcW w:w="5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189,342</w:t>
            </w:r>
          </w:p>
        </w:tc>
        <w:tc>
          <w:tcPr>
            <w:tcW w:w="100" w:type="dxa"/>
            <w:vAlign w:val="bottom"/>
            <w:shd w:val="clear" w:color="auto" w:fill="CFF0FC"/>
          </w:tcPr>
          <w:p>
            <w:pPr>
              <w:spacing w:after="0"/>
              <w:rPr>
                <w:sz w:val="24"/>
                <w:szCs w:val="24"/>
                <w:color w:val="auto"/>
              </w:rPr>
            </w:pPr>
          </w:p>
        </w:tc>
      </w:tr>
      <w:tr>
        <w:trPr>
          <w:trHeight w:val="446"/>
        </w:trPr>
        <w:tc>
          <w:tcPr>
            <w:tcW w:w="4080" w:type="dxa"/>
            <w:vAlign w:val="bottom"/>
            <w:tcBorders>
              <w:top w:val="single" w:sz="8" w:color="CFF0FC"/>
            </w:tcBorders>
          </w:tcPr>
          <w:p>
            <w:pPr>
              <w:spacing w:after="0"/>
              <w:rPr>
                <w:sz w:val="24"/>
                <w:szCs w:val="24"/>
                <w:color w:val="auto"/>
              </w:rPr>
            </w:pPr>
          </w:p>
        </w:tc>
        <w:tc>
          <w:tcPr>
            <w:tcW w:w="2280" w:type="dxa"/>
            <w:vAlign w:val="bottom"/>
            <w:tcBorders>
              <w:top w:val="single" w:sz="8" w:color="CFF0FC"/>
            </w:tcBorders>
          </w:tcPr>
          <w:p>
            <w:pPr>
              <w:jc w:val="right"/>
              <w:ind w:right="61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1"/>
        </w:trPr>
        <w:tc>
          <w:tcPr>
            <w:tcW w:w="408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-393700</wp:posOffset>
            </wp:positionV>
            <wp:extent cx="1885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-376555</wp:posOffset>
            </wp:positionV>
            <wp:extent cx="1885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-393700</wp:posOffset>
            </wp:positionV>
            <wp:extent cx="1803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-376555</wp:posOffset>
            </wp:positionV>
            <wp:extent cx="1803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-393700</wp:posOffset>
            </wp:positionV>
            <wp:extent cx="1714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1714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1" w:lineRule="exact"/>
        <w:rPr>
          <w:sz w:val="20"/>
          <w:szCs w:val="20"/>
          <w:color w:val="auto"/>
        </w:rPr>
      </w:pPr>
    </w:p>
    <w:p>
      <w:pPr>
        <w:ind w:right="200"/>
        <w:spacing w:after="0" w:line="292" w:lineRule="auto"/>
        <w:rPr>
          <w:sz w:val="20"/>
          <w:szCs w:val="20"/>
          <w:color w:val="auto"/>
        </w:rPr>
      </w:pPr>
      <w:r>
        <w:rPr>
          <w:rFonts w:ascii="Arial" w:cs="Arial" w:eastAsia="Arial" w:hAnsi="Arial"/>
          <w:sz w:val="17"/>
          <w:szCs w:val="17"/>
          <w:color w:val="auto"/>
        </w:rPr>
        <w:t>All investments have been classified as available-for-sale (“AFS”) and are carried at fair value as determined based upon quoted market prices or pricing models for similar securities at period end. Investments that are not required for use in current operations and that mature in more than 12 months are classified as long-term investments in the accompanying condensed balance sheets. The amortized cost of securities is adjusted for amortization of premiums and accretion of discounts to maturity. Dividend and interest income are recognized when earned. Realized gains and losses are included in earnings and are derived using the specific identification method for determining the cost of securities sold.</w:t>
      </w:r>
    </w:p>
    <w:p>
      <w:pPr>
        <w:spacing w:after="0" w:line="174"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The Company assesses impairment of its AFS debt securities investments at each reporting period. Unrealized gains resulting from the excess of the fair value over the amortized cost basis of an investment are reported as a component of accumulated other comprehensive income (loss), net of tax. Unrealized losses or impairments resulting from the fair value of the AFS debt security being below the amortized cost basis are evaluated, using the discounted cash flow model, for identification of credit losses and non-credit related losses. Any credit losses are charged to earnings against the allowance for credit losses of the security, limited to the difference between the fair value and the amortized cost basis of the security. Any difference between the fair value of the security and the amortized cost basis, less the allowance for credit losses, are reported in other comprehensive income (loss). Expected cash inflows due to improvements in credit are recognized through a reversal of the allowance for credit losses subject to the total allowance previously recognized.</w:t>
      </w:r>
    </w:p>
    <w:p>
      <w:pPr>
        <w:spacing w:after="0" w:line="164" w:lineRule="exact"/>
        <w:rPr>
          <w:sz w:val="20"/>
          <w:szCs w:val="20"/>
          <w:color w:val="auto"/>
        </w:rPr>
      </w:pPr>
    </w:p>
    <w:p>
      <w:pPr>
        <w:jc w:val="both"/>
        <w:ind w:right="240"/>
        <w:spacing w:after="0" w:line="279" w:lineRule="auto"/>
        <w:rPr>
          <w:sz w:val="20"/>
          <w:szCs w:val="20"/>
          <w:color w:val="auto"/>
        </w:rPr>
      </w:pPr>
      <w:r>
        <w:rPr>
          <w:rFonts w:ascii="Arial" w:cs="Arial" w:eastAsia="Arial" w:hAnsi="Arial"/>
          <w:sz w:val="18"/>
          <w:szCs w:val="18"/>
          <w:color w:val="auto"/>
        </w:rPr>
        <w:t>In the event of impairment of any security, if management (i) has the intent to sell such security or (ii) will more-likely-than-not be required to sell such security before recovery of its amortized cost basis, such AFS debt security’s amortized cost basis will be written down to its fair value through earnings along with any existing allowance for credit losses.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31" w:lineRule="exact"/>
        <w:rPr>
          <w:sz w:val="20"/>
          <w:szCs w:val="20"/>
          <w:color w:val="auto"/>
        </w:rPr>
      </w:pPr>
    </w:p>
    <w:p>
      <w:pPr>
        <w:jc w:val="both"/>
        <w:ind w:right="40"/>
        <w:spacing w:after="0" w:line="279" w:lineRule="auto"/>
        <w:rPr>
          <w:sz w:val="20"/>
          <w:szCs w:val="20"/>
          <w:color w:val="auto"/>
        </w:rPr>
      </w:pPr>
      <w:r>
        <w:rPr>
          <w:rFonts w:ascii="Arial" w:cs="Arial" w:eastAsia="Arial" w:hAnsi="Arial"/>
          <w:sz w:val="18"/>
          <w:szCs w:val="18"/>
          <w:color w:val="auto"/>
        </w:rPr>
        <w:t>Comprehensive income (loss) represents all changes in stockholders’ equity except those resulting from distributions to stockholders. The Company’s non-credit related unrealized gains and losses on investments during the period represents the component of other comprehensive income (loss) that is excluded from the reported net loss.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23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238"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2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instead, they are included when the sales or usage occur.</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7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220"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45"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AbbVie Ireland Unlimited Company (“AbbVie”), one of the Company’s collaboration partners, entered into a license agreement with Seagen Inc, formerly Seattle Genetics, Inc. (“SGEN”) to license certain intellectual property rights. As part of the Company’s collaboration agreement with AbbVie, the Company is required to pay SGEN sublicense fees for certain milestone achievements and an annual maintenance fee. These sublicense fees are treated as reductions to the transaction price and combined with the performance obligation to which they relate.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1" w:lineRule="exact"/>
        <w:rPr>
          <w:sz w:val="20"/>
          <w:szCs w:val="20"/>
          <w:color w:val="auto"/>
        </w:rPr>
      </w:pPr>
    </w:p>
    <w:p>
      <w:pPr>
        <w:jc w:val="both"/>
        <w:ind w:right="100"/>
        <w:spacing w:after="0" w:line="279"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21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jc w:val="both"/>
        <w:ind w:right="40"/>
        <w:spacing w:after="0" w:line="282" w:lineRule="auto"/>
        <w:rPr>
          <w:sz w:val="20"/>
          <w:szCs w:val="20"/>
          <w:color w:val="auto"/>
        </w:rPr>
      </w:pPr>
      <w:r>
        <w:rPr>
          <w:rFonts w:ascii="Arial" w:cs="Arial" w:eastAsia="Arial" w:hAnsi="Arial"/>
          <w:sz w:val="17"/>
          <w:szCs w:val="17"/>
          <w:color w:val="auto"/>
        </w:rPr>
        <w:t>The Company recognizes compensation costs related to stock options granted to employees based on the estimated fair value of the awards on the date of grant. The Company records forfeitures as they are incurred. The Company estimates the grant date fair value, and the resulting stock-based compensation expense, using the Black-Scholes option-pricing model. The grant date fair value of stock-based awards is expensed on a straight-line basis over the period during which the employee is required to provide service in exchange for the award (generally the vesting period).</w:t>
      </w: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The Company estimates the fair value of its stock-based awards using the Black-Scholes option-pricing model, which requires the input of assumptions.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are as follows:</w:t>
      </w:r>
    </w:p>
    <w:p>
      <w:pPr>
        <w:spacing w:after="0" w:line="157" w:lineRule="exact"/>
        <w:rPr>
          <w:sz w:val="20"/>
          <w:szCs w:val="20"/>
          <w:color w:val="auto"/>
        </w:rPr>
      </w:pPr>
    </w:p>
    <w:p>
      <w:pPr>
        <w:jc w:val="both"/>
        <w:ind w:left="880" w:right="80"/>
        <w:spacing w:after="0" w:line="27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stock options represents the period that the stock options are expected to remain outstanding and is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vesting terms, exercise term and contractual lives of the options. The expected term of the ESPP shares is equal to the six-month look-back period.</w:t>
      </w:r>
    </w:p>
    <w:p>
      <w:pPr>
        <w:spacing w:after="0" w:line="75" w:lineRule="exact"/>
        <w:rPr>
          <w:sz w:val="20"/>
          <w:szCs w:val="20"/>
          <w:color w:val="auto"/>
        </w:rPr>
      </w:pPr>
    </w:p>
    <w:p>
      <w:pPr>
        <w:ind w:left="880" w:right="80"/>
        <w:spacing w:after="0" w:line="27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stock price volatility for the Company’s stock options is based on the historical stock price volatility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which is commensurate with the estimated expected term of the stock awards. Volatility for ESPP shares is equal to the Company’s historical volatility over a six-month offering period.</w:t>
      </w:r>
    </w:p>
    <w:p>
      <w:pPr>
        <w:spacing w:after="0" w:line="75" w:lineRule="exact"/>
        <w:rPr>
          <w:sz w:val="20"/>
          <w:szCs w:val="20"/>
          <w:color w:val="auto"/>
        </w:rPr>
      </w:pPr>
    </w:p>
    <w:p>
      <w:pPr>
        <w:ind w:left="880" w:right="360"/>
        <w:spacing w:after="0" w:line="293"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 expected term of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in effect at the time of grant.</w:t>
      </w:r>
    </w:p>
    <w:p>
      <w:pPr>
        <w:spacing w:after="0" w:line="62" w:lineRule="exact"/>
        <w:rPr>
          <w:sz w:val="20"/>
          <w:szCs w:val="20"/>
          <w:color w:val="auto"/>
        </w:rPr>
      </w:pPr>
    </w:p>
    <w:p>
      <w:pPr>
        <w:ind w:left="880" w:right="440"/>
        <w:spacing w:after="0" w:line="293"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expected dividend is assumed to be zero as the Company has never paid dividends and has no current plan to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its common stock.</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1"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generally accounted for separately.</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63238"/>
        </w:rPr>
        <w:t>Adopted Accounting Pronouncements</w:t>
      </w:r>
    </w:p>
    <w:p>
      <w:pPr>
        <w:spacing w:after="0" w:line="23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The amendments in this ASU simplify the accounting for income taxes by removing certain exceptions to the general principles of ASC 740 in order to reduce cost and complexity of its application. The ASU removes the exception related to the incremental approach for intra-period tax allocation as well as two exceptions related to accounting for outside basis differences of equity method investments and foreign subsidiaries. The ASU also amends the scope of ASC 740 related to a franchise tax (or similar tax) that is partially based on income; clarifies when a step-up in the tax basis of goodwill should be considered part of the business combination in which the book goodwill was originally recognized and when it should be considered a separate transaction; specifies that an entity is not required to allocate income tax expense to a legal entity that is both not subject to tax and disregarded by the taxing authority; and clarifies that all tax effects, both deferred and current, should be accounted for in the interim period that includes the enactment date. The Company adopted this ASU on January 1, 2021, and there was no material impact on the financial statements upon adoption of this ASU.</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35" w:lineRule="exact"/>
        <w:rPr>
          <w:sz w:val="20"/>
          <w:szCs w:val="20"/>
          <w:color w:val="auto"/>
        </w:rPr>
      </w:pPr>
    </w:p>
    <w:p>
      <w:pPr>
        <w:ind w:right="60"/>
        <w:spacing w:after="0" w:line="329"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common stock outstanding for the period. Diluted net loss per share is calculated using the weighted-average number of common shares outstanding, plus potential dilutive common stock during the period. Diluted net loss per share is the same as basic net loss per share since the effect of the potentially dilutive securities is anti-dilutive.</w:t>
      </w:r>
    </w:p>
    <w:p>
      <w:pPr>
        <w:spacing w:after="0" w:line="148"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The following weighted-average outstanding shares of potentially dilutive securities are excluded from the computation of diluted net loss per share for the periods presented, because including them would have been anti-dilutive: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2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6"/>
                <w:szCs w:val="16"/>
                <w:color w:val="auto"/>
              </w:rPr>
            </w:pPr>
          </w:p>
        </w:tc>
      </w:tr>
      <w:tr>
        <w:trPr>
          <w:trHeight w:val="208"/>
        </w:trPr>
        <w:tc>
          <w:tcPr>
            <w:tcW w:w="5820" w:type="dxa"/>
            <w:vAlign w:val="bottom"/>
          </w:tcPr>
          <w:p>
            <w:pPr>
              <w:spacing w:after="0"/>
              <w:rPr>
                <w:sz w:val="18"/>
                <w:szCs w:val="18"/>
                <w:color w:val="auto"/>
              </w:rPr>
            </w:pPr>
          </w:p>
        </w:tc>
        <w:tc>
          <w:tcPr>
            <w:tcW w:w="1640" w:type="dxa"/>
            <w:vAlign w:val="bottom"/>
            <w:tcBorders>
              <w:bottom w:val="single" w:sz="8" w:color="auto"/>
            </w:tcBorders>
            <w:gridSpan w:val="3"/>
          </w:tcPr>
          <w:p>
            <w:pPr>
              <w:jc w:val="center"/>
              <w:ind w:left="84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bottom w:val="single" w:sz="8" w:color="auto"/>
            </w:tcBorders>
            <w:gridSpan w:val="3"/>
          </w:tcPr>
          <w:p>
            <w:pPr>
              <w:jc w:val="center"/>
              <w:ind w:left="84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820" w:type="dxa"/>
            <w:vAlign w:val="bottom"/>
          </w:tcPr>
          <w:p>
            <w:pPr>
              <w:spacing w:after="0"/>
              <w:rPr>
                <w:sz w:val="17"/>
                <w:szCs w:val="17"/>
                <w:color w:val="auto"/>
              </w:rPr>
            </w:pPr>
          </w:p>
        </w:tc>
        <w:tc>
          <w:tcPr>
            <w:tcW w:w="11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8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and ESPP to purchase common stock</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12,117,149</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11,745,760</w:t>
            </w:r>
          </w:p>
        </w:tc>
        <w:tc>
          <w:tcPr>
            <w:tcW w:w="2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11,837,707</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11,339,658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1714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1714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1543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543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543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543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and Investments</w:t>
      </w:r>
    </w:p>
    <w:p>
      <w:pPr>
        <w:spacing w:after="0" w:line="135"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7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I: Inputs which include quoted prices in active markets for identical assets and liabilities.</w:t>
      </w:r>
    </w:p>
    <w:p>
      <w:pPr>
        <w:spacing w:after="0" w:line="131" w:lineRule="exact"/>
        <w:rPr>
          <w:sz w:val="20"/>
          <w:szCs w:val="20"/>
          <w:color w:val="auto"/>
        </w:rPr>
      </w:pPr>
    </w:p>
    <w:p>
      <w:pPr>
        <w:jc w:val="both"/>
        <w:ind w:left="900" w:right="100"/>
        <w:spacing w:after="0" w:line="279" w:lineRule="auto"/>
        <w:rPr>
          <w:sz w:val="20"/>
          <w:szCs w:val="20"/>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5" w:lineRule="exact"/>
        <w:rPr>
          <w:sz w:val="20"/>
          <w:szCs w:val="20"/>
          <w:color w:val="auto"/>
        </w:rPr>
      </w:pPr>
    </w:p>
    <w:p>
      <w:pPr>
        <w:ind w:left="900" w:right="660"/>
        <w:spacing w:after="0" w:line="293" w:lineRule="auto"/>
        <w:rPr>
          <w:sz w:val="20"/>
          <w:szCs w:val="20"/>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government bonds that are included in long-term and short-term investments.</w:t>
      </w:r>
    </w:p>
    <w:p>
      <w:pPr>
        <w:spacing w:after="0" w:line="185"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The following tables set forth the fair value of the Company’s investments subject to fair value measurements on a recurring basis and the level of inputs used in such measurements: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9"/>
        </w:trPr>
        <w:tc>
          <w:tcPr>
            <w:tcW w:w="5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5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Valuation</w:t>
            </w:r>
          </w:p>
        </w:tc>
        <w:tc>
          <w:tcPr>
            <w:tcW w:w="140" w:type="dxa"/>
            <w:vAlign w:val="bottom"/>
          </w:tcPr>
          <w:p>
            <w:pPr>
              <w:spacing w:after="0"/>
              <w:rPr>
                <w:sz w:val="15"/>
                <w:szCs w:val="15"/>
                <w:color w:val="auto"/>
              </w:rPr>
            </w:pPr>
          </w:p>
        </w:tc>
        <w:tc>
          <w:tcPr>
            <w:tcW w:w="82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w w:val="98"/>
              </w:rPr>
              <w:t>for Credit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Holding</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Holding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75"/>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2"/>
        </w:trPr>
        <w:tc>
          <w:tcPr>
            <w:tcW w:w="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gridSpan w:val="3"/>
          </w:tcPr>
          <w:p>
            <w:pPr>
              <w:ind w:left="220"/>
              <w:spacing w:after="0"/>
              <w:rPr>
                <w:sz w:val="20"/>
                <w:szCs w:val="20"/>
                <w:color w:val="auto"/>
              </w:rPr>
            </w:pPr>
            <w:r>
              <w:rPr>
                <w:rFonts w:ascii="Arial" w:cs="Arial" w:eastAsia="Arial" w:hAnsi="Arial"/>
                <w:sz w:val="14"/>
                <w:szCs w:val="14"/>
                <w:b w:val="1"/>
                <w:bCs w:val="1"/>
                <w:color w:val="auto"/>
                <w:w w:val="97"/>
              </w:rPr>
              <w:t>(in thousands)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63"/>
        </w:trPr>
        <w:tc>
          <w:tcPr>
            <w:tcW w:w="580" w:type="dxa"/>
            <w:vAlign w:val="bottom"/>
          </w:tcPr>
          <w:p>
            <w:pPr>
              <w:spacing w:after="0"/>
              <w:rPr>
                <w:sz w:val="22"/>
                <w:szCs w:val="22"/>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3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Level I</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235,581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235,581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 (money market funds)</w:t>
            </w:r>
          </w:p>
        </w:tc>
        <w:tc>
          <w:tcPr>
            <w:tcW w:w="10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7"/>
              </w:rPr>
              <w:t>Level I</w:t>
            </w: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360" w:type="dxa"/>
            <w:vAlign w:val="bottom"/>
          </w:tcPr>
          <w:p>
            <w:pPr>
              <w:ind w:left="140"/>
              <w:spacing w:after="0"/>
              <w:rPr>
                <w:sz w:val="20"/>
                <w:szCs w:val="20"/>
                <w:color w:val="auto"/>
              </w:rPr>
            </w:pPr>
            <w:r>
              <w:rPr>
                <w:rFonts w:ascii="Arial" w:cs="Arial" w:eastAsia="Arial" w:hAnsi="Arial"/>
                <w:sz w:val="18"/>
                <w:szCs w:val="18"/>
                <w:color w:val="auto"/>
              </w:rPr>
              <w:t>U.S. Government bonds - short term</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Level I</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10,030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7"/>
        </w:trPr>
        <w:tc>
          <w:tcPr>
            <w:tcW w:w="580" w:type="dxa"/>
            <w:vAlign w:val="bottom"/>
          </w:tcPr>
          <w:p>
            <w:pPr>
              <w:spacing w:after="0"/>
              <w:rPr>
                <w:sz w:val="22"/>
                <w:szCs w:val="22"/>
                <w:color w:val="auto"/>
              </w:rPr>
            </w:pPr>
          </w:p>
        </w:tc>
        <w:tc>
          <w:tcPr>
            <w:tcW w:w="33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U.S. Government bonds - long term</w:t>
            </w:r>
          </w:p>
        </w:tc>
        <w:tc>
          <w:tcPr>
            <w:tcW w:w="1060" w:type="dxa"/>
            <w:vAlign w:val="bottom"/>
            <w:tcBorders>
              <w:bottom w:val="single" w:sz="8" w:color="CFF0FC"/>
            </w:tcBorders>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7"/>
              </w:rPr>
              <w:t>Level I</w:t>
            </w:r>
          </w:p>
        </w:tc>
        <w:tc>
          <w:tcPr>
            <w:tcW w:w="1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99,900</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99,914</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360" w:type="dxa"/>
            <w:vAlign w:val="bottom"/>
          </w:tcPr>
          <w:p>
            <w:pPr>
              <w:ind w:left="26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346,428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346,443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46"/>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155"/>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-570865</wp:posOffset>
            </wp:positionV>
            <wp:extent cx="14605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-570865</wp:posOffset>
            </wp:positionV>
            <wp:extent cx="14605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-570865</wp:posOffset>
            </wp:positionV>
            <wp:extent cx="12890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-570865</wp:posOffset>
            </wp:positionV>
            <wp:extent cx="12890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-570865</wp:posOffset>
            </wp:positionV>
            <wp:extent cx="6032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3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5"/>
                <w:szCs w:val="15"/>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5"/>
                <w:szCs w:val="15"/>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36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Valuation</w:t>
            </w:r>
          </w:p>
        </w:tc>
        <w:tc>
          <w:tcPr>
            <w:tcW w:w="140" w:type="dxa"/>
            <w:vAlign w:val="bottom"/>
          </w:tcPr>
          <w:p>
            <w:pPr>
              <w:spacing w:after="0"/>
              <w:rPr>
                <w:sz w:val="15"/>
                <w:szCs w:val="15"/>
                <w:color w:val="auto"/>
              </w:rPr>
            </w:pPr>
          </w:p>
        </w:tc>
        <w:tc>
          <w:tcPr>
            <w:tcW w:w="82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38"/>
              <w:spacing w:after="0"/>
              <w:rPr>
                <w:sz w:val="20"/>
                <w:szCs w:val="20"/>
                <w:color w:val="auto"/>
              </w:rPr>
            </w:pPr>
            <w:r>
              <w:rPr>
                <w:rFonts w:ascii="Arial" w:cs="Arial" w:eastAsia="Arial" w:hAnsi="Arial"/>
                <w:sz w:val="14"/>
                <w:szCs w:val="14"/>
                <w:b w:val="1"/>
                <w:bCs w:val="1"/>
                <w:color w:val="auto"/>
                <w:w w:val="98"/>
              </w:rPr>
              <w:t>for Credit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Holding</w:t>
            </w:r>
          </w:p>
        </w:tc>
        <w:tc>
          <w:tcPr>
            <w:tcW w:w="120" w:type="dxa"/>
            <w:vAlign w:val="bottom"/>
          </w:tcPr>
          <w:p>
            <w:pPr>
              <w:spacing w:after="0"/>
              <w:rPr>
                <w:sz w:val="15"/>
                <w:szCs w:val="15"/>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Holding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5"/>
                <w:szCs w:val="15"/>
                <w:color w:val="auto"/>
              </w:rPr>
            </w:pPr>
          </w:p>
        </w:tc>
      </w:tr>
      <w:tr>
        <w:trPr>
          <w:trHeight w:val="192"/>
        </w:trPr>
        <w:tc>
          <w:tcPr>
            <w:tcW w:w="336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r>
      <w:tr>
        <w:trPr>
          <w:trHeight w:val="196"/>
        </w:trPr>
        <w:tc>
          <w:tcPr>
            <w:tcW w:w="3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3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Level I</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131,121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131,121</w:t>
            </w:r>
          </w:p>
        </w:tc>
        <w:tc>
          <w:tcPr>
            <w:tcW w:w="100" w:type="dxa"/>
            <w:vAlign w:val="bottom"/>
          </w:tcPr>
          <w:p>
            <w:pPr>
              <w:spacing w:after="0"/>
              <w:rPr>
                <w:sz w:val="21"/>
                <w:szCs w:val="21"/>
                <w:color w:val="auto"/>
              </w:rPr>
            </w:pPr>
          </w:p>
        </w:tc>
      </w:tr>
      <w:tr>
        <w:trPr>
          <w:trHeight w:val="263"/>
        </w:trPr>
        <w:tc>
          <w:tcPr>
            <w:tcW w:w="3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 (money market funds)</w:t>
            </w:r>
          </w:p>
        </w:tc>
        <w:tc>
          <w:tcPr>
            <w:tcW w:w="10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7"/>
              </w:rPr>
              <w:t>Level I</w:t>
            </w: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8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22"/>
                <w:szCs w:val="22"/>
                <w:color w:val="auto"/>
              </w:rPr>
            </w:pPr>
          </w:p>
        </w:tc>
      </w:tr>
      <w:tr>
        <w:trPr>
          <w:trHeight w:val="250"/>
        </w:trPr>
        <w:tc>
          <w:tcPr>
            <w:tcW w:w="3360" w:type="dxa"/>
            <w:vAlign w:val="bottom"/>
          </w:tcPr>
          <w:p>
            <w:pPr>
              <w:ind w:left="140"/>
              <w:spacing w:after="0"/>
              <w:rPr>
                <w:sz w:val="20"/>
                <w:szCs w:val="20"/>
                <w:color w:val="auto"/>
              </w:rPr>
            </w:pPr>
            <w:r>
              <w:rPr>
                <w:rFonts w:ascii="Arial" w:cs="Arial" w:eastAsia="Arial" w:hAnsi="Arial"/>
                <w:sz w:val="18"/>
                <w:szCs w:val="18"/>
                <w:color w:val="auto"/>
              </w:rPr>
              <w:t>U.S. Government bonds - short term</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Level I</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124,254</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124,260</w:t>
            </w:r>
          </w:p>
        </w:tc>
        <w:tc>
          <w:tcPr>
            <w:tcW w:w="100" w:type="dxa"/>
            <w:vAlign w:val="bottom"/>
          </w:tcPr>
          <w:p>
            <w:pPr>
              <w:spacing w:after="0"/>
              <w:rPr>
                <w:sz w:val="21"/>
                <w:szCs w:val="21"/>
                <w:color w:val="auto"/>
              </w:rPr>
            </w:pPr>
          </w:p>
        </w:tc>
      </w:tr>
      <w:tr>
        <w:trPr>
          <w:trHeight w:val="290"/>
        </w:trPr>
        <w:tc>
          <w:tcPr>
            <w:tcW w:w="3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securities</w:t>
            </w:r>
          </w:p>
        </w:tc>
        <w:tc>
          <w:tcPr>
            <w:tcW w:w="9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256,292</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256,298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-24765</wp:posOffset>
            </wp:positionV>
            <wp:extent cx="1460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1460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1460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1460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1289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1289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1289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1289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9"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color w:val="auto"/>
        </w:rPr>
        <w:t>All long term investments consist of U.S. government bonds with contractual maturities of eighteen months, and no other securities have contractual maturities of greater than twelve months.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275"/>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6"/>
                <w:szCs w:val="16"/>
                <w:color w:val="auto"/>
              </w:rPr>
            </w:pPr>
          </w:p>
        </w:tc>
      </w:tr>
      <w:tr>
        <w:trPr>
          <w:trHeight w:val="208"/>
        </w:trPr>
        <w:tc>
          <w:tcPr>
            <w:tcW w:w="7720" w:type="dxa"/>
            <w:vAlign w:val="bottom"/>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6"/>
        </w:trPr>
        <w:tc>
          <w:tcPr>
            <w:tcW w:w="7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clinical expenses</w:t>
            </w:r>
          </w:p>
        </w:tc>
        <w:tc>
          <w:tcPr>
            <w:tcW w:w="106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7,099</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Payroll and related expenses</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5,797</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8,362</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Legal and professional expenses</w:t>
            </w:r>
          </w:p>
        </w:tc>
        <w:tc>
          <w:tcPr>
            <w:tcW w:w="106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liabilities - short term</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3,402</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1"/>
                <w:szCs w:val="21"/>
                <w:color w:val="auto"/>
              </w:rPr>
            </w:pPr>
          </w:p>
        </w:tc>
      </w:tr>
      <w:tr>
        <w:trPr>
          <w:trHeight w:val="25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accrued expenses</w:t>
            </w:r>
          </w:p>
        </w:tc>
        <w:tc>
          <w:tcPr>
            <w:tcW w:w="106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3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19,253</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23,059</w:t>
            </w:r>
          </w:p>
        </w:tc>
        <w:tc>
          <w:tcPr>
            <w:tcW w:w="100" w:type="dxa"/>
            <w:vAlign w:val="bottom"/>
          </w:tcPr>
          <w:p>
            <w:pPr>
              <w:spacing w:after="0"/>
              <w:rPr>
                <w:sz w:val="21"/>
                <w:szCs w:val="21"/>
                <w:color w:val="auto"/>
              </w:rPr>
            </w:pPr>
          </w:p>
        </w:tc>
      </w:tr>
      <w:tr>
        <w:trPr>
          <w:trHeight w:val="20"/>
        </w:trPr>
        <w:tc>
          <w:tcPr>
            <w:tcW w:w="7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-193675</wp:posOffset>
            </wp:positionV>
            <wp:extent cx="18859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Research and Collaboration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 by collaboration partners: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50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AbbVie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w:t>
            </w:r>
          </w:p>
        </w:tc>
        <w:tc>
          <w:tcPr>
            <w:tcW w:w="80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3,306</w:t>
            </w:r>
          </w:p>
        </w:tc>
        <w:tc>
          <w:tcPr>
            <w:tcW w:w="7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31,415</w:t>
            </w:r>
          </w:p>
        </w:tc>
        <w:tc>
          <w:tcPr>
            <w:tcW w:w="100" w:type="dxa"/>
            <w:vAlign w:val="bottom"/>
            <w:shd w:val="clear" w:color="auto" w:fill="CFF0FC"/>
          </w:tcPr>
          <w:p>
            <w:pPr>
              <w:spacing w:after="0"/>
              <w:rPr>
                <w:sz w:val="22"/>
                <w:szCs w:val="22"/>
                <w:color w:val="auto"/>
              </w:rPr>
            </w:pPr>
          </w:p>
        </w:tc>
      </w:tr>
      <w:tr>
        <w:trPr>
          <w:trHeight w:val="250"/>
        </w:trPr>
        <w:tc>
          <w:tcPr>
            <w:tcW w:w="5040" w:type="dxa"/>
            <w:vAlign w:val="bottom"/>
          </w:tcPr>
          <w:p>
            <w:pPr>
              <w:ind w:left="280"/>
              <w:spacing w:after="0"/>
              <w:rPr>
                <w:sz w:val="20"/>
                <w:szCs w:val="20"/>
                <w:color w:val="auto"/>
              </w:rPr>
            </w:pPr>
            <w:r>
              <w:rPr>
                <w:rFonts w:ascii="Arial" w:cs="Arial" w:eastAsia="Arial" w:hAnsi="Arial"/>
                <w:sz w:val="18"/>
                <w:szCs w:val="18"/>
                <w:color w:val="auto"/>
              </w:rPr>
              <w:t>Amgen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1,874</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3,678</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4,456</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5,373</w:t>
            </w:r>
          </w:p>
        </w:tc>
        <w:tc>
          <w:tcPr>
            <w:tcW w:w="100" w:type="dxa"/>
            <w:vAlign w:val="bottom"/>
          </w:tcPr>
          <w:p>
            <w:pPr>
              <w:spacing w:after="0"/>
              <w:rPr>
                <w:sz w:val="21"/>
                <w:szCs w:val="21"/>
                <w:color w:val="auto"/>
              </w:rPr>
            </w:pPr>
          </w:p>
        </w:tc>
      </w:tr>
      <w:tr>
        <w:trPr>
          <w:trHeight w:val="263"/>
        </w:trPr>
        <w:tc>
          <w:tcPr>
            <w:tcW w:w="50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Astellas</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9,688</w:t>
            </w: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4,591</w:t>
            </w:r>
          </w:p>
        </w:tc>
        <w:tc>
          <w:tcPr>
            <w:tcW w:w="100" w:type="dxa"/>
            <w:vAlign w:val="bottom"/>
            <w:shd w:val="clear" w:color="auto" w:fill="CFF0FC"/>
          </w:tcPr>
          <w:p>
            <w:pPr>
              <w:spacing w:after="0"/>
              <w:rPr>
                <w:sz w:val="22"/>
                <w:szCs w:val="22"/>
                <w:color w:val="auto"/>
              </w:rPr>
            </w:pPr>
          </w:p>
        </w:tc>
      </w:tr>
      <w:tr>
        <w:trPr>
          <w:trHeight w:val="250"/>
        </w:trPr>
        <w:tc>
          <w:tcPr>
            <w:tcW w:w="5040" w:type="dxa"/>
            <w:vAlign w:val="bottom"/>
          </w:tcPr>
          <w:p>
            <w:pPr>
              <w:ind w:left="280"/>
              <w:spacing w:after="0"/>
              <w:rPr>
                <w:sz w:val="20"/>
                <w:szCs w:val="20"/>
                <w:color w:val="auto"/>
              </w:rPr>
            </w:pPr>
            <w:r>
              <w:rPr>
                <w:rFonts w:ascii="Arial" w:cs="Arial" w:eastAsia="Arial" w:hAnsi="Arial"/>
                <w:sz w:val="18"/>
                <w:szCs w:val="18"/>
                <w:color w:val="auto"/>
              </w:rPr>
              <w:t>Bristol Myers Squibb</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14,809</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24,822</w:t>
            </w:r>
          </w:p>
        </w:tc>
        <w:tc>
          <w:tcPr>
            <w:tcW w:w="100" w:type="dxa"/>
            <w:vAlign w:val="bottom"/>
          </w:tcPr>
          <w:p>
            <w:pPr>
              <w:spacing w:after="0"/>
              <w:rPr>
                <w:sz w:val="21"/>
                <w:szCs w:val="21"/>
                <w:color w:val="auto"/>
              </w:rPr>
            </w:pPr>
          </w:p>
        </w:tc>
      </w:tr>
      <w:tr>
        <w:trPr>
          <w:trHeight w:val="290"/>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28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16,608</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32,259</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-24765</wp:posOffset>
            </wp:positionV>
            <wp:extent cx="1797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1797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1631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1631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1625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1625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Ireland Unlimited Company</w:t>
      </w:r>
    </w:p>
    <w:p>
      <w:pPr>
        <w:spacing w:after="0" w:line="131"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will co-develop a conditionally activated antibody-drug conjugate (“ADC")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and commercialization unless it opts-out. If the Company opts-out from participation of co-development of the CD71 conditionally activated ADC, which includes CX-2029, AbbVie will have sole right and responsibility for the further development, manufacturing and commercialization of such CD71 conditionally activated ADC.</w:t>
      </w:r>
    </w:p>
    <w:p>
      <w:pPr>
        <w:spacing w:after="0" w:line="22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Under the CD71 Agreement, the Company received an upfront payment of $20.0 million in April 2016, and was eligible to initially receive up to $470.0 million in development, regulatory and commercial milestone payments, a 35% profit split on U.S. sales, and royalties 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92"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ex-U.S. sales at percentages in the high teens to low twenties if the Company participates in the co-development of the CD71 conditionally activated ADC subject to a reversion to a royalty on U.S. sales, and reduction in royalties on ex-U.S. sales, if the Company opts-out from the co-development of the CD71 conditionally activated ADC. The Company’s share of later stage co-development costs for each CD71 conditionally activated ADC is capped, provided that AbbVie may offset the Company’s co-development cost above the capped amounts from future payments such as milestone payments and royalties. In July 2017, the Company received a milestone payment of $14.0 million (net of payment of an associated sublicense fee of $1.0 million to SGEN under the Seattle Genetics Agreement) from AbbVie for achieving certain milestones required to be met to begin GLP toxicology studies under the CD71 Agreement. In May 2018, the United States Food and Drug Administration (“FDA”) cleared the IND application for CX-2029. As a result, the Company achieved the IND success criteria under the CD71 Agreement and received a $21.0 million milestone payment (net of the payment of an associated sublicense fee of $4.0 million to SGEN). In March 2020, the Company earned a $40.0 million milestone payment for satisfying the CD71 dose escalation success criteria under the CD71 Agreement.</w:t>
      </w:r>
    </w:p>
    <w:p>
      <w:pPr>
        <w:spacing w:after="0" w:line="1"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Under the terms of the Discovery Agreement, AbbVie receives exclusive worldwide rights to develop and commercialize conditionally activated ADCs against up to two targets, one of which was selected in March 2017. The Company shall perform research services to discover the Probody therapeutics and create conditionally activated ADCs for the nominated collaboration targets. From that point, AbbVie shall have sole right and responsibility for development and commercialization of products comprising or containing such conditionally activated ADCs (“Discovery Licensed Products”).</w:t>
      </w:r>
    </w:p>
    <w:p>
      <w:pPr>
        <w:spacing w:after="0" w:line="210"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color w:val="auto"/>
        </w:rPr>
        <w:t>Under the Discovery Agreement, the Company received an upfront payment of $10.0 million in April 2016 and subsequently earned an additional $10.0 million milestone payment triggered by selection of the second target by AbbVie in June 2019. The Company is also eligible to receive up to $265.0 million for each target, in development, regulatory and commercial milestone payments and royalties at percentages in the high single to low teens from commercial sales of any resulting conditionally activated ADCs. The second target was selected under the Discovery Agreement that allows AbbVie to select a target for developing a conditionally activated ADC or a Probody.</w:t>
      </w:r>
    </w:p>
    <w:p>
      <w:pPr>
        <w:spacing w:after="0" w:line="19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$40.0 million milestone payment earned in March 2020 for satisfying the CD71 dose escalation success criteria under the CD71 Agreement was included as part of the transaction price as it was unconstrained during the first quarter of 2020 and $26.6 million was recognized as revenue related to this milestone reflecting the percentage completed to-date on the project as of March 2020. The remainder is being recognized as revenues over the remaining estimated research service period through March 2023.</w:t>
      </w:r>
    </w:p>
    <w:p>
      <w:pPr>
        <w:spacing w:after="0" w:line="239" w:lineRule="exact"/>
        <w:rPr>
          <w:sz w:val="20"/>
          <w:szCs w:val="20"/>
          <w:color w:val="auto"/>
        </w:rPr>
      </w:pPr>
    </w:p>
    <w:p>
      <w:pPr>
        <w:jc w:val="both"/>
        <w:ind w:right="120"/>
        <w:spacing w:after="0" w:line="279" w:lineRule="auto"/>
        <w:rPr>
          <w:sz w:val="20"/>
          <w:szCs w:val="20"/>
          <w:color w:val="auto"/>
        </w:rPr>
      </w:pPr>
      <w:r>
        <w:rPr>
          <w:rFonts w:ascii="Arial" w:cs="Arial" w:eastAsia="Arial" w:hAnsi="Arial"/>
          <w:sz w:val="18"/>
          <w:szCs w:val="18"/>
          <w:color w:val="auto"/>
        </w:rPr>
        <w:t>The Company determined that the remaining potential milestone payments of both agreements, if recognized, are probable of significant revenue reversal as their achievement is highly dependent on factors outside the Company’s control. Therefore, these payments continue to be fully constrained and are not included in the transaction price as of June 30, 2021.</w:t>
      </w:r>
    </w:p>
    <w:p>
      <w:pPr>
        <w:spacing w:after="0" w:line="16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recognized revenue of $2.1 million and $1.3 million for the three months ended June 30, 2021 and 2020, respectively, and $3.3 million and $31.4 million for the six months ended June 30, 2021 and 2020, respectively, related to the AbbVie Agreements. As of June 30, 2021 and December 31, 2020, deferred revenue related to the CD71 Agreement performance obligation was $23.3 million and $25.2 million, respectively, and deferred revenue related to the Discovery Agreement performance obligation was $6.6 million and $8.0 million, respectively. No amounts were due from AbbVie as of both June 30, 2021 and December 31,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Inc.</w:t>
      </w:r>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September 29, 2017, the Company and Amgen, Inc. (“Amgen”) entered into a Collaboration and License Agreement (the “Amgen Agreement”). Pursuant to the Amgen Agreement, the Company received an upfront payment of $40.0 million in October 2017. Concurrent with the entry into the Amgen Agreement, the Company and Amgen entered into a Share Purchase Agreement (the “Purchase Agreement”) pursuant to which Amgen purchased 1,156,069 shares of the Company’s common stock at a price of $17.30 per share (calculated based on a 20-day volume-weighted average price), for total proceeds of $20.0 million, which the Company received on October 6, 2017, the closing date of the transaction. The Company estimated a premium on the stock sold to Amgen of $0.5 million, which takes into account a discount due to the lack of marketability resulting from the six-month lockup period.</w:t>
      </w:r>
    </w:p>
    <w:p>
      <w:pPr>
        <w:spacing w:after="0" w:line="19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Under the terms of the Amgen Agreement, the Company and Amgen will co-develop a conditionally activated T-cell engaging bispecific therapeutic targeting epidermal growth factor receptor (the “EGFR Products”). The Company is responsible for early-stage development of EGFR Products and all related costs up to certain pre-set costs and certain limits based on clinical trial size. Amgen will be responsible for late-stage development, commercialization, and all related costs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eligible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7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receive up to $455.0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p>
    <w:p>
      <w:pPr>
        <w:spacing w:after="0" w:line="17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Amgen also has the right to select a total of up to three targets, including the two additional targets discussed below. The Company and Amgen collaborate in the research and development of conditionally activated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was initially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233"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conditionally activated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14"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The Company recognized revenue of $1.9 million and $3.7 million for the three months ended June 30, 2021 and 2020, respectively, and $4.5 million and $5.4 million for the six months ended June 30, 2021 and 2020, respectively, related to the Amgen Agreement. As of June 30, 2021 and December 31, 2020, deferred revenue related to the EGFR Products performance obligation was $25.7 million and $29.8 million, respectively. As of June 30, 2021 and December 31, 2020, deferred revenue related to the Amgen Other Products performance obligation was $1.8 million and $2.2 million, respectively. No amounts were due from Amgen as of both June 30, 2021 and December 31,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 Pharma Inc.</w:t>
      </w:r>
    </w:p>
    <w:p>
      <w:pPr>
        <w:spacing w:after="0" w:line="131"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223"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has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the participation is at the Company’s discretion.</w:t>
      </w:r>
    </w:p>
    <w:p>
      <w:pPr>
        <w:spacing w:after="0" w:line="2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Pursuant to the Astellas Agreement, the consideration from Astellas is comprised of an upfront fee of $80.0 million and contingent payments for development, regulatory and sales milestones of up to an aggregate of approximately $1.6 billion. If Astellas exercises its Expansion Option for the two Additional Targets, the Company would be eligible to receive additional upfront and milestone payments aggregating to approximately $0.9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FTE rate.</w:t>
      </w:r>
    </w:p>
    <w:p>
      <w:pPr>
        <w:spacing w:after="0" w:line="26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 Company recognized revenue of $4.9 million and $4.2 million for the three months ended June 30, 2021 and 2020, respectively; and $9.7 million and $4.6 million for the six months ended June 30, 2021 and 2020, respectively. Those revenues also included the research and development service revenue of $0.9 million and $0.2 million for the three months ended June 30, 2021 and 2020, respectively, and $1.7 million and $0.2 million for the six months ended June 30, 2021 and 2020, respectively. As of June 30, 2021 and December 31, 2020, deferred revenue relating to the Astellas Agreement was $59.6 million and $67.6 million, respectively. The amount due from Astellas under the Astellas Agreement was $0.9 million and $0.8 million as of June 30, 2021 and December 31, 2020, respectively.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 Myers Squibb Company</w:t>
      </w:r>
    </w:p>
    <w:p>
      <w:pPr>
        <w:spacing w:after="0" w:line="131" w:lineRule="exact"/>
        <w:rPr>
          <w:sz w:val="20"/>
          <w:szCs w:val="20"/>
          <w:color w:val="auto"/>
        </w:rPr>
      </w:pPr>
    </w:p>
    <w:p>
      <w:pPr>
        <w:jc w:val="both"/>
        <w:ind w:right="220"/>
        <w:spacing w:after="0" w:line="279" w:lineRule="auto"/>
        <w:rPr>
          <w:sz w:val="20"/>
          <w:szCs w:val="20"/>
          <w:color w:val="auto"/>
        </w:rPr>
      </w:pPr>
      <w:r>
        <w:rPr>
          <w:rFonts w:ascii="Arial" w:cs="Arial" w:eastAsia="Arial" w:hAnsi="Arial"/>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183"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174" w:lineRule="exact"/>
        <w:rPr>
          <w:sz w:val="20"/>
          <w:szCs w:val="20"/>
          <w:color w:val="auto"/>
        </w:rPr>
      </w:pPr>
    </w:p>
    <w:p>
      <w:pPr>
        <w:ind w:right="20"/>
        <w:spacing w:after="0" w:line="346" w:lineRule="auto"/>
        <w:rPr>
          <w:sz w:val="20"/>
          <w:szCs w:val="20"/>
          <w:color w:val="auto"/>
        </w:rPr>
      </w:pPr>
      <w:r>
        <w:rPr>
          <w:rFonts w:ascii="Arial" w:cs="Arial" w:eastAsia="Arial" w:hAnsi="Arial"/>
          <w:sz w:val="15"/>
          <w:szCs w:val="15"/>
          <w:color w:val="auto"/>
        </w:rPr>
        <w:t>Pursuant to the BMS Agreement, the financial consideration from Bristol Myers Squibb was comprised of an upfront payment of $50.0 million, and the Company was initially entitled to receive contingent payments of up to $25.0 million for additional targets and up to an aggregate of $1,192.0 million for development, regulatory and sales milestones. In addition, the Company was entitled to royalty payments in the mid-single digits to low double-digit percentages from potential future sales. The Company also received research and development service fees based on a prescribed FTE rate that was capped.</w:t>
      </w:r>
    </w:p>
    <w:p>
      <w:pPr>
        <w:spacing w:after="0" w:line="139" w:lineRule="exact"/>
        <w:rPr>
          <w:sz w:val="20"/>
          <w:szCs w:val="20"/>
          <w:color w:val="auto"/>
        </w:rPr>
      </w:pPr>
    </w:p>
    <w:p>
      <w:pPr>
        <w:ind w:right="200"/>
        <w:spacing w:after="0" w:line="292" w:lineRule="auto"/>
        <w:rPr>
          <w:sz w:val="20"/>
          <w:szCs w:val="20"/>
          <w:color w:val="auto"/>
        </w:rPr>
      </w:pPr>
      <w:r>
        <w:rPr>
          <w:rFonts w:ascii="Arial" w:cs="Arial" w:eastAsia="Arial" w:hAnsi="Arial"/>
          <w:sz w:val="17"/>
          <w:szCs w:val="17"/>
          <w:color w:val="auto"/>
        </w:rPr>
        <w:t>On March 17, 2017, the Company and Bristol Myers Squibb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215"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Pursuant to Amendment 1, the financial consideration from Bristol Myers Squibb was comprised of an upfront payment of $200.0 million and the Company was initially eligible to receive contingent payments for development, regulatory and sales milestones of up to an aggregate of $3,586.0 million for the eight targets. The Company was also entitled to tiered mid-single to low double-digit percentage royalties from potential future sales. Amendment 1 did not change the term of the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18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initial transaction price for the BMS Agreement and Amendment 1, collectively, was $272.8 million consisting of the upfront fees of $250.0 million, research and development service fees of $10.8 million and milestone payments received to date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BMS Agreement represents an obligation to continuously make the Probody therapeutic technology platform available to Bristol Myers Squibb. Therefore, the initial transaction price is recognized over the estimated research service period, which ends on April 25, 2025.</w:t>
      </w:r>
    </w:p>
    <w:p>
      <w:pPr>
        <w:spacing w:after="0" w:line="163" w:lineRule="exact"/>
        <w:rPr>
          <w:sz w:val="20"/>
          <w:szCs w:val="20"/>
          <w:color w:val="auto"/>
        </w:rPr>
      </w:pPr>
    </w:p>
    <w:p>
      <w:pPr>
        <w:jc w:val="both"/>
        <w:ind w:right="320"/>
        <w:spacing w:after="0" w:line="279" w:lineRule="auto"/>
        <w:rPr>
          <w:sz w:val="20"/>
          <w:szCs w:val="20"/>
          <w:color w:val="auto"/>
        </w:rPr>
      </w:pPr>
      <w:r>
        <w:rPr>
          <w:rFonts w:ascii="Arial" w:cs="Arial" w:eastAsia="Arial" w:hAnsi="Arial"/>
          <w:sz w:val="18"/>
          <w:szCs w:val="18"/>
          <w:color w:val="auto"/>
        </w:rPr>
        <w:t>In February 2020, Bristol Myers Squibb dosed the first patient in the Part 2 cohort expansion portion of its ongoing BMS-986249 clinical study for the CTLA-4 program, which triggered a $10.0 million milestone payment to the Company pursuant to the terms of the BMS Agreement. The $10.0 million milestone payment was recognized as revenue in the first quarter of 2020.</w:t>
      </w:r>
    </w:p>
    <w:p>
      <w:pPr>
        <w:spacing w:after="0" w:line="183"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In February 2021, the Company and Bristol Myers Squibb entered into Amendment Number 2 to amend the Collaboration and License Agreement (“Amendment 2”), as amended by Amendment 1. Subsequent to Amendment 2, Bristol Myers Squibb has the exclusive worldwide rights to develop and commercialize Probody therapeutics for up to five oncology targets. Under the terms of Amendment 2, the period for target selection has been extended and the Company will continue to collaborate with Bristol Myers Squibb to discover and conduct preclinical development of Probody therapeutics against targets selected by Bristol Myers Squibb over the estimated research period, which ends in April 2025. Pursuant to Amendment 2, the Company is eligible to receive contingent payments for development, regulatory and sales milestones of up to an aggregate of $1,779.0 million. It is also entitled to tiered mid-single to low double-digit percentage of royalties from potential future sales. In addition, the Company will no longer be entitled to receive the research and development service fee as part of the arrangement.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67" w:lineRule="exact"/>
        <w:rPr>
          <w:sz w:val="20"/>
          <w:szCs w:val="20"/>
          <w:color w:val="auto"/>
        </w:rPr>
      </w:pPr>
    </w:p>
    <w:p>
      <w:pPr>
        <w:jc w:val="both"/>
        <w:ind w:right="40"/>
        <w:spacing w:after="0" w:line="279" w:lineRule="auto"/>
        <w:rPr>
          <w:sz w:val="20"/>
          <w:szCs w:val="20"/>
          <w:color w:val="auto"/>
        </w:rPr>
      </w:pPr>
      <w:r>
        <w:rPr>
          <w:rFonts w:ascii="Arial" w:cs="Arial" w:eastAsia="Arial" w:hAnsi="Arial"/>
          <w:sz w:val="18"/>
          <w:szCs w:val="18"/>
          <w:color w:val="auto"/>
        </w:rPr>
        <w:t>The Company reevaluated the remaining potential milestone payments and determined that, if recognized, significant revenue reversal was still probable as the achievement of such milestones was highly dependent on factors outside the Company’s control. As a result, these payments were fully constrained and were not included in the transaction price on June 30, 2021.</w:t>
      </w:r>
    </w:p>
    <w:p>
      <w:pPr>
        <w:spacing w:after="0" w:line="183" w:lineRule="exact"/>
        <w:rPr>
          <w:sz w:val="20"/>
          <w:szCs w:val="20"/>
          <w:color w:val="auto"/>
        </w:rPr>
      </w:pPr>
    </w:p>
    <w:p>
      <w:pPr>
        <w:jc w:val="both"/>
        <w:ind w:right="40"/>
        <w:spacing w:after="0" w:line="275" w:lineRule="auto"/>
        <w:rPr>
          <w:sz w:val="20"/>
          <w:szCs w:val="20"/>
          <w:color w:val="auto"/>
        </w:rPr>
      </w:pPr>
      <w:r>
        <w:rPr>
          <w:rFonts w:ascii="Arial" w:cs="Arial" w:eastAsia="Arial" w:hAnsi="Arial"/>
          <w:sz w:val="18"/>
          <w:szCs w:val="18"/>
          <w:color w:val="auto"/>
        </w:rPr>
        <w:t>The Company recognized revenue of $7.4 million and $7.4 million for the three months ended June 30, 2021 and 2020, respectively and $14.8 million and $24.8 million for the six months ended June 30, 2021 and 2020, respectively. As of June 30, 2021 and December 31, 2020, deferred revenue relating to the BMS Agreement was $113.6 million and $128.3 million, respectively. No amounts were due from Bristol Myers Squibb as of June 30, 2021 and December 31,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ImmunoGen, Inc.</w:t>
      </w:r>
    </w:p>
    <w:p>
      <w:pPr>
        <w:spacing w:after="0" w:line="13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January 2014, the Company and ImmunoGen, Inc. (“ImmunoGen”) entered into the Research Collaboration Agreement (the “ImmunoGen Research Agreement”). The ImmunoGen Research Agreement provided the Company with the right to use ImmunoGen’s Antibody Drug Conjugate (“ADC”) technology in combination with the Company’s Probody therapeutic technology to create a conditionally activated ADC directed at one specified target under a research license, and to subsequently obtain an exclusive, worldwide development and commercialization license to use ImmunoGen’s ADC technology to develop and commercialize such conditionally activated ADCs. The Company made no upfront cash payment in connection with the execution of the agreement. Instead, the Company provided ImmunoGen with the rights to CytomX’s Probody therapeutic technology to create conditionally activated ADCs directed at two targets under the ImmunoGen Research Agreement and to subsequently obtain exclusive, worldwide development and commercialization licenses to develop and commercialize such conditionally activated ADCs. In February 2016, the Company exercised its option to obtain a development and commercialization license for praluzatamab ravtansine (CX-2009) pursuant to the terms of the ImmunoGen Research Agreement (the “CX-2009 License”).</w:t>
      </w:r>
    </w:p>
    <w:p>
      <w:pPr>
        <w:spacing w:after="0" w:line="182"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In December 2019, the parties entered into a license agreement (the “ImmunoGen 2019 License”) pursuant to which the ImmunoGen Research Agreement (the ”ImmunoGen 2017 License”) for a target in December 2017, was terminated and ImmunoGen granted a license for all of ImmunoGen’s rights under the ImmunoGen 2017 License to the Company.</w:t>
      </w:r>
    </w:p>
    <w:p>
      <w:pPr>
        <w:spacing w:after="0" w:line="23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In February 2020, the Company dosed the first patient in the praluzatamab ravtansine Phase 2 clinical trial and triggered a $3.0 million milestone payment to ImmunoGen pursuant to the CX-2009 License which continued to remain in effect following the termination of the ImmunoGen 2017 License in December 2019. The Company recorded a $3.0 million charge to research and development expense for the first quarter of 2020, in connection with this milestone payment to ImmunoGen.</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total contract liabilities during the six months ended June 30, 2021:</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Balance at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204"/>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5"/>
                <w:szCs w:val="15"/>
                <w:color w:val="auto"/>
              </w:rPr>
            </w:pPr>
          </w:p>
        </w:tc>
      </w:tr>
      <w:tr>
        <w:trPr>
          <w:trHeight w:val="176"/>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Beginning of</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184"/>
              <w:spacing w:after="0"/>
              <w:rPr>
                <w:sz w:val="20"/>
                <w:szCs w:val="20"/>
                <w:color w:val="auto"/>
              </w:rPr>
            </w:pPr>
            <w:r>
              <w:rPr>
                <w:rFonts w:ascii="Arial" w:cs="Arial" w:eastAsia="Arial" w:hAnsi="Arial"/>
                <w:sz w:val="14"/>
                <w:szCs w:val="14"/>
                <w:b w:val="1"/>
                <w:bCs w:val="1"/>
                <w:color w:val="auto"/>
                <w:w w:val="98"/>
              </w:rPr>
              <w:t>End</w:t>
            </w:r>
          </w:p>
        </w:tc>
        <w:tc>
          <w:tcPr>
            <w:tcW w:w="100" w:type="dxa"/>
            <w:vAlign w:val="bottom"/>
          </w:tcPr>
          <w:p>
            <w:pPr>
              <w:spacing w:after="0"/>
              <w:rPr>
                <w:sz w:val="15"/>
                <w:szCs w:val="15"/>
                <w:color w:val="auto"/>
              </w:rPr>
            </w:pPr>
          </w:p>
        </w:tc>
      </w:tr>
      <w:tr>
        <w:trPr>
          <w:trHeight w:val="192"/>
        </w:trPr>
        <w:tc>
          <w:tcPr>
            <w:tcW w:w="4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1"/>
              </w:rPr>
              <w:t>Period</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Additions</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2"/>
              </w:rPr>
              <w:t>of Period</w:t>
            </w:r>
          </w:p>
        </w:tc>
        <w:tc>
          <w:tcPr>
            <w:tcW w:w="100" w:type="dxa"/>
            <w:vAlign w:val="bottom"/>
          </w:tcPr>
          <w:p>
            <w:pPr>
              <w:spacing w:after="0"/>
              <w:rPr>
                <w:sz w:val="16"/>
                <w:szCs w:val="16"/>
                <w:color w:val="auto"/>
              </w:rPr>
            </w:pPr>
          </w:p>
        </w:tc>
      </w:tr>
      <w:tr>
        <w:trPr>
          <w:trHeight w:val="196"/>
        </w:trPr>
        <w:tc>
          <w:tcPr>
            <w:tcW w:w="4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500" w:type="dxa"/>
            <w:vAlign w:val="bottom"/>
            <w:shd w:val="clear" w:color="auto" w:fill="CFF0FC"/>
          </w:tcPr>
          <w:p>
            <w:pPr>
              <w:jc w:val="center"/>
              <w:ind w:right="2870"/>
              <w:spacing w:after="0"/>
              <w:rPr>
                <w:sz w:val="20"/>
                <w:szCs w:val="20"/>
                <w:color w:val="auto"/>
              </w:rPr>
            </w:pPr>
            <w:r>
              <w:rPr>
                <w:rFonts w:ascii="Arial" w:cs="Arial" w:eastAsia="Arial" w:hAnsi="Arial"/>
                <w:sz w:val="18"/>
                <w:szCs w:val="18"/>
                <w:b w:val="1"/>
                <w:bCs w:val="1"/>
                <w:color w:val="auto"/>
                <w:w w:val="92"/>
              </w:rPr>
              <w:t>Contract liabilities:</w:t>
            </w:r>
          </w:p>
        </w:tc>
        <w:tc>
          <w:tcPr>
            <w:tcW w:w="20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4500" w:type="dxa"/>
            <w:vAlign w:val="bottom"/>
          </w:tcPr>
          <w:p>
            <w:pPr>
              <w:jc w:val="center"/>
              <w:ind w:right="2870"/>
              <w:spacing w:after="0"/>
              <w:rPr>
                <w:sz w:val="20"/>
                <w:szCs w:val="20"/>
                <w:color w:val="auto"/>
              </w:rPr>
            </w:pPr>
            <w:r>
              <w:rPr>
                <w:rFonts w:ascii="Arial" w:cs="Arial" w:eastAsia="Arial" w:hAnsi="Arial"/>
                <w:sz w:val="18"/>
                <w:szCs w:val="18"/>
                <w:color w:val="auto"/>
                <w:w w:val="89"/>
              </w:rPr>
              <w:t>Deferred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261,130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(30,572 )  $</w:t>
            </w:r>
          </w:p>
        </w:tc>
        <w:tc>
          <w:tcPr>
            <w:tcW w:w="1240" w:type="dxa"/>
            <w:vAlign w:val="bottom"/>
          </w:tcPr>
          <w:p>
            <w:pPr>
              <w:jc w:val="right"/>
              <w:spacing w:after="0"/>
              <w:rPr>
                <w:sz w:val="20"/>
                <w:szCs w:val="20"/>
                <w:color w:val="auto"/>
              </w:rPr>
            </w:pPr>
            <w:r>
              <w:rPr>
                <w:rFonts w:ascii="Arial" w:cs="Arial" w:eastAsia="Arial" w:hAnsi="Arial"/>
                <w:sz w:val="18"/>
                <w:szCs w:val="18"/>
                <w:color w:val="auto"/>
              </w:rPr>
              <w:t>230,558</w:t>
            </w:r>
          </w:p>
        </w:tc>
        <w:tc>
          <w:tcPr>
            <w:tcW w:w="100" w:type="dxa"/>
            <w:vAlign w:val="bottom"/>
          </w:tcPr>
          <w:p>
            <w:pPr>
              <w:spacing w:after="0"/>
              <w:rPr>
                <w:sz w:val="21"/>
                <w:szCs w:val="21"/>
                <w:color w:val="auto"/>
              </w:rPr>
            </w:pPr>
          </w:p>
        </w:tc>
      </w:tr>
    </w:tbl>
    <w:p>
      <w:pPr>
        <w:spacing w:after="0" w:line="2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expects that the $230.6 million of deferred revenue related to the following contracts as of June 30, 2021 will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92" w:lineRule="exact"/>
        <w:rPr>
          <w:sz w:val="20"/>
          <w:szCs w:val="20"/>
          <w:color w:val="auto"/>
        </w:rPr>
      </w:pPr>
    </w:p>
    <w:p>
      <w:pPr>
        <w:ind w:left="900" w:right="280"/>
        <w:spacing w:after="0" w:line="261" w:lineRule="auto"/>
        <w:rPr>
          <w:sz w:val="20"/>
          <w:szCs w:val="20"/>
          <w:color w:val="auto"/>
        </w:rPr>
      </w:pPr>
      <w:r>
        <w:rPr>
          <w:rFonts w:ascii="Arial" w:cs="Arial" w:eastAsia="Arial" w:hAnsi="Arial"/>
          <w:sz w:val="18"/>
          <w:szCs w:val="18"/>
          <w:color w:val="auto"/>
        </w:rPr>
        <w:t>The $23.3 million of deferred revenue related to the CD71 Agreement with AbbVie is expected to be recognized based on actual FTE effort and program progress until approximately March 2023.</w:t>
      </w:r>
    </w:p>
    <w:p>
      <w:pPr>
        <w:spacing w:after="0" w:line="63" w:lineRule="exact"/>
        <w:rPr>
          <w:sz w:val="20"/>
          <w:szCs w:val="20"/>
          <w:color w:val="auto"/>
        </w:rPr>
      </w:pPr>
    </w:p>
    <w:p>
      <w:pPr>
        <w:ind w:left="900" w:right="520"/>
        <w:spacing w:after="0" w:line="261" w:lineRule="auto"/>
        <w:rPr>
          <w:sz w:val="20"/>
          <w:szCs w:val="20"/>
          <w:color w:val="auto"/>
        </w:rPr>
      </w:pPr>
      <w:r>
        <w:rPr>
          <w:rFonts w:ascii="Arial" w:cs="Arial" w:eastAsia="Arial" w:hAnsi="Arial"/>
          <w:sz w:val="18"/>
          <w:szCs w:val="18"/>
          <w:color w:val="auto"/>
        </w:rPr>
        <w:t>The $0.6 million of deferred revenue related to the first target under the Discovery Agreement with AbbVie is expected to be recognized ratably until approximately April 2022.</w:t>
      </w:r>
    </w:p>
    <w:p>
      <w:pPr>
        <w:spacing w:after="0" w:line="63" w:lineRule="exact"/>
        <w:rPr>
          <w:sz w:val="20"/>
          <w:szCs w:val="20"/>
          <w:color w:val="auto"/>
        </w:rPr>
      </w:pPr>
    </w:p>
    <w:p>
      <w:pPr>
        <w:ind w:left="900" w:right="320"/>
        <w:spacing w:after="0" w:line="261" w:lineRule="auto"/>
        <w:rPr>
          <w:sz w:val="20"/>
          <w:szCs w:val="20"/>
          <w:color w:val="auto"/>
        </w:rPr>
      </w:pPr>
      <w:r>
        <w:rPr>
          <w:rFonts w:ascii="Arial" w:cs="Arial" w:eastAsia="Arial" w:hAnsi="Arial"/>
          <w:sz w:val="18"/>
          <w:szCs w:val="18"/>
          <w:color w:val="auto"/>
        </w:rPr>
        <w:t>The $6.0 million of deferred revenue related to the second target under the Discovery Agreement with AbbVie is expected to be recognized ratably until approximately June 2024.</w:t>
      </w:r>
    </w:p>
    <w:p>
      <w:pPr>
        <w:spacing w:after="0" w:line="63" w:lineRule="exact"/>
        <w:rPr>
          <w:sz w:val="20"/>
          <w:szCs w:val="20"/>
          <w:color w:val="auto"/>
        </w:rPr>
      </w:pPr>
    </w:p>
    <w:p>
      <w:pPr>
        <w:ind w:left="900" w:right="520"/>
        <w:spacing w:after="0" w:line="250" w:lineRule="auto"/>
        <w:rPr>
          <w:sz w:val="20"/>
          <w:szCs w:val="20"/>
          <w:color w:val="auto"/>
        </w:rPr>
      </w:pPr>
      <w:r>
        <w:rPr>
          <w:rFonts w:ascii="Arial" w:cs="Arial" w:eastAsia="Arial" w:hAnsi="Arial"/>
          <w:sz w:val="18"/>
          <w:szCs w:val="18"/>
          <w:color w:val="auto"/>
        </w:rPr>
        <w:t>The $25.7 million of deferred revenue related to the Amgen EGFR Products is expected to be recognized based on actual FTE effort and program progress until approximately September 2024.</w:t>
      </w:r>
    </w:p>
    <w:p>
      <w:pPr>
        <w:sectPr>
          <w:pgSz w:w="11900" w:h="16838" w:orient="portrait"/>
          <w:cols w:equalWidth="0" w:num="1">
            <w:col w:w="11240"/>
          </w:cols>
          <w:pgMar w:left="320" w:top="13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46" w:lineRule="exact"/>
        <w:rPr>
          <w:sz w:val="20"/>
          <w:szCs w:val="20"/>
          <w:color w:val="auto"/>
        </w:rPr>
      </w:pPr>
    </w:p>
    <w:p>
      <w:pPr>
        <w:ind w:left="900" w:right="100"/>
        <w:spacing w:after="0" w:line="261" w:lineRule="auto"/>
        <w:rPr>
          <w:sz w:val="20"/>
          <w:szCs w:val="20"/>
          <w:color w:val="auto"/>
        </w:rPr>
      </w:pPr>
      <w:r>
        <w:rPr>
          <w:rFonts w:ascii="Arial" w:cs="Arial" w:eastAsia="Arial" w:hAnsi="Arial"/>
          <w:sz w:val="18"/>
          <w:szCs w:val="18"/>
          <w:color w:val="auto"/>
        </w:rPr>
        <w:t>The $1.8 million of deferred revenue related to the Amgen Other Products is expected to be recognized ratably until approximately September 2023.</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$59.6 million of deferred revenue related to the Astellas Agreement is expected to be recognized ratably until approximately March 2025.</w:t>
      </w:r>
    </w:p>
    <w:p>
      <w:pPr>
        <w:spacing w:after="0" w:line="12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$113.6 million of deferred revenue related to the BMS Agreement is expected to be recognized ratably until approximately April 2025.</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License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UCSB</w:t>
      </w:r>
    </w:p>
    <w:p>
      <w:pPr>
        <w:spacing w:after="0" w:line="131"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The Company has an exclusive, worldwide license agreement with UCSB (the “UCSB Agreement”), relating to the use of certain patents and technology relating to its core technology, including its therapeutic antibodies, and to certain patent rights the Company co-owns with UCSB covering Probody antibodies and other pro-proteins.</w:t>
      </w:r>
    </w:p>
    <w:p>
      <w:pPr>
        <w:spacing w:after="0" w:line="223" w:lineRule="exact"/>
        <w:rPr>
          <w:sz w:val="20"/>
          <w:szCs w:val="20"/>
          <w:color w:val="auto"/>
        </w:rPr>
      </w:pPr>
    </w:p>
    <w:p>
      <w:pPr>
        <w:jc w:val="both"/>
        <w:ind w:right="140"/>
        <w:spacing w:after="0" w:line="241" w:lineRule="auto"/>
        <w:rPr>
          <w:sz w:val="20"/>
          <w:szCs w:val="20"/>
          <w:color w:val="auto"/>
        </w:rPr>
      </w:pPr>
      <w:r>
        <w:rPr>
          <w:rFonts w:ascii="Arial" w:cs="Arial" w:eastAsia="Arial" w:hAnsi="Arial"/>
          <w:sz w:val="18"/>
          <w:szCs w:val="18"/>
          <w:color w:val="auto"/>
        </w:rPr>
        <w:t>In February 2020, the Company recorded $0.8 million of sublicense fees triggered by the $10.0 million milestone payment from Bristol Myers Squibb’s dosing of the first patient in the Part 2 cohort expansion portion of its ongoing BMS-986249 clinical study for the CTLA-4 program. In March 2020, the Company incurred additional sublicense fees of $6.0 million related to the $80.0 million upfront fee received pursuant to the Astellas Agreement entered into in March 2020, and $1.4 million related to the $40.0 million milestone payment from AbbVie for satisfying the CD71 dose escalation success criteria under the CD71 Agreement in March 2020.</w:t>
      </w:r>
    </w:p>
    <w:p>
      <w:pPr>
        <w:spacing w:after="0" w:line="23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incurred no sublicense expenses for the three months ended June 30, 2021 and 2020, and $0.9 million and $9.1 million for the six months ended June 30, 2021 and 2020, respectively, under the provisions of the UCSB Agreement. As of June 30, 2021 and December 31, 2020, there was no outstanding sublicense fee payable to UCSB.</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62"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In January 2021, the Company completed an underwritten public offering of 14,285,714 shares of common stock at a price of $7.00 per share. The aggregate net proceeds received by the Company from the offering were approximately $93.6 million, after deducting underwriting discounts and commissions and offering expenses of $6.4 million. The Company also granted the underwriters the option for 30 days to purchase up to 2,142,857 additional shares of common stock at the public offering price, less the underwriting discounts and commissions. In February 2021, the underwriters exercised the option in full which resulted in additional net proceeds of $14.1 million to the Company, after deducting the underwriting discounts and commissions of $0.9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Activities under the Company’s stock option plans for the six months ended June 30, 2021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420" w:type="dxa"/>
            <w:vAlign w:val="bottom"/>
            <w:tcBorders>
              <w:bottom w:val="single" w:sz="8" w:color="auto"/>
            </w:tcBorders>
            <w:gridSpan w:val="4"/>
          </w:tcPr>
          <w:p>
            <w:pPr>
              <w:jc w:val="right"/>
              <w:ind w:right="997"/>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6"/>
                <w:szCs w:val="16"/>
                <w:color w:val="auto"/>
              </w:rPr>
            </w:pPr>
          </w:p>
        </w:tc>
      </w:tr>
      <w:tr>
        <w:trPr>
          <w:trHeight w:val="179"/>
        </w:trPr>
        <w:tc>
          <w:tcPr>
            <w:tcW w:w="41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5"/>
                <w:szCs w:val="15"/>
                <w:color w:val="auto"/>
              </w:rPr>
            </w:pPr>
          </w:p>
        </w:tc>
      </w:tr>
      <w:tr>
        <w:trPr>
          <w:trHeight w:val="175"/>
        </w:trPr>
        <w:tc>
          <w:tcPr>
            <w:tcW w:w="41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r>
      <w:tr>
        <w:trPr>
          <w:trHeight w:val="175"/>
        </w:trPr>
        <w:tc>
          <w:tcPr>
            <w:tcW w:w="41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5"/>
                <w:szCs w:val="15"/>
                <w:color w:val="auto"/>
              </w:rPr>
            </w:pPr>
          </w:p>
        </w:tc>
        <w:tc>
          <w:tcPr>
            <w:tcW w:w="134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5"/>
                <w:szCs w:val="15"/>
                <w:color w:val="auto"/>
              </w:rPr>
            </w:pPr>
          </w:p>
        </w:tc>
      </w:tr>
      <w:tr>
        <w:trPr>
          <w:trHeight w:val="192"/>
        </w:trPr>
        <w:tc>
          <w:tcPr>
            <w:tcW w:w="41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5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r>
      <w:tr>
        <w:trPr>
          <w:trHeight w:val="250"/>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5120" w:type="dxa"/>
            <w:vAlign w:val="bottom"/>
            <w:gridSpan w:val="2"/>
          </w:tcPr>
          <w:p>
            <w:pPr>
              <w:jc w:val="right"/>
              <w:spacing w:after="0"/>
              <w:rPr>
                <w:sz w:val="20"/>
                <w:szCs w:val="20"/>
                <w:color w:val="auto"/>
              </w:rPr>
            </w:pPr>
            <w:r>
              <w:rPr>
                <w:rFonts w:ascii="Arial" w:cs="Arial" w:eastAsia="Arial" w:hAnsi="Arial"/>
                <w:sz w:val="18"/>
                <w:szCs w:val="18"/>
                <w:color w:val="auto"/>
              </w:rPr>
              <w:t>10,929,530</w:t>
            </w:r>
          </w:p>
        </w:tc>
        <w:tc>
          <w:tcPr>
            <w:tcW w:w="3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r>
      <w:tr>
        <w:trPr>
          <w:trHeight w:val="263"/>
        </w:trPr>
        <w:tc>
          <w:tcPr>
            <w:tcW w:w="4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Options granted</w:t>
            </w:r>
          </w:p>
        </w:tc>
        <w:tc>
          <w:tcPr>
            <w:tcW w:w="5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3,633,597</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FF0FC"/>
          </w:tcPr>
          <w:p>
            <w:pPr>
              <w:spacing w:after="0"/>
              <w:rPr>
                <w:sz w:val="22"/>
                <w:szCs w:val="22"/>
                <w:color w:val="auto"/>
              </w:rPr>
            </w:pPr>
          </w:p>
        </w:tc>
      </w:tr>
      <w:tr>
        <w:trPr>
          <w:trHeight w:val="250"/>
        </w:trPr>
        <w:tc>
          <w:tcPr>
            <w:tcW w:w="4180" w:type="dxa"/>
            <w:vAlign w:val="bottom"/>
          </w:tcPr>
          <w:p>
            <w:pPr>
              <w:ind w:left="280"/>
              <w:spacing w:after="0"/>
              <w:rPr>
                <w:sz w:val="20"/>
                <w:szCs w:val="20"/>
                <w:color w:val="auto"/>
              </w:rPr>
            </w:pPr>
            <w:r>
              <w:rPr>
                <w:rFonts w:ascii="Arial" w:cs="Arial" w:eastAsia="Arial" w:hAnsi="Arial"/>
                <w:sz w:val="18"/>
                <w:szCs w:val="18"/>
                <w:color w:val="auto"/>
              </w:rPr>
              <w:t>Options exercised</w:t>
            </w:r>
          </w:p>
        </w:tc>
        <w:tc>
          <w:tcPr>
            <w:tcW w:w="5420" w:type="dxa"/>
            <w:vAlign w:val="bottom"/>
            <w:gridSpan w:val="3"/>
          </w:tcPr>
          <w:p>
            <w:pPr>
              <w:jc w:val="right"/>
              <w:ind w:right="220"/>
              <w:spacing w:after="0"/>
              <w:rPr>
                <w:sz w:val="20"/>
                <w:szCs w:val="20"/>
                <w:color w:val="auto"/>
              </w:rPr>
            </w:pPr>
            <w:r>
              <w:rPr>
                <w:rFonts w:ascii="Arial" w:cs="Arial" w:eastAsia="Arial" w:hAnsi="Arial"/>
                <w:sz w:val="18"/>
                <w:szCs w:val="18"/>
                <w:color w:val="auto"/>
              </w:rPr>
              <w:t>(391,478 )</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r>
      <w:tr>
        <w:trPr>
          <w:trHeight w:val="257"/>
        </w:trPr>
        <w:tc>
          <w:tcPr>
            <w:tcW w:w="4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Option forfeited/expired</w:t>
            </w:r>
          </w:p>
        </w:tc>
        <w:tc>
          <w:tcPr>
            <w:tcW w:w="3540" w:type="dxa"/>
            <w:vAlign w:val="bottom"/>
            <w:shd w:val="clear" w:color="auto" w:fill="CFF0FC"/>
          </w:tcPr>
          <w:p>
            <w:pPr>
              <w:spacing w:after="0"/>
              <w:rPr>
                <w:sz w:val="22"/>
                <w:szCs w:val="22"/>
                <w:color w:val="auto"/>
              </w:rPr>
            </w:pP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(2,155,707 )</w:t>
            </w:r>
          </w:p>
        </w:tc>
        <w:tc>
          <w:tcPr>
            <w:tcW w:w="20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FF0FC"/>
          </w:tcPr>
          <w:p>
            <w:pPr>
              <w:spacing w:after="0"/>
              <w:rPr>
                <w:sz w:val="22"/>
                <w:szCs w:val="22"/>
                <w:color w:val="auto"/>
              </w:rPr>
            </w:pPr>
          </w:p>
        </w:tc>
      </w:tr>
      <w:tr>
        <w:trPr>
          <w:trHeight w:val="250"/>
        </w:trPr>
        <w:tc>
          <w:tcPr>
            <w:tcW w:w="41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Balances at June 30, 2021</w:t>
            </w:r>
          </w:p>
        </w:tc>
        <w:tc>
          <w:tcPr>
            <w:tcW w:w="3540" w:type="dxa"/>
            <w:vAlign w:val="bottom"/>
            <w:tcBorders>
              <w:top w:val="single" w:sz="8" w:color="CFF0FC"/>
            </w:tcBorders>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12,015,942</w:t>
            </w:r>
          </w:p>
        </w:tc>
        <w:tc>
          <w:tcPr>
            <w:tcW w:w="30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top w:val="single" w:sz="8" w:color="CFF0FC"/>
            </w:tcBorders>
          </w:tcPr>
          <w:p>
            <w:pPr>
              <w:spacing w:after="0"/>
              <w:rPr>
                <w:sz w:val="21"/>
                <w:szCs w:val="21"/>
                <w:color w:val="auto"/>
              </w:rPr>
            </w:pPr>
          </w:p>
        </w:tc>
      </w:tr>
      <w:tr>
        <w:trPr>
          <w:trHeight w:val="20"/>
        </w:trPr>
        <w:tc>
          <w:tcPr>
            <w:tcW w:w="4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Options exercisable at June 30, 2021</w:t>
            </w:r>
          </w:p>
        </w:tc>
        <w:tc>
          <w:tcPr>
            <w:tcW w:w="5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5,735,023</w:t>
            </w:r>
          </w:p>
        </w:tc>
        <w:tc>
          <w:tcPr>
            <w:tcW w:w="30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FF0FC"/>
          </w:tcPr>
          <w:p>
            <w:pPr>
              <w:spacing w:after="0"/>
              <w:rPr>
                <w:sz w:val="24"/>
                <w:szCs w:val="24"/>
                <w:color w:val="auto"/>
              </w:rPr>
            </w:pPr>
          </w:p>
        </w:tc>
      </w:tr>
      <w:tr>
        <w:trPr>
          <w:trHeight w:val="446"/>
        </w:trPr>
        <w:tc>
          <w:tcPr>
            <w:tcW w:w="4180" w:type="dxa"/>
            <w:vAlign w:val="bottom"/>
            <w:tcBorders>
              <w:top w:val="single" w:sz="8" w:color="CFF0FC"/>
            </w:tcBorders>
          </w:tcPr>
          <w:p>
            <w:pPr>
              <w:spacing w:after="0"/>
              <w:rPr>
                <w:sz w:val="24"/>
                <w:szCs w:val="24"/>
                <w:color w:val="auto"/>
              </w:rPr>
            </w:pPr>
          </w:p>
        </w:tc>
        <w:tc>
          <w:tcPr>
            <w:tcW w:w="3540" w:type="dxa"/>
            <w:vAlign w:val="bottom"/>
            <w:tcBorders>
              <w:top w:val="single" w:sz="8" w:color="CFF0FC"/>
            </w:tcBorders>
          </w:tcPr>
          <w:p>
            <w:pPr>
              <w:jc w:val="right"/>
              <w:ind w:right="1910"/>
              <w:spacing w:after="0"/>
              <w:rPr>
                <w:sz w:val="20"/>
                <w:szCs w:val="20"/>
                <w:color w:val="auto"/>
              </w:rPr>
            </w:pPr>
            <w:r>
              <w:rPr>
                <w:rFonts w:ascii="Arial" w:cs="Arial" w:eastAsia="Arial" w:hAnsi="Arial"/>
                <w:sz w:val="18"/>
                <w:szCs w:val="18"/>
                <w:color w:val="auto"/>
              </w:rPr>
              <w:t>19</w:t>
            </w:r>
          </w:p>
        </w:tc>
        <w:tc>
          <w:tcPr>
            <w:tcW w:w="15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1"/>
        </w:trPr>
        <w:tc>
          <w:tcPr>
            <w:tcW w:w="418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-767715</wp:posOffset>
            </wp:positionV>
            <wp:extent cx="17970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-767715</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-393700</wp:posOffset>
            </wp:positionV>
            <wp:extent cx="1797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-376555</wp:posOffset>
            </wp:positionV>
            <wp:extent cx="1797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recorded related to options granted to employees and non-employees and employee stock purchase plan was as follows:</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4"/>
          </w:tcPr>
          <w:p>
            <w:pPr>
              <w:jc w:val="right"/>
              <w:ind w:right="43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r>
      <w:tr>
        <w:trPr>
          <w:trHeight w:val="209"/>
        </w:trPr>
        <w:tc>
          <w:tcPr>
            <w:tcW w:w="5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5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190"/>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2"/>
        </w:trPr>
        <w:tc>
          <w:tcPr>
            <w:tcW w:w="52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3"/>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5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w:t>
            </w:r>
          </w:p>
        </w:tc>
        <w:tc>
          <w:tcPr>
            <w:tcW w:w="120" w:type="dxa"/>
            <w:vAlign w:val="bottom"/>
            <w:shd w:val="clear" w:color="auto" w:fill="CFF0FC"/>
          </w:tcPr>
          <w:p>
            <w:pPr>
              <w:spacing w:after="0"/>
              <w:rPr>
                <w:sz w:val="22"/>
                <w:szCs w:val="22"/>
                <w:color w:val="auto"/>
              </w:rPr>
            </w:pPr>
          </w:p>
        </w:tc>
      </w:tr>
      <w:tr>
        <w:trPr>
          <w:trHeight w:val="250"/>
        </w:trPr>
        <w:tc>
          <w:tcPr>
            <w:tcW w:w="52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120" w:type="dxa"/>
            <w:vAlign w:val="bottom"/>
          </w:tcPr>
          <w:p>
            <w:pPr>
              <w:spacing w:after="0"/>
              <w:rPr>
                <w:sz w:val="21"/>
                <w:szCs w:val="21"/>
                <w:color w:val="auto"/>
              </w:rPr>
            </w:pPr>
          </w:p>
        </w:tc>
      </w:tr>
      <w:tr>
        <w:trPr>
          <w:trHeight w:val="290"/>
        </w:trPr>
        <w:tc>
          <w:tcPr>
            <w:tcW w:w="52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3,425</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3,513</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6,459</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7,526</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-25400</wp:posOffset>
            </wp:positionV>
            <wp:extent cx="1543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1543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137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137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137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31" w:lineRule="exact"/>
        <w:rPr>
          <w:sz w:val="20"/>
          <w:szCs w:val="20"/>
          <w:color w:val="auto"/>
        </w:rPr>
      </w:pPr>
    </w:p>
    <w:p>
      <w:pPr>
        <w:ind w:right="420"/>
        <w:spacing w:after="0" w:line="359" w:lineRule="auto"/>
        <w:rPr>
          <w:sz w:val="20"/>
          <w:szCs w:val="20"/>
          <w:color w:val="auto"/>
        </w:rPr>
      </w:pPr>
      <w:r>
        <w:rPr>
          <w:rFonts w:ascii="Arial" w:cs="Arial" w:eastAsia="Arial" w:hAnsi="Arial"/>
          <w:sz w:val="16"/>
          <w:szCs w:val="16"/>
          <w:color w:val="auto"/>
        </w:rPr>
        <w:t>On December 10, 2015, the Company entered into a lease (the “2016 Lease”) with HCP Oyster Point III LLC (the “Landlord”) to lease approximately 76,000 rentable square feet of office and laboratory space located in South San Francisco, California for the Company’s new corporate headquarters.</w:t>
      </w:r>
    </w:p>
    <w:p>
      <w:pPr>
        <w:spacing w:after="0" w:line="125" w:lineRule="exact"/>
        <w:rPr>
          <w:sz w:val="20"/>
          <w:szCs w:val="20"/>
          <w:color w:val="auto"/>
        </w:rPr>
      </w:pPr>
    </w:p>
    <w:p>
      <w:pPr>
        <w:ind w:right="20"/>
        <w:spacing w:after="0" w:line="324" w:lineRule="auto"/>
        <w:rPr>
          <w:sz w:val="20"/>
          <w:szCs w:val="20"/>
          <w:color w:val="auto"/>
        </w:rPr>
      </w:pPr>
      <w:r>
        <w:rPr>
          <w:rFonts w:ascii="Arial" w:cs="Arial" w:eastAsia="Arial" w:hAnsi="Arial"/>
          <w:sz w:val="17"/>
          <w:szCs w:val="17"/>
          <w:color w:val="auto"/>
        </w:rPr>
        <w:t>The term of the Lease commenced on October 1, 2016. The 2016 Lease has an initial term of ten years from the commencement date, and the Company has an option to extend the initial term for an additional five years at the then fair rental value as determined pursuant to the 2016 Lease.</w:t>
      </w:r>
    </w:p>
    <w:p>
      <w:pPr>
        <w:spacing w:after="0" w:line="14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Lease provided for annual base rent of approximately $3.1 million in the first year of the lease term. The annual base rent for the second twelve months was approximately $4.3 million, which increases on an annual basis beginning from the 25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month to approximately $5.5 million for the tenth year of the lease. The Company utilized the full amount of the one-time improvement allowance of $12.6 million, of which $2.3 million is recoverable by the landlord through increased rent which continues through the expiration of the initial lease term.</w:t>
      </w:r>
    </w:p>
    <w:p>
      <w:pPr>
        <w:spacing w:after="0" w:line="211" w:lineRule="exact"/>
        <w:rPr>
          <w:sz w:val="20"/>
          <w:szCs w:val="20"/>
          <w:color w:val="auto"/>
        </w:rPr>
      </w:pPr>
    </w:p>
    <w:p>
      <w:pPr>
        <w:jc w:val="both"/>
        <w:ind w:right="220"/>
        <w:spacing w:after="0" w:line="329" w:lineRule="auto"/>
        <w:rPr>
          <w:sz w:val="20"/>
          <w:szCs w:val="20"/>
          <w:color w:val="auto"/>
        </w:rPr>
      </w:pPr>
      <w:r>
        <w:rPr>
          <w:rFonts w:ascii="Arial" w:cs="Arial" w:eastAsia="Arial" w:hAnsi="Arial"/>
          <w:sz w:val="16"/>
          <w:szCs w:val="16"/>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has recorded the $0.9 million Letter of Credit as non-current restricted cash on its balance sheet as of June 30, 2021 and December 31, 2020, respectively.</w:t>
      </w:r>
    </w:p>
    <w:p>
      <w:pPr>
        <w:spacing w:after="0" w:line="148" w:lineRule="exact"/>
        <w:rPr>
          <w:sz w:val="20"/>
          <w:szCs w:val="20"/>
          <w:color w:val="auto"/>
        </w:rPr>
      </w:pPr>
    </w:p>
    <w:p>
      <w:pPr>
        <w:ind w:right="240"/>
        <w:spacing w:after="0" w:line="303" w:lineRule="auto"/>
        <w:rPr>
          <w:sz w:val="20"/>
          <w:szCs w:val="20"/>
          <w:color w:val="auto"/>
        </w:rPr>
      </w:pPr>
      <w:r>
        <w:rPr>
          <w:rFonts w:ascii="Arial" w:cs="Arial" w:eastAsia="Arial" w:hAnsi="Arial"/>
          <w:sz w:val="17"/>
          <w:szCs w:val="17"/>
          <w:color w:val="auto"/>
        </w:rPr>
        <w:t>Rent expense is recognized on a straight-line basis over the term of the lease and accordingly the Company records the difference between cash rent payments and the recognition of rent expense against the operating lease ROU asset. Rent expense for each of the three months ended June 30, 2021 and 2020 was $1.3 million. Rent expense for each of the six months ended June 30, 2021 and 2020 was $2.5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79"/>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right="99"/>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6"/>
                <w:szCs w:val="16"/>
                <w:color w:val="auto"/>
              </w:rPr>
            </w:pPr>
          </w:p>
        </w:tc>
      </w:tr>
      <w:tr>
        <w:trPr>
          <w:trHeight w:val="277"/>
        </w:trPr>
        <w:tc>
          <w:tcPr>
            <w:tcW w:w="5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w w:val="96"/>
              </w:rPr>
              <w:t>June 30, 2021</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6"/>
              </w:rPr>
              <w:t>June 30, 2020</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6"/>
              </w:rPr>
              <w:t>June 30, 2021</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6"/>
              </w:rPr>
              <w:t>June 30, 2020</w:t>
            </w:r>
          </w:p>
        </w:tc>
        <w:tc>
          <w:tcPr>
            <w:tcW w:w="100" w:type="dxa"/>
            <w:vAlign w:val="bottom"/>
          </w:tcPr>
          <w:p>
            <w:pPr>
              <w:spacing w:after="0"/>
              <w:rPr>
                <w:sz w:val="24"/>
                <w:szCs w:val="24"/>
                <w:color w:val="auto"/>
              </w:rPr>
            </w:pPr>
          </w:p>
        </w:tc>
      </w:tr>
      <w:tr>
        <w:trPr>
          <w:trHeight w:val="277"/>
        </w:trPr>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4"/>
          </w:tcPr>
          <w:p>
            <w:pPr>
              <w:jc w:val="center"/>
              <w:ind w:right="59"/>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4"/>
          </w:tcPr>
          <w:p>
            <w:pPr>
              <w:jc w:val="center"/>
              <w:ind w:right="79"/>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4"/>
                <w:szCs w:val="24"/>
                <w:color w:val="auto"/>
              </w:rPr>
            </w:pPr>
          </w:p>
        </w:tc>
      </w:tr>
      <w:tr>
        <w:trPr>
          <w:trHeight w:val="244"/>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8"/>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46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1,273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2,547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1"/>
                <w:szCs w:val="2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26" w:lineRule="exact"/>
        <w:rPr>
          <w:sz w:val="20"/>
          <w:szCs w:val="20"/>
          <w:color w:val="auto"/>
        </w:rPr>
      </w:pPr>
    </w:p>
    <w:tbl>
      <w:tblPr>
        <w:tblLayout w:type="fixed"/>
        <w:tblInd w:w="8400" w:type="dxa"/>
        <w:tblCellMar>
          <w:top w:w="0" w:type="dxa"/>
          <w:left w:w="0" w:type="dxa"/>
          <w:bottom w:w="0" w:type="dxa"/>
          <w:right w:w="0" w:type="dxa"/>
        </w:tblCellMar>
      </w:tblPr>
      <w:tr>
        <w:trPr>
          <w:trHeight w:val="176"/>
        </w:trPr>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Pr>
          <w:p>
            <w:pPr>
              <w:spacing w:after="0"/>
              <w:rPr>
                <w:sz w:val="16"/>
                <w:szCs w:val="16"/>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r>
    </w:tbl>
    <w:p>
      <w:pPr>
        <w:spacing w:after="0" w:line="58"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40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balance sheet information related to leases:</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7"/>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20,961</w:t>
            </w:r>
          </w:p>
        </w:tc>
        <w:tc>
          <w:tcPr>
            <w:tcW w:w="300" w:type="dxa"/>
            <w:vAlign w:val="bottom"/>
          </w:tcPr>
          <w:p>
            <w:pPr>
              <w:spacing w:after="0"/>
              <w:rPr>
                <w:sz w:val="22"/>
                <w:szCs w:val="22"/>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5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4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Current operating lease liabilities</w:t>
            </w:r>
          </w:p>
        </w:tc>
        <w:tc>
          <w:tcPr>
            <w:tcW w:w="3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19,921</w:t>
            </w: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97"/>
        </w:trPr>
        <w:tc>
          <w:tcPr>
            <w:tcW w:w="53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operating lease liabilities</w:t>
            </w:r>
          </w:p>
        </w:tc>
        <w:tc>
          <w:tcPr>
            <w:tcW w:w="30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23,323</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24,870</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30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Operating lease</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5.25</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40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Operating lease</w:t>
            </w:r>
          </w:p>
        </w:tc>
        <w:tc>
          <w:tcPr>
            <w:tcW w:w="3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8.25 %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8.25 %</w:t>
            </w:r>
          </w:p>
        </w:tc>
      </w:tr>
      <w:tr>
        <w:trPr>
          <w:trHeight w:val="548"/>
        </w:trPr>
        <w:tc>
          <w:tcPr>
            <w:tcW w:w="5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6"/>
              </w:rPr>
              <w:t>June 30, 2021</w:t>
            </w:r>
          </w:p>
        </w:tc>
        <w:tc>
          <w:tcPr>
            <w:tcW w:w="100" w:type="dxa"/>
            <w:vAlign w:val="bottom"/>
          </w:tcPr>
          <w:p>
            <w:pPr>
              <w:spacing w:after="0"/>
              <w:rPr>
                <w:sz w:val="24"/>
                <w:szCs w:val="24"/>
                <w:color w:val="auto"/>
              </w:rPr>
            </w:pPr>
          </w:p>
        </w:tc>
      </w:tr>
      <w:tr>
        <w:trPr>
          <w:trHeight w:val="277"/>
        </w:trPr>
        <w:tc>
          <w:tcPr>
            <w:tcW w:w="5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(in thousands)</w:t>
            </w:r>
          </w:p>
        </w:tc>
      </w:tr>
      <w:tr>
        <w:trPr>
          <w:trHeight w:val="263"/>
        </w:trPr>
        <w:tc>
          <w:tcPr>
            <w:tcW w:w="840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Maturity of operating lease liabilities</w:t>
            </w: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380" w:type="dxa"/>
            <w:vAlign w:val="bottom"/>
          </w:tcPr>
          <w:p>
            <w:pPr>
              <w:ind w:left="140"/>
              <w:spacing w:after="0"/>
              <w:rPr>
                <w:sz w:val="20"/>
                <w:szCs w:val="20"/>
                <w:color w:val="auto"/>
              </w:rPr>
            </w:pPr>
            <w:r>
              <w:rPr>
                <w:rFonts w:ascii="Arial" w:cs="Arial" w:eastAsia="Arial" w:hAnsi="Arial"/>
                <w:sz w:val="18"/>
                <w:szCs w:val="18"/>
                <w:color w:val="auto"/>
              </w:rPr>
              <w:t>2021</w:t>
            </w:r>
          </w:p>
        </w:tc>
        <w:tc>
          <w:tcPr>
            <w:tcW w:w="3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21"/>
                <w:szCs w:val="21"/>
                <w:color w:val="auto"/>
              </w:rPr>
            </w:pPr>
          </w:p>
        </w:tc>
      </w:tr>
      <w:tr>
        <w:trPr>
          <w:trHeight w:val="263"/>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2022</w:t>
            </w:r>
          </w:p>
        </w:tc>
        <w:tc>
          <w:tcPr>
            <w:tcW w:w="30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5,273</w:t>
            </w:r>
          </w:p>
        </w:tc>
        <w:tc>
          <w:tcPr>
            <w:tcW w:w="100" w:type="dxa"/>
            <w:vAlign w:val="bottom"/>
            <w:shd w:val="clear" w:color="auto" w:fill="CFF0FC"/>
          </w:tcPr>
          <w:p>
            <w:pPr>
              <w:spacing w:after="0"/>
              <w:rPr>
                <w:sz w:val="22"/>
                <w:szCs w:val="22"/>
                <w:color w:val="auto"/>
              </w:rPr>
            </w:pPr>
          </w:p>
        </w:tc>
      </w:tr>
      <w:tr>
        <w:trPr>
          <w:trHeight w:val="250"/>
        </w:trPr>
        <w:tc>
          <w:tcPr>
            <w:tcW w:w="5380" w:type="dxa"/>
            <w:vAlign w:val="bottom"/>
          </w:tcPr>
          <w:p>
            <w:pPr>
              <w:ind w:left="140"/>
              <w:spacing w:after="0"/>
              <w:rPr>
                <w:sz w:val="20"/>
                <w:szCs w:val="20"/>
                <w:color w:val="auto"/>
              </w:rPr>
            </w:pPr>
            <w:r>
              <w:rPr>
                <w:rFonts w:ascii="Arial" w:cs="Arial" w:eastAsia="Arial" w:hAnsi="Arial"/>
                <w:sz w:val="18"/>
                <w:szCs w:val="18"/>
                <w:color w:val="auto"/>
              </w:rPr>
              <w:t>2023</w:t>
            </w:r>
          </w:p>
        </w:tc>
        <w:tc>
          <w:tcPr>
            <w:tcW w:w="3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21"/>
                <w:szCs w:val="21"/>
                <w:color w:val="auto"/>
              </w:rPr>
            </w:pPr>
          </w:p>
        </w:tc>
      </w:tr>
      <w:tr>
        <w:trPr>
          <w:trHeight w:val="263"/>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2024</w:t>
            </w:r>
          </w:p>
        </w:tc>
        <w:tc>
          <w:tcPr>
            <w:tcW w:w="30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FF0FC"/>
          </w:tcPr>
          <w:p>
            <w:pPr>
              <w:spacing w:after="0"/>
              <w:rPr>
                <w:sz w:val="22"/>
                <w:szCs w:val="22"/>
                <w:color w:val="auto"/>
              </w:rPr>
            </w:pPr>
          </w:p>
        </w:tc>
      </w:tr>
      <w:tr>
        <w:trPr>
          <w:trHeight w:val="250"/>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2025 and beyond</w:t>
            </w: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10,117</w:t>
            </w:r>
          </w:p>
        </w:tc>
        <w:tc>
          <w:tcPr>
            <w:tcW w:w="100" w:type="dxa"/>
            <w:vAlign w:val="bottom"/>
          </w:tcPr>
          <w:p>
            <w:pPr>
              <w:spacing w:after="0"/>
              <w:rPr>
                <w:sz w:val="21"/>
                <w:szCs w:val="21"/>
                <w:color w:val="auto"/>
              </w:rPr>
            </w:pPr>
          </w:p>
        </w:tc>
      </w:tr>
      <w:tr>
        <w:trPr>
          <w:trHeight w:val="256"/>
        </w:trPr>
        <w:tc>
          <w:tcPr>
            <w:tcW w:w="84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28,964</w:t>
            </w:r>
          </w:p>
        </w:tc>
        <w:tc>
          <w:tcPr>
            <w:tcW w:w="100" w:type="dxa"/>
            <w:vAlign w:val="bottom"/>
            <w:shd w:val="clear" w:color="auto" w:fill="CFF0FC"/>
          </w:tcPr>
          <w:p>
            <w:pPr>
              <w:spacing w:after="0"/>
              <w:rPr>
                <w:sz w:val="22"/>
                <w:szCs w:val="22"/>
                <w:color w:val="auto"/>
              </w:rPr>
            </w:pPr>
          </w:p>
        </w:tc>
      </w:tr>
      <w:tr>
        <w:trPr>
          <w:trHeight w:val="270"/>
        </w:trPr>
        <w:tc>
          <w:tcPr>
            <w:tcW w:w="8400" w:type="dxa"/>
            <w:vAlign w:val="bottom"/>
            <w:gridSpan w:val="2"/>
          </w:tcPr>
          <w:p>
            <w:pPr>
              <w:ind w:left="280"/>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(5,641 )</w:t>
            </w:r>
          </w:p>
        </w:tc>
      </w:tr>
      <w:tr>
        <w:trPr>
          <w:trHeight w:val="284"/>
        </w:trPr>
        <w:tc>
          <w:tcPr>
            <w:tcW w:w="840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Present value of lease liabilities</w:t>
            </w:r>
          </w:p>
        </w:tc>
        <w:tc>
          <w:tcPr>
            <w:tcW w:w="3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-2725420</wp:posOffset>
            </wp:positionV>
            <wp:extent cx="1885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-2708275</wp:posOffset>
            </wp:positionV>
            <wp:extent cx="1885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-2725420</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-2708275</wp:posOffset>
            </wp:positionV>
            <wp:extent cx="137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5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filed an Answer, Affirmative Defenses, and Counterclaims on May 26, 2020. Vytacera Bio, LLC filed its Answer to CytomX Therapeutics Inc.’s Counterclaims on June 5, 2020. The parties have agreed to a case schedule. Discovery is ongoing. The Company believes that the lawsuit is without merit and intends to vigorously defend itself and has not recorded any amount for claims associated with this lawsuit as of June 30, 2021.</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6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records the effect of an enacted change in a tax law in the period that includes the enactment date in accordance with ASC 740. 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w:t>
      </w:r>
    </w:p>
    <w:p>
      <w:pPr>
        <w:spacing w:after="0" w:line="245"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The income tax benefit for the six months ended June 30, 2020 was generated as a result of the recognition of net operating loss carryback under the CARES Act which generated a refund of income taxes paid for 2018. The Company maintains a full valuation allowance against its net deferred tax assets due to the Company’s history of losses as of June 30, 2021 and December 31, 2020</w:t>
      </w:r>
      <w:r>
        <w:rPr>
          <w:rFonts w:ascii="Arial" w:cs="Arial" w:eastAsia="Arial" w:hAnsi="Arial"/>
          <w:sz w:val="18"/>
          <w:szCs w:val="18"/>
          <w:i w:val="1"/>
          <w:iCs w:val="1"/>
          <w:color w:val="auto"/>
        </w:rPr>
        <w:t>.</w:t>
      </w:r>
    </w:p>
    <w:p>
      <w:pPr>
        <w:sectPr>
          <w:pgSz w:w="11900" w:h="16838" w:orient="portrait"/>
          <w:cols w:equalWidth="0" w:num="1">
            <w:col w:w="11240"/>
          </w:cols>
          <w:pgMar w:left="320" w:top="135" w:right="339" w:bottom="144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2020, included in our Annual Report on Forms 10-K as filed with the U.S. Securities and Exchange Commission (“SEC”) on February 24, 2021.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a clinical-stage, oncology-focused biopharmaceutical company with a vision of transforming lives with safer, more effective therapies. We are advancing a robust pipeline of novel, potential first-in-class antibody-based therapeutics created using our Probody® technology platform. Probody therapeutics are designed to be conditionally activated in the tumor microenvironment, effectively enabling the targeting of cancer tissues more specifically, while minimizing deleterious activity in healthy tissues and in circulation. We achieve this “conditional activation” by modifying our Probody therapeutics with a mask that is designed to block binding to target until the mask is removed by proteases. Proteases are enzymes that are more abundant in the tumor microenvironment than in normal tissue, potentially leading to an enrichment of therapeutic activity in the tumor. We believe this innovative approach, that we have pioneered, has the promise to improve cancer treatments in three ways by: (1) enhancing a product candidate’s therapeutic window, the balance between tolerability and activity; (2) allowing the pursuit of targets that were previously considered “undruggable,” due to their presence on normal tissues; and (3) improving combination therapies that are, otherwise, poorly tolerated. We have successfully applied our Probody technology to a variety of biologic modalities including antibodies, antibody drug conjugates (“ADCs”), T-cell bispecifics and cytokines; all of which are in various stages spanning discovery through clinical development.</w:t>
      </w:r>
    </w:p>
    <w:p>
      <w:pPr>
        <w:spacing w:after="0" w:line="178"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Our lead product candidates, praluzatamab ravtansine (CX-2009) and CX-2029, are two conditionally activated ADCs against the previously undruggable targets CD166 and CD71, respectively. These cancer targets were considered inaccessible to conventional ADCs due to their ubiquitous expression in many healthy tissues, but we believe they are potentially addressable with our Probody technology. Having demonstrated favorable tolerability and encouraging anti-tumor activity in separate dose-escalation Phase 1 studies, praluzatamab ravtansine, our wholly-owned conditionally activated ADC, and CX-2029, a conditionally activated ADC partnered with AbbVie, are currently in Phase 2 clinical studies.</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We are currently enrolling patients into a three-arm study of praluzatamab ravtansine in patients with human epidermal growth factor receptor 2 (“HER2”)-non-amplified breast cancer. Arms A and B will evaluate praluzatamab ravtansine monotherapy at 7 mg/kg administered every three weeks in patients with hormone receptor-positive (“HR+”)/HER2-non-amplified breast cancer and triple-negative breast cancer (“TNBC”), respectively. Arm C will evaluate praluzatamab ravtansine in combination with pacmilimab (CX-072), our wholly-owned PD-L1 inhibitor, in patients with TNBC. Approximately 40 evaluable patients will be enrolled into each arm of the study. Due primarily to impacts from COVID-19, including slower clinical-trial site activation and patient enrollment, we expect initial data from the praluzatamab ravtansine study in 2022. Additionally, CX-2029, the CD71-directed ADC, is being evaluated in four cohorts as a treatment for patients with squamous non-small cell lung cancer, head and neck squamous cell carcinoma, esophageal and gastro-esophageal junction cancers, and diffuse large B-cell lymphoma. Twenty-five evaluable patients are targeted for each cohort. We expect initial data from the CX-2029 study to be available in the fourth quarter of 2021.</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Our clinical-stage pipeline also includes cancer immunotherapeutic candidates against validated targets such as CTLA-4. Our partner, Bristol Myers Squibb, is conducting a randomized Phase 2 study evaluating BMS-986249, a Probody version of the CTLA-4-targeting antibody, ipilimumab, in combination with the anti PD-1 antibody, nivolumab, in patients with metastatic melanoma. In addition, BMS-986249 is being studied in combination with nivolumab in three additional indications: advanced hepatocellular carcinoma, metastatic castration-resistant prostate cancer and advanced TNBC. Bristol Myers Squibb also continues to evaluate BMS-986288, a Probody version of non-fucosylated ipilimumab, as monotherapy or in combination with nivolumab in a Phase 1 clinical trial.</w:t>
      </w:r>
    </w:p>
    <w:p>
      <w:pPr>
        <w:spacing w:after="0" w:line="19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We have two preclinical agents in investigational new drug application (“IND”)-enabling studies, including CX-2043, our third conditionally activated ADC targeting the epithelial cell adhesion molecule (“EpCAM”), a widely expressed tumor antigen. CX-2043 has demonstrated potent anti-tumor activity across multiple cancer types and superior tolerability in animal models compared to the corresponding unmasked ADC. We, in partnership with Amgen, also have CX-904, a conditionally activated T-cell-engaging bispecific antibody candidate against the epidermal growth factor receptor (“EGFR”) on tumor cells and CD3 on T cells, in IND-enabling studies. We submitted a pre-IND meeting request to the U.S. Food and Drug Administration (“FDA”) and we expect written responses to our questions from the FDA in the third quarter of 2021. We will continue to discuss the program with Amgen and are working toward the filing of an IND for CX-904 in late 2021</w:t>
      </w:r>
      <w:r>
        <w:rPr>
          <w:rFonts w:ascii="Arial" w:cs="Arial" w:eastAsia="Arial" w:hAnsi="Arial"/>
          <w:sz w:val="18"/>
          <w:szCs w:val="18"/>
          <w:color w:val="FF0000"/>
        </w:rPr>
        <w:t>.</w:t>
      </w:r>
      <w:r>
        <w:rPr>
          <w:rFonts w:ascii="Arial" w:cs="Arial" w:eastAsia="Arial" w:hAnsi="Arial"/>
          <w:sz w:val="18"/>
          <w:szCs w:val="18"/>
          <w:color w:val="auto"/>
        </w:rPr>
        <w:t xml:space="preserve"> We are also engaged in broad drug discovery efforts towards the generation of new clinical candidates for the treatment of cancer,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including the application of our conditional activation platform to the engineering of novel, locally active cytokines, including interferon-alpha-2b.</w:t>
      </w:r>
    </w:p>
    <w:p>
      <w:pPr>
        <w:spacing w:after="0" w:line="250"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color w:val="auto"/>
        </w:rPr>
        <w:t>On January 25, 2021, we completed an underwritten public offering of 14,285,714 shares of common stock at a price of $7.00 per share. The aggregate net proceeds received by us from the offering were $93.6 million, after deducting underwriting discounts and commissions and offering expenses of $6.4 million. We also granted the underwriters the option, for 30 days, to purchase up to 2,142,857 additional shares of common stock at the public offering price, less the underwriting discounts and commissions. In February 2021, the underwriters exercised the option in full which resulted in additional net proceeds of $14.1 million to us, after deducting the underwriting discounts and commissions of $0.9 million.</w:t>
      </w:r>
    </w:p>
    <w:p>
      <w:pPr>
        <w:spacing w:after="0" w:line="174" w:lineRule="exact"/>
        <w:rPr>
          <w:sz w:val="20"/>
          <w:szCs w:val="20"/>
          <w:color w:val="auto"/>
        </w:rPr>
      </w:pPr>
    </w:p>
    <w:p>
      <w:pPr>
        <w:jc w:val="both"/>
        <w:ind w:right="40"/>
        <w:spacing w:after="0" w:line="296" w:lineRule="auto"/>
        <w:rPr>
          <w:sz w:val="20"/>
          <w:szCs w:val="20"/>
          <w:color w:val="auto"/>
        </w:rPr>
      </w:pPr>
      <w:r>
        <w:rPr>
          <w:rFonts w:ascii="Arial" w:cs="Arial" w:eastAsia="Arial" w:hAnsi="Arial"/>
          <w:sz w:val="17"/>
          <w:szCs w:val="17"/>
          <w:color w:val="auto"/>
        </w:rPr>
        <w:t>We do not have any products approved for sale, and we continue to incur significant research and development and general administrative expenses related to our operations. We are not profitable and have incurred losses in each year since our founding in 2008. Our net loss was $19.2 million and $34.8 million and for the three and six months ended June 30, 2021, respectively. As of June 30, 2021 and December 31, 2020, we had an accumulated deficit of $484.9 million and $450.1 million, respectively. We expect to continue to incur significant losses for the foreseeable future.</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including praluzatamab ravtansine, CX-2029, and pacmilimab, as well as any additional product candidates for which we initiate clinical studies in the future.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76"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35"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In December 2019, a strain of novel coronavirus-caused disease (now commonly known as COVID-19) was reported to have surfaced in Wuhan, China. COVID-19 has since spread rapidly throughout many countries and has been declared to be a pandemic. In an effort to contain and mitigate the spread of COVID-19, many countries, including the United States, Canada and countries in Europe and Asia, have imposed unprecedented restrictions on travel, business operations and public gatherings, and there have been business closures and limitations on business operations, which have resulted in a substantial reduction in economic activity.</w:t>
      </w:r>
    </w:p>
    <w:p>
      <w:pPr>
        <w:spacing w:after="0" w:line="19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March 2020, we announced the temporary pause in new patient enrollment and new site activation in our Phase 2 clinical trial of praluzatamab ravtansine as a result of the COVID-19 pandemic, primarily due to delays in patient enrollment and clinical site initiations, and the termination of the Phase 2 clinical trial of pacmilimab (CX-072) after a re-evaluation of the evolving clinical, competitive and commercial landscapes in immuno-oncology, taken together with impact of the COVID-19 pandemic. Since then, we have revised our strategy for developing praluzatamab ravtansine, and have initiated our Phase 2 clinical trial for praluzatamab ravtansine.</w:t>
      </w:r>
    </w:p>
    <w:p>
      <w:pPr>
        <w:spacing w:after="0" w:line="19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COVID-19 outbreak and any preventative or protective actions that we, our collaboration partners or others may take in respect of the virus may result in further disruption for our clinical trials, including clinical trials for praluzatamab ravtansine and CX-2029, manufacturing, research, financial reporting capabilities and operations generally and could potentially impact our patients, partners, employees and third parties. For example, we continue to be impacted by COVID-19 in our clinical trials, particularly in site initiation and patient enrollment for our ongoing Phase 2 clinical trial for praluzatamab ravtansine. As a result, we now believe initial data from that clinical trial will be available in 2022. Any resulting financial impact cannot be reasonably estimated at this time but may materially affect the business and our financial condition and results of operations. The extent to which the COVID-19 pandemic continues to impact our results will depend on future developments, which are highly uncertain and cannot be predicted, including new information which may emerge concerning the severity of COVID-19 and the actions necessary to contain the virus or treat its impact, among others. Currently, it is not possible to predict how long the pandemic will last or the time that it will take for economic activity to return to its prior levels. We do not yet know the full extent of any impact or delay on our business or our operations, including clinical trial activity, however, we will continue to monitor the COVID-19 situation closely and operate in accordance with all relevant health and safety guidelines as they evolve.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w:t>
      </w: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 w:name="page24"/>
    <w:bookmarkEnd w:id="23"/>
    <w:p>
      <w:pPr>
        <w:ind w:right="100"/>
        <w:spacing w:after="0" w:line="272" w:lineRule="auto"/>
        <w:rPr>
          <w:sz w:val="20"/>
          <w:szCs w:val="20"/>
          <w:color w:val="auto"/>
        </w:rPr>
      </w:pPr>
      <w:r>
        <w:rPr>
          <w:rFonts w:ascii="Arial" w:cs="Arial" w:eastAsia="Arial" w:hAnsi="Arial"/>
          <w:sz w:val="18"/>
          <w:szCs w:val="18"/>
          <w:color w:val="auto"/>
        </w:rPr>
        <w:t>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2020. There have been no material changes to our critical accounting policies and estimates during the three and six months ended June 30,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Astellas and Bristol Myers Squibb for research and development costs when incurred under our research, collaboration and license agreements with them are classified as revenue.</w:t>
      </w:r>
    </w:p>
    <w:p>
      <w:pPr>
        <w:spacing w:after="0" w:line="164"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Astellas, Bristol Myers Squibb and any other collaboration partners, and as a result of the fluctuations in the research and development expenses we incur in the performance of assigned activities under these agreements.</w:t>
      </w:r>
    </w:p>
    <w:p>
      <w:pPr>
        <w:spacing w:after="0" w:line="191"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AbbVie, one of our collaboration partners, entered into a license agreement with Seagen Inc. (“SGEN”) to license certain intellectual property rights. As part of our collaboration agreement with AbbVie, we received a sublicense to these intellectual property rights and therefore pay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17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Examples include our Phase 2 clinical trials for praluzatamab ravtansine (CX-2009) and CX-2029 and potential future clinical trials for CX-2029 and for praluzatamab ravtansine in combination with pacmilimab (CX-072).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1"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31"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Interest income primarily consists of interest income from our cash equivalents and investments, and accretion of discounts or amortization of premiums on our investments.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consists primarily of gains and losses resulting from changes to currency exchange rates.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245" w:lineRule="exact"/>
        <w:rPr>
          <w:sz w:val="20"/>
          <w:szCs w:val="20"/>
          <w:color w:val="auto"/>
        </w:rPr>
      </w:pPr>
    </w:p>
    <w:p>
      <w:pPr>
        <w:jc w:val="both"/>
        <w:ind w:right="60"/>
        <w:spacing w:after="0" w:line="303" w:lineRule="auto"/>
        <w:rPr>
          <w:sz w:val="20"/>
          <w:szCs w:val="20"/>
          <w:color w:val="auto"/>
        </w:rPr>
      </w:pPr>
      <w:r>
        <w:rPr>
          <w:rFonts w:ascii="Arial" w:cs="Arial" w:eastAsia="Arial" w:hAnsi="Arial"/>
          <w:sz w:val="17"/>
          <w:szCs w:val="17"/>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05"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We record the effect of an enacted change in a tax law in the period that includes the enactment date in accordance with ASC 740.</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and Six Months Ended June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4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r>
      <w:tr>
        <w:trPr>
          <w:trHeight w:val="196"/>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4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16,608</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(320 )  $</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32,259</w:t>
            </w:r>
          </w:p>
        </w:tc>
        <w:tc>
          <w:tcPr>
            <w:tcW w:w="4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66,201</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(33,942 )</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collaboration partner during the respective periods: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r>
      <w:tr>
        <w:trPr>
          <w:trHeight w:val="196"/>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AbbVie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3,306</w:t>
            </w:r>
          </w:p>
        </w:tc>
        <w:tc>
          <w:tcPr>
            <w:tcW w:w="4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31,415</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(28,109 )</w:t>
            </w:r>
          </w:p>
        </w:tc>
      </w:tr>
      <w:tr>
        <w:trPr>
          <w:trHeight w:val="250"/>
        </w:trPr>
        <w:tc>
          <w:tcPr>
            <w:tcW w:w="4000" w:type="dxa"/>
            <w:vAlign w:val="bottom"/>
          </w:tcPr>
          <w:p>
            <w:pPr>
              <w:ind w:left="280"/>
              <w:spacing w:after="0"/>
              <w:rPr>
                <w:sz w:val="20"/>
                <w:szCs w:val="20"/>
                <w:color w:val="auto"/>
              </w:rPr>
            </w:pPr>
            <w:r>
              <w:rPr>
                <w:rFonts w:ascii="Arial" w:cs="Arial" w:eastAsia="Arial" w:hAnsi="Arial"/>
                <w:sz w:val="18"/>
                <w:szCs w:val="18"/>
                <w:color w:val="auto"/>
              </w:rPr>
              <w:t>Amgen</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(1,804 )</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4,456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5,373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(917 )</w:t>
            </w:r>
          </w:p>
        </w:tc>
      </w:tr>
      <w:tr>
        <w:trPr>
          <w:trHeight w:val="263"/>
        </w:trPr>
        <w:tc>
          <w:tcPr>
            <w:tcW w:w="4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Astellas</w:t>
            </w: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9,688</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4,591</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5,097</w:t>
            </w:r>
          </w:p>
        </w:tc>
        <w:tc>
          <w:tcPr>
            <w:tcW w:w="100" w:type="dxa"/>
            <w:vAlign w:val="bottom"/>
            <w:shd w:val="clear" w:color="auto" w:fill="CFF0FC"/>
          </w:tcPr>
          <w:p>
            <w:pPr>
              <w:spacing w:after="0"/>
              <w:rPr>
                <w:sz w:val="22"/>
                <w:szCs w:val="22"/>
                <w:color w:val="auto"/>
              </w:rPr>
            </w:pPr>
          </w:p>
        </w:tc>
      </w:tr>
      <w:tr>
        <w:trPr>
          <w:trHeight w:val="250"/>
        </w:trPr>
        <w:tc>
          <w:tcPr>
            <w:tcW w:w="4000" w:type="dxa"/>
            <w:vAlign w:val="bottom"/>
          </w:tcPr>
          <w:p>
            <w:pPr>
              <w:ind w:left="280"/>
              <w:spacing w:after="0"/>
              <w:rPr>
                <w:sz w:val="20"/>
                <w:szCs w:val="20"/>
                <w:color w:val="auto"/>
              </w:rPr>
            </w:pPr>
            <w:r>
              <w:rPr>
                <w:rFonts w:ascii="Arial" w:cs="Arial" w:eastAsia="Arial" w:hAnsi="Arial"/>
                <w:sz w:val="18"/>
                <w:szCs w:val="18"/>
                <w:color w:val="auto"/>
              </w:rPr>
              <w:t>Bristol Myers Squibb</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7,405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7,407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(2 )</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14,809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24,822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(10,013 )</w:t>
            </w:r>
          </w:p>
        </w:tc>
      </w:tr>
      <w:tr>
        <w:trPr>
          <w:trHeight w:val="20"/>
        </w:trPr>
        <w:tc>
          <w:tcPr>
            <w:tcW w:w="4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16,608</w:t>
            </w: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(320 )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32,259</w:t>
            </w:r>
          </w:p>
        </w:tc>
        <w:tc>
          <w:tcPr>
            <w:tcW w:w="4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66,201</w:t>
            </w:r>
          </w:p>
        </w:tc>
        <w:tc>
          <w:tcPr>
            <w:tcW w:w="20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(33,942 )</w:t>
            </w: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-24765</wp:posOffset>
            </wp:positionV>
            <wp:extent cx="1543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-8255</wp:posOffset>
            </wp:positionV>
            <wp:extent cx="1543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1543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15430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1460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1460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-8255</wp:posOffset>
            </wp:positionV>
            <wp:extent cx="137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revenue of $0.3 million for the three months ended June 30, 2021 compared to the corresponding period of 2020 was primarily due to:</w:t>
      </w:r>
    </w:p>
    <w:p>
      <w:pPr>
        <w:spacing w:after="0" w:line="154" w:lineRule="exact"/>
        <w:rPr>
          <w:sz w:val="20"/>
          <w:szCs w:val="20"/>
          <w:color w:val="auto"/>
        </w:rPr>
      </w:pPr>
    </w:p>
    <w:p>
      <w:pPr>
        <w:jc w:val="both"/>
        <w:ind w:left="960" w:right="260"/>
        <w:spacing w:after="0" w:line="279" w:lineRule="auto"/>
        <w:rPr>
          <w:sz w:val="20"/>
          <w:szCs w:val="20"/>
          <w:color w:val="auto"/>
        </w:rPr>
      </w:pPr>
      <w:r>
        <w:rPr>
          <w:rFonts w:ascii="Arial" w:cs="Arial" w:eastAsia="Arial" w:hAnsi="Arial"/>
          <w:sz w:val="18"/>
          <w:szCs w:val="18"/>
          <w:color w:val="auto"/>
        </w:rPr>
        <w:t>a decrease in revenue from Amgen of $1.8 million driven by additional revenue recognized through June 30, 2020 given the completion of CX-904 clinical candidate characterization phase and its progress into the IND-enabling phase earlier than planned under the Collaboration and License Agreement with Amgen (the “Amgen Agreement”);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ind w:left="960" w:right="220"/>
        <w:spacing w:after="0" w:line="293" w:lineRule="auto"/>
        <w:rPr>
          <w:sz w:val="20"/>
          <w:szCs w:val="20"/>
          <w:color w:val="auto"/>
        </w:rPr>
      </w:pPr>
      <w:r>
        <w:rPr>
          <w:rFonts w:ascii="Arial" w:cs="Arial" w:eastAsia="Arial" w:hAnsi="Arial"/>
          <w:sz w:val="18"/>
          <w:szCs w:val="18"/>
          <w:color w:val="auto"/>
        </w:rPr>
        <w:t>an increase in revenue from AbbVie of $0.8 million primarily due to a higher percentage of completion in the current quarter resulting from incremental FTE hours incurred for the CD71 program;</w:t>
      </w:r>
    </w:p>
    <w:p>
      <w:pPr>
        <w:spacing w:after="0" w:line="62" w:lineRule="exact"/>
        <w:rPr>
          <w:sz w:val="20"/>
          <w:szCs w:val="20"/>
          <w:color w:val="auto"/>
        </w:rPr>
      </w:pPr>
    </w:p>
    <w:p>
      <w:pPr>
        <w:ind w:left="960" w:right="460"/>
        <w:spacing w:after="0" w:line="324" w:lineRule="auto"/>
        <w:rPr>
          <w:sz w:val="20"/>
          <w:szCs w:val="20"/>
          <w:color w:val="auto"/>
        </w:rPr>
      </w:pPr>
      <w:r>
        <w:rPr>
          <w:rFonts w:ascii="Arial" w:cs="Arial" w:eastAsia="Arial" w:hAnsi="Arial"/>
          <w:sz w:val="17"/>
          <w:szCs w:val="17"/>
          <w:color w:val="auto"/>
        </w:rPr>
        <w:t>an increase in revenue from Astellas of $0.7 million primarily due to the increased research services during the current quarter under the Collaboration and License Agreement with Astellas (the “Astellas Agreement”) entered into in March 2020.</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revenue of $33.9 million for the six months ended June 30, 2021 compared to the corresponding period of 2020 was primarily due to:</w:t>
      </w:r>
    </w:p>
    <w:p>
      <w:pPr>
        <w:spacing w:after="0" w:line="154" w:lineRule="exact"/>
        <w:rPr>
          <w:sz w:val="20"/>
          <w:szCs w:val="20"/>
          <w:color w:val="auto"/>
        </w:rPr>
      </w:pPr>
    </w:p>
    <w:p>
      <w:pPr>
        <w:ind w:left="960" w:right="180"/>
        <w:spacing w:after="0" w:line="329" w:lineRule="auto"/>
        <w:rPr>
          <w:sz w:val="20"/>
          <w:szCs w:val="20"/>
          <w:color w:val="auto"/>
        </w:rPr>
      </w:pPr>
      <w:r>
        <w:rPr>
          <w:rFonts w:ascii="Arial" w:cs="Arial" w:eastAsia="Arial" w:hAnsi="Arial"/>
          <w:sz w:val="16"/>
          <w:szCs w:val="16"/>
          <w:color w:val="auto"/>
        </w:rPr>
        <w:t>a decrease in revenue of $28.1 million from AbbVie primarily due to the $40.0 million milestone payment earned in the first quarter of 2020 for satisfying the CD71 dose escalation success criteria milestone under the CD71 Co-Development and Licensing Agreement (the “CD71 Agreement”), of which $26.6 million was recognized reflecting the project percentage completion to date in the first quarter of 2020;</w:t>
      </w:r>
    </w:p>
    <w:p>
      <w:pPr>
        <w:spacing w:after="0" w:line="40" w:lineRule="exact"/>
        <w:rPr>
          <w:sz w:val="20"/>
          <w:szCs w:val="20"/>
          <w:color w:val="auto"/>
        </w:rPr>
      </w:pPr>
    </w:p>
    <w:p>
      <w:pPr>
        <w:ind w:left="960" w:right="40"/>
        <w:spacing w:after="0" w:line="279" w:lineRule="auto"/>
        <w:rPr>
          <w:sz w:val="20"/>
          <w:szCs w:val="20"/>
          <w:color w:val="auto"/>
        </w:rPr>
      </w:pPr>
      <w:r>
        <w:rPr>
          <w:rFonts w:ascii="Arial" w:cs="Arial" w:eastAsia="Arial" w:hAnsi="Arial"/>
          <w:sz w:val="18"/>
          <w:szCs w:val="18"/>
          <w:color w:val="auto"/>
        </w:rPr>
        <w:t>a decrease in revenue from Bristol Myers Squibb of $10.0 million due to the recognition in full of the $10.0 million milestone payment earned for achieving the dosing of first patient in the Part 2 cohort expansion of the ongoing CTLA-4 program by Bristol Myers Squibb in February 2020;</w:t>
      </w:r>
    </w:p>
    <w:p>
      <w:pPr>
        <w:spacing w:after="0" w:line="75" w:lineRule="exact"/>
        <w:rPr>
          <w:sz w:val="20"/>
          <w:szCs w:val="20"/>
          <w:color w:val="auto"/>
        </w:rPr>
      </w:pPr>
    </w:p>
    <w:p>
      <w:pPr>
        <w:ind w:left="960" w:right="120"/>
        <w:spacing w:after="0" w:line="279" w:lineRule="auto"/>
        <w:rPr>
          <w:sz w:val="20"/>
          <w:szCs w:val="20"/>
          <w:color w:val="auto"/>
        </w:rPr>
      </w:pPr>
      <w:r>
        <w:rPr>
          <w:rFonts w:ascii="Arial" w:cs="Arial" w:eastAsia="Arial" w:hAnsi="Arial"/>
          <w:sz w:val="18"/>
          <w:szCs w:val="18"/>
          <w:color w:val="auto"/>
        </w:rPr>
        <w:t>a decrease in revenue from Amgen of $0.9 million primarily due to a decrease in the projected FTE hours-to-completion and higher percentage of completion resulting from the completion of the clinical candidate characterization phase during the six months ended June 30, 2020 and moving to the IND-enabling phase earlier than planned;</w:t>
      </w:r>
    </w:p>
    <w:p>
      <w:pPr>
        <w:spacing w:after="0" w:line="75" w:lineRule="exact"/>
        <w:rPr>
          <w:sz w:val="20"/>
          <w:szCs w:val="20"/>
          <w:color w:val="auto"/>
        </w:rPr>
      </w:pPr>
    </w:p>
    <w:p>
      <w:pPr>
        <w:ind w:left="960" w:right="340"/>
        <w:spacing w:after="0" w:line="279" w:lineRule="auto"/>
        <w:rPr>
          <w:sz w:val="20"/>
          <w:szCs w:val="20"/>
          <w:color w:val="auto"/>
        </w:rPr>
      </w:pPr>
      <w:r>
        <w:rPr>
          <w:rFonts w:ascii="Arial" w:cs="Arial" w:eastAsia="Arial" w:hAnsi="Arial"/>
          <w:sz w:val="18"/>
          <w:szCs w:val="18"/>
          <w:color w:val="auto"/>
        </w:rPr>
        <w:t>an increase in revenue from Astellas of $5.1 million due to a full six-month recognition of the $80.0 million upfront payment over the estimated research service period of five years under the Astellas Agreement entered into in March 2020, as well as the increased research services during the current period.</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4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7"/>
                <w:szCs w:val="17"/>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24,066</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48,472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66,880</w:t>
            </w:r>
          </w:p>
        </w:tc>
        <w:tc>
          <w:tcPr>
            <w:tcW w:w="22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  (18,408 )</w:t>
            </w:r>
          </w:p>
        </w:tc>
      </w:tr>
    </w:tbl>
    <w:p>
      <w:pPr>
        <w:spacing w:after="0" w:line="269"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color w:val="auto"/>
        </w:rPr>
        <w:t>Research and development expenses increased $2.0 million during the three months ended June 30, 2021 compared to the corresponding period in 2020. The change was driven mainly by increases in laboratory contracts and services and laboratory supplies and equipment expenses due to timing of manufacturing and tissue sampling activities.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decreased $18.4 million during the six months ended June 30, 2021 compared to the corresponding period in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attributable to the following:</w:t>
      </w:r>
    </w:p>
    <w:p>
      <w:pPr>
        <w:spacing w:after="0" w:line="130" w:lineRule="exact"/>
        <w:rPr>
          <w:sz w:val="20"/>
          <w:szCs w:val="20"/>
          <w:color w:val="auto"/>
        </w:rPr>
      </w:pPr>
    </w:p>
    <w:p>
      <w:pPr>
        <w:ind w:left="960" w:right="360"/>
        <w:spacing w:after="0" w:line="296" w:lineRule="auto"/>
        <w:rPr>
          <w:sz w:val="20"/>
          <w:szCs w:val="20"/>
          <w:color w:val="auto"/>
        </w:rPr>
      </w:pPr>
      <w:r>
        <w:rPr>
          <w:rFonts w:ascii="Arial" w:cs="Arial" w:eastAsia="Arial" w:hAnsi="Arial"/>
          <w:sz w:val="17"/>
          <w:szCs w:val="17"/>
          <w:color w:val="auto"/>
        </w:rPr>
        <w:t>a decrease of $11.2 million in licensing expenses, of which $8.2 million related to UCSB sublicense fees incurred on payments to us from various collaboration partners upon the achievements of certain milestones as well as the upfront payment from Astellas pursuant to the Astellas Agreement; and $3.0 million to ImmunoGen pursuant to the CX-2009 License as we initiated the first dosing of a patient in the praluzatamab ravtansine (CX-2009) Phase 2 clinical trial in February 2020;</w:t>
      </w:r>
    </w:p>
    <w:p>
      <w:pPr>
        <w:spacing w:after="0" w:line="62" w:lineRule="exact"/>
        <w:rPr>
          <w:sz w:val="20"/>
          <w:szCs w:val="20"/>
          <w:color w:val="auto"/>
        </w:rPr>
      </w:pPr>
    </w:p>
    <w:p>
      <w:pPr>
        <w:ind w:left="960" w:right="640"/>
        <w:spacing w:after="0" w:line="293" w:lineRule="auto"/>
        <w:rPr>
          <w:sz w:val="20"/>
          <w:szCs w:val="20"/>
          <w:color w:val="auto"/>
        </w:rPr>
      </w:pPr>
      <w:r>
        <w:rPr>
          <w:rFonts w:ascii="Arial" w:cs="Arial" w:eastAsia="Arial" w:hAnsi="Arial"/>
          <w:sz w:val="18"/>
          <w:szCs w:val="18"/>
          <w:color w:val="auto"/>
        </w:rPr>
        <w:t>a decrease of $7.5 million in laboratory contracts and services due to timing of manufacturing activities as well as clinical trial related expenses.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4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7"/>
                <w:szCs w:val="17"/>
                <w:color w:val="auto"/>
              </w:rPr>
            </w:pPr>
          </w:p>
        </w:tc>
      </w:tr>
      <w:tr>
        <w:trPr>
          <w:trHeight w:val="244"/>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w w:val="99"/>
              </w:rPr>
              <w:t>External costs incurred by product candidate (target):</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2"/>
        </w:trPr>
        <w:tc>
          <w:tcPr>
            <w:tcW w:w="4640" w:type="dxa"/>
            <w:vAlign w:val="bottom"/>
          </w:tcPr>
          <w:p>
            <w:pPr>
              <w:ind w:left="20"/>
              <w:spacing w:after="0"/>
              <w:rPr>
                <w:sz w:val="20"/>
                <w:szCs w:val="20"/>
                <w:color w:val="auto"/>
              </w:rPr>
            </w:pPr>
            <w:r>
              <w:rPr>
                <w:rFonts w:ascii="Arial" w:cs="Arial" w:eastAsia="Arial" w:hAnsi="Arial"/>
                <w:sz w:val="18"/>
                <w:szCs w:val="18"/>
                <w:color w:val="auto"/>
              </w:rPr>
              <w:t>CX-072 (PD-L1)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1,715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2,386</w:t>
            </w:r>
          </w:p>
        </w:tc>
        <w:tc>
          <w:tcPr>
            <w:tcW w:w="2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(671 )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9,948</w:t>
            </w:r>
          </w:p>
        </w:tc>
        <w:tc>
          <w:tcPr>
            <w:tcW w:w="2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(8,434 )</w:t>
            </w:r>
          </w:p>
        </w:tc>
      </w:tr>
      <w:tr>
        <w:trPr>
          <w:trHeight w:val="26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CX-2009 (CD166)</w:t>
            </w: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(760 )</w:t>
            </w: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5,845</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9,892</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(4,047 )</w:t>
            </w:r>
          </w:p>
        </w:tc>
      </w:tr>
      <w:tr>
        <w:trPr>
          <w:trHeight w:val="250"/>
        </w:trPr>
        <w:tc>
          <w:tcPr>
            <w:tcW w:w="4640" w:type="dxa"/>
            <w:vAlign w:val="bottom"/>
          </w:tcPr>
          <w:p>
            <w:pPr>
              <w:ind w:left="20"/>
              <w:spacing w:after="0"/>
              <w:rPr>
                <w:sz w:val="20"/>
                <w:szCs w:val="20"/>
                <w:color w:val="auto"/>
              </w:rPr>
            </w:pPr>
            <w:r>
              <w:rPr>
                <w:rFonts w:ascii="Arial" w:cs="Arial" w:eastAsia="Arial" w:hAnsi="Arial"/>
                <w:sz w:val="18"/>
                <w:szCs w:val="18"/>
                <w:color w:val="auto"/>
              </w:rPr>
              <w:t>CX-2029 (CD71)</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wholly owned and partnered programs</w:t>
            </w: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5,210</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11,158</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(5,948 )</w:t>
            </w:r>
          </w:p>
        </w:tc>
      </w:tr>
      <w:tr>
        <w:trPr>
          <w:trHeight w:val="250"/>
        </w:trPr>
        <w:tc>
          <w:tcPr>
            <w:tcW w:w="4640" w:type="dxa"/>
            <w:vAlign w:val="bottom"/>
          </w:tcPr>
          <w:p>
            <w:pPr>
              <w:ind w:left="20"/>
              <w:spacing w:after="0"/>
              <w:rPr>
                <w:sz w:val="20"/>
                <w:szCs w:val="20"/>
                <w:color w:val="auto"/>
              </w:rPr>
            </w:pPr>
            <w:r>
              <w:rPr>
                <w:rFonts w:ascii="Arial" w:cs="Arial" w:eastAsia="Arial" w:hAnsi="Arial"/>
                <w:sz w:val="18"/>
                <w:szCs w:val="18"/>
                <w:color w:val="auto"/>
              </w:rPr>
              <w:t>General research and development expenses</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r>
      <w:tr>
        <w:trPr>
          <w:trHeight w:val="257"/>
        </w:trPr>
        <w:tc>
          <w:tcPr>
            <w:tcW w:w="46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14,620</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11,954</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24,565</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(17,075 )</w:t>
            </w:r>
          </w:p>
        </w:tc>
      </w:tr>
      <w:tr>
        <w:trPr>
          <w:trHeight w:val="257"/>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Internal Costs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11,480</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12,112</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(632 )</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23,907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25,240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(1,333 )</w:t>
            </w:r>
          </w:p>
        </w:tc>
      </w:tr>
      <w:tr>
        <w:trPr>
          <w:trHeight w:val="20"/>
        </w:trPr>
        <w:tc>
          <w:tcPr>
            <w:tcW w:w="4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64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Total research and development expenses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26,100</w:t>
            </w:r>
          </w:p>
        </w:tc>
        <w:tc>
          <w:tcPr>
            <w:tcW w:w="24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24,066</w:t>
            </w:r>
          </w:p>
        </w:tc>
        <w:tc>
          <w:tcPr>
            <w:tcW w:w="24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20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48,472</w:t>
            </w:r>
          </w:p>
        </w:tc>
        <w:tc>
          <w:tcPr>
            <w:tcW w:w="20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66,880</w:t>
            </w:r>
          </w:p>
        </w:tc>
        <w:tc>
          <w:tcPr>
            <w:tcW w:w="24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(18,408 )</w:t>
            </w: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-24765</wp:posOffset>
            </wp:positionV>
            <wp:extent cx="1543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1543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1625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1625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1289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1289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1454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1454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increase in research and development expenses for the three months ended June 30, 2021 compared to the corresponding period of 2020 was attributable to the following changes by project:</w:t>
      </w:r>
    </w:p>
    <w:p>
      <w:pPr>
        <w:spacing w:after="0" w:line="62" w:lineRule="exact"/>
        <w:rPr>
          <w:sz w:val="20"/>
          <w:szCs w:val="20"/>
          <w:color w:val="auto"/>
        </w:rPr>
      </w:pPr>
    </w:p>
    <w:p>
      <w:pPr>
        <w:ind w:left="960" w:right="80"/>
        <w:spacing w:after="0" w:line="277" w:lineRule="auto"/>
        <w:rPr>
          <w:sz w:val="20"/>
          <w:szCs w:val="20"/>
          <w:color w:val="auto"/>
        </w:rPr>
      </w:pPr>
      <w:r>
        <w:rPr>
          <w:rFonts w:ascii="Arial" w:cs="Arial" w:eastAsia="Arial" w:hAnsi="Arial"/>
          <w:sz w:val="18"/>
          <w:szCs w:val="18"/>
          <w:color w:val="auto"/>
        </w:rPr>
        <w:t>The increase in CX-2029 expenses was primarily due to increases in clinical trial expenses and laboratory contract services resulting from the timing of manufacturing and other research activities.</w:t>
      </w:r>
    </w:p>
    <w:p>
      <w:pPr>
        <w:spacing w:after="0" w:line="62"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The increase in “Other wholly owned and partnered programs” was primarily due to increases in clinical trial expenses and laboratory contract services resulting from the timing of manufacturing as wells as other research activities in the EpCAM study.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decrease in research and development expenses for the six months ended June 30, 2021 compared to the corresponding period of 2020 was attributable to the following changes by project:</w:t>
      </w:r>
    </w:p>
    <w:p>
      <w:pPr>
        <w:spacing w:after="0" w:line="62" w:lineRule="exact"/>
        <w:rPr>
          <w:sz w:val="20"/>
          <w:szCs w:val="20"/>
          <w:color w:val="auto"/>
        </w:rPr>
      </w:pPr>
    </w:p>
    <w:p>
      <w:pPr>
        <w:ind w:left="960" w:right="60"/>
        <w:spacing w:after="0" w:line="286" w:lineRule="auto"/>
        <w:rPr>
          <w:sz w:val="20"/>
          <w:szCs w:val="20"/>
          <w:color w:val="auto"/>
        </w:rPr>
      </w:pPr>
      <w:r>
        <w:rPr>
          <w:rFonts w:ascii="Arial" w:cs="Arial" w:eastAsia="Arial" w:hAnsi="Arial"/>
          <w:sz w:val="17"/>
          <w:szCs w:val="17"/>
          <w:color w:val="auto"/>
        </w:rPr>
        <w:t>The decrease in CX-072 expenses was primarily due to a $5.2 million decrease in clinical trial related expenses and $2.7 million decrease in laboratory contract services as a result of the timing of manufacturing and other research activities in the CX-072 study and the termination of the CX-072-002 study to evaluate the anti-PD-L1 Probody CX-072 in combination with ipilimumab in melanoma.</w:t>
      </w:r>
    </w:p>
    <w:p>
      <w:pPr>
        <w:spacing w:after="0" w:line="57" w:lineRule="exact"/>
        <w:rPr>
          <w:sz w:val="20"/>
          <w:szCs w:val="20"/>
          <w:color w:val="auto"/>
        </w:rPr>
      </w:pPr>
    </w:p>
    <w:p>
      <w:pPr>
        <w:ind w:left="960" w:right="40"/>
        <w:spacing w:after="0" w:line="263" w:lineRule="auto"/>
        <w:rPr>
          <w:sz w:val="20"/>
          <w:szCs w:val="20"/>
          <w:color w:val="auto"/>
        </w:rPr>
      </w:pPr>
      <w:r>
        <w:rPr>
          <w:rFonts w:ascii="Arial" w:cs="Arial" w:eastAsia="Arial" w:hAnsi="Arial"/>
          <w:sz w:val="18"/>
          <w:szCs w:val="18"/>
          <w:color w:val="auto"/>
        </w:rPr>
        <w:t>The decrease in CX-2009 expenses was primarily due to a $3.0 million licensing payment to ImmunoGen incurred in the first quarter of 2020, a $1.8 million decrease in laboratory contract services in current period resulting from the timing of manufacturing and other research activities, partially offset by $0.5 million increase in clinical trial expenses.</w:t>
      </w:r>
    </w:p>
    <w:p>
      <w:pPr>
        <w:spacing w:after="0" w:line="76" w:lineRule="exact"/>
        <w:rPr>
          <w:sz w:val="20"/>
          <w:szCs w:val="20"/>
          <w:color w:val="auto"/>
        </w:rPr>
      </w:pPr>
    </w:p>
    <w:p>
      <w:pPr>
        <w:ind w:left="960" w:right="180"/>
        <w:spacing w:after="0" w:line="277" w:lineRule="auto"/>
        <w:rPr>
          <w:sz w:val="20"/>
          <w:szCs w:val="20"/>
          <w:color w:val="auto"/>
        </w:rPr>
      </w:pPr>
      <w:r>
        <w:rPr>
          <w:rFonts w:ascii="Arial" w:cs="Arial" w:eastAsia="Arial" w:hAnsi="Arial"/>
          <w:sz w:val="18"/>
          <w:szCs w:val="18"/>
          <w:color w:val="auto"/>
        </w:rPr>
        <w:t>The decrease in “Other wholly owned and partnered programs” was primarily due to a $6.0 million sublicense fee payment to UCSB related to the $80.0 million upfront payment under the Astellas Agreement during the first quarter of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4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7"/>
                <w:szCs w:val="17"/>
                <w:color w:val="auto"/>
              </w:rPr>
            </w:pPr>
          </w:p>
        </w:tc>
      </w:tr>
      <w:tr>
        <w:trPr>
          <w:trHeight w:val="196"/>
        </w:trPr>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8,680</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18,619</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18,252</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22"/>
                <w:szCs w:val="22"/>
                <w:color w:val="auto"/>
              </w:rPr>
            </w:pPr>
          </w:p>
        </w:tc>
      </w:tr>
    </w:tbl>
    <w:p>
      <w:pPr>
        <w:spacing w:after="0" w:line="269"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General and administrative expenses were essentially flat during the three and six months ended June 30, 2021 compared to the corresponding periods in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46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66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r>
      <w:tr>
        <w:trPr>
          <w:trHeight w:val="196"/>
        </w:trPr>
        <w:tc>
          <w:tcPr>
            <w:tcW w:w="4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(410 )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(1,418 )</w:t>
            </w:r>
          </w:p>
        </w:tc>
      </w:tr>
      <w:tr>
        <w:trPr>
          <w:trHeight w:val="250"/>
        </w:trPr>
        <w:tc>
          <w:tcPr>
            <w:tcW w:w="466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620" w:type="dxa"/>
            <w:vAlign w:val="bottom"/>
          </w:tcPr>
          <w:p>
            <w:pPr>
              <w:spacing w:after="0"/>
              <w:rPr>
                <w:sz w:val="21"/>
                <w:szCs w:val="21"/>
                <w:color w:val="auto"/>
              </w:rPr>
            </w:pPr>
          </w:p>
        </w:tc>
        <w:tc>
          <w:tcPr>
            <w:tcW w:w="540" w:type="dxa"/>
            <w:vAlign w:val="bottom"/>
            <w:gridSpan w:val="2"/>
          </w:tcPr>
          <w:p>
            <w:pPr>
              <w:jc w:val="right"/>
              <w:ind w:right="108"/>
              <w:spacing w:after="0"/>
              <w:rPr>
                <w:sz w:val="20"/>
                <w:szCs w:val="20"/>
                <w:color w:val="auto"/>
              </w:rPr>
            </w:pPr>
            <w:r>
              <w:rPr>
                <w:rFonts w:ascii="Arial" w:cs="Arial" w:eastAsia="Arial" w:hAnsi="Arial"/>
                <w:sz w:val="18"/>
                <w:szCs w:val="18"/>
                <w:color w:val="auto"/>
                <w:w w:val="91"/>
              </w:rPr>
              <w:t>(82 )</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(87 )</w:t>
            </w: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(93 )</w:t>
            </w:r>
          </w:p>
        </w:tc>
      </w:tr>
      <w:tr>
        <w:trPr>
          <w:trHeight w:val="20"/>
        </w:trPr>
        <w:tc>
          <w:tcPr>
            <w:tcW w:w="4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interest and other income</w:t>
            </w:r>
          </w:p>
        </w:tc>
        <w:tc>
          <w:tcPr>
            <w:tcW w:w="62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w w:val="91"/>
              </w:rPr>
              <w:t>(38 )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4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(497 )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23"/>
                <w:szCs w:val="23"/>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(1,511 )</w:t>
            </w: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46"/>
        </w:trPr>
        <w:tc>
          <w:tcPr>
            <w:tcW w:w="4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-402590</wp:posOffset>
            </wp:positionV>
            <wp:extent cx="15430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-385445</wp:posOffset>
            </wp:positionV>
            <wp:extent cx="1543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-402590</wp:posOffset>
            </wp:positionV>
            <wp:extent cx="1543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-385445</wp:posOffset>
            </wp:positionV>
            <wp:extent cx="1543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-402590</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-385445</wp:posOffset>
            </wp:positionV>
            <wp:extent cx="137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-402590</wp:posOffset>
            </wp:positionV>
            <wp:extent cx="1371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-385445</wp:posOffset>
            </wp:positionV>
            <wp:extent cx="137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-402590</wp:posOffset>
            </wp:positionV>
            <wp:extent cx="137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-385445</wp:posOffset>
            </wp:positionV>
            <wp:extent cx="1371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Interest Income</w:t>
      </w:r>
    </w:p>
    <w:p>
      <w:pPr>
        <w:spacing w:after="0" w:line="131" w:lineRule="exact"/>
        <w:rPr>
          <w:sz w:val="20"/>
          <w:szCs w:val="20"/>
          <w:color w:val="auto"/>
        </w:rPr>
      </w:pPr>
    </w:p>
    <w:p>
      <w:pPr>
        <w:ind w:right="940"/>
        <w:spacing w:after="0" w:line="293" w:lineRule="auto"/>
        <w:rPr>
          <w:sz w:val="20"/>
          <w:szCs w:val="20"/>
          <w:color w:val="auto"/>
        </w:rPr>
      </w:pPr>
      <w:r>
        <w:rPr>
          <w:rFonts w:ascii="Arial" w:cs="Arial" w:eastAsia="Arial" w:hAnsi="Arial"/>
          <w:sz w:val="18"/>
          <w:szCs w:val="18"/>
          <w:color w:val="auto"/>
        </w:rPr>
        <w:t>Interest income decreased by $0.4 million and $1.4 million, respectively, during the three and six months ended June 30, 2021 compared to the corresponding periods in 2020, primarily driven by lower interest rates in 2021.</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58"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color w:val="auto"/>
        </w:rPr>
        <w:t>There was no income tax expense for the three months ended June 30, 2021 and 2020, respectively, as we were in a taxable loss position and we had minimal changes in our unrealized gain on available for sale debt securities.</w:t>
      </w:r>
    </w:p>
    <w:p>
      <w:pPr>
        <w:spacing w:after="0" w:line="224"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Income tax benefit decreased by $13.9 million during the six months ended June 30, 2021, compared to the corresponding period in 2020. The income tax benefit of $13.9 million for the six months ended June 30, 2020 was generated due to the recognition of net operating loss carrybacks under the CARES Act, which generated a refund of taxes paid for 2018.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Expenditures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As of June 30, 2021, we had cash, cash equivalents and investments of $366.1 million and an accumulated deficit of $484.9 million, compared to cash, cash equivalents and investments of $316.1 million and an accumulated deficit of $450.1 million as of December 31, 2020. To date, we have financed our operations primarily through sales of our common stock in conjunction with the IPO and subsequent stock offerings and through our at-the-market offering, sales of our convertible preferred securities prior to our IPO and payments received under our collaboration agreements.</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Based upon our current operating plan, we expect our existing capital resources will be sufficient to fund operations for a period of at least twelve months from the date the financial statements included in this report are issued.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products, including praluzatamab ravtansine (CX-2009), and CX-2029, and pacmilimab (CX-072) are highly uncertain, are subject to substantial risks and many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that, in the event that they are successful, the terms and conditions of such financing will be favorable to us.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Statement of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6"/>
                <w:szCs w:val="16"/>
                <w:color w:val="auto"/>
              </w:rPr>
            </w:pPr>
          </w:p>
        </w:tc>
      </w:tr>
      <w:tr>
        <w:trPr>
          <w:trHeight w:val="208"/>
        </w:trPr>
        <w:tc>
          <w:tcPr>
            <w:tcW w:w="5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5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196"/>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89"/>
              </w:rPr>
              <w:t>(in thousands)</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2"/>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(58,139 )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47,364</w:t>
            </w:r>
          </w:p>
        </w:tc>
        <w:tc>
          <w:tcPr>
            <w:tcW w:w="80" w:type="dxa"/>
            <w:vAlign w:val="bottom"/>
            <w:shd w:val="clear" w:color="auto" w:fill="CFF0FC"/>
          </w:tcPr>
          <w:p>
            <w:pPr>
              <w:spacing w:after="0"/>
              <w:rPr>
                <w:sz w:val="22"/>
                <w:szCs w:val="22"/>
                <w:color w:val="auto"/>
              </w:rPr>
            </w:pPr>
          </w:p>
        </w:tc>
      </w:tr>
      <w:tr>
        <w:trPr>
          <w:trHeight w:val="250"/>
        </w:trPr>
        <w:tc>
          <w:tcPr>
            <w:tcW w:w="536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51,894</w:t>
            </w:r>
          </w:p>
        </w:tc>
        <w:tc>
          <w:tcPr>
            <w:tcW w:w="80" w:type="dxa"/>
            <w:vAlign w:val="bottom"/>
          </w:tcPr>
          <w:p>
            <w:pPr>
              <w:spacing w:after="0"/>
              <w:rPr>
                <w:sz w:val="21"/>
                <w:szCs w:val="21"/>
                <w:color w:val="auto"/>
              </w:rPr>
            </w:pPr>
          </w:p>
        </w:tc>
      </w:tr>
      <w:tr>
        <w:trPr>
          <w:trHeight w:val="257"/>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109,426</w:t>
            </w:r>
          </w:p>
        </w:tc>
        <w:tc>
          <w:tcPr>
            <w:tcW w:w="2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3,705</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3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64,287</w:t>
            </w:r>
          </w:p>
        </w:tc>
        <w:tc>
          <w:tcPr>
            <w:tcW w:w="2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102,963</w:t>
            </w:r>
          </w:p>
        </w:tc>
        <w:tc>
          <w:tcPr>
            <w:tcW w:w="80" w:type="dxa"/>
            <w:vAlign w:val="bottom"/>
          </w:tcPr>
          <w:p>
            <w:pPr>
              <w:spacing w:after="0"/>
              <w:rPr>
                <w:sz w:val="21"/>
                <w:szCs w:val="2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-193675</wp:posOffset>
            </wp:positionV>
            <wp:extent cx="13716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-193675</wp:posOffset>
            </wp:positionV>
            <wp:extent cx="5143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3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During the six months ended June 30, 2021, cash used in operating activities was $58.1 million, which consisted of a net loss of $34.8 million and a net decrease of $33.0 million relating to the change of our net operating assets and liabilities, offset by non-cash charges of $9.7 million. The non-cash charges primarily consisted of $6.5 million in stock-based compensation, $1.5 million in non-cash lease expense, $1.4 million in depreciation and amortization and $0.3 million in amortization of premium on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ind w:left="960"/>
        <w:spacing w:after="0"/>
        <w:rPr>
          <w:sz w:val="20"/>
          <w:szCs w:val="20"/>
          <w:color w:val="auto"/>
        </w:rPr>
      </w:pPr>
      <w:r>
        <w:rPr>
          <w:rFonts w:ascii="Arial" w:cs="Arial" w:eastAsia="Arial" w:hAnsi="Arial"/>
          <w:sz w:val="16"/>
          <w:szCs w:val="16"/>
          <w:color w:val="auto"/>
        </w:rPr>
        <w:t>a net decrease of $30.6 million in deferred revenue resulting from the continued recognition of deferred revenue from existing customers;</w:t>
      </w:r>
    </w:p>
    <w:p>
      <w:pPr>
        <w:spacing w:after="0" w:line="140" w:lineRule="exact"/>
        <w:rPr>
          <w:sz w:val="20"/>
          <w:szCs w:val="20"/>
          <w:color w:val="auto"/>
        </w:rPr>
      </w:pPr>
    </w:p>
    <w:p>
      <w:pPr>
        <w:ind w:left="960" w:right="200"/>
        <w:spacing w:after="0" w:line="277" w:lineRule="auto"/>
        <w:rPr>
          <w:sz w:val="20"/>
          <w:szCs w:val="20"/>
          <w:color w:val="auto"/>
        </w:rPr>
      </w:pPr>
      <w:r>
        <w:rPr>
          <w:rFonts w:ascii="Arial" w:cs="Arial" w:eastAsia="Arial" w:hAnsi="Arial"/>
          <w:sz w:val="18"/>
          <w:szCs w:val="18"/>
          <w:color w:val="auto"/>
        </w:rPr>
        <w:t>a decrease of $6.7 million in accounts payable, accrued and other long-term liabilities primarily due to timing of payment and a reduction in research and clinical expenses;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 increase of $4.4 million in cash flows from other assets, prepaid and other current assets.</w:t>
      </w:r>
    </w:p>
    <w:p>
      <w:pPr>
        <w:spacing w:after="0" w:line="239"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During the six months ended June 30, 2020, cash provided by operating activities was $47.4 million, which consisted of a net loss of $3.5 million adjusted by non-cash charges of $9.9 million and a net increase of $41.0 million relating to the change of our net operating assets and liabilities. The non-cash charges primarily consisted of $7.5 million in stock-based compensation, $1.4 million in non-cash lease expense and $1.3 million in depreciation and amortization, which amounts were partially offset by $0.3 million in accretion of discounts on our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17" w:lineRule="exact"/>
        <w:rPr>
          <w:sz w:val="20"/>
          <w:szCs w:val="20"/>
          <w:color w:val="auto"/>
        </w:rPr>
      </w:pPr>
    </w:p>
    <w:p>
      <w:pPr>
        <w:ind w:left="960" w:right="20"/>
        <w:spacing w:after="0" w:line="259" w:lineRule="auto"/>
        <w:rPr>
          <w:sz w:val="20"/>
          <w:szCs w:val="20"/>
          <w:color w:val="auto"/>
        </w:rPr>
      </w:pPr>
      <w:r>
        <w:rPr>
          <w:rFonts w:ascii="Arial" w:cs="Arial" w:eastAsia="Arial" w:hAnsi="Arial"/>
          <w:sz w:val="18"/>
          <w:szCs w:val="18"/>
          <w:color w:val="auto"/>
        </w:rPr>
        <w:t>a net increase of $64.0 million in deferred revenue resulting primarily from the $80.0 million upfront payment due from Astellas as well as the $40.0 million milestone payment due from AbbVie, partially offset by the continued recognition of deferred revenue from existing and new customers, including the $26.6 million revenue recognized from the $40.0 million milestone payment earned in the first quarter of 2020, which reflected the percentage completed to-date on the project;</w:t>
      </w:r>
    </w:p>
    <w:p>
      <w:pPr>
        <w:spacing w:after="0" w:line="7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 increase of $1.2 million in cash flows from other assets and accounts payable;</w:t>
      </w:r>
    </w:p>
    <w:p>
      <w:pPr>
        <w:spacing w:after="0" w:line="131" w:lineRule="exact"/>
        <w:rPr>
          <w:sz w:val="20"/>
          <w:szCs w:val="20"/>
          <w:color w:val="auto"/>
        </w:rPr>
      </w:pPr>
    </w:p>
    <w:p>
      <w:pPr>
        <w:ind w:left="960"/>
        <w:spacing w:after="0" w:line="324" w:lineRule="auto"/>
        <w:rPr>
          <w:sz w:val="20"/>
          <w:szCs w:val="20"/>
          <w:color w:val="auto"/>
        </w:rPr>
      </w:pPr>
      <w:r>
        <w:rPr>
          <w:rFonts w:ascii="Arial" w:cs="Arial" w:eastAsia="Arial" w:hAnsi="Arial"/>
          <w:sz w:val="17"/>
          <w:szCs w:val="17"/>
          <w:color w:val="auto"/>
        </w:rPr>
        <w:t>a decrease of $12.8 million in cash flows from prepaid expenses and other current assets which included a $13.1 million income tax receivable resulting from a carryback of net operating loss incurred in 2019 to the preceding years as permitted by the CARES Act;</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decrease of $11.3 million in accrued liabilities primarily due to payment of $7.5 million for the ImmunoGen 2019 License; and</w:t>
      </w:r>
    </w:p>
    <w:p>
      <w:pPr>
        <w:spacing w:after="0" w:line="117" w:lineRule="exact"/>
        <w:rPr>
          <w:sz w:val="20"/>
          <w:szCs w:val="20"/>
          <w:color w:val="auto"/>
        </w:rPr>
      </w:pPr>
    </w:p>
    <w:p>
      <w:pPr>
        <w:ind w:left="960" w:right="60"/>
        <w:spacing w:after="0" w:line="277" w:lineRule="auto"/>
        <w:rPr>
          <w:sz w:val="20"/>
          <w:szCs w:val="20"/>
          <w:color w:val="auto"/>
        </w:rPr>
      </w:pPr>
      <w:r>
        <w:rPr>
          <w:rFonts w:ascii="Arial" w:cs="Arial" w:eastAsia="Arial" w:hAnsi="Arial"/>
          <w:sz w:val="18"/>
          <w:szCs w:val="18"/>
          <w:color w:val="auto"/>
        </w:rPr>
        <w:t>a decrease in cash flow of $0.2 million from accounts receivable primarily related to research and development service fees due from Astellas pursuant to the Astellas Agreement.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During the six months ended June 30, 2021, cash provided by investing activities was $13.0 million, which consisted of $114.0 million in proceeds received upon the maturity of short-term marketable securities, partially offset by $99.9 million used in the purchase of long-term investments and $1.1 million of capital expenditures used to purchase property and equipment.</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six months ended June 30, 2020, cash provided by investing activities was $51.9 million, which consisted of $97.7 million in proceeds received upon the maturity of marketable securities, partially offset by $44.7 million used in the purchase of short-term investments and $1.1 million of capital expenditures used to purchase property and equipment.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During the six months ended June 30, 2021, cash provided by financing activities consisted of $107.7 million of net proceeds from the follow-on public offering and $1.7 million of proceeds from the exercise of stock options and employee stock purchases under the employee stock purchase plan.</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six months ended June 30, 2020, cash provided by financing activities primarily consisted of proceeds from the exercise of stock options and employee stock purchases under the employee stock purchase plan.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and six months ended June 30, 2021, there were no material changes in contractual obligations from the amounts disclosed in our Annual Report on Form 10-K for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one primary business activity and operate as one reportable segment.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3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 We had cash, cash equivalents and investments of $366.1 million as of June 30, 2021 and cash, cash equivalents and investments of $316.1 million as of December 31, 2020, which consists of bank deposits, money market funds and U.S. government bonds. Such interest-bearing instruments carry a degree of interest rate risk; however, historical fluctuations of interest income have not been significant.</w:t>
      </w:r>
    </w:p>
    <w:p>
      <w:pPr>
        <w:spacing w:after="0" w:line="19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June 30, 2021, a hypothetical 100 basis point change in interest rates would not have material effect in the fair value of the portfolio.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2"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 xml:space="preserve">Our management, with the participation of our Chief Executive Officer and Chief Financial Officer, has evaluated the effectiveness of our disclosure controls and procedures as of June 30, 2021, the end of the period covered by this Quarterly Report on Form 10-Q. Management’s assessment of internal control over financial reporting was conducted using the criteria defined in the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Based upon such evaluation, our Chief Executive Officer and Chief Financial Officer have concluded that our disclosure controls and procedures were effective at the reasonable assurance level as of such date.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31"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three months ended June 30, 2021 that has materially affected, or is reasonably likely to materially affect, our internal control over financial reporting.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29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On March 4, 2020, Vytacera Bio, LLC filed a patent infringement lawsuit against us in the U.S. District Court for the District of Delaware. The lawsuit alleges that our use, offers to sell, and/or sales of the Probody® technology platform for basic research applications constitutes infringement. The complaint seeks unspecified monetary damages. We filed an Answer, Affirmative Defenses, and Counterclaims on May 26, 2020. Vytacera Bio, LLC filed its Answer to CytomX Therapeutics Inc.’s Counterclaims on June 5, 2020. The parties have agreed to a case schedule. Discovery is ongoing.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35"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spacing w:after="0" w:line="62" w:lineRule="exact"/>
        <w:rPr>
          <w:sz w:val="20"/>
          <w:szCs w:val="20"/>
          <w:color w:val="auto"/>
        </w:rPr>
      </w:pPr>
    </w:p>
    <w:p>
      <w:pPr>
        <w:ind w:left="960" w:right="500"/>
        <w:spacing w:after="0" w:line="293" w:lineRule="auto"/>
        <w:rPr>
          <w:sz w:val="20"/>
          <w:szCs w:val="20"/>
          <w:color w:val="auto"/>
        </w:rPr>
      </w:pPr>
      <w:r>
        <w:rPr>
          <w:rFonts w:ascii="Arial" w:cs="Arial" w:eastAsia="Arial" w:hAnsi="Arial"/>
          <w:sz w:val="18"/>
          <w:szCs w:val="18"/>
          <w:color w:val="auto"/>
        </w:rPr>
        <w:t>The COVID-19 pandemic or any future pandemic could adversely impact our business, including our research, clinical trials, including clinical trial site initiation and patient enrollment, and financial condition.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We are a clinical-stage biopharmaceutical company with a limited operating history and have not generated any revenue from product sales.</w:t>
      </w:r>
    </w:p>
    <w:p>
      <w:pPr>
        <w:spacing w:after="0" w:line="154" w:lineRule="exact"/>
        <w:rPr>
          <w:sz w:val="20"/>
          <w:szCs w:val="20"/>
          <w:color w:val="auto"/>
        </w:rPr>
      </w:pPr>
    </w:p>
    <w:p>
      <w:pPr>
        <w:ind w:left="960" w:right="160"/>
        <w:spacing w:after="0" w:line="293" w:lineRule="auto"/>
        <w:rPr>
          <w:sz w:val="20"/>
          <w:szCs w:val="20"/>
          <w:color w:val="auto"/>
        </w:rPr>
      </w:pPr>
      <w:r>
        <w:rPr>
          <w:rFonts w:ascii="Arial" w:cs="Arial" w:eastAsia="Arial" w:hAnsi="Arial"/>
          <w:sz w:val="18"/>
          <w:szCs w:val="18"/>
          <w:color w:val="auto"/>
        </w:rPr>
        <w:t>We expect that we will need to raise substantial additional funds to advance development of our product candidates and we cannot guarantee that this additional funding will be available on acceptable terms or at all.</w:t>
      </w:r>
    </w:p>
    <w:p>
      <w:pPr>
        <w:spacing w:after="0" w:line="62"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Clinical development involves a lengthy and expensive process with an uncertain outcome, and results of earlier studies and trials may not be predictive of future trial results.</w:t>
      </w:r>
    </w:p>
    <w:p>
      <w:pPr>
        <w:spacing w:after="0" w:line="62" w:lineRule="exact"/>
        <w:rPr>
          <w:sz w:val="20"/>
          <w:szCs w:val="20"/>
          <w:color w:val="auto"/>
        </w:rPr>
      </w:pPr>
    </w:p>
    <w:p>
      <w:pPr>
        <w:ind w:left="960" w:right="140"/>
        <w:spacing w:after="0" w:line="293" w:lineRule="auto"/>
        <w:rPr>
          <w:sz w:val="20"/>
          <w:szCs w:val="20"/>
          <w:color w:val="auto"/>
        </w:rPr>
      </w:pPr>
      <w:r>
        <w:rPr>
          <w:rFonts w:ascii="Arial" w:cs="Arial" w:eastAsia="Arial" w:hAnsi="Arial"/>
          <w:sz w:val="18"/>
          <w:szCs w:val="18"/>
          <w:color w:val="auto"/>
        </w:rPr>
        <w:t>Our product candidates are in early stages of development and may fail or suffer delays that materially and adversely affect their commercial viability.</w:t>
      </w:r>
    </w:p>
    <w:p>
      <w:pPr>
        <w:spacing w:after="0" w:line="62" w:lineRule="exact"/>
        <w:rPr>
          <w:sz w:val="20"/>
          <w:szCs w:val="20"/>
          <w:color w:val="auto"/>
        </w:rPr>
      </w:pPr>
    </w:p>
    <w:p>
      <w:pPr>
        <w:ind w:left="960" w:right="260"/>
        <w:spacing w:after="0" w:line="359" w:lineRule="auto"/>
        <w:rPr>
          <w:sz w:val="20"/>
          <w:szCs w:val="20"/>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 w:lineRule="exact"/>
        <w:rPr>
          <w:sz w:val="20"/>
          <w:szCs w:val="20"/>
          <w:color w:val="auto"/>
        </w:rPr>
      </w:pPr>
    </w:p>
    <w:p>
      <w:pPr>
        <w:ind w:left="960" w:right="40"/>
        <w:spacing w:after="0" w:line="279" w:lineRule="auto"/>
        <w:rPr>
          <w:sz w:val="20"/>
          <w:szCs w:val="20"/>
          <w:color w:val="auto"/>
        </w:rPr>
      </w:pPr>
      <w:r>
        <w:rPr>
          <w:rFonts w:ascii="Arial" w:cs="Arial" w:eastAsia="Arial" w:hAnsi="Arial"/>
          <w:sz w:val="18"/>
          <w:szCs w:val="18"/>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5" w:lineRule="exact"/>
        <w:rPr>
          <w:sz w:val="20"/>
          <w:szCs w:val="20"/>
          <w:color w:val="auto"/>
        </w:rPr>
      </w:pPr>
    </w:p>
    <w:p>
      <w:pPr>
        <w:ind w:left="960" w:right="340"/>
        <w:spacing w:after="0" w:line="293" w:lineRule="auto"/>
        <w:rPr>
          <w:sz w:val="20"/>
          <w:szCs w:val="20"/>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left="960" w:right="220"/>
        <w:spacing w:after="0" w:line="293" w:lineRule="auto"/>
        <w:rPr>
          <w:sz w:val="20"/>
          <w:szCs w:val="20"/>
          <w:color w:val="auto"/>
        </w:rPr>
      </w:pPr>
      <w:r>
        <w:rPr>
          <w:rFonts w:ascii="Arial" w:cs="Arial" w:eastAsia="Arial" w:hAnsi="Arial"/>
          <w:sz w:val="18"/>
          <w:szCs w:val="18"/>
          <w:color w:val="auto"/>
        </w:rPr>
        <w:t>Our approach to the discovery and development of our therapeutic treatments is based on novel technologies that are unproven and may not result in marketable products.</w:t>
      </w:r>
    </w:p>
    <w:p>
      <w:pPr>
        <w:spacing w:after="0" w:line="62" w:lineRule="exact"/>
        <w:rPr>
          <w:sz w:val="20"/>
          <w:szCs w:val="20"/>
          <w:color w:val="auto"/>
        </w:rPr>
      </w:pPr>
    </w:p>
    <w:p>
      <w:pPr>
        <w:ind w:left="960" w:right="600"/>
        <w:spacing w:after="0" w:line="293" w:lineRule="auto"/>
        <w:rPr>
          <w:sz w:val="20"/>
          <w:szCs w:val="20"/>
          <w:color w:val="auto"/>
        </w:rPr>
      </w:pPr>
      <w:r>
        <w:rPr>
          <w:rFonts w:ascii="Arial" w:cs="Arial" w:eastAsia="Arial" w:hAnsi="Arial"/>
          <w:sz w:val="18"/>
          <w:szCs w:val="18"/>
          <w:color w:val="auto"/>
        </w:rPr>
        <w:t>The market may not be receptive to our product candidates based on a novel therapeutic modality, and we may not generate any future revenue from the sale or licensing of product candidates.</w:t>
      </w:r>
    </w:p>
    <w:p>
      <w:pPr>
        <w:spacing w:after="0" w:line="62" w:lineRule="exact"/>
        <w:rPr>
          <w:sz w:val="20"/>
          <w:szCs w:val="20"/>
          <w:color w:val="auto"/>
        </w:rPr>
      </w:pPr>
    </w:p>
    <w:p>
      <w:pPr>
        <w:jc w:val="both"/>
        <w:ind w:left="960" w:right="120"/>
        <w:spacing w:after="0" w:line="303" w:lineRule="auto"/>
        <w:rPr>
          <w:sz w:val="20"/>
          <w:szCs w:val="20"/>
          <w:color w:val="auto"/>
        </w:rPr>
      </w:pPr>
      <w:r>
        <w:rPr>
          <w:rFonts w:ascii="Arial" w:cs="Arial" w:eastAsia="Arial" w:hAnsi="Arial"/>
          <w:sz w:val="17"/>
          <w:szCs w:val="17"/>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6" w:lineRule="exact"/>
        <w:rPr>
          <w:sz w:val="20"/>
          <w:szCs w:val="20"/>
          <w:color w:val="auto"/>
        </w:rPr>
      </w:pPr>
    </w:p>
    <w:p>
      <w:pPr>
        <w:ind w:left="960" w:right="1300"/>
        <w:spacing w:after="0" w:line="282" w:lineRule="auto"/>
        <w:rPr>
          <w:sz w:val="20"/>
          <w:szCs w:val="20"/>
          <w:color w:val="auto"/>
        </w:rPr>
      </w:pPr>
      <w:r>
        <w:rPr>
          <w:rFonts w:ascii="Arial" w:cs="Arial" w:eastAsia="Arial" w:hAnsi="Arial"/>
          <w:sz w:val="17"/>
          <w:szCs w:val="17"/>
          <w:color w:val="auto"/>
        </w:rPr>
        <w:t>If we do not achieve our projected development and commercialization goals in the timeframes we announce and expect, the commercialization of any of our product candidates may be delayed, and our business will be harmed.</w:t>
      </w: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ind w:left="960"/>
        <w:spacing w:after="0" w:line="279" w:lineRule="auto"/>
        <w:rPr>
          <w:sz w:val="20"/>
          <w:szCs w:val="20"/>
          <w:color w:val="auto"/>
        </w:rPr>
      </w:pPr>
      <w:r>
        <w:rPr>
          <w:rFonts w:ascii="Arial" w:cs="Arial" w:eastAsia="Arial" w:hAnsi="Arial"/>
          <w:sz w:val="18"/>
          <w:szCs w:val="18"/>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75" w:lineRule="exact"/>
        <w:rPr>
          <w:sz w:val="20"/>
          <w:szCs w:val="20"/>
          <w:color w:val="auto"/>
        </w:rPr>
      </w:pPr>
    </w:p>
    <w:p>
      <w:pPr>
        <w:ind w:left="960" w:right="260"/>
        <w:spacing w:after="0" w:line="275" w:lineRule="auto"/>
        <w:rPr>
          <w:sz w:val="20"/>
          <w:szCs w:val="20"/>
          <w:color w:val="auto"/>
        </w:rPr>
      </w:pPr>
      <w:r>
        <w:rPr>
          <w:rFonts w:ascii="Arial" w:cs="Arial" w:eastAsia="Arial" w:hAnsi="Arial"/>
          <w:sz w:val="18"/>
          <w:szCs w:val="18"/>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7" w:lineRule="exact"/>
        <w:rPr>
          <w:sz w:val="20"/>
          <w:szCs w:val="20"/>
          <w:color w:val="auto"/>
        </w:rPr>
      </w:pPr>
    </w:p>
    <w:p>
      <w:pPr>
        <w:ind w:left="960" w:right="120"/>
        <w:spacing w:after="0" w:line="279" w:lineRule="auto"/>
        <w:rPr>
          <w:sz w:val="20"/>
          <w:szCs w:val="20"/>
          <w:color w:val="auto"/>
        </w:rPr>
      </w:pPr>
      <w:r>
        <w:rPr>
          <w:rFonts w:ascii="Arial" w:cs="Arial" w:eastAsia="Arial" w:hAnsi="Arial"/>
          <w:sz w:val="18"/>
          <w:szCs w:val="18"/>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5" w:lineRule="exact"/>
        <w:rPr>
          <w:sz w:val="20"/>
          <w:szCs w:val="20"/>
          <w:color w:val="auto"/>
        </w:rPr>
      </w:pPr>
    </w:p>
    <w:p>
      <w:pPr>
        <w:ind w:left="960" w:right="260"/>
        <w:spacing w:after="0" w:line="359" w:lineRule="auto"/>
        <w:rPr>
          <w:sz w:val="20"/>
          <w:szCs w:val="20"/>
          <w:color w:val="auto"/>
        </w:rPr>
      </w:pPr>
      <w:r>
        <w:rPr>
          <w:rFonts w:ascii="Arial" w:cs="Arial" w:eastAsia="Arial" w:hAnsi="Arial"/>
          <w:sz w:val="16"/>
          <w:szCs w:val="16"/>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7" w:lineRule="exact"/>
        <w:rPr>
          <w:sz w:val="20"/>
          <w:szCs w:val="20"/>
          <w:color w:val="auto"/>
        </w:rPr>
      </w:pPr>
    </w:p>
    <w:p>
      <w:pPr>
        <w:ind w:left="960" w:right="120"/>
        <w:spacing w:after="0" w:line="329" w:lineRule="auto"/>
        <w:rPr>
          <w:sz w:val="20"/>
          <w:szCs w:val="20"/>
          <w:color w:val="auto"/>
        </w:rPr>
      </w:pPr>
      <w:r>
        <w:rPr>
          <w:rFonts w:ascii="Arial" w:cs="Arial" w:eastAsia="Arial" w:hAnsi="Arial"/>
          <w:sz w:val="16"/>
          <w:szCs w:val="16"/>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stock price may be volatile and purchasers of our common stock could incur substantial losses.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COVID-19 pandemic or any future pandemic could adversely impact our business, including our research, clinical trials, and financial condition.</w:t>
      </w:r>
    </w:p>
    <w:p>
      <w:pPr>
        <w:spacing w:after="0" w:line="16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Since then, COVID-19 has spread to multiple countries, including the United States and European and Asia-Pacific countries, including countries in which we have planned or active clinical trial sites, including for praluzatamab ravtansine (CX-2009). As COVID-19 continues to spread around the globe, we will likely continue to experience disruptions that could severely impact our business, research, including research for our partners or research of our partners, and clinical trials, including ongoing or planned clinical trials for praluzatamab ravtansine, CX-2029 and clinical trials of our partners, including Bristol Myers Squibb. These disruptions and impacts may include:</w:t>
      </w:r>
    </w:p>
    <w:p>
      <w:pPr>
        <w:spacing w:after="0" w:line="8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or difficulties in enrolling patients in our clinical trials or the clinical trials of our partners;</w:t>
      </w:r>
    </w:p>
    <w:p>
      <w:pPr>
        <w:spacing w:after="0" w:line="131"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delays or difficulties in clinical site initiation for praluzatamab ravtansine, CX-2029 or any other clinical trials we or our partners decide to initiate, including difficulties in recruiting clinical site investigators and clinical site staff;</w:t>
      </w:r>
    </w:p>
    <w:p>
      <w:pPr>
        <w:spacing w:after="0" w:line="62" w:lineRule="exact"/>
        <w:rPr>
          <w:sz w:val="20"/>
          <w:szCs w:val="20"/>
          <w:color w:val="auto"/>
        </w:rPr>
      </w:pPr>
    </w:p>
    <w:p>
      <w:pPr>
        <w:ind w:left="960" w:right="140"/>
        <w:spacing w:after="0" w:line="293" w:lineRule="auto"/>
        <w:rPr>
          <w:sz w:val="20"/>
          <w:szCs w:val="20"/>
          <w:color w:val="auto"/>
        </w:rPr>
      </w:pPr>
      <w:r>
        <w:rPr>
          <w:rFonts w:ascii="Arial" w:cs="Arial" w:eastAsia="Arial" w:hAnsi="Arial"/>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62" w:lineRule="exact"/>
        <w:rPr>
          <w:sz w:val="20"/>
          <w:szCs w:val="20"/>
          <w:color w:val="auto"/>
        </w:rPr>
      </w:pPr>
    </w:p>
    <w:p>
      <w:pPr>
        <w:ind w:left="960" w:right="460"/>
        <w:spacing w:after="0" w:line="293" w:lineRule="auto"/>
        <w:rPr>
          <w:sz w:val="20"/>
          <w:szCs w:val="20"/>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difficulty in interpreting clinical data due to patients being infected by COVID-19;</w:t>
      </w:r>
    </w:p>
    <w:p>
      <w:pPr>
        <w:spacing w:after="0" w:line="131" w:lineRule="exact"/>
        <w:rPr>
          <w:sz w:val="20"/>
          <w:szCs w:val="20"/>
          <w:color w:val="auto"/>
        </w:rPr>
      </w:pPr>
    </w:p>
    <w:p>
      <w:pPr>
        <w:ind w:left="960" w:right="300"/>
        <w:spacing w:after="0" w:line="359" w:lineRule="auto"/>
        <w:rPr>
          <w:sz w:val="20"/>
          <w:szCs w:val="20"/>
          <w:color w:val="auto"/>
        </w:rPr>
      </w:pPr>
      <w:r>
        <w:rPr>
          <w:rFonts w:ascii="Arial" w:cs="Arial" w:eastAsia="Arial" w:hAnsi="Arial"/>
          <w:sz w:val="16"/>
          <w:szCs w:val="16"/>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in receiving approval from local regulatory authorities to initiate our or our partners’ planned clinical trials;</w:t>
      </w:r>
    </w:p>
    <w:p>
      <w:pPr>
        <w:spacing w:after="0" w:line="131" w:lineRule="exact"/>
        <w:rPr>
          <w:sz w:val="20"/>
          <w:szCs w:val="20"/>
          <w:color w:val="auto"/>
        </w:rPr>
      </w:pPr>
    </w:p>
    <w:p>
      <w:pPr>
        <w:ind w:left="5540" w:right="2200" w:hanging="4573"/>
        <w:spacing w:after="0" w:line="293" w:lineRule="auto"/>
        <w:rPr>
          <w:sz w:val="20"/>
          <w:szCs w:val="20"/>
          <w:color w:val="auto"/>
        </w:rPr>
      </w:pPr>
      <w:r>
        <w:rPr>
          <w:rFonts w:ascii="Arial" w:cs="Arial" w:eastAsia="Arial" w:hAnsi="Arial"/>
          <w:sz w:val="18"/>
          <w:szCs w:val="18"/>
          <w:color w:val="auto"/>
        </w:rPr>
        <w:t>delays in clinical sites receiving the supplies and materials needed to conduct our or our partners’ clinical trials;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2" w:name="page33"/>
    <w:bookmarkEnd w:id="32"/>
    <w:p>
      <w:pPr>
        <w:ind w:left="960" w:right="720"/>
        <w:spacing w:after="0" w:line="293" w:lineRule="auto"/>
        <w:rPr>
          <w:sz w:val="20"/>
          <w:szCs w:val="20"/>
          <w:color w:val="auto"/>
        </w:rPr>
      </w:pPr>
      <w:r>
        <w:rPr>
          <w:rFonts w:ascii="Arial" w:cs="Arial" w:eastAsia="Arial" w:hAnsi="Arial"/>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62" w:lineRule="exact"/>
        <w:rPr>
          <w:sz w:val="20"/>
          <w:szCs w:val="20"/>
          <w:color w:val="auto"/>
        </w:rPr>
      </w:pPr>
    </w:p>
    <w:p>
      <w:pPr>
        <w:ind w:left="960" w:right="460"/>
        <w:spacing w:after="0" w:line="279" w:lineRule="auto"/>
        <w:rPr>
          <w:sz w:val="20"/>
          <w:szCs w:val="20"/>
          <w:color w:val="auto"/>
        </w:rPr>
      </w:pPr>
      <w:r>
        <w:rPr>
          <w:rFonts w:ascii="Arial" w:cs="Arial" w:eastAsia="Arial" w:hAnsi="Arial"/>
          <w:sz w:val="18"/>
          <w:szCs w:val="18"/>
          <w:color w:val="auto"/>
        </w:rPr>
        <w:t>changes in local regulations as part of a response to the COVID-19 outbreak which may require us or our partners to change the ways in which clinical trials are conducted, which may result in unexpected costs, or cause us or our partners to discontinue the clinical trials altogether;</w:t>
      </w:r>
    </w:p>
    <w:p>
      <w:pPr>
        <w:spacing w:after="0" w:line="75" w:lineRule="exact"/>
        <w:rPr>
          <w:sz w:val="20"/>
          <w:szCs w:val="20"/>
          <w:color w:val="auto"/>
        </w:rPr>
      </w:pPr>
    </w:p>
    <w:p>
      <w:pPr>
        <w:ind w:left="960" w:right="320"/>
        <w:spacing w:after="0" w:line="293" w:lineRule="auto"/>
        <w:rPr>
          <w:sz w:val="20"/>
          <w:szCs w:val="20"/>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293"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auto"/>
        </w:rPr>
        <w:t>For example, in March 2020, we announced the temporary pause in new patient enrollment and new site activation in our Phase 2 clinical trial of praluzatamab ravtansine as a result of the COVID-19 pandemic, primarily due to delays in patient enrollment and clinical site initiations, and the termination of the Phase 2 clinical trial of pacmilimab (CX-072) in combination with ipilimumab after a re-evaluation of the evolving clinical, competitive and commercial landscapes in immuno-oncology, taken together with impact of the COVID-19 pandemic. Since then, we have revised our strategy for developing praluzatamab ravtansine, including redesigning the study. While we have initiated our Phase 2 clinical trial for praluzatamab ravtansine and the Phase 2 expansion cohorts for CX-2029, we cannot be certain of the continuing impact of the COVID-19 pandemic on clinical trial planning, or that site initiation, patient recruitment or other clinical trial activities will not continue to be delayed, discontinued or otherwise impacted.</w:t>
      </w:r>
    </w:p>
    <w:p>
      <w:pPr>
        <w:spacing w:after="0" w:line="164"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Furthermore, the COVID-19 pandemic and government limitations on activities may continue to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 experiments in a timely basis or at all. For example, in March 2020 we initiated a mandatory work-from-home program, limiting onsite activity to a substantially reduced level of laboratory research activities. Although we have gradually increased levels of such laboratory research activities, there can be no assurance that we will be able to continue to increase or maintain current levels of such activity. The COVID-19 pandemic and government limitations could further impact our ability to conduct business generally, including making timely payments, filing timely governmental and other business reports and filings, and otherwise comply with our obligations.</w:t>
      </w:r>
    </w:p>
    <w:p>
      <w:pPr>
        <w:spacing w:after="0" w:line="164"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Any of the potential business, research and clinical impacts arising as a result of the COVID-19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183"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The global outbreak of COVID-19 continues to rapidly evolve, including with the discovery of new variants/mutations of the virus. The extent to which COVID-19 may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299"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75"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June 30, 2021 and December 31, 2020, we had an accumulated deficit of $484.9 million and $450.1 million, respectively. Substantially all of our losses have resulted from expenses incurred in connection with our research and development programs and from general and administrative costs associated with our operations.</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3" w:name="page34"/>
    <w:bookmarkEnd w:id="33"/>
    <w:p>
      <w:pPr>
        <w:ind w:right="180"/>
        <w:spacing w:after="0" w:line="293" w:lineRule="auto"/>
        <w:rPr>
          <w:sz w:val="20"/>
          <w:szCs w:val="20"/>
          <w:color w:val="auto"/>
        </w:rPr>
      </w:pPr>
      <w:r>
        <w:rPr>
          <w:rFonts w:ascii="Arial" w:cs="Arial" w:eastAsia="Arial" w:hAnsi="Arial"/>
          <w:sz w:val="18"/>
          <w:szCs w:val="18"/>
          <w:color w:val="auto"/>
        </w:rPr>
        <w:t>could be if we had a longer operating history. We will need to transition from a company with a research and development focus to a company capable of supporting commercial activities. We may not be successful in such a transition.</w:t>
      </w:r>
    </w:p>
    <w:p>
      <w:pPr>
        <w:spacing w:after="0" w:line="170"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we expect our losses to increase substantially as we enroll patients in our Phase 2 clinical trial of praluzatamab ravtansine (CX-2009), our conditionally activated ADC candidate directed against CD166, as monotherapy or in combination with pacmilimab (CX-072) in patients with breast cancer, as we enroll patients in our Phase 2 expansion trial of CX-2029, our conditionally activated ADC candidate directed against CD71 in collaboration with AbbVie Inc., and as we advance into later trials and new trials for these and other programs.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74" w:lineRule="exact"/>
        <w:rPr>
          <w:sz w:val="20"/>
          <w:szCs w:val="20"/>
          <w:color w:val="auto"/>
        </w:rPr>
      </w:pPr>
    </w:p>
    <w:p>
      <w:pPr>
        <w:jc w:val="both"/>
        <w:ind w:right="140"/>
        <w:spacing w:after="0" w:line="303" w:lineRule="auto"/>
        <w:rPr>
          <w:sz w:val="20"/>
          <w:szCs w:val="20"/>
          <w:color w:val="auto"/>
        </w:rPr>
      </w:pPr>
      <w:r>
        <w:rPr>
          <w:rFonts w:ascii="Arial" w:cs="Arial" w:eastAsia="Arial" w:hAnsi="Arial"/>
          <w:sz w:val="17"/>
          <w:szCs w:val="17"/>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56"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w:t>
      </w:r>
    </w:p>
    <w:p>
      <w:pPr>
        <w:spacing w:after="0" w:line="19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As of June 30, 2021, we had $366.1 million in cash, cash equivalents and investments. We believe that our existing capital resources will be sufficient to fund our planned operations at least for the next twelve months from the date the financial statements included in this report are issued.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we expect our monthly spending to increase substantially as we enroll patients in our Phase 2 clinical trial of praluzatamab ravtansine (CX-2009) as monotherapy or in combination with pacmilimab (CX-072) in patients with breast cancer, and as we enroll patients in our Phase 2 expansion trial of CX-2029.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31"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the scope, timing and progress of our ongoing clinical trials as well as any other preclinical and clinical development activities which may be affected by, among other things, the COVID-19 pandemic;</w:t>
      </w:r>
    </w:p>
    <w:p>
      <w:pPr>
        <w:spacing w:after="0" w:line="62" w:lineRule="exact"/>
        <w:rPr>
          <w:sz w:val="20"/>
          <w:szCs w:val="20"/>
          <w:color w:val="auto"/>
        </w:rPr>
      </w:pPr>
    </w:p>
    <w:p>
      <w:pPr>
        <w:ind w:left="960" w:right="200"/>
        <w:spacing w:after="0" w:line="293" w:lineRule="auto"/>
        <w:rPr>
          <w:sz w:val="20"/>
          <w:szCs w:val="20"/>
          <w:color w:val="auto"/>
        </w:rPr>
      </w:pPr>
      <w:r>
        <w:rPr>
          <w:rFonts w:ascii="Arial" w:cs="Arial" w:eastAsia="Arial" w:hAnsi="Arial"/>
          <w:sz w:val="18"/>
          <w:szCs w:val="18"/>
          <w:color w:val="auto"/>
        </w:rPr>
        <w:t>the number, size and type of clinical trials and preclinical studies that we may be required to complete for our product candidates, as well as the cost and time of such studies and trials;</w:t>
      </w:r>
    </w:p>
    <w:p>
      <w:pPr>
        <w:spacing w:after="0" w:line="62" w:lineRule="exact"/>
        <w:rPr>
          <w:sz w:val="20"/>
          <w:szCs w:val="20"/>
          <w:color w:val="auto"/>
        </w:rPr>
      </w:pPr>
    </w:p>
    <w:p>
      <w:pPr>
        <w:ind w:left="960" w:right="3540"/>
        <w:spacing w:after="0" w:line="440" w:lineRule="auto"/>
        <w:rPr>
          <w:sz w:val="20"/>
          <w:szCs w:val="20"/>
          <w:color w:val="auto"/>
        </w:rPr>
      </w:pPr>
      <w:r>
        <w:rPr>
          <w:rFonts w:ascii="Arial" w:cs="Arial" w:eastAsia="Arial" w:hAnsi="Arial"/>
          <w:sz w:val="16"/>
          <w:szCs w:val="16"/>
          <w:color w:val="auto"/>
        </w:rPr>
        <w:t>the number, scope and prioritization of preclinical and clinical programs we decide to pursue; the time and cost necessary to produce clinical supplies of our product candidates;</w:t>
      </w:r>
    </w:p>
    <w:p>
      <w:pPr>
        <w:ind w:left="960" w:right="260"/>
        <w:spacing w:after="0" w:line="293" w:lineRule="auto"/>
        <w:rPr>
          <w:sz w:val="20"/>
          <w:szCs w:val="20"/>
          <w:color w:val="auto"/>
        </w:rPr>
      </w:pPr>
      <w:r>
        <w:rPr>
          <w:rFonts w:ascii="Arial" w:cs="Arial" w:eastAsia="Arial" w:hAnsi="Arial"/>
          <w:sz w:val="18"/>
          <w:szCs w:val="18"/>
          <w:color w:val="auto"/>
        </w:rPr>
        <w:t>the time and cost necessary to scale our manufacturing capabilities prior to or following regulatory approval and commercial launch of any product candidates;</w:t>
      </w:r>
    </w:p>
    <w:p>
      <w:pPr>
        <w:spacing w:after="0" w:line="62" w:lineRule="exact"/>
        <w:rPr>
          <w:sz w:val="20"/>
          <w:szCs w:val="20"/>
          <w:color w:val="auto"/>
        </w:rPr>
      </w:pPr>
    </w:p>
    <w:p>
      <w:pPr>
        <w:ind w:left="960" w:right="120"/>
        <w:spacing w:after="0" w:line="293" w:lineRule="auto"/>
        <w:rPr>
          <w:sz w:val="20"/>
          <w:szCs w:val="20"/>
          <w:color w:val="auto"/>
        </w:rPr>
      </w:pPr>
      <w:r>
        <w:rPr>
          <w:rFonts w:ascii="Arial" w:cs="Arial" w:eastAsia="Arial" w:hAnsi="Arial"/>
          <w:sz w:val="18"/>
          <w:szCs w:val="18"/>
          <w:color w:val="auto"/>
        </w:rPr>
        <w:t>the progress of the development efforts of parties with whom we have entered or may in the future enter into collaborations and research and development agreements;</w:t>
      </w:r>
    </w:p>
    <w:p>
      <w:pPr>
        <w:spacing w:after="0" w:line="62" w:lineRule="exact"/>
        <w:rPr>
          <w:sz w:val="20"/>
          <w:szCs w:val="20"/>
          <w:color w:val="auto"/>
        </w:rPr>
      </w:pPr>
    </w:p>
    <w:p>
      <w:pPr>
        <w:jc w:val="center"/>
        <w:ind w:left="780" w:right="500"/>
        <w:spacing w:after="0" w:line="293" w:lineRule="auto"/>
        <w:rPr>
          <w:sz w:val="20"/>
          <w:szCs w:val="20"/>
          <w:color w:val="auto"/>
        </w:rPr>
      </w:pPr>
      <w:r>
        <w:rPr>
          <w:rFonts w:ascii="Arial" w:cs="Arial" w:eastAsia="Arial" w:hAnsi="Arial"/>
          <w:sz w:val="18"/>
          <w:szCs w:val="18"/>
          <w:color w:val="auto"/>
        </w:rPr>
        <w:t>the timing and amount of payments we may receive or are obligated to pay under our collaboration agreements and license agreements;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4" w:name="page35"/>
    <w:bookmarkEnd w:id="34"/>
    <w:p>
      <w:pPr>
        <w:ind w:left="960" w:right="680"/>
        <w:spacing w:after="0" w:line="391" w:lineRule="auto"/>
        <w:rPr>
          <w:sz w:val="20"/>
          <w:szCs w:val="20"/>
          <w:color w:val="auto"/>
        </w:rPr>
      </w:pPr>
      <w:r>
        <w:rPr>
          <w:rFonts w:ascii="Arial" w:cs="Arial" w:eastAsia="Arial" w:hAnsi="Arial"/>
          <w:sz w:val="18"/>
          <w:szCs w:val="18"/>
          <w:color w:val="auto"/>
        </w:rPr>
        <w:t>our ability to maintain our current licenses and research and development programs and to establish new collaboration arrangements; the costs involved in prosecuting and enforcing patent and other intellectual property claims, including our ongoing litigation; the cost of any existing or future litigation to which we are or may become a party; the cost and timing of regulatory approvals; and</w:t>
      </w:r>
    </w:p>
    <w:p>
      <w:pPr>
        <w:spacing w:after="0" w:line="1" w:lineRule="exact"/>
        <w:rPr>
          <w:sz w:val="20"/>
          <w:szCs w:val="20"/>
          <w:color w:val="auto"/>
        </w:rPr>
      </w:pPr>
    </w:p>
    <w:p>
      <w:pPr>
        <w:ind w:left="960" w:right="140"/>
        <w:spacing w:after="0" w:line="293" w:lineRule="auto"/>
        <w:rPr>
          <w:sz w:val="20"/>
          <w:szCs w:val="20"/>
          <w:color w:val="auto"/>
        </w:rPr>
      </w:pPr>
      <w:r>
        <w:rPr>
          <w:rFonts w:ascii="Arial" w:cs="Arial" w:eastAsia="Arial" w:hAnsi="Arial"/>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70"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Astellas in March 2020.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including the COVID-19 pandemic.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82"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7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is the case with all oncology drugs, our product candidates in clinical development or preclinical development go through a long process and have a high risk of failure or termination for strategic reasons. For example, in 2017, we initiated Phase 1/2 clinical trials of pacmilimab (CX-072), which expanded to a Phase 2 trial in 2019 evaluating the anti-PD-L1 conditionally activated therapeutic in combination with ipilimumab in melanoma. In March 2020, we made the strategic decision to terminate that trial. In 2017, we initiated a Phase 1/2 clinical trial of praluzatamab ravtansine (CX-2009) and in 2019, we initiated a Phase 2 expansion trial of praluzatamab ravtansine in patients with hormone receptor (“HR”)-positive, HER2- negative breast cancer. That Phase 2 expansion trial was paused in early 2020 due to COVID-19. In 2020, we revised our strategy for developing praluzatamab ravtansine and initiated a new Phase 2 clinical trial of praluzatamab ravtansine alone in either HR+/HER2 negative breast cancer or TNBC or in combination with pacmilimab in TNBC. In 2020, we initiated our Phase 2 clinical trial expansion cohorts of CX-2029, our conditionally activated ADC candidate directed against CD71 in collaboration with AbbVie, for the treatment of four types of cancer. In addition, in 2019, Bristol Myers Squibb initiated enrollment in the Phase 2 portion of its ongoing Phase 1/2 clinical trial for BMS-986249, an anti-CTLA-4 Probody, and initiated a Phase 1/2 trial for BMS-986288, a second anti-CTLA-4 Probody, both of which are underway. It is impossible to predict when or if any of our or our partner’s product candidates will prove effective and safe in humans or will receive regulatory approval. Before obtaining marketing approval from regulatory authorities for the sale of any product candidate, we or our partners must complete extensive clinical trials to demonstrate the safety and efficacy of our product candidates in humans. Commencement of clinical trials for programs beyond praluzatamab ravtansine, CX-2029, BMS-986249, BMS-986288, and pacmilimab is subject to finalizing the trial design and filing an IND or similar filing with the FDA or similar global health authorities. In addition, even if we file our IND or comparable submissions in other jurisdictions for these or other product candidates, including CX-2043 and CX-904,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including CX-2043 and CX904.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Further, we or our collaborators may also experience delays in completing ongoing clinical trials, completing preclinical studies or initiating further clinical trials of our product candidates, including, for example, among other things, as a result of the COVID-19 pandemic.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5" w:name="page36"/>
    <w:bookmarkEnd w:id="35"/>
    <w:p>
      <w:pPr>
        <w:ind w:right="400"/>
        <w:spacing w:after="0" w:line="359" w:lineRule="auto"/>
        <w:rPr>
          <w:sz w:val="20"/>
          <w:szCs w:val="20"/>
          <w:color w:val="auto"/>
        </w:rPr>
      </w:pPr>
      <w:r>
        <w:rPr>
          <w:rFonts w:ascii="Arial" w:cs="Arial" w:eastAsia="Arial" w:hAnsi="Arial"/>
          <w:sz w:val="16"/>
          <w:szCs w:val="16"/>
          <w:color w:val="auto"/>
        </w:rPr>
        <w:t>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17" w:lineRule="exact"/>
        <w:rPr>
          <w:sz w:val="20"/>
          <w:szCs w:val="20"/>
          <w:color w:val="auto"/>
        </w:rPr>
      </w:pPr>
    </w:p>
    <w:p>
      <w:pPr>
        <w:ind w:left="960" w:right="2580"/>
        <w:spacing w:after="0" w:line="391" w:lineRule="auto"/>
        <w:rPr>
          <w:sz w:val="20"/>
          <w:szCs w:val="20"/>
          <w:color w:val="auto"/>
        </w:rPr>
      </w:pPr>
      <w:r>
        <w:rPr>
          <w:rFonts w:ascii="Arial" w:cs="Arial" w:eastAsia="Arial" w:hAnsi="Arial"/>
          <w:sz w:val="18"/>
          <w:szCs w:val="18"/>
          <w:color w:val="auto"/>
        </w:rPr>
        <w:t>recruiting suitable patients to participate in a clinical trial, particularly in light of the COVID-19 pandemic; developing and validating any companion diagnostic to be used in a clinical trial;</w:t>
      </w:r>
    </w:p>
    <w:p>
      <w:pPr>
        <w:spacing w:after="0" w:line="1"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obtaining regulatory clearance to commence a clinical trial;</w:t>
      </w:r>
    </w:p>
    <w:p>
      <w:pPr>
        <w:spacing w:after="0" w:line="131" w:lineRule="exact"/>
        <w:rPr>
          <w:sz w:val="20"/>
          <w:szCs w:val="20"/>
          <w:color w:val="auto"/>
        </w:rPr>
      </w:pPr>
    </w:p>
    <w:p>
      <w:pPr>
        <w:ind w:left="960" w:right="160"/>
        <w:spacing w:after="0" w:line="293" w:lineRule="auto"/>
        <w:rPr>
          <w:sz w:val="20"/>
          <w:szCs w:val="20"/>
          <w:color w:val="auto"/>
        </w:rPr>
      </w:pPr>
      <w:r>
        <w:rPr>
          <w:rFonts w:ascii="Arial" w:cs="Arial" w:eastAsia="Arial" w:hAnsi="Arial"/>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obtaining institutional review board (“IRB”) approval at each clinical trial site;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having patients complete a clinical trial or return for post-treatment follow-up;</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clinical trial sites deviating from trial protocol or dropping out of a trial;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adding new clinical trial sites;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manufacturing our product candidates in sufficient quality and quantity for use in clinical trials; or</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collaborators electing to not pursue development and commercialization of our product candidates.</w:t>
      </w:r>
    </w:p>
    <w:p>
      <w:pPr>
        <w:spacing w:after="0" w:line="23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293" w:lineRule="exact"/>
        <w:rPr>
          <w:sz w:val="20"/>
          <w:szCs w:val="20"/>
          <w:color w:val="auto"/>
        </w:rPr>
      </w:pPr>
    </w:p>
    <w:p>
      <w:pPr>
        <w:ind w:right="120"/>
        <w:spacing w:after="0" w:line="303"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56"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We are very early in our development efforts, with only three product candidates, praluzatamab ravtansine (CX-2009), CX-2029, and pacmilimab (CX-072), currently in early-stage clinical development. In addition, Bristol Myers Squibb is currently evaluating BMS-986249, a CTLA-4-directed Probody therapeutic in a randomized cohort expansion trial of a Phase 1/2 clinical trial that it initiated in January 2018, and BMS-986288, a second anti-CTLA-4 Probody, in a Phase 1/2 trial it initiated in 2019.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and efficacy of our product candidates in patients.</w:t>
      </w:r>
    </w:p>
    <w:p>
      <w:pPr>
        <w:spacing w:after="0" w:line="181" w:lineRule="exact"/>
        <w:rPr>
          <w:sz w:val="20"/>
          <w:szCs w:val="20"/>
          <w:color w:val="auto"/>
        </w:rPr>
      </w:pPr>
    </w:p>
    <w:p>
      <w:pPr>
        <w:ind w:right="520"/>
        <w:spacing w:after="0" w:line="359"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7" w:lineRule="exact"/>
        <w:rPr>
          <w:sz w:val="20"/>
          <w:szCs w:val="20"/>
          <w:color w:val="auto"/>
        </w:rPr>
      </w:pPr>
    </w:p>
    <w:p>
      <w:pPr>
        <w:ind w:left="960"/>
        <w:spacing w:after="0" w:line="359" w:lineRule="auto"/>
        <w:rPr>
          <w:sz w:val="20"/>
          <w:szCs w:val="20"/>
          <w:color w:val="auto"/>
        </w:rPr>
      </w:pPr>
      <w:r>
        <w:rPr>
          <w:rFonts w:ascii="Arial" w:cs="Arial" w:eastAsia="Arial" w:hAnsi="Arial"/>
          <w:sz w:val="16"/>
          <w:szCs w:val="16"/>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17" w:lineRule="exact"/>
        <w:rPr>
          <w:sz w:val="20"/>
          <w:szCs w:val="20"/>
          <w:color w:val="auto"/>
        </w:rPr>
      </w:pPr>
    </w:p>
    <w:p>
      <w:pPr>
        <w:ind w:left="960" w:right="400"/>
        <w:spacing w:after="0" w:line="293" w:lineRule="auto"/>
        <w:rPr>
          <w:sz w:val="20"/>
          <w:szCs w:val="20"/>
          <w:color w:val="auto"/>
        </w:rPr>
      </w:pPr>
      <w:r>
        <w:rPr>
          <w:rFonts w:ascii="Arial" w:cs="Arial" w:eastAsia="Arial" w:hAnsi="Arial"/>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62" w:lineRule="exact"/>
        <w:rPr>
          <w:sz w:val="20"/>
          <w:szCs w:val="20"/>
          <w:color w:val="auto"/>
        </w:rPr>
      </w:pPr>
    </w:p>
    <w:p>
      <w:pPr>
        <w:ind w:left="960" w:right="420"/>
        <w:spacing w:after="0" w:line="293" w:lineRule="auto"/>
        <w:rPr>
          <w:sz w:val="20"/>
          <w:szCs w:val="20"/>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in enrolling research subjects in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high drop-out rates of research subjects;</w:t>
      </w:r>
    </w:p>
    <w:p>
      <w:pPr>
        <w:spacing w:after="0" w:line="131" w:lineRule="exact"/>
        <w:rPr>
          <w:sz w:val="20"/>
          <w:szCs w:val="20"/>
          <w:color w:val="auto"/>
        </w:rPr>
      </w:pPr>
    </w:p>
    <w:p>
      <w:pPr>
        <w:ind w:left="960" w:right="820"/>
        <w:spacing w:after="0" w:line="266" w:lineRule="auto"/>
        <w:rPr>
          <w:sz w:val="20"/>
          <w:szCs w:val="20"/>
          <w:color w:val="auto"/>
        </w:rPr>
      </w:pPr>
      <w:r>
        <w:rPr>
          <w:rFonts w:ascii="Arial" w:cs="Arial" w:eastAsia="Arial" w:hAnsi="Arial"/>
          <w:sz w:val="18"/>
          <w:szCs w:val="18"/>
          <w:color w:val="auto"/>
        </w:rPr>
        <w:t>inadequate supply or quality of product candidate components or materials or other supplies necessary for the conduct of our or our collaborators’ clinical trials;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ind w:left="960"/>
        <w:spacing w:after="0"/>
        <w:rPr>
          <w:sz w:val="20"/>
          <w:szCs w:val="20"/>
          <w:color w:val="auto"/>
        </w:rPr>
      </w:pPr>
      <w:r>
        <w:rPr>
          <w:rFonts w:ascii="Arial" w:cs="Arial" w:eastAsia="Arial" w:hAnsi="Arial"/>
          <w:sz w:val="18"/>
          <w:szCs w:val="18"/>
          <w:color w:val="auto"/>
        </w:rPr>
        <w:t>greater than anticipated clinical trial costs;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 in the development or approval of companion diagnostic tests for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unfavorable FDA or other regulatory agency inspection and review of a clinical trial site;</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sz w:val="20"/>
          <w:szCs w:val="20"/>
          <w:color w:val="auto"/>
        </w:rPr>
      </w:pPr>
    </w:p>
    <w:p>
      <w:pPr>
        <w:ind w:left="960" w:right="440"/>
        <w:spacing w:after="0" w:line="293" w:lineRule="auto"/>
        <w:rPr>
          <w:sz w:val="20"/>
          <w:szCs w:val="20"/>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could find that the therapeutics we or our collaborators pursue are not safe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81"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For example, in March 2020, we made the strategic decision to terminate our Phase 2 clinical trial evaluating pacmilimab in combination ipilimumab in melanoma. This decision followed a re-evaluation of the evolving clinical, competitive and commercial landscapes in immuno-oncology, taken together with impact of the COVID-19 pandemic.</w:t>
      </w:r>
    </w:p>
    <w:p>
      <w:pPr>
        <w:spacing w:after="0" w:line="290"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we have reported preliminary data from our clinical trials of praluzatamab ravtansine (CX-2009), CX-2029, and pacmilimab (CX-072) at various meetings and at our CytomX 2019 R&amp;D Day. We also make assumptions, estimations, calculations and conclusions as part of our analyses of data, and we may not have received or had the opportunity to fully and carefully evaluate all data. Further, as a result of the COVID-19 pandemic or for other reasons, we may not be able to collect accurate or complete data at the time we collect such preliminary data, including as a result of the inability of sites to properly record data due to staffing limitations or the inability of patients to visit sites at scheduled times, the inability of CROs to access site data or for other reasons.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7" w:name="page38"/>
    <w:bookmarkEnd w:id="37"/>
    <w:p>
      <w:pPr>
        <w:ind w:right="140"/>
        <w:spacing w:after="0" w:line="279" w:lineRule="auto"/>
        <w:rPr>
          <w:sz w:val="20"/>
          <w:szCs w:val="20"/>
          <w:color w:val="auto"/>
        </w:rPr>
      </w:pPr>
      <w:r>
        <w:rPr>
          <w:rFonts w:ascii="Arial" w:cs="Arial" w:eastAsia="Arial" w:hAnsi="Arial"/>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5"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praluzatamab ravtansine (CX-2009), CX-2029, and pacmilimab (CX-072)).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176"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In May 2020, we reported that the administration of monotherapy pacmilimab has been generally well tolerated with the majority of treatment-related adverse events (“TRAEs”) as Grade 1/2. At that time, we also reported that of the 114 monotherapy patients treated with 10 mg/kg every two weeks and who were evaluable for safety, ten (9%) patients experienced a grade ≥3 TRAE, and two (2%) experienced grade ≥3 immune-related adverse events (“irAEs”), with two (2%) TRAEs leading to treatment discontinuation. In June 2019, we also reported that at the 10 mg/kg dose, the anti-drug antibody (“ADA”) rate was approximately 62%. While we do not believe this ADA is impacting our ability to reach targeted drug exposures, we cannot provide assurance that the rate will not change or that it will not later limit drug exposure or cause severe adverse events. We also cannot provide assurance that the rates and the types of adverse events will not increase with time as more patients are treated in ongoing or future studies.</w:t>
      </w:r>
    </w:p>
    <w:p>
      <w:pPr>
        <w:spacing w:after="0" w:line="181"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Administration of pacmilimab in combination with ipilimumab has been generally well tolerated with the majority of TRAEs as Grade 1/2. In October 2019, we reported that of the 27 patients treated across all combination doses, Grade 3/4 TRAEs were reported in nine (33%) patients and Grade 3/4 irAEs were reported in six (22%) patients. Of the 20 patients treated with ipilimumab at 3 mg/kg at varying doses of pacmilimab, Grade 3/4 TRAEs were reported in five (25%) patients and Grade 3/4 irAEs were reported in three (15%) patients. We cannot provide assurance that these rates and the types of adverse events will not increase over time with more patients being treated in future studies of our product candidates.</w:t>
      </w:r>
    </w:p>
    <w:p>
      <w:pPr>
        <w:spacing w:after="0" w:line="174"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Administration of praluzatamab ravtansine has also been generally well tolerated with most reported TRAEs being Grade 1/2. In May 2020, we announced that 34/92 (37%) patients experienced a Grade 3/4 TRAE. The most common adverse event observed was ocular toxicity, an anticipated toxicity associated with the DM4 payload. Other Grade 3/4 TRAEs included liver function test abnormalities, gastrointestinal disorders and nervous system disorders. We cannot guarantee that these rates and the types of adverse events will not increase over time with more patients being treated in ongoing or future studies.</w:t>
      </w:r>
    </w:p>
    <w:p>
      <w:pPr>
        <w:spacing w:after="0" w:line="14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October 2019, we announced the initiation of our first Phase 2 clinical trial of pacmilimab at a dose level of 10 mg/kg in combination with ipilimumab at a dose level of 3 mg/kg. This dose of ipilimumab in combination with another PD agent, Opdivo® (nivolumab), is often not tolerated by patients. While we believe our Phase 1 clinical data supports this combination, only further clinical testing will determine whether such a combination is tolerable for patients. However, in March 2020, we made the strategic decision to terminate the Phase 2 study evaluating pacmilimab in combination with ipilimumab. This decision followed a re-evaluation of the evolving clinical, competitive and commercial landscapes in immuno-oncology, taken together with impact of the COVID-19 pandemic.</w:t>
      </w:r>
    </w:p>
    <w:p>
      <w:pPr>
        <w:spacing w:after="0" w:line="178"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May 2020, we announced that CX-2029 was generally well tolerated at doses up to 3 mg/kg with the most common TRAEs being infusion related reactions, anemia and neutropenia/leukopenia. Grade 3 or greater hematologic TRAEs, anemia and neutropenia, were dose dependent, with anemia being managed with transfusions and supportive care. The etiology of anemia is under investigation and is likely to be multi-factorial, including MMAE-related and CD71 expression on red blood cell precursors. While we believe these TRAEs are manageable, there can be no assurance that the rate or severity of any of these side effects will not increase over time with more patients being treated in ongoing or future studies.</w:t>
      </w:r>
    </w:p>
    <w:p>
      <w:pPr>
        <w:spacing w:after="0" w:line="161"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Additionally, the Phase 2 clinical trial of BMS-986249 being conducted by Bristol Myers Squibb includes the administration of the product candidate at relatively high dosage levels, which could further exacerbate such risks. In our Phase 2 clinical trials with praluzatamab ravtansine and CX-2029, we are targeting CD166 and CD71, respectively, targets that are broadly expressed on normal tissue, which could create unacceptable toxicity or fail to result in anti-tumor activity. For instance, CD71 is a metabolic protein with high levels of expression in healthy tissues, and the consequences of targeting such protein in humans are unknown. Any future clinical trials of our product candidates could face similar or heightened risks depending on the modality.</w:t>
      </w:r>
    </w:p>
    <w:p>
      <w:pPr>
        <w:spacing w:after="0" w:line="161" w:lineRule="exact"/>
        <w:rPr>
          <w:sz w:val="20"/>
          <w:szCs w:val="20"/>
          <w:color w:val="auto"/>
        </w:rPr>
      </w:pPr>
    </w:p>
    <w:p>
      <w:pPr>
        <w:jc w:val="both"/>
        <w:ind w:right="180"/>
        <w:spacing w:after="0" w:line="271" w:lineRule="auto"/>
        <w:rPr>
          <w:sz w:val="20"/>
          <w:szCs w:val="20"/>
          <w:color w:val="auto"/>
        </w:rPr>
      </w:pPr>
      <w:r>
        <w:rPr>
          <w:rFonts w:ascii="Arial" w:cs="Arial" w:eastAsia="Arial" w:hAnsi="Arial"/>
          <w:sz w:val="17"/>
          <w:szCs w:val="17"/>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w:t>
      </w: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spacing w:after="0" w:line="270" w:lineRule="auto"/>
        <w:rPr>
          <w:sz w:val="20"/>
          <w:szCs w:val="20"/>
          <w:color w:val="auto"/>
        </w:rPr>
      </w:pPr>
      <w:r>
        <w:rPr>
          <w:rFonts w:ascii="Arial" w:cs="Arial" w:eastAsia="Arial" w:hAnsi="Arial"/>
          <w:sz w:val="17"/>
          <w:szCs w:val="17"/>
          <w:color w:val="auto"/>
        </w:rPr>
        <w:t>patient recruitment or the ability of enrolled patients to complete the trial or result in potential product liability claims. For example, in our Phase 1/2 clinical trial of praluzatamab ravtansine, some patients stopped treatment due to ocular toxicity. While we are using ocular toxicity prophylactic measures in our Phase 2 clinical trial, we cannot be assured that such measures will be effective.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or our collaborators may be required to recall the product or change the way the product is administered to patients;</w:t>
      </w:r>
    </w:p>
    <w:p>
      <w:pPr>
        <w:spacing w:after="0" w:line="117" w:lineRule="exact"/>
        <w:rPr>
          <w:sz w:val="20"/>
          <w:szCs w:val="20"/>
          <w:color w:val="auto"/>
        </w:rPr>
      </w:pPr>
    </w:p>
    <w:p>
      <w:pPr>
        <w:ind w:left="960" w:right="440"/>
        <w:spacing w:after="0" w:line="277" w:lineRule="auto"/>
        <w:rPr>
          <w:sz w:val="20"/>
          <w:szCs w:val="20"/>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could be sued and held liable for harm caused to patients;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product may become less competitive;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6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29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ongoing COVID-19 pandemic;</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size and nature of the target patient population;</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eligibility criteria for the clinical trial;</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design of the clinical trial;</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availability of an appropriate genomic screening test;</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perceived risks and benefits of the product candidate under study;</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efforts to facilitate timely enrollment in clinical trials;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patient referral practices of physicians;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ability to monitor patients adequately during and after treatment;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proximity and availability of clinical trial sites for prospective patients.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71" w:right="439" w:bottom="1440" w:gutter="0" w:footer="0" w:header="0"/>
        </w:sectPr>
      </w:pPr>
    </w:p>
    <w:bookmarkStart w:id="39" w:name="page40"/>
    <w:bookmarkEnd w:id="39"/>
    <w:p>
      <w:pPr>
        <w:ind w:right="160"/>
        <w:spacing w:after="0" w:line="279" w:lineRule="auto"/>
        <w:rPr>
          <w:sz w:val="20"/>
          <w:szCs w:val="20"/>
          <w:color w:val="auto"/>
        </w:rPr>
      </w:pPr>
      <w:r>
        <w:rPr>
          <w:rFonts w:ascii="Arial" w:cs="Arial" w:eastAsia="Arial" w:hAnsi="Arial"/>
          <w:sz w:val="17"/>
          <w:szCs w:val="17"/>
          <w:color w:val="auto"/>
        </w:rPr>
        <w:t>For example, in March 2020, we announced a temporary pause in new patient enrollment and new site activation in our Phase 2 clinical trial of praluzatamab ravtansine as a result of the COVID-19 pandemic. Since then, we have revised our strategy for praluzatamab ravtansine and have initiated a new Phase 2 clinical trial of praluzatamab ravtansine, however, there can be no assurances that the COVID-19 pandemic will not continue to have a significant impact on our ability to complete our ongoing clinical trials and enroll patients in any planned or future clinical trials.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are currently several PD-1 and/or PD-L1 agents approved for a growing list of cancer types along with thousands of clinical trials exploring the use of PD-1 and PD-L1 agents. There can be no assurance that further trials with pacmilimab (CX-072) or our other drug candidates will not be adversely affected by a limited patient population. Our clinical trials of praluzatamab ravtansine and CX-2029 study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Our clinical trials of praluzatamab ravtansine and CX-2029 are also competing with thousands of clinical trials with alternative anti-cancer drugs in a similar class (e.g. antibody-drug conjugates), and certain arms of the clinical trials may be difficult to enroll due to the emerging standard of care for such indications in certain jurisdictions, including the United States. Any clinical trials of our product candidates initiated by our collaborators, including Bristol Myers Squibb’s ongoing Phase 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2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praluzatamab ravtansine (CX-2009), CX-2029, and pacmilimab (CX-072).</w:t>
      </w:r>
    </w:p>
    <w:p>
      <w:pPr>
        <w:spacing w:after="0" w:line="20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 2019 that in our pacmilimab trial at the 10 mg/kg dose, the ADA rate was approximately 62%. We do not believe the ADA rate is impacting our ability to reach targeted drug exposures. However, we cannot provide assurance that it will not later limit drug exposure or cause severe adverse events.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0" w:name="page41"/>
    <w:bookmarkEnd w:id="40"/>
    <w:p>
      <w:pPr>
        <w:spacing w:after="0" w:line="329"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and CD71 in both healthy and diseased tissues is still developing. As a result, we cannot provide any assurance that we will be able to successfully identify and advance any product candidates to target novel, difficult-to-drug targets.</w:t>
      </w:r>
    </w:p>
    <w:p>
      <w:pPr>
        <w:spacing w:after="0" w:line="148"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We believe the only clinical experience that the FDA and foreign regulatory authorities have with Probody-based therapeutics in oncology comes from praluzatamab ravtansine, CX-2029, BMS-986249, BMS-986288, and pacmilimab. We believe that the FDA and foreign regulatory authorities, have no clinical experience in other disease areas, and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297"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2"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BMS-986249, BMS-986288, and pacmilimab (CX-072)) for which there are existing approved therapies, such as approved agents targeting PD-L1, PD-1, or CTLA-4. Market acceptance of our product candidates will depend on, among other factors:</w:t>
      </w:r>
    </w:p>
    <w:p>
      <w:pPr>
        <w:spacing w:after="0" w:line="7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of our receipt of any marketing and commercialization approvals;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terms of any approvals and the countries in which approvals are obtained;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safety and efficacy of our product candidates, including those being developed by our collaborators;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prevalence and severity of any adverse side effects associated with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limitations or warnings contained in any labeling approved by the FDA or other regulatory authority;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availability of effective companion diagnostics;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relative convenience and ease of administration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willingness of patients to accept any new methods of administration;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success of our physician education programs;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availability of coverage and adequate reimbursement from government and third-party payors;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pricing of our products, particularly as compared to alternative treatments; and</w:t>
      </w:r>
    </w:p>
    <w:p>
      <w:pPr>
        <w:spacing w:after="0" w:line="131" w:lineRule="exact"/>
        <w:rPr>
          <w:sz w:val="20"/>
          <w:szCs w:val="20"/>
          <w:color w:val="auto"/>
        </w:rPr>
      </w:pPr>
    </w:p>
    <w:p>
      <w:pPr>
        <w:ind w:left="960" w:right="80"/>
        <w:spacing w:after="0" w:line="293" w:lineRule="auto"/>
        <w:rPr>
          <w:sz w:val="20"/>
          <w:szCs w:val="20"/>
          <w:color w:val="auto"/>
        </w:rPr>
      </w:pPr>
      <w:r>
        <w:rPr>
          <w:rFonts w:ascii="Arial" w:cs="Arial" w:eastAsia="Arial" w:hAnsi="Arial"/>
          <w:sz w:val="18"/>
          <w:szCs w:val="18"/>
          <w:color w:val="auto"/>
        </w:rPr>
        <w:t>the availability of alternative effective treatments for the disease indications our product candidates are intended to treat and the relative risks, benefits and costs of those treatments.</w:t>
      </w:r>
    </w:p>
    <w:p>
      <w:pPr>
        <w:spacing w:after="0" w:line="170"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ind w:right="120"/>
        <w:spacing w:after="0" w:line="303"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6"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Since 2013, we have entered into collaborations with AbbVie, Amgen, Astellas, Bristol Myers Squibb, ImmunoGen,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conditionally activated ADC. In July 2017, ImmunoGen discontinued the preclinical evaluation of one of its two programs being developed under our collaboration and in December 2019, licensed the other program to us, terminating their license agreement from us. In addition, in January 2019, Bristol Myers Squibb terminated its programs for three targets it had selected under our agreement with them.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Overall, collaborations involving our product candidates currently pose, and will continue to pose, the following risks to us:</w:t>
      </w:r>
    </w:p>
    <w:p>
      <w:pPr>
        <w:spacing w:after="0" w:line="131" w:lineRule="exact"/>
        <w:rPr>
          <w:sz w:val="20"/>
          <w:szCs w:val="20"/>
          <w:color w:val="auto"/>
        </w:rPr>
      </w:pPr>
    </w:p>
    <w:p>
      <w:pPr>
        <w:ind w:left="960" w:right="800"/>
        <w:spacing w:after="0" w:line="293" w:lineRule="auto"/>
        <w:rPr>
          <w:sz w:val="20"/>
          <w:szCs w:val="20"/>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 including, with respect to Bristol Myers Squibb, BMS-986249 and BMS-986288;</w:t>
      </w:r>
    </w:p>
    <w:p>
      <w:pPr>
        <w:spacing w:after="0" w:line="62" w:lineRule="exact"/>
        <w:rPr>
          <w:sz w:val="20"/>
          <w:szCs w:val="20"/>
          <w:color w:val="auto"/>
        </w:rPr>
      </w:pPr>
    </w:p>
    <w:p>
      <w:pPr>
        <w:ind w:left="960" w:right="440"/>
        <w:spacing w:after="0" w:line="329" w:lineRule="auto"/>
        <w:rPr>
          <w:sz w:val="20"/>
          <w:szCs w:val="20"/>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40" w:lineRule="exact"/>
        <w:rPr>
          <w:sz w:val="20"/>
          <w:szCs w:val="20"/>
          <w:color w:val="auto"/>
        </w:rPr>
      </w:pPr>
    </w:p>
    <w:p>
      <w:pPr>
        <w:ind w:left="960" w:right="180"/>
        <w:spacing w:after="0" w:line="303" w:lineRule="auto"/>
        <w:rPr>
          <w:sz w:val="20"/>
          <w:szCs w:val="20"/>
          <w:color w:val="auto"/>
        </w:rPr>
      </w:pPr>
      <w:r>
        <w:rPr>
          <w:rFonts w:ascii="Arial" w:cs="Arial" w:eastAsia="Arial" w:hAnsi="Arial"/>
          <w:sz w:val="17"/>
          <w:szCs w:val="17"/>
          <w:color w:val="auto"/>
        </w:rPr>
        <w:t>collaborators have significant discretion in designing any clinical trials they operate pursuant to our collaboration agreements, including Bristol Myers Squibb’s ongoing Phase 2 cohort expansion of BMS-986249 and its Phase 1/2 clinical trial of BMS-986288, and may release data from such clinical trials, including with respect to our Probody therapeutics, without consulting us;</w:t>
      </w:r>
    </w:p>
    <w:p>
      <w:pPr>
        <w:spacing w:after="0" w:line="56" w:lineRule="exact"/>
        <w:rPr>
          <w:sz w:val="20"/>
          <w:szCs w:val="20"/>
          <w:color w:val="auto"/>
        </w:rPr>
      </w:pPr>
    </w:p>
    <w:p>
      <w:pPr>
        <w:ind w:left="960" w:right="60"/>
        <w:spacing w:after="0" w:line="279" w:lineRule="auto"/>
        <w:rPr>
          <w:sz w:val="20"/>
          <w:szCs w:val="20"/>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5" w:lineRule="exact"/>
        <w:rPr>
          <w:sz w:val="20"/>
          <w:szCs w:val="20"/>
          <w:color w:val="auto"/>
        </w:rPr>
      </w:pPr>
    </w:p>
    <w:p>
      <w:pPr>
        <w:ind w:left="960" w:right="100"/>
        <w:spacing w:after="0" w:line="279" w:lineRule="auto"/>
        <w:rPr>
          <w:sz w:val="20"/>
          <w:szCs w:val="20"/>
          <w:color w:val="auto"/>
        </w:rPr>
      </w:pPr>
      <w:r>
        <w:rPr>
          <w:rFonts w:ascii="Arial" w:cs="Arial" w:eastAsia="Arial" w:hAnsi="Arial"/>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5" w:lineRule="exact"/>
        <w:rPr>
          <w:sz w:val="20"/>
          <w:szCs w:val="20"/>
          <w:color w:val="auto"/>
        </w:rPr>
      </w:pPr>
    </w:p>
    <w:p>
      <w:pPr>
        <w:ind w:left="960" w:right="540"/>
        <w:spacing w:after="0" w:line="293" w:lineRule="auto"/>
        <w:rPr>
          <w:sz w:val="20"/>
          <w:szCs w:val="20"/>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sz w:val="20"/>
          <w:szCs w:val="20"/>
          <w:color w:val="auto"/>
        </w:rPr>
      </w:pPr>
    </w:p>
    <w:p>
      <w:pPr>
        <w:ind w:left="960" w:right="80"/>
        <w:spacing w:after="0" w:line="279" w:lineRule="auto"/>
        <w:rPr>
          <w:sz w:val="20"/>
          <w:szCs w:val="20"/>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75" w:lineRule="exact"/>
        <w:rPr>
          <w:sz w:val="20"/>
          <w:szCs w:val="20"/>
          <w:color w:val="auto"/>
        </w:rPr>
      </w:pPr>
    </w:p>
    <w:p>
      <w:pPr>
        <w:ind w:left="960" w:right="520"/>
        <w:spacing w:after="0" w:line="293" w:lineRule="auto"/>
        <w:rPr>
          <w:sz w:val="20"/>
          <w:szCs w:val="20"/>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62" w:lineRule="exact"/>
        <w:rPr>
          <w:sz w:val="20"/>
          <w:szCs w:val="20"/>
          <w:color w:val="auto"/>
        </w:rPr>
      </w:pPr>
    </w:p>
    <w:p>
      <w:pPr>
        <w:ind w:left="960" w:right="80"/>
        <w:spacing w:after="0" w:line="359" w:lineRule="auto"/>
        <w:rPr>
          <w:sz w:val="20"/>
          <w:szCs w:val="20"/>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17" w:lineRule="exact"/>
        <w:rPr>
          <w:sz w:val="20"/>
          <w:szCs w:val="20"/>
          <w:color w:val="auto"/>
        </w:rPr>
      </w:pPr>
    </w:p>
    <w:p>
      <w:pPr>
        <w:ind w:left="960" w:right="1000"/>
        <w:spacing w:after="0" w:line="293" w:lineRule="auto"/>
        <w:rPr>
          <w:sz w:val="20"/>
          <w:szCs w:val="20"/>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ind w:right="580"/>
        <w:spacing w:after="0" w:line="282"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w:t>
      </w: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42" w:name="page43"/>
    <w:bookmarkEnd w:id="42"/>
    <w:p>
      <w:pPr>
        <w:spacing w:after="0" w:line="324" w:lineRule="auto"/>
        <w:rPr>
          <w:sz w:val="20"/>
          <w:szCs w:val="20"/>
          <w:color w:val="auto"/>
        </w:rPr>
      </w:pPr>
      <w:r>
        <w:rPr>
          <w:rFonts w:ascii="Arial" w:cs="Arial" w:eastAsia="Arial" w:hAnsi="Arial"/>
          <w:sz w:val="17"/>
          <w:szCs w:val="17"/>
          <w:color w:val="auto"/>
        </w:rPr>
        <w:t>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55" w:lineRule="exact"/>
        <w:rPr>
          <w:sz w:val="20"/>
          <w:szCs w:val="20"/>
          <w:color w:val="auto"/>
        </w:rPr>
      </w:pPr>
    </w:p>
    <w:p>
      <w:pPr>
        <w:ind w:right="140"/>
        <w:spacing w:after="0" w:line="394" w:lineRule="auto"/>
        <w:rPr>
          <w:sz w:val="20"/>
          <w:szCs w:val="20"/>
          <w:color w:val="auto"/>
        </w:rPr>
      </w:pPr>
      <w:r>
        <w:rPr>
          <w:rFonts w:ascii="Arial" w:cs="Arial" w:eastAsia="Arial" w:hAnsi="Arial"/>
          <w:sz w:val="15"/>
          <w:szCs w:val="15"/>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1"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Substantially all of our revenue to date has been derived from our existing collaboration agreements, including, most recently, the agreement that we entered into with Astellas in March 2020,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our 2013 collaboration agreement with them, and in January 2019, Bristol Myers Squibb terminated its programs for three targets that it had selected under our agreement with them.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spacing w:after="0" w:line="299"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6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5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available capital resources or capital constraints we experience;</w:t>
      </w:r>
    </w:p>
    <w:p>
      <w:pPr>
        <w:spacing w:after="0" w:line="131"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identify and enroll patients who meet clinical trial eligibility criteria;</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receipt of approvals by the FDA and other regulatory authorities and the timing thereof;</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other actions, decisions or rules issued by regulators;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efforts of our collaborators with respect to the commercialization of our products;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50"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praluzatamab ravtansine (CX-2009) as a result of the COVID-19 pandemic and the termination of the Phase 2 clinical trial of pacmilimab (CX-072) in combination with ipilimumab after a re-evaluation of the evolving clinical, competitive and commercial landscapes in immuno-oncology, taken together with impact of the COVID-19 pandemic. Further, we continue to see an impact as a result of the COVID-19 pandemic on our efforts, including ongoing clinical trial site activation and patient enrollment for praluzatamab ravtansine.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3" w:name="page44"/>
    <w:bookmarkEnd w:id="43"/>
    <w:p>
      <w:pPr>
        <w:ind w:right="180"/>
        <w:spacing w:after="0" w:line="293" w:lineRule="auto"/>
        <w:rPr>
          <w:sz w:val="20"/>
          <w:szCs w:val="20"/>
          <w:color w:val="auto"/>
        </w:rPr>
      </w:pPr>
      <w:r>
        <w:rPr>
          <w:rFonts w:ascii="Arial" w:cs="Arial" w:eastAsia="Arial" w:hAnsi="Arial"/>
          <w:sz w:val="18"/>
          <w:szCs w:val="18"/>
          <w:color w:val="auto"/>
        </w:rPr>
        <w:t>If we fail to achieve announced milestones in the timeframes we expect, the commercialization of any of our product candidates may be delayed, and our business and results of operations may be harmed.</w:t>
      </w:r>
    </w:p>
    <w:p>
      <w:pPr>
        <w:spacing w:after="0" w:line="278" w:lineRule="exact"/>
        <w:rPr>
          <w:sz w:val="20"/>
          <w:szCs w:val="20"/>
          <w:color w:val="auto"/>
        </w:rPr>
      </w:pPr>
    </w:p>
    <w:p>
      <w:pPr>
        <w:ind w:right="20"/>
        <w:spacing w:after="0" w:line="394"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Since commencing operations, we have entered into several collaboration agreements, including the agreement that we entered into with Astellas in March 2020.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86"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6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273" w:lineRule="exact"/>
        <w:rPr>
          <w:sz w:val="20"/>
          <w:szCs w:val="20"/>
          <w:color w:val="auto"/>
        </w:rPr>
      </w:pPr>
    </w:p>
    <w:p>
      <w:pPr>
        <w:ind w:right="80"/>
        <w:spacing w:after="0" w:line="329" w:lineRule="auto"/>
        <w:rPr>
          <w:sz w:val="20"/>
          <w:szCs w:val="20"/>
          <w:color w:val="auto"/>
        </w:rPr>
      </w:pPr>
      <w:r>
        <w:rPr>
          <w:rFonts w:ascii="Arial" w:cs="Arial" w:eastAsia="Arial" w:hAnsi="Arial"/>
          <w:sz w:val="16"/>
          <w:szCs w:val="16"/>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40"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 Furthermore, our third-party contractors, including CROs are being and may continue to be impacted in their ability to conduct our work as a result of the COVID-19 pandemic.</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4" w:name="page45"/>
    <w:bookmarkEnd w:id="44"/>
    <w:p>
      <w:pPr>
        <w:ind w:right="40"/>
        <w:spacing w:after="0" w:line="287"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286"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We are currently conducting and will continue to conduct clinical trials and will contract with third-party manufacturers in foreign countries, which could expose us to risks that could have a material adverse effect on the success of our business.</w:t>
      </w:r>
    </w:p>
    <w:p>
      <w:pPr>
        <w:spacing w:after="0" w:line="62"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We have enrolled or are planning to enroll patients in our clinical trials outside the United States, including in Europe, Australia and South Korea. Although the FDA may accept data from clinical trials conducted outside the United States, acceptance of this data is subject to certain conditions imposed by the FDA. For example, such clinical trials must be conducted in accordance with GCPs, and the FDA must be able to validate the data through an on-site inspection if deemed necessary. Conducting clinical trials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the severity of the COVID-19 pandemic in such jurisdictions;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pandemic, have disrupted and delayed and could in the future disrupt or delay enrollment in our clinical trials in Europe, South Korea and elsewhere.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spacing w:after="0" w:line="282"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rely on third-party contract manufacturers to manufacture our clinical trial and preclinical study product supplies which, in addition to having other issues, could be adversely impacted by the COVID-19 pandemic.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each of praluzatamab ravtansine (CX-2009), CX-2029, and pacmilimab (CX-072), our manufacturing supply chain includes several contract manufacturers, and failure by any of these manufacturers could result in interruptions of our clinical studies. For example, in November 2019, one of our contract manufacturers that manufactures pacmilimab experienced a production failure. If we had not been able to assure sufficient supplies of clinical trial drug product after the production failure, we may have been required to suspend any ongoing trials and postpone future trials. Although we have taken sufficient steps to assure our current supply of pacmilimab clinical trial drug product for our ongoing clinical trial and planned clinical trials, there can be no assurance that we will not have future production failures, which could affect our ability to conduct our trials for praluzatamab ravtansine, CX-2029, pacmilimab or any other clinical trial drug candidates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praluzatamab ravtansine. At the end of 2018, ImmunoGen closed their clinical manufacturing facility in Norwood, MA. This site provided clinical manufacturing support for the praluzatamab ravtansine program. We completed transfer of the drug substance manufacturing process from ImmunoGen to a CMO, where we have an existing relationship and which has expertise in the manufacture of antibody-drug conjugates at a clinical and commercial scale. While the manufacturing transfer process has been completed, there can be no assurance that we will not experience a disruption in the supply of praluzatamab ravtansine as a result of such transfer or that we will not experience any other disruption in the manufacture of praluzatamab ravtansine.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ind w:right="20"/>
        <w:spacing w:after="0" w:line="304"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pacmilimab manufacturing production failure our contract manufacturer experienced in November 2019,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 inability to initiate or continue clinical trials of product candidates under development;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 in submitting regulatory applications, or receiving regulatory approvals, for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loss of the cooperation of a collaborator;</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requirements to cease distribution or to recall batches of our product candidates;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5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supply chain for the manufacturing of our product candidates is complicated and can involve many parties. This is especially the case for our clinical-stage conditionally activated ADCs, praluzatamab ravtansine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293" w:lineRule="exact"/>
        <w:rPr>
          <w:sz w:val="20"/>
          <w:szCs w:val="20"/>
          <w:color w:val="auto"/>
        </w:rPr>
      </w:pPr>
    </w:p>
    <w:p>
      <w:pPr>
        <w:ind w:right="140"/>
        <w:spacing w:after="0" w:line="324"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39"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It may prove more challenging than we anticipate to manufacture products that incorporate our Probody therapeutic technology. In order to conduct clinical trials of our product candidates, including our clinical trials for praluzatamab ravtansine (CX-2009), CX-2029, and pacmilimab (CX-072), we will need to manufacture them in large quantities. To date, we have generally been able to successfully manufacture praluzatamab ravtansine, CX-2029, and pacmilimab for our ongoing early-stage clinical trials. However, in November 2019, we had a production failure at one of our contract manufacturers that manufactured pacmilimab for our Phase 1/2 clinical trial and for our future trials. If we had not been able to assure sufficient supplies of clinical trial drug product after the production failure, we may have been required to suspend any ongoing trials and postpone future trials. Although we have taken sufficient steps to assure our current supply of pacmilimab clinical trial drug product for our planned clinical trials, there can be no assurance that we will not have future production failures, which could affect our ability to conduct our trials for praluzatamab ravtansine, CX-2029, pacmilimab or any other clinical trial drug candidates on our planned timeline or at all. Furthermore, in order to conduct later stage clinical trials of our product candidates, such as our Phase 2 clinical trial for praluzatamab ravtansine,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larger drug manufacturing capability, including praluzatamab ravtansine drug product for late-stage clinical trials and commercialization.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6" w:name="page47"/>
    <w:bookmarkEnd w:id="46"/>
    <w:p>
      <w:pPr>
        <w:ind w:right="100"/>
        <w:spacing w:after="0" w:line="296" w:lineRule="auto"/>
        <w:rPr>
          <w:sz w:val="20"/>
          <w:szCs w:val="20"/>
          <w:color w:val="auto"/>
        </w:rPr>
      </w:pPr>
      <w:r>
        <w:rPr>
          <w:rFonts w:ascii="Arial" w:cs="Arial" w:eastAsia="Arial" w:hAnsi="Arial"/>
          <w:sz w:val="17"/>
          <w:szCs w:val="17"/>
          <w:color w:val="auto"/>
        </w:rPr>
        <w:t>manufacturing process will be successful or completed in a timely manner or that the FDA will not require additional development steps or studies from those we believe are necessary. If we are not able to scale up our manufacturing capabilities with respect to praluzatamab ravtansine, pacmilimab or any of our other product candidates, increase the life of drug stability of product candidates, or successfully complete the FDA’s bridging requirements, we may not be able to successfully obtain FDA approval and commercialize product candidates in a timely manner or at all.</w:t>
      </w:r>
    </w:p>
    <w:p>
      <w:pPr>
        <w:spacing w:after="0" w:line="17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Additionally, we were dependent on ImmunoGen under our collaboration for certain steps in the manufacturing of clinical quantities of praluzatamab ravtansine. At the end of 2018, ImmunoGen closed their clinical manufacturing facility in Norwood, Massachusetts, which provided clinical manufacturing support for the praluzatamab ravtansine program. We completed the transfer of the drug substance manufacturing process from ImmunoGen to a contract manufacturer, where we have an existing relationship and with expertise in the manufacture of antibody drug conjugates at a clinical and commercial scale. While the manufacturing transfer process has been completed, there can be no assurance that we will not experience a disruption in the supply of praluzatamab ravtansine in connection with such transfer or that we will not experience any other disruption in the manufacturing of praluzatamab ravtansine.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273"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Because we have limited financial and managerial resources, we focus on specific product candidates and indications, including praluzatamab ravtansine (CX-2009), CX-2029, and pacmilimab (CX-072).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including CX-2043 and CX-904,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 successfully.</w:t>
      </w:r>
    </w:p>
    <w:p>
      <w:pPr>
        <w:spacing w:after="0" w:line="131"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We will need to grow our organization substantially to continue development and pursue the potential commercialization of praluzatamab ravtansine (CX-2009), CX-2029, and pacmilimab (CX-072) and our other product candidates, including CX-2043 and CX-904,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93" w:lineRule="exact"/>
        <w:rPr>
          <w:sz w:val="20"/>
          <w:szCs w:val="20"/>
          <w:color w:val="auto"/>
        </w:rPr>
      </w:pPr>
    </w:p>
    <w:p>
      <w:pPr>
        <w:ind w:right="100"/>
        <w:spacing w:after="0" w:line="329"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4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ind w:right="40"/>
        <w:spacing w:after="0" w:line="286" w:lineRule="auto"/>
        <w:rPr>
          <w:sz w:val="20"/>
          <w:szCs w:val="20"/>
          <w:color w:val="auto"/>
        </w:rPr>
      </w:pPr>
      <w:r>
        <w:rPr>
          <w:rFonts w:ascii="Arial" w:cs="Arial" w:eastAsia="Arial" w:hAnsi="Arial"/>
          <w:sz w:val="16"/>
          <w:szCs w:val="16"/>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lead product candidates, including, praluzatamab ravtansine and CX-2029 are approved, they will compete with a range of therapeutic treatments that are either in development or currently marketed. A variety of oncology drugs and therapeutic biologics are currently on the market or in clinical development. The market for immunotherapies like pacmilimab (CX-072) is, in particular, highly competitive and the field is changing quickly. In March 2020, we made the strategic decision to terminate our Phase 2 study evaluating pacmilimab in combination ipilimumab. This decision followed a re-evaluation of the evolving clinical, competitive and commercial landscapes in immuno-oncology, taken together with impact of the COVID-19 pandemic.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7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Amunix, BioAtla, Halozyme, Harpoon Therapeutics, Maverick Therapeutics, Revitope, Roche, Seagen, Werewolf Therapeutics, and Xilio are exploring antibody masking and/or conditional activation strategies, which could compete with our Probody platform. We are also aware of several companies that are developing ADCs, such as AbbVie, ADC Therapeutics, Daiichi Sankyo, Gilead, ImmunoGen, Mersana Therapeutics, Pfizer, Roche Holding Ltd., Seagen,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spacing w:after="0" w:line="18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14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Our success largely depends on the continued service of key management, advisors and other specialized personnel, including Sean A. McCarthy, D.Phil., our president and chief executive officer, and Amy C. Peterson, M.D., our chief development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has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 and across the country.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8" w:name="page49"/>
    <w:bookmarkEnd w:id="48"/>
    <w:p>
      <w:pPr>
        <w:ind w:right="140"/>
        <w:spacing w:after="0" w:line="279"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61"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imposed in foreign markets may adversely affect our future profitability.</w:t>
      </w:r>
    </w:p>
    <w:p>
      <w:pPr>
        <w:spacing w:after="0" w:line="10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 -priced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293"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2"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We are exposed to significant product liability risks inherent in the development, testing, manufacturing and marketing of therapeutic treatments, including as a result of the clinical testing of praluzatamab ravtansine (CX-2009), CX-2029, BMS-986249, BMS-986288, pacmilimab (CX-072)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78" w:lineRule="exact"/>
        <w:rPr>
          <w:sz w:val="20"/>
          <w:szCs w:val="20"/>
          <w:color w:val="auto"/>
        </w:rPr>
      </w:pPr>
    </w:p>
    <w:p>
      <w:pPr>
        <w:ind w:right="720"/>
        <w:spacing w:after="0" w:line="293"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62"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ind w:right="40"/>
        <w:spacing w:after="0" w:line="292" w:lineRule="auto"/>
        <w:rPr>
          <w:sz w:val="20"/>
          <w:szCs w:val="20"/>
          <w:color w:val="auto"/>
        </w:rPr>
      </w:pPr>
      <w:r>
        <w:rPr>
          <w:rFonts w:ascii="Arial" w:cs="Arial" w:eastAsia="Arial" w:hAnsi="Arial"/>
          <w:sz w:val="17"/>
          <w:szCs w:val="17"/>
          <w:color w:val="auto"/>
        </w:rPr>
        <w:t>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282" w:lineRule="exact"/>
        <w:rPr>
          <w:sz w:val="20"/>
          <w:szCs w:val="20"/>
          <w:color w:val="auto"/>
        </w:rPr>
      </w:pPr>
    </w:p>
    <w:p>
      <w:pPr>
        <w:ind w:right="180"/>
        <w:spacing w:after="0" w:line="394" w:lineRule="auto"/>
        <w:rPr>
          <w:sz w:val="20"/>
          <w:szCs w:val="20"/>
          <w:color w:val="auto"/>
        </w:rPr>
      </w:pPr>
      <w:r>
        <w:rPr>
          <w:rFonts w:ascii="Arial" w:cs="Arial" w:eastAsia="Arial" w:hAnsi="Arial"/>
          <w:sz w:val="15"/>
          <w:szCs w:val="15"/>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1"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have gradually increased levels of our laboratory research activities, there can be no assurance that we will be able to continue to increase or maintain current levels of such activity or that the COVID-19 pandemic will not continue to impact our ability to conduct business.</w:t>
      </w:r>
    </w:p>
    <w:p>
      <w:pPr>
        <w:spacing w:after="0" w:line="170"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131"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 Additionally, for the purpose of revenue recognition, we are required to estimate research service periods as well as the related cost to completion, of our research development program. Such estimates are inherently uncertain and may result in changes in estimates to financial statements in subsequent periods.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31" w:lineRule="exact"/>
        <w:rPr>
          <w:sz w:val="20"/>
          <w:szCs w:val="20"/>
          <w:color w:val="auto"/>
        </w:rPr>
      </w:pPr>
    </w:p>
    <w:p>
      <w:pPr>
        <w:jc w:val="both"/>
        <w:ind w:right="120"/>
        <w:spacing w:after="0" w:line="299" w:lineRule="auto"/>
        <w:rPr>
          <w:sz w:val="20"/>
          <w:szCs w:val="20"/>
          <w:color w:val="auto"/>
        </w:rPr>
      </w:pPr>
      <w:r>
        <w:rPr>
          <w:rFonts w:ascii="Arial" w:cs="Arial" w:eastAsia="Arial" w:hAnsi="Arial"/>
          <w:sz w:val="16"/>
          <w:szCs w:val="16"/>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spacing w:after="0" w:line="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w:t>
      </w: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carryforwards could be limited by an “ownership change” as described above, which could result in additional increased tax liability to the Company.</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35"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7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179"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68"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85"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83" w:lineRule="exact"/>
        <w:rPr>
          <w:sz w:val="20"/>
          <w:szCs w:val="20"/>
          <w:color w:val="auto"/>
        </w:rPr>
      </w:pPr>
    </w:p>
    <w:p>
      <w:pPr>
        <w:ind w:left="960" w:right="320"/>
        <w:spacing w:after="0" w:line="293" w:lineRule="auto"/>
        <w:rPr>
          <w:sz w:val="20"/>
          <w:szCs w:val="20"/>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sz w:val="20"/>
          <w:szCs w:val="20"/>
          <w:color w:val="auto"/>
        </w:rPr>
      </w:pPr>
    </w:p>
    <w:p>
      <w:pPr>
        <w:ind w:left="960" w:right="680"/>
        <w:spacing w:after="0" w:line="293" w:lineRule="auto"/>
        <w:rPr>
          <w:sz w:val="20"/>
          <w:szCs w:val="20"/>
          <w:color w:val="auto"/>
        </w:rPr>
      </w:pPr>
      <w:r>
        <w:rPr>
          <w:rFonts w:ascii="Arial" w:cs="Arial" w:eastAsia="Arial" w:hAnsi="Arial"/>
          <w:sz w:val="18"/>
          <w:szCs w:val="18"/>
          <w:color w:val="auto"/>
        </w:rPr>
        <w:t>We or our licensors, or our collaborators are the first to make the inventions covered by each of our issued patents and pending patent applications that we own or license.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or our licensors, or our collaborators are the first to file patent applications covering certain aspects of our inventions.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ind w:left="960" w:right="980"/>
        <w:spacing w:after="0" w:line="293" w:lineRule="auto"/>
        <w:rPr>
          <w:sz w:val="20"/>
          <w:szCs w:val="20"/>
          <w:color w:val="auto"/>
        </w:rPr>
      </w:pPr>
      <w:r>
        <w:rPr>
          <w:rFonts w:ascii="Arial" w:cs="Arial" w:eastAsia="Arial" w:hAnsi="Arial"/>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develop additional proprietary technologies that are patentable.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42" w:lineRule="exact"/>
        <w:rPr>
          <w:sz w:val="20"/>
          <w:szCs w:val="20"/>
          <w:color w:val="auto"/>
        </w:rPr>
      </w:pPr>
    </w:p>
    <w:p>
      <w:pPr>
        <w:ind w:left="960" w:right="100"/>
        <w:spacing w:after="0" w:line="324" w:lineRule="auto"/>
        <w:rPr>
          <w:sz w:val="20"/>
          <w:szCs w:val="20"/>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55"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91" w:lineRule="exact"/>
        <w:rPr>
          <w:sz w:val="20"/>
          <w:szCs w:val="20"/>
          <w:color w:val="auto"/>
        </w:rPr>
      </w:pPr>
    </w:p>
    <w:p>
      <w:pPr>
        <w:jc w:val="both"/>
        <w:ind w:right="220"/>
        <w:spacing w:after="0" w:line="279"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8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85"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7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8"/>
          <w:szCs w:val="18"/>
          <w:i w:val="1"/>
          <w:iCs w:val="1"/>
          <w:color w:val="auto"/>
        </w:rPr>
        <w:t>inter alia</w:t>
      </w:r>
      <w:r>
        <w:rPr>
          <w:rFonts w:ascii="Arial" w:cs="Arial" w:eastAsia="Arial" w:hAnsi="Arial"/>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2" w:name="page53"/>
    <w:bookmarkEnd w:id="52"/>
    <w:p>
      <w:pPr>
        <w:jc w:val="both"/>
        <w:ind w:right="340"/>
        <w:spacing w:after="0" w:line="303" w:lineRule="auto"/>
        <w:rPr>
          <w:sz w:val="20"/>
          <w:szCs w:val="20"/>
          <w:color w:val="auto"/>
        </w:rPr>
      </w:pPr>
      <w:r>
        <w:rPr>
          <w:rFonts w:ascii="Arial" w:cs="Arial" w:eastAsia="Arial" w:hAnsi="Arial"/>
          <w:sz w:val="17"/>
          <w:szCs w:val="17"/>
          <w:color w:val="auto"/>
        </w:rPr>
        <w:t>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64"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77"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spacing w:after="0" w:line="163" w:lineRule="exact"/>
        <w:rPr>
          <w:sz w:val="20"/>
          <w:szCs w:val="20"/>
          <w:color w:val="auto"/>
        </w:rPr>
      </w:pPr>
    </w:p>
    <w:p>
      <w:pPr>
        <w:ind w:right="100"/>
        <w:spacing w:after="0" w:line="305" w:lineRule="auto"/>
        <w:rPr>
          <w:sz w:val="20"/>
          <w:szCs w:val="20"/>
          <w:color w:val="auto"/>
        </w:rPr>
      </w:pPr>
      <w:r>
        <w:rPr>
          <w:rFonts w:ascii="Arial" w:cs="Arial" w:eastAsia="Arial" w:hAnsi="Arial"/>
          <w:sz w:val="16"/>
          <w:szCs w:val="16"/>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69"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jc w:val="both"/>
        <w:ind w:right="420"/>
        <w:spacing w:after="0" w:line="279"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75"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42"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2"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ind w:right="140"/>
        <w:spacing w:after="0" w:line="279"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75"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81" w:lineRule="exact"/>
        <w:rPr>
          <w:sz w:val="20"/>
          <w:szCs w:val="20"/>
          <w:color w:val="auto"/>
        </w:rPr>
      </w:pPr>
    </w:p>
    <w:p>
      <w:pPr>
        <w:jc w:val="both"/>
        <w:ind w:right="160"/>
        <w:spacing w:after="0" w:line="279" w:lineRule="auto"/>
        <w:rPr>
          <w:sz w:val="20"/>
          <w:szCs w:val="20"/>
          <w:color w:val="auto"/>
        </w:rPr>
      </w:pPr>
      <w:r>
        <w:rPr>
          <w:rFonts w:ascii="Arial" w:cs="Arial" w:eastAsia="Arial" w:hAnsi="Arial"/>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75"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76" w:lineRule="exact"/>
        <w:rPr>
          <w:sz w:val="20"/>
          <w:szCs w:val="20"/>
          <w:color w:val="auto"/>
        </w:rPr>
      </w:pPr>
    </w:p>
    <w:p>
      <w:pPr>
        <w:ind w:right="120"/>
        <w:spacing w:after="0" w:line="230" w:lineRule="exact"/>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Arial" w:cs="Arial" w:eastAsia="Arial" w:hAnsi="Arial"/>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91"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284" w:lineRule="exact"/>
        <w:rPr>
          <w:sz w:val="20"/>
          <w:szCs w:val="20"/>
          <w:color w:val="auto"/>
        </w:rPr>
      </w:pPr>
    </w:p>
    <w:p>
      <w:pPr>
        <w:ind w:right="380"/>
        <w:spacing w:after="0" w:line="303"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55" w:name="page56"/>
    <w:bookmarkEnd w:id="55"/>
    <w:p>
      <w:pPr>
        <w:jc w:val="both"/>
        <w:ind w:right="280"/>
        <w:spacing w:after="0" w:line="279" w:lineRule="auto"/>
        <w:rPr>
          <w:sz w:val="20"/>
          <w:szCs w:val="20"/>
          <w:color w:val="auto"/>
        </w:rPr>
      </w:pPr>
      <w:r>
        <w:rPr>
          <w:rFonts w:ascii="Arial" w:cs="Arial" w:eastAsia="Arial" w:hAnsi="Arial"/>
          <w:sz w:val="18"/>
          <w:szCs w:val="18"/>
          <w:color w:val="auto"/>
        </w:rPr>
        <w:t>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91"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35"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at this time it is impossible to predict whether the COVID-19 pandemic will cause regulatory delays in the U.S. or foreign jurisdictions. It is possible that none of the product candidates we may develop will obtain the regulatory approvals necessary for us or our existing or future collaborators to begin selling them.</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uncertain impact of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7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92"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w:t>
      </w: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6" w:name="page57"/>
    <w:bookmarkEnd w:id="56"/>
    <w:p>
      <w:pPr>
        <w:ind w:right="80"/>
        <w:spacing w:after="0" w:line="293" w:lineRule="auto"/>
        <w:rPr>
          <w:sz w:val="20"/>
          <w:szCs w:val="20"/>
          <w:color w:val="auto"/>
        </w:rPr>
      </w:pPr>
      <w:r>
        <w:rPr>
          <w:rFonts w:ascii="Arial" w:cs="Arial" w:eastAsia="Arial" w:hAnsi="Arial"/>
          <w:sz w:val="18"/>
          <w:szCs w:val="18"/>
          <w:color w:val="auto"/>
        </w:rPr>
        <w:t>foreign jurisdictions. Moreover, the time required to obtain approval may differ from that required to obtain FDA approval. Approval by the FDA does not ensure approval by regulatory authorities outside the U.S. and vice versa.</w:t>
      </w:r>
    </w:p>
    <w:p>
      <w:pPr>
        <w:spacing w:after="0" w:line="27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7"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0" w:lineRule="exact"/>
        <w:rPr>
          <w:sz w:val="20"/>
          <w:szCs w:val="20"/>
          <w:color w:val="auto"/>
        </w:rPr>
      </w:pPr>
    </w:p>
    <w:p>
      <w:pPr>
        <w:ind w:left="960" w:right="180"/>
        <w:spacing w:after="0" w:line="293" w:lineRule="auto"/>
        <w:rPr>
          <w:sz w:val="20"/>
          <w:szCs w:val="20"/>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fines, warning letters or holds on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refusal by the FDA to approve pending applications or supplements to approved applications filed by us or our strategic partners;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suspension or revocation of product license approvals;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product seizure or detention or refusal to permit the import or export of products;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injunctions or the imposition of civil or criminal penalties.</w:t>
      </w:r>
    </w:p>
    <w:p>
      <w:pPr>
        <w:spacing w:after="0" w:line="23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the results of the 2020 U.S. Presidential Election may impact our business and industry. Namely,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whether or how these executive actions will be implemented, or whether they will be rescinded and replaced under the Biden administration. The policies and priorities of a new administration are unknown and could materially impact the regulations governing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18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spacing w:after="0" w:line="319" w:lineRule="auto"/>
        <w:rPr>
          <w:sz w:val="20"/>
          <w:szCs w:val="20"/>
          <w:color w:val="auto"/>
        </w:rPr>
      </w:pPr>
      <w:r>
        <w:rPr>
          <w:rFonts w:ascii="Arial" w:cs="Arial" w:eastAsia="Arial" w:hAnsi="Arial"/>
          <w:sz w:val="16"/>
          <w:szCs w:val="16"/>
          <w:color w:val="auto"/>
        </w:rPr>
        <w:t>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64"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statutory, regulatory, and policy changes, the FDA’s ability to hire and retain key personnel and accept the payment of user fees, and other events that may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otherwise affect the FDA’s ability to perform routine functions. Average review times at the FDA have fluctuated in recent years as a result. In addition,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government funding of other government agencies that fund research and development activities is inherently fluid and unpredictable. Disruptions at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FDA and other agencies may also slow the time necessary for therapeutic biologics or modifications to approved therapeutic biologics to be reviewed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and/or approved by necessary government agencies, which would adversely affect our business. For example, over the last several years, including for 35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days beginning on December 22, 2018, the U.S. government has shut down several times and certain regulatory agencies, such as the FDA, have had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furlough FDA employees and stop critical activities.</w:t>
      </w:r>
    </w:p>
    <w:p>
      <w:pPr>
        <w:spacing w:after="0" w:line="22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Separately, in response to the global pandemic of COVID-19,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Additionally, on April 15,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be appropriate.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and adverse effect on our business and results of operations.</w:t>
      </w:r>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8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or other challenges to the ACA, if any, will impact the ACA or our business.</w:t>
      </w:r>
    </w:p>
    <w:p>
      <w:pPr>
        <w:spacing w:after="0" w:line="163"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2, 2020 through December 31, 2021,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ind w:right="200"/>
        <w:spacing w:after="0" w:line="272" w:lineRule="auto"/>
        <w:rPr>
          <w:sz w:val="20"/>
          <w:szCs w:val="20"/>
          <w:color w:val="auto"/>
        </w:rPr>
      </w:pPr>
      <w:r>
        <w:rPr>
          <w:rFonts w:ascii="Arial" w:cs="Arial" w:eastAsia="Arial" w:hAnsi="Arial"/>
          <w:sz w:val="18"/>
          <w:szCs w:val="18"/>
          <w:color w:val="auto"/>
        </w:rPr>
        <w:t>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91"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 xml:space="preserve">Moreover, payment methodologies, including payment for companion diagnostics, may be subject to changes in healthcare legislation and regulatory initiatives. For example, the Centers for Medicare &amp; Medicaid Services (“CMS”) has begun bundling the Medicare payments for certain laboratory tests ordered while a patient received services in a hospital outpatient setting. Additionally, CMS significantly altered the payment methodology under the Medicare Clinical Laboratory Fee Schedule (CLFS). Effective 2018, the CFLS is based on a weighted average of reported prices that private payors, Medicare Advantage plans, and Medicaid Managed Care plans pay for laboratory services. Further, in March 2018,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7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Furthermore, with the new Presidential administration and both houses of Congress under the control of one party, which has promoted substantial changes to the healthcare system and drug pricing rules, some changes are likely. If certain of these changes are implemented, it could have a materially adverse impact on the ability of biotechnology and pharmaceutical companies, like us, to obtain capital to further their research or develop their product candidates make it economically unfeasible for such companies to continue to develop needed new innovative therapies.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295" w:lineRule="exact"/>
        <w:rPr>
          <w:sz w:val="20"/>
          <w:szCs w:val="20"/>
          <w:color w:val="auto"/>
        </w:rPr>
      </w:pPr>
    </w:p>
    <w:p>
      <w:pPr>
        <w:ind w:right="520"/>
        <w:spacing w:after="0" w:line="359"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1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84" w:lineRule="exact"/>
        <w:rPr>
          <w:sz w:val="20"/>
          <w:szCs w:val="20"/>
          <w:color w:val="auto"/>
        </w:rPr>
      </w:pPr>
    </w:p>
    <w:p>
      <w:pPr>
        <w:ind w:left="960" w:right="80"/>
        <w:spacing w:after="0" w:line="272" w:lineRule="auto"/>
        <w:rPr>
          <w:sz w:val="20"/>
          <w:szCs w:val="20"/>
          <w:color w:val="auto"/>
        </w:rPr>
      </w:pPr>
      <w:r>
        <w:rPr>
          <w:rFonts w:ascii="Arial" w:cs="Arial" w:eastAsia="Arial" w:hAnsi="Arial"/>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83" w:lineRule="exact"/>
        <w:rPr>
          <w:sz w:val="20"/>
          <w:szCs w:val="20"/>
          <w:color w:val="auto"/>
        </w:rPr>
      </w:pPr>
    </w:p>
    <w:p>
      <w:pPr>
        <w:ind w:left="960" w:right="40"/>
        <w:spacing w:after="0" w:line="282" w:lineRule="auto"/>
        <w:rPr>
          <w:sz w:val="20"/>
          <w:szCs w:val="20"/>
          <w:color w:val="auto"/>
        </w:rPr>
      </w:pPr>
      <w:r>
        <w:rPr>
          <w:rFonts w:ascii="Arial" w:cs="Arial" w:eastAsia="Arial" w:hAnsi="Arial"/>
          <w:sz w:val="17"/>
          <w:szCs w:val="17"/>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w:t>
      </w: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9" w:name="page60"/>
    <w:bookmarkEnd w:id="59"/>
    <w:p>
      <w:pPr>
        <w:ind w:left="960" w:right="120"/>
        <w:spacing w:after="0" w:line="293" w:lineRule="auto"/>
        <w:rPr>
          <w:sz w:val="20"/>
          <w:szCs w:val="20"/>
          <w:color w:val="auto"/>
        </w:rPr>
      </w:pPr>
      <w:r>
        <w:rPr>
          <w:rFonts w:ascii="Arial" w:cs="Arial" w:eastAsia="Arial" w:hAnsi="Arial"/>
          <w:sz w:val="18"/>
          <w:szCs w:val="18"/>
          <w:color w:val="auto"/>
        </w:rPr>
        <w:t>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62" w:lineRule="exact"/>
        <w:rPr>
          <w:sz w:val="20"/>
          <w:szCs w:val="20"/>
          <w:color w:val="auto"/>
        </w:rPr>
      </w:pPr>
    </w:p>
    <w:p>
      <w:pPr>
        <w:ind w:left="960" w:right="40"/>
        <w:spacing w:after="0" w:line="292" w:lineRule="auto"/>
        <w:rPr>
          <w:sz w:val="20"/>
          <w:szCs w:val="20"/>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6" w:lineRule="exact"/>
        <w:rPr>
          <w:sz w:val="20"/>
          <w:szCs w:val="20"/>
          <w:color w:val="auto"/>
        </w:rPr>
      </w:pPr>
    </w:p>
    <w:p>
      <w:pPr>
        <w:ind w:left="960" w:right="340"/>
        <w:spacing w:after="0" w:line="290" w:lineRule="auto"/>
        <w:rPr>
          <w:sz w:val="20"/>
          <w:szCs w:val="20"/>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teaching hospitals and, beginning in 2022, certain other health care professionals, as well as ownership and investment interests held by the physicians described above and their immediate family members; and</w:t>
      </w:r>
    </w:p>
    <w:p>
      <w:pPr>
        <w:spacing w:after="0" w:line="68" w:lineRule="exact"/>
        <w:rPr>
          <w:sz w:val="20"/>
          <w:szCs w:val="20"/>
          <w:color w:val="auto"/>
        </w:rPr>
      </w:pPr>
    </w:p>
    <w:p>
      <w:pPr>
        <w:ind w:left="960" w:right="60"/>
        <w:spacing w:after="0" w:line="314" w:lineRule="auto"/>
        <w:rPr>
          <w:sz w:val="20"/>
          <w:szCs w:val="20"/>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spacing w:after="0" w:line="16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82"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adverse regulatory inspection findings;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warning letters;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restrictions on, or prohibitions against, marketing our products;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restrictions on, or prohibitions against, importation or exportation of our products;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exclusion from participation in government-funded healthcare programs;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exclusion from eligibility for the award of government contracts for our products;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suspension or withdrawal of product approvals;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seizures or administrative detention of products;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injunctions;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civil and criminal penalties and fines.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0" w:name="page61"/>
    <w:bookmarkEnd w:id="60"/>
    <w:p>
      <w:pPr>
        <w:ind w:right="100"/>
        <w:spacing w:after="0" w:line="293"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2"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295"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We face regulation and potential liability related to the privacy, data protection and information security which may require significant resources and may adversely affect our business, operations and financial performance.</w:t>
      </w:r>
    </w:p>
    <w:p>
      <w:pPr>
        <w:spacing w:after="0" w:line="62"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The regulatory environment surrounding information security, data collection and privacy is increasingly demanding. We are subject to numerous U.S. federal and state laws and non-U.S. regulations governing the protection of personal and confidential information of our clinical subjects, clinical investigators, employees and vendors/business contacts, including in relation to medical records, credit card data and financial information. For example, on May 25, 2018, the European Union General Data Protection Regulation, or GDPR, became effective, implementing more stringent requirements in relation to our use of personal data relating to individuals located in the E.U. (and E.E.A.). The GDPR is directly applicable in all E.U. and E.E.A. member states. The GDPR significantly increased fining levels to up to 4% total worldwide annual turnover or up to €20 million (whichever is higher) for non-compliance with its requirements. Further, following the withdrawal of the United Kingdom from the E.U. and the expiry of the transition period, from January 1, 2021, we have to comply with the GDPR and separately the GDPR as implemented in the United Kingdom, with each regime having the ability to issue substantial fines. The relationship between the United Kingdom and the E.U. in relation to certain aspects of data protection law remains unclear, including how data transfers between E.U. member states and the United Kingdom will be treated. These changes may lead to additional compliance costs and could increase our overall risk. We will be subject to the GDPR where we have an E.U. presence or “establishment” (</w:t>
      </w:r>
      <w:r>
        <w:rPr>
          <w:rFonts w:ascii="Arial" w:cs="Arial" w:eastAsia="Arial" w:hAnsi="Arial"/>
          <w:sz w:val="17"/>
          <w:szCs w:val="17"/>
          <w:i w:val="1"/>
          <w:iCs w:val="1"/>
          <w:color w:val="auto"/>
        </w:rPr>
        <w:t>e.g</w:t>
      </w:r>
      <w:r>
        <w:rPr>
          <w:rFonts w:ascii="Arial" w:cs="Arial" w:eastAsia="Arial" w:hAnsi="Arial"/>
          <w:sz w:val="17"/>
          <w:szCs w:val="17"/>
          <w:color w:val="auto"/>
        </w:rPr>
        <w:t>., E.U. based subsidiary or operations), when conducting clinical trials with E.U. based data subjects (whether the trials are conducted directly by us or through a clinical vendor or collaborator) or offering approved products or services (if relevant) to E.U. and E.E.A. based data subjects (regardless of whether involving our E.U. based subsidiary or operations).</w:t>
      </w:r>
    </w:p>
    <w:p>
      <w:pPr>
        <w:spacing w:after="0" w:line="17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GDPR sets out a number of requirements that must be complied with when handling the personal data of such data subjects within the E.U. and the E.E.A.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the new mandatory data breach regime. In particular, medical or health data, genetic data and biometric data where the latter is used to uniquely identify an individual (even, in certain situations, where such data is key coded) are all classified as “special category” data under GDPR and afford greater protection and require additional compliance obligations. Further, E.U. and EEA member states have a broad right to impose additional conditions – including restrictions – on these data categories. This is because the GDPR allows E.U. and E.E.A. member states to derogate from the requirements of the GDPR mainly in regard to specific processing situations (including special category data and processing for scientific or statistical purposes).</w:t>
      </w:r>
    </w:p>
    <w:p>
      <w:pPr>
        <w:spacing w:after="0" w:line="165"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We will also be subject to evolving E.U. laws on data export, where we transfer data outside the E.U. (or E.E.A.) to group companies or third parties. Recent legal developments in Europe have created complexity and uncertainty regarding transfers of personal data from the E.E.A. to the United States. For example, on July 16, 2020, the Court of Justice of the European Union (CJEU) invalidated the EU-US Privacy Shield Framework (Privacy Shield) under which personal data could be transferred from the E.E.A. to United States entities which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ind w:right="100"/>
        <w:spacing w:after="0" w:line="271" w:lineRule="auto"/>
        <w:rPr>
          <w:sz w:val="20"/>
          <w:szCs w:val="20"/>
          <w:color w:val="auto"/>
        </w:rPr>
      </w:pPr>
      <w:r>
        <w:rPr>
          <w:rFonts w:ascii="Arial" w:cs="Arial" w:eastAsia="Arial" w:hAnsi="Arial"/>
          <w:sz w:val="18"/>
          <w:szCs w:val="18"/>
          <w:color w:val="auto"/>
        </w:rPr>
        <w:t>nature of these additional measures is currently uncertain. These recent developments will require us to review and amend the legal mechanisms by which we transfer personal data from the E.E.A. to the United States.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7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Where we rely on third parties to carry out a number of services for us, including processing personal data on our behalf, we are required under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our customers to lose trust in us, which could have an adverse impact on our reputation and business.</w:t>
      </w:r>
    </w:p>
    <w:p>
      <w:pPr>
        <w:spacing w:after="0" w:line="18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recent years, U.S. and European lawmakers and regulators have expressed concern over electronic marketing and the use of third-party cookies, web beacons and similar technology for online behavioral advertising. In the E.U., marketing is defined broadly to include any promotional material and the rules specifically on e-marketing are currently set out in the ePrivacy Directive which will be replaced by a new ePrivacy Regulation. While the ePrivacy Regulation was originally intended to be adopted on May 25, 2018 (alongside the GDPR), it is still going through the European legislative process. The current draft of the ePrivacy Regulation imposes strict opt-in e-marketing rules with limited exceptions to business to business communications and significantly increases fining powers to the same levels as GDPR (see above). Regulation of cookies and web beacons may lead to broader restrictions on our online activities, including efforts to understand followers’ internet usage and promote ourselves to them.</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may find it necessary or desirable to join self-regulatory bodies or other privacy-related organizations, particularly relating to biopharmacy and/or scientific research, that require compliance with their rules pertaining to privacy and data security.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United States, California enacted the California Consumer Privacy Act (“CCPA”) on June 28, 2018,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any person, including any of our employees, clinical vendors or collaborators or those with whom we share such information, negligently disregards or intentionally breaches our established controls with respect to our clinical subject, clinical investigator or employee data, or otherwise mismanages or misappropriates that data, we could be subject to significant monetary damages, regulatory enforcement actions, fines and/or criminal prosecution in one or more jurisdictions. As above, under the GDPR there are significant new punishments for non-compliance which could result in a penalty of up to 4% of a firm’s global annual revenue. In addition, a data breach could result in negative publicity which could damage our reputation and have an adverse effect on our business, financial condition or results of operations.</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Efforts to comply with these and other data privacy and security restrictions that may be enacted could require us to modify our data processing practices and policies and increase the cost of our operations. 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in the future. If we become liable under laws or regulations applicable to us, we could be required to pay significant fines and penalties, our reputation may be harmed and we may be forced to change the way we operate. That could require us to incur significant expenses or to discontinue certain services, which could negatively affect our business.</w:t>
      </w:r>
    </w:p>
    <w:p>
      <w:pPr>
        <w:spacing w:after="0" w:line="299"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2"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67"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w:t>
      </w: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2" w:name="page63"/>
    <w:bookmarkEnd w:id="62"/>
    <w:p>
      <w:pPr>
        <w:ind w:right="40"/>
        <w:spacing w:after="0" w:line="267" w:lineRule="auto"/>
        <w:rPr>
          <w:sz w:val="20"/>
          <w:szCs w:val="20"/>
          <w:color w:val="auto"/>
        </w:rPr>
      </w:pPr>
      <w:r>
        <w:rPr>
          <w:rFonts w:ascii="Arial" w:cs="Arial" w:eastAsia="Arial" w:hAnsi="Arial"/>
          <w:sz w:val="16"/>
          <w:szCs w:val="16"/>
          <w:color w:val="auto"/>
        </w:rPr>
        <w:t>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200" w:lineRule="exact"/>
        <w:rPr>
          <w:sz w:val="20"/>
          <w:szCs w:val="20"/>
          <w:color w:val="auto"/>
        </w:rPr>
      </w:pPr>
    </w:p>
    <w:p>
      <w:pPr>
        <w:spacing w:after="0" w:line="28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91"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4"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Product candidates may also be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7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3" w:name="page64"/>
    <w:bookmarkEnd w:id="63"/>
    <w:p>
      <w:pPr>
        <w:spacing w:after="0" w:line="255" w:lineRule="auto"/>
        <w:rPr>
          <w:sz w:val="20"/>
          <w:szCs w:val="20"/>
          <w:color w:val="auto"/>
        </w:rPr>
      </w:pPr>
      <w:r>
        <w:rPr>
          <w:rFonts w:ascii="Arial" w:cs="Arial" w:eastAsia="Arial" w:hAnsi="Arial"/>
          <w:sz w:val="17"/>
          <w:szCs w:val="17"/>
          <w:color w:val="auto"/>
        </w:rPr>
        <w:t>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9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condition. Even after an orphan product is approved, the FDA can subsequently approve the same drug or therapeutic biologic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65" w:lineRule="exact"/>
        <w:rPr>
          <w:sz w:val="20"/>
          <w:szCs w:val="20"/>
          <w:color w:val="auto"/>
        </w:rPr>
      </w:pPr>
    </w:p>
    <w:p>
      <w:pPr>
        <w:ind w:right="120"/>
        <w:spacing w:after="0" w:line="359" w:lineRule="auto"/>
        <w:rPr>
          <w:sz w:val="20"/>
          <w:szCs w:val="20"/>
          <w:color w:val="auto"/>
        </w:rPr>
      </w:pPr>
      <w:r>
        <w:rPr>
          <w:rFonts w:ascii="Arial" w:cs="Arial" w:eastAsia="Arial" w:hAnsi="Arial"/>
          <w:sz w:val="16"/>
          <w:szCs w:val="16"/>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35"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960" w:right="140"/>
        <w:spacing w:after="0" w:line="293" w:lineRule="auto"/>
        <w:rPr>
          <w:sz w:val="20"/>
          <w:szCs w:val="20"/>
          <w:color w:val="auto"/>
        </w:rPr>
      </w:pPr>
      <w:r>
        <w:rPr>
          <w:rFonts w:ascii="Arial" w:cs="Arial" w:eastAsia="Arial" w:hAnsi="Arial"/>
          <w:sz w:val="18"/>
          <w:szCs w:val="18"/>
          <w:color w:val="auto"/>
        </w:rPr>
        <w:t>variations in the level of expense related to the ongoing development of our Probody platform, our product candidates or future development programs;</w:t>
      </w:r>
    </w:p>
    <w:p>
      <w:pPr>
        <w:spacing w:after="0" w:line="62"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62" w:lineRule="exact"/>
        <w:rPr>
          <w:sz w:val="20"/>
          <w:szCs w:val="20"/>
          <w:color w:val="auto"/>
        </w:rPr>
      </w:pPr>
    </w:p>
    <w:p>
      <w:pPr>
        <w:ind w:left="960" w:right="220"/>
        <w:spacing w:after="0" w:line="293" w:lineRule="auto"/>
        <w:rPr>
          <w:sz w:val="20"/>
          <w:szCs w:val="20"/>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2" w:lineRule="exact"/>
        <w:rPr>
          <w:sz w:val="20"/>
          <w:szCs w:val="20"/>
          <w:color w:val="auto"/>
        </w:rPr>
      </w:pPr>
    </w:p>
    <w:p>
      <w:pPr>
        <w:ind w:left="960" w:right="240"/>
        <w:spacing w:after="0" w:line="293" w:lineRule="auto"/>
        <w:rPr>
          <w:sz w:val="20"/>
          <w:szCs w:val="20"/>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sz w:val="20"/>
          <w:szCs w:val="20"/>
          <w:color w:val="auto"/>
        </w:rPr>
      </w:pPr>
    </w:p>
    <w:p>
      <w:pPr>
        <w:ind w:left="960" w:right="480"/>
        <w:spacing w:after="0" w:line="293" w:lineRule="auto"/>
        <w:rPr>
          <w:sz w:val="20"/>
          <w:szCs w:val="20"/>
          <w:color w:val="auto"/>
        </w:rPr>
      </w:pPr>
      <w:r>
        <w:rPr>
          <w:rFonts w:ascii="Arial" w:cs="Arial" w:eastAsia="Arial" w:hAnsi="Arial"/>
          <w:sz w:val="18"/>
          <w:szCs w:val="18"/>
          <w:color w:val="auto"/>
        </w:rPr>
        <w:t>any intellectual property infringement lawsuit or opposition, interference or cancellation proceeding in which we may become involved, including the ongoing patent infringement lawsuit brought by Vytacera against us;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additions and departures of key personnel;</w:t>
      </w:r>
    </w:p>
    <w:p>
      <w:pPr>
        <w:spacing w:after="0" w:line="131" w:lineRule="exact"/>
        <w:rPr>
          <w:sz w:val="20"/>
          <w:szCs w:val="20"/>
          <w:color w:val="auto"/>
        </w:rPr>
      </w:pPr>
    </w:p>
    <w:p>
      <w:pPr>
        <w:ind w:left="960" w:right="300"/>
        <w:spacing w:after="0" w:line="293" w:lineRule="auto"/>
        <w:rPr>
          <w:sz w:val="20"/>
          <w:szCs w:val="20"/>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sz w:val="20"/>
          <w:szCs w:val="20"/>
          <w:color w:val="auto"/>
        </w:rPr>
      </w:pPr>
    </w:p>
    <w:p>
      <w:pPr>
        <w:ind w:left="960" w:right="3780"/>
        <w:spacing w:after="0" w:line="418" w:lineRule="auto"/>
        <w:rPr>
          <w:sz w:val="20"/>
          <w:szCs w:val="20"/>
          <w:color w:val="auto"/>
        </w:rPr>
      </w:pPr>
      <w:r>
        <w:rPr>
          <w:rFonts w:ascii="Arial" w:cs="Arial" w:eastAsia="Arial" w:hAnsi="Arial"/>
          <w:sz w:val="18"/>
          <w:szCs w:val="18"/>
          <w:color w:val="auto"/>
        </w:rPr>
        <w:t>regulatory developments affecting our product candidates or those of our competitors; and changes in general market and economic conditions.</w:t>
      </w:r>
    </w:p>
    <w:p>
      <w:pPr>
        <w:spacing w:after="0" w:line="62"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common stock could incur substantial losses.</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Our stock price is volatile. Since our initial public offering (“IPO”), our stock had low and high sales prices in the range of $3.60 and $35.00 per share. The market price for our common stock may be influenced by many factors, including the other risks described in this section titled “Risk Factors” and the following:</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results of clinical trials and preclinical studies of our product candidates, or those of our competitors or our collaborators;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success of competitive products or technologies;</w:t>
      </w:r>
    </w:p>
    <w:p>
      <w:pPr>
        <w:spacing w:after="0" w:line="131"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42" w:lineRule="exact"/>
        <w:rPr>
          <w:sz w:val="20"/>
          <w:szCs w:val="20"/>
          <w:color w:val="auto"/>
        </w:rPr>
      </w:pPr>
    </w:p>
    <w:p>
      <w:pPr>
        <w:ind w:left="960"/>
        <w:spacing w:after="0" w:line="359" w:lineRule="auto"/>
        <w:rPr>
          <w:sz w:val="20"/>
          <w:szCs w:val="20"/>
          <w:color w:val="auto"/>
        </w:rPr>
      </w:pPr>
      <w:r>
        <w:rPr>
          <w:rFonts w:ascii="Arial" w:cs="Arial" w:eastAsia="Arial" w:hAnsi="Arial"/>
          <w:sz w:val="16"/>
          <w:szCs w:val="16"/>
          <w:color w:val="auto"/>
        </w:rPr>
        <w:t>the extent to which the COVID-19 pandemic and related governmental regulations and restrictions may impact our business, including our research, clinical trials, manufacturing and financial condition, as well as the impact of other pandemics, natural disasters and other calamities;</w:t>
      </w:r>
    </w:p>
    <w:p>
      <w:pPr>
        <w:spacing w:after="0" w:line="17" w:lineRule="exact"/>
        <w:rPr>
          <w:sz w:val="20"/>
          <w:szCs w:val="20"/>
          <w:color w:val="auto"/>
        </w:rPr>
      </w:pPr>
    </w:p>
    <w:p>
      <w:pPr>
        <w:ind w:left="960" w:right="2080"/>
        <w:spacing w:after="0" w:line="440" w:lineRule="auto"/>
        <w:rPr>
          <w:sz w:val="20"/>
          <w:szCs w:val="20"/>
          <w:color w:val="auto"/>
        </w:rPr>
      </w:pPr>
      <w:r>
        <w:rPr>
          <w:rFonts w:ascii="Arial" w:cs="Arial" w:eastAsia="Arial" w:hAnsi="Arial"/>
          <w:sz w:val="16"/>
          <w:szCs w:val="16"/>
          <w:color w:val="auto"/>
        </w:rPr>
        <w:t>actual or anticipated variations in our financial results or those of companies that are perceived to be similar to us; the success of our efforts to acquire or in-license additional technologies, products or product candidates;</w:t>
      </w:r>
    </w:p>
    <w:p>
      <w:pPr>
        <w:ind w:left="960" w:right="260"/>
        <w:spacing w:after="0" w:line="293" w:lineRule="auto"/>
        <w:rPr>
          <w:sz w:val="20"/>
          <w:szCs w:val="20"/>
          <w:color w:val="auto"/>
        </w:rPr>
      </w:pPr>
      <w:r>
        <w:rPr>
          <w:rFonts w:ascii="Arial" w:cs="Arial" w:eastAsia="Arial" w:hAnsi="Arial"/>
          <w:sz w:val="18"/>
          <w:szCs w:val="18"/>
          <w:color w:val="auto"/>
        </w:rPr>
        <w:t>developments concerning any existing or future collaborations, including but not limited to those with our sources of manufacturing supply and our commercialization partners;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market conditions in the pharmaceutical and biotechnology sectors;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42" w:lineRule="exact"/>
        <w:rPr>
          <w:sz w:val="20"/>
          <w:szCs w:val="20"/>
          <w:color w:val="auto"/>
        </w:rPr>
      </w:pPr>
    </w:p>
    <w:p>
      <w:pPr>
        <w:ind w:left="960" w:right="240"/>
        <w:spacing w:after="0" w:line="293" w:lineRule="auto"/>
        <w:rPr>
          <w:sz w:val="20"/>
          <w:szCs w:val="20"/>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or inability to raise additional capital and the terms on which we raise it;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recruitment or departure of key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the structure of healthcare payment systems;</w:t>
      </w:r>
    </w:p>
    <w:p>
      <w:pPr>
        <w:spacing w:after="0" w:line="131" w:lineRule="exact"/>
        <w:rPr>
          <w:sz w:val="20"/>
          <w:szCs w:val="20"/>
          <w:color w:val="auto"/>
        </w:rPr>
      </w:pPr>
    </w:p>
    <w:p>
      <w:pPr>
        <w:ind w:left="960" w:right="220"/>
        <w:spacing w:after="0" w:line="293" w:lineRule="auto"/>
        <w:rPr>
          <w:sz w:val="20"/>
          <w:szCs w:val="20"/>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fluctuations in the valuation of companies perceived by investors to be comparable to us;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announcement and expectation of additional financing efforts;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speculation in the press or investment community;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trading volume of our common stock;</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sales of our common stock by us or our stockholders;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concentrated ownership of our common stock;</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accounting principles;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terrorist acts, acts of war or periods of widespread civil unrest;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natural disasters and other calamities;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economic, industry and market conditions.</w:t>
      </w:r>
    </w:p>
    <w:p>
      <w:pPr>
        <w:spacing w:after="0" w:line="239"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color w:val="auto"/>
        </w:rPr>
        <w:t>The stock markets in general, and the markets for pharmaceutical, biopharmaceutical and biotechnology stocks in particular, have experienced extreme volatility, including as a result of the COVID-19 pandemic, that has been often unrelated to the operating performance</w:t>
      </w: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of the issuer. These broad market and industry factors may seriously harm the market price of our common stock, regardless of our operating performance.</w:t>
      </w:r>
    </w:p>
    <w:p>
      <w:pPr>
        <w:spacing w:after="0" w:line="262"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January and February 2021, we sold 16,428,571 shares of our common stock at $7.00 per share in an underwritten public offering.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78" w:lineRule="exact"/>
        <w:rPr>
          <w:sz w:val="20"/>
          <w:szCs w:val="20"/>
          <w:color w:val="auto"/>
        </w:rPr>
      </w:pPr>
    </w:p>
    <w:p>
      <w:pPr>
        <w:ind w:right="720"/>
        <w:spacing w:after="0" w:line="293" w:lineRule="auto"/>
        <w:rPr>
          <w:sz w:val="20"/>
          <w:szCs w:val="20"/>
          <w:color w:val="auto"/>
        </w:rPr>
      </w:pPr>
      <w:r>
        <w:rPr>
          <w:rFonts w:ascii="Arial" w:cs="Arial" w:eastAsia="Arial" w:hAnsi="Arial"/>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131" w:lineRule="exact"/>
        <w:rPr>
          <w:sz w:val="20"/>
          <w:szCs w:val="20"/>
          <w:color w:val="auto"/>
        </w:rPr>
      </w:pPr>
    </w:p>
    <w:p>
      <w:pPr>
        <w:ind w:right="180"/>
        <w:spacing w:after="0" w:line="292"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2"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June 30, 2021, our executive officers, directors, holders of 5% or more of our capital stock based on publicly available filings made with the SEC and their respective affiliates beneficially owned approximately 20%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299" w:lineRule="exact"/>
        <w:rPr>
          <w:sz w:val="20"/>
          <w:szCs w:val="20"/>
          <w:color w:val="auto"/>
        </w:rPr>
      </w:pPr>
    </w:p>
    <w:p>
      <w:pPr>
        <w:ind w:right="820"/>
        <w:spacing w:after="0" w:line="359"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w:t>
      </w: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6" w:name="page67"/>
    <w:bookmarkEnd w:id="66"/>
    <w:p>
      <w:pPr>
        <w:ind w:right="280"/>
        <w:spacing w:after="0" w:line="293" w:lineRule="auto"/>
        <w:rPr>
          <w:sz w:val="20"/>
          <w:szCs w:val="20"/>
          <w:color w:val="auto"/>
        </w:rPr>
      </w:pPr>
      <w:r>
        <w:rPr>
          <w:rFonts w:ascii="Arial" w:cs="Arial" w:eastAsia="Arial" w:hAnsi="Arial"/>
          <w:sz w:val="18"/>
          <w:szCs w:val="18"/>
          <w:color w:val="auto"/>
        </w:rPr>
        <w:t>of directors is responsible for appointing the members of our management team, these provisions could in turn affect any attempt by our stockholders to replace current members of our management team. These provisions include: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prohibition on actions by our stockholders by written consent;</w:t>
      </w:r>
    </w:p>
    <w:p>
      <w:pPr>
        <w:spacing w:after="0" w:line="131" w:lineRule="exact"/>
        <w:rPr>
          <w:sz w:val="20"/>
          <w:szCs w:val="20"/>
          <w:color w:val="auto"/>
        </w:rPr>
      </w:pPr>
    </w:p>
    <w:p>
      <w:pPr>
        <w:ind w:left="960" w:right="120"/>
        <w:spacing w:after="0" w:line="272" w:lineRule="auto"/>
        <w:rPr>
          <w:sz w:val="20"/>
          <w:szCs w:val="20"/>
          <w:color w:val="auto"/>
        </w:rPr>
      </w:pPr>
      <w:r>
        <w:rPr>
          <w:rFonts w:ascii="Arial" w:cs="Arial" w:eastAsia="Arial" w:hAnsi="Arial"/>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8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division of our board of directors into three classes, serving staggered terms of three years each;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39"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99"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4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However, if we are not able to comply with the requirements of Section 404,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295"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jc w:val="center"/>
        <w:ind w:right="140"/>
        <w:spacing w:after="0" w:line="27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our expected stock volatility.</w:t>
      </w:r>
    </w:p>
    <w:p>
      <w:pPr>
        <w:spacing w:after="0" w:line="131"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8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spacing w:after="0" w:line="271"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5"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assets or form strategic alliances in the future, and we may not realize the benefits of such acquisitions</w:t>
      </w:r>
      <w:r>
        <w:rPr>
          <w:rFonts w:ascii="Arial" w:cs="Arial" w:eastAsia="Arial" w:hAnsi="Arial"/>
          <w:sz w:val="18"/>
          <w:szCs w:val="18"/>
          <w:color w:val="auto"/>
        </w:rPr>
        <w:t>.</w:t>
      </w:r>
    </w:p>
    <w:p>
      <w:pPr>
        <w:spacing w:after="0" w:line="1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65"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may encounter unexpected difficulties, or incur unexpected costs, in connection with transition activities and integration efforts, which include:</w:t>
      </w:r>
    </w:p>
    <w:p>
      <w:pPr>
        <w:spacing w:after="0" w:line="14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high acquisition costs;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potential disruption of our historical business and our activities under our collaboration agreements;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strain on, and need to expand, our existing operational, technical, financial and administrative infrastructure;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lack of experience in late-stage product development and commercialization;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difficulties in assimilating employees and corporate cultures;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difficulties in hiring qualified personnel and establishing necessary development and/or commercialization capabilities;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failure to retain key management and other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need to write down assets or recognize impairment charges;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23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28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76"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286"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62"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Our information technology and other internal infrastructure systems and those of our CROs and contractors and consultants, including corporate firewalls, servers, leased lines and connection to the Internet, face the risk of systemic failure and may be vulnerable to damage from computer viruses, unauthorized access, natural disasters, terrorism, war and telecommunication and electrical failures. Such events could cause interruptions of our operations. For instance, the loss of data from any current or future clinical trial or data from any preclinical studies involving our product candidates could result in delays in our development and regulatory filing efforts and significantly increase our costs. These challenges have been made more difficult by the COVID-19 pandemic and resulting shelter-in-place and stay-at-home restrictions, which are driving greater dependency on remote working technology and electronic monitoring of clinical trial sites.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9" w:name="page70"/>
    <w:bookmarkEnd w:id="69"/>
    <w:p>
      <w:pPr>
        <w:ind w:right="160"/>
        <w:spacing w:after="0" w:line="293"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our information, including the theft of our intellectual property, and could expose us to liability, which could cause our business and reputation to suffer.</w:t>
      </w:r>
    </w:p>
    <w:p>
      <w:pPr>
        <w:spacing w:after="0" w:line="48"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The size and complexity of our information technology systems, and those of third-party vendors with whom we contract, and the volume of data we retain, make such systems potentially vulnerable to breakdown, malicious intrusion, security breaches and other cyber-attacks. Information security risks have significantly increased in recent years in part due to the proliferation of new technologies and the increased sophistication and activities of organized crime, hackers, terrorists and other external parties, including foreign private parties and state actors. A security breach or privacy violation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Additionally, theft of our intellectual property or proprietary business information could require substantial expenditures to remedy.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 Moreover, the prevalent use of mobile devices that access confidential information increases the risk of data security breaches, which could lead to the loss of confidential information, trade secrets or other intellectual property. 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2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89"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62"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In addition, it is uncertain if and to what extent various states will conform to the Tax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could result in significant one-time charges, and could increase our future tax expense. Recent presidential candidate proposals for U.S. tax legislation could have a material adverse effect on our future business, financial condition and results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0" w:name="page71"/>
    <w:bookmarkEnd w:id="70"/>
    <w:p>
      <w:pPr>
        <w:ind w:right="220"/>
        <w:spacing w:after="0" w:line="29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Shares or of Company Equity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180"/>
          </w:cols>
          <w:pgMar w:left="320" w:top="364" w:right="39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Exhibit</w:t>
      </w:r>
    </w:p>
    <w:p>
      <w:pPr>
        <w:spacing w:after="0" w:line="25" w:lineRule="exact"/>
        <w:rPr>
          <w:sz w:val="20"/>
          <w:szCs w:val="20"/>
          <w:color w:val="auto"/>
        </w:rPr>
      </w:pPr>
    </w:p>
    <w:p>
      <w:pPr>
        <w:ind w:left="400"/>
        <w:spacing w:after="0"/>
        <w:tabs>
          <w:tab w:leader="none" w:pos="36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45688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9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87"/>
              </w:rPr>
              <w:t>3.1</w:t>
            </w:r>
          </w:p>
        </w:tc>
        <w:tc>
          <w:tcPr>
            <w:tcW w:w="5840" w:type="dxa"/>
            <w:vAlign w:val="bottom"/>
            <w:gridSpan w:val="12"/>
          </w:tcPr>
          <w:p>
            <w:pPr>
              <w:spacing w:after="0"/>
              <w:rPr>
                <w:rFonts w:ascii="Arial" w:cs="Arial" w:eastAsia="Arial" w:hAnsi="Arial"/>
                <w:sz w:val="18"/>
                <w:szCs w:val="18"/>
                <w:color w:val="0000FF"/>
              </w:rPr>
            </w:pPr>
            <w:hyperlink r:id="rId256">
              <w:r>
                <w:rPr>
                  <w:rFonts w:ascii="Arial" w:cs="Arial" w:eastAsia="Arial" w:hAnsi="Arial"/>
                  <w:sz w:val="18"/>
                  <w:szCs w:val="18"/>
                  <w:color w:val="0000FF"/>
                </w:rPr>
                <w:t>Amended and Restated Certificate of Incorporation.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vMerge w:val="restart"/>
          </w:tcPr>
          <w:p>
            <w:pPr>
              <w:jc w:val="center"/>
              <w:ind w:right="310"/>
              <w:spacing w:after="0"/>
              <w:rPr>
                <w:sz w:val="20"/>
                <w:szCs w:val="20"/>
                <w:color w:val="auto"/>
              </w:rPr>
            </w:pPr>
            <w:r>
              <w:rPr>
                <w:rFonts w:ascii="Arial" w:cs="Arial" w:eastAsia="Arial" w:hAnsi="Arial"/>
                <w:sz w:val="18"/>
                <w:szCs w:val="18"/>
                <w:color w:val="auto"/>
                <w:w w:val="87"/>
              </w:rPr>
              <w:t>3.2</w:t>
            </w:r>
          </w:p>
        </w:tc>
        <w:tc>
          <w:tcPr>
            <w:tcW w:w="5400" w:type="dxa"/>
            <w:vAlign w:val="bottom"/>
            <w:gridSpan w:val="8"/>
          </w:tcPr>
          <w:p>
            <w:pPr>
              <w:spacing w:after="0"/>
              <w:rPr>
                <w:rFonts w:ascii="Arial" w:cs="Arial" w:eastAsia="Arial" w:hAnsi="Arial"/>
                <w:sz w:val="16"/>
                <w:szCs w:val="16"/>
                <w:color w:val="0000FF"/>
                <w:w w:val="92"/>
              </w:rPr>
            </w:pPr>
            <w:hyperlink r:id="rId257">
              <w:r>
                <w:rPr>
                  <w:rFonts w:ascii="Arial" w:cs="Arial" w:eastAsia="Arial" w:hAnsi="Arial"/>
                  <w:sz w:val="16"/>
                  <w:szCs w:val="16"/>
                  <w:color w:val="0000FF"/>
                  <w:w w:val="92"/>
                </w:rPr>
                <w:t>Certificate of Amendment to Amended and Restated Certificate of Incorporation of</w:t>
              </w:r>
            </w:hyperlink>
          </w:p>
        </w:tc>
        <w:tc>
          <w:tcPr>
            <w:tcW w:w="24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4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5840" w:type="dxa"/>
            <w:vAlign w:val="bottom"/>
            <w:gridSpan w:val="12"/>
          </w:tcPr>
          <w:p>
            <w:pPr>
              <w:spacing w:after="0" w:line="183" w:lineRule="exact"/>
              <w:rPr>
                <w:rFonts w:ascii="Arial" w:cs="Arial" w:eastAsia="Arial" w:hAnsi="Arial"/>
                <w:sz w:val="16"/>
                <w:szCs w:val="16"/>
                <w:color w:val="0000FF"/>
              </w:rPr>
            </w:pPr>
            <w:hyperlink r:id="rId257">
              <w:r>
                <w:rPr>
                  <w:rFonts w:ascii="Arial" w:cs="Arial" w:eastAsia="Arial" w:hAnsi="Arial"/>
                  <w:sz w:val="16"/>
                  <w:szCs w:val="16"/>
                  <w:color w:val="0000FF"/>
                </w:rPr>
                <w:t>CytomX Therapeutics, Inc.</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87"/>
              </w:rPr>
              <w:t>3.3</w:t>
            </w:r>
          </w:p>
        </w:tc>
        <w:tc>
          <w:tcPr>
            <w:tcW w:w="5840" w:type="dxa"/>
            <w:vAlign w:val="bottom"/>
            <w:gridSpan w:val="12"/>
          </w:tcPr>
          <w:p>
            <w:pPr>
              <w:spacing w:after="0"/>
              <w:rPr>
                <w:rFonts w:ascii="Arial" w:cs="Arial" w:eastAsia="Arial" w:hAnsi="Arial"/>
                <w:sz w:val="18"/>
                <w:szCs w:val="18"/>
                <w:color w:val="0000FF"/>
              </w:rPr>
            </w:pPr>
            <w:hyperlink r:id="rId258">
              <w:r>
                <w:rPr>
                  <w:rFonts w:ascii="Arial" w:cs="Arial" w:eastAsia="Arial" w:hAnsi="Arial"/>
                  <w:sz w:val="18"/>
                  <w:szCs w:val="18"/>
                  <w:color w:val="0000FF"/>
                </w:rPr>
                <w:t>Amended and Restated Bylaws.</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87"/>
              </w:rPr>
              <w:t>4.1</w:t>
            </w:r>
          </w:p>
        </w:tc>
        <w:tc>
          <w:tcPr>
            <w:tcW w:w="5840" w:type="dxa"/>
            <w:vAlign w:val="bottom"/>
            <w:gridSpan w:val="12"/>
          </w:tcPr>
          <w:p>
            <w:pPr>
              <w:spacing w:after="0"/>
              <w:rPr>
                <w:sz w:val="20"/>
                <w:szCs w:val="20"/>
                <w:color w:val="auto"/>
              </w:rPr>
            </w:pPr>
            <w:r>
              <w:rPr>
                <w:rFonts w:ascii="Arial" w:cs="Arial" w:eastAsia="Arial" w:hAnsi="Arial"/>
                <w:sz w:val="18"/>
                <w:szCs w:val="18"/>
                <w:color w:val="auto"/>
              </w:rPr>
              <w:t>Reference is made to Exhibits 3.1 through 3.2.</w:t>
            </w:r>
          </w:p>
        </w:tc>
        <w:tc>
          <w:tcPr>
            <w:tcW w:w="0" w:type="dxa"/>
            <w:vAlign w:val="bottom"/>
          </w:tcPr>
          <w:p>
            <w:pPr>
              <w:spacing w:after="0"/>
              <w:rPr>
                <w:sz w:val="1"/>
                <w:szCs w:val="1"/>
                <w:color w:val="auto"/>
              </w:rPr>
            </w:pPr>
          </w:p>
        </w:tc>
      </w:tr>
      <w:tr>
        <w:trPr>
          <w:trHeight w:val="378"/>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87"/>
              </w:rPr>
              <w:t>4.2</w:t>
            </w:r>
          </w:p>
        </w:tc>
        <w:tc>
          <w:tcPr>
            <w:tcW w:w="5840" w:type="dxa"/>
            <w:vAlign w:val="bottom"/>
            <w:gridSpan w:val="12"/>
          </w:tcPr>
          <w:p>
            <w:pPr>
              <w:spacing w:after="0"/>
              <w:rPr>
                <w:rFonts w:ascii="Arial" w:cs="Arial" w:eastAsia="Arial" w:hAnsi="Arial"/>
                <w:sz w:val="18"/>
                <w:szCs w:val="18"/>
                <w:color w:val="0000FF"/>
              </w:rPr>
            </w:pPr>
            <w:hyperlink r:id="rId259">
              <w:r>
                <w:rPr>
                  <w:rFonts w:ascii="Arial" w:cs="Arial" w:eastAsia="Arial" w:hAnsi="Arial"/>
                  <w:sz w:val="18"/>
                  <w:szCs w:val="18"/>
                  <w:color w:val="0000FF"/>
                </w:rPr>
                <w:t>Specimen Common Stock Certificate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87"/>
              </w:rPr>
              <w:t>4.3</w:t>
            </w:r>
          </w:p>
        </w:tc>
        <w:tc>
          <w:tcPr>
            <w:tcW w:w="5840" w:type="dxa"/>
            <w:vAlign w:val="bottom"/>
            <w:gridSpan w:val="12"/>
          </w:tcPr>
          <w:p>
            <w:pPr>
              <w:spacing w:after="0"/>
              <w:rPr>
                <w:rFonts w:ascii="Arial" w:cs="Arial" w:eastAsia="Arial" w:hAnsi="Arial"/>
                <w:sz w:val="18"/>
                <w:szCs w:val="18"/>
                <w:color w:val="0000FF"/>
                <w:w w:val="93"/>
              </w:rPr>
            </w:pPr>
            <w:hyperlink r:id="rId260">
              <w:r>
                <w:rPr>
                  <w:rFonts w:ascii="Arial" w:cs="Arial" w:eastAsia="Arial" w:hAnsi="Arial"/>
                  <w:sz w:val="18"/>
                  <w:szCs w:val="18"/>
                  <w:color w:val="0000FF"/>
                  <w:w w:val="93"/>
                </w:rPr>
                <w:t>Description of Registrant’s Securities Registered Pursuant to Section 12 of the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5840" w:type="dxa"/>
            <w:vAlign w:val="bottom"/>
            <w:gridSpan w:val="12"/>
          </w:tcPr>
          <w:p>
            <w:pPr>
              <w:spacing w:after="0"/>
              <w:rPr>
                <w:rFonts w:ascii="Arial" w:cs="Arial" w:eastAsia="Arial" w:hAnsi="Arial"/>
                <w:sz w:val="18"/>
                <w:szCs w:val="18"/>
                <w:color w:val="0000FF"/>
              </w:rPr>
            </w:pPr>
            <w:hyperlink r:id="rId260">
              <w:r>
                <w:rPr>
                  <w:rFonts w:ascii="Arial" w:cs="Arial" w:eastAsia="Arial" w:hAnsi="Arial"/>
                  <w:sz w:val="18"/>
                  <w:szCs w:val="18"/>
                  <w:color w:val="0000FF"/>
                </w:rPr>
                <w:t>Securities Exchange Act of 1934.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1"/>
              </w:rPr>
              <w:t>31.1</w:t>
            </w:r>
          </w:p>
        </w:tc>
        <w:tc>
          <w:tcPr>
            <w:tcW w:w="5840" w:type="dxa"/>
            <w:vAlign w:val="bottom"/>
            <w:gridSpan w:val="12"/>
          </w:tcPr>
          <w:p>
            <w:pPr>
              <w:spacing w:after="0"/>
              <w:rPr>
                <w:rFonts w:ascii="Arial" w:cs="Arial" w:eastAsia="Arial" w:hAnsi="Arial"/>
                <w:sz w:val="18"/>
                <w:szCs w:val="18"/>
                <w:color w:val="0000FF"/>
                <w:w w:val="92"/>
              </w:rPr>
            </w:pPr>
            <w:hyperlink w:anchor="page74">
              <w:r>
                <w:rPr>
                  <w:rFonts w:ascii="Arial" w:cs="Arial" w:eastAsia="Arial" w:hAnsi="Arial"/>
                  <w:sz w:val="18"/>
                  <w:szCs w:val="18"/>
                  <w:color w:val="0000FF"/>
                  <w:w w:val="92"/>
                </w:rPr>
                <w:t>Certification of Chief Executive Officer required by Rule 13a-14(a) or Rule 15d-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5840" w:type="dxa"/>
            <w:vAlign w:val="bottom"/>
            <w:gridSpan w:val="12"/>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14(a).</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1"/>
              </w:rPr>
              <w:t>31.2</w:t>
            </w:r>
          </w:p>
        </w:tc>
        <w:tc>
          <w:tcPr>
            <w:tcW w:w="5840" w:type="dxa"/>
            <w:vAlign w:val="bottom"/>
            <w:gridSpan w:val="12"/>
          </w:tcPr>
          <w:p>
            <w:pPr>
              <w:spacing w:after="0"/>
              <w:rPr>
                <w:rFonts w:ascii="Arial" w:cs="Arial" w:eastAsia="Arial" w:hAnsi="Arial"/>
                <w:sz w:val="18"/>
                <w:szCs w:val="18"/>
                <w:color w:val="0000FF"/>
                <w:w w:val="93"/>
              </w:rPr>
            </w:pPr>
            <w:hyperlink w:anchor="page75">
              <w:r>
                <w:rPr>
                  <w:rFonts w:ascii="Arial" w:cs="Arial" w:eastAsia="Arial" w:hAnsi="Arial"/>
                  <w:sz w:val="18"/>
                  <w:szCs w:val="18"/>
                  <w:color w:val="0000FF"/>
                  <w:w w:val="93"/>
                </w:rPr>
                <w:t>Certification of Chief Financial Officer required by Rule 13a-14(a) or Rule 15d-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60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5840" w:type="dxa"/>
            <w:vAlign w:val="bottom"/>
            <w:gridSpan w:val="12"/>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14(a).</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5"/>
              </w:rPr>
              <w:t>32.1*</w:t>
            </w:r>
          </w:p>
        </w:tc>
        <w:tc>
          <w:tcPr>
            <w:tcW w:w="5840" w:type="dxa"/>
            <w:vAlign w:val="bottom"/>
            <w:gridSpan w:val="12"/>
          </w:tcPr>
          <w:p>
            <w:pPr>
              <w:spacing w:after="0"/>
              <w:rPr>
                <w:rFonts w:ascii="Arial" w:cs="Arial" w:eastAsia="Arial" w:hAnsi="Arial"/>
                <w:sz w:val="18"/>
                <w:szCs w:val="18"/>
                <w:color w:val="0000FF"/>
                <w:w w:val="92"/>
              </w:rPr>
            </w:pPr>
            <w:hyperlink w:anchor="page76">
              <w:r>
                <w:rPr>
                  <w:rFonts w:ascii="Arial" w:cs="Arial" w:eastAsia="Arial" w:hAnsi="Arial"/>
                  <w:sz w:val="18"/>
                  <w:szCs w:val="18"/>
                  <w:color w:val="0000FF"/>
                  <w:w w:val="92"/>
                </w:rPr>
                <w:t>Certification of Chief Executive Officer required by Rule 13a-14(b) or Rule 15d-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60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5840" w:type="dxa"/>
            <w:vAlign w:val="bottom"/>
            <w:gridSpan w:val="12"/>
          </w:tcPr>
          <w:p>
            <w:pPr>
              <w:spacing w:after="0"/>
              <w:rPr>
                <w:rFonts w:ascii="Arial" w:cs="Arial" w:eastAsia="Arial" w:hAnsi="Arial"/>
                <w:sz w:val="18"/>
                <w:szCs w:val="18"/>
                <w:color w:val="0000FF"/>
                <w:w w:val="92"/>
              </w:rPr>
            </w:pPr>
            <w:hyperlink w:anchor="page76">
              <w:r>
                <w:rPr>
                  <w:rFonts w:ascii="Arial" w:cs="Arial" w:eastAsia="Arial" w:hAnsi="Arial"/>
                  <w:sz w:val="18"/>
                  <w:szCs w:val="18"/>
                  <w:color w:val="0000FF"/>
                  <w:w w:val="92"/>
                </w:rPr>
                <w:t>14(b) and Section 1350 of Chapter 63 of Title 18 of the United States Code (18</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60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5840" w:type="dxa"/>
            <w:vAlign w:val="bottom"/>
            <w:gridSpan w:val="1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U.S.C. §1350).</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5"/>
              </w:rPr>
              <w:t>32.2*</w:t>
            </w:r>
          </w:p>
        </w:tc>
        <w:tc>
          <w:tcPr>
            <w:tcW w:w="5840" w:type="dxa"/>
            <w:vAlign w:val="bottom"/>
            <w:gridSpan w:val="12"/>
          </w:tcPr>
          <w:p>
            <w:pPr>
              <w:spacing w:after="0"/>
              <w:rPr>
                <w:rFonts w:ascii="Arial" w:cs="Arial" w:eastAsia="Arial" w:hAnsi="Arial"/>
                <w:sz w:val="18"/>
                <w:szCs w:val="18"/>
                <w:color w:val="0000FF"/>
                <w:w w:val="93"/>
              </w:rPr>
            </w:pPr>
            <w:hyperlink w:anchor="page77">
              <w:r>
                <w:rPr>
                  <w:rFonts w:ascii="Arial" w:cs="Arial" w:eastAsia="Arial" w:hAnsi="Arial"/>
                  <w:sz w:val="18"/>
                  <w:szCs w:val="18"/>
                  <w:color w:val="0000FF"/>
                  <w:w w:val="93"/>
                </w:rPr>
                <w:t>Certification of Chief Financial Officer required by Rule 13a-14(b) or Rule 15d-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780" w:type="dxa"/>
            <w:vAlign w:val="bottom"/>
            <w:tcBorders>
              <w:left w:val="single" w:sz="8" w:color="0000EE"/>
            </w:tcBorders>
            <w:gridSpan w:val="11"/>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5840" w:type="dxa"/>
            <w:vAlign w:val="bottom"/>
            <w:gridSpan w:val="12"/>
          </w:tcPr>
          <w:p>
            <w:pPr>
              <w:spacing w:after="0"/>
              <w:rPr>
                <w:rFonts w:ascii="Arial" w:cs="Arial" w:eastAsia="Arial" w:hAnsi="Arial"/>
                <w:sz w:val="18"/>
                <w:szCs w:val="18"/>
                <w:color w:val="0000FF"/>
                <w:w w:val="92"/>
              </w:rPr>
            </w:pPr>
            <w:hyperlink w:anchor="page77">
              <w:r>
                <w:rPr>
                  <w:rFonts w:ascii="Arial" w:cs="Arial" w:eastAsia="Arial" w:hAnsi="Arial"/>
                  <w:sz w:val="18"/>
                  <w:szCs w:val="18"/>
                  <w:color w:val="0000FF"/>
                  <w:w w:val="92"/>
                </w:rPr>
                <w:t>14(b) and Section 1350 of Chapter 63 of Title 18 of the United States Code (18</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700" w:type="dxa"/>
            <w:vAlign w:val="bottom"/>
            <w:tcBorders>
              <w:left w:val="single" w:sz="8" w:color="0000EE"/>
            </w:tcBorders>
            <w:gridSpan w:val="10"/>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5840" w:type="dxa"/>
            <w:vAlign w:val="bottom"/>
            <w:gridSpan w:val="12"/>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U.S.C. §1350).</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7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2"/>
              </w:rPr>
              <w:t>101.INS</w:t>
            </w:r>
          </w:p>
        </w:tc>
        <w:tc>
          <w:tcPr>
            <w:tcW w:w="5840" w:type="dxa"/>
            <w:vAlign w:val="bottom"/>
            <w:gridSpan w:val="12"/>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5840" w:type="dxa"/>
            <w:vAlign w:val="bottom"/>
            <w:gridSpan w:val="12"/>
          </w:tcPr>
          <w:p>
            <w:pPr>
              <w:spacing w:after="0"/>
              <w:rPr>
                <w:sz w:val="20"/>
                <w:szCs w:val="20"/>
                <w:color w:val="auto"/>
              </w:rPr>
            </w:pPr>
            <w:r>
              <w:rPr>
                <w:rFonts w:ascii="Arial" w:cs="Arial" w:eastAsia="Arial" w:hAnsi="Arial"/>
                <w:sz w:val="18"/>
                <w:szCs w:val="18"/>
                <w:color w:val="auto"/>
                <w:w w:val="97"/>
              </w:rPr>
              <w:t>Interactive Data File because its XBRL tags are embedded within the Inline</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5840" w:type="dxa"/>
            <w:vAlign w:val="bottom"/>
            <w:gridSpan w:val="12"/>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418"/>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90"/>
              </w:rPr>
              <w:t>101.SCH</w:t>
            </w:r>
          </w:p>
        </w:tc>
        <w:tc>
          <w:tcPr>
            <w:tcW w:w="584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18"/>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7"/>
              </w:rPr>
              <w:t>101.CAL</w:t>
            </w:r>
          </w:p>
        </w:tc>
        <w:tc>
          <w:tcPr>
            <w:tcW w:w="584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19"/>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92"/>
              </w:rPr>
              <w:t>101.DEF</w:t>
            </w:r>
          </w:p>
        </w:tc>
        <w:tc>
          <w:tcPr>
            <w:tcW w:w="584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18"/>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8"/>
              </w:rPr>
              <w:t>101.LAB</w:t>
            </w:r>
          </w:p>
        </w:tc>
        <w:tc>
          <w:tcPr>
            <w:tcW w:w="584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18"/>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88"/>
              </w:rPr>
              <w:t>101.PRE</w:t>
            </w:r>
          </w:p>
        </w:tc>
        <w:tc>
          <w:tcPr>
            <w:tcW w:w="584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380" w:right="280" w:hanging="859"/>
        <w:spacing w:after="0" w:line="293"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18173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220"/>
              <w:spacing w:after="0"/>
              <w:rPr>
                <w:sz w:val="20"/>
                <w:szCs w:val="20"/>
                <w:color w:val="auto"/>
              </w:rPr>
            </w:pPr>
            <w:r>
              <w:rPr>
                <w:rFonts w:ascii="Arial" w:cs="Arial" w:eastAsia="Arial" w:hAnsi="Arial"/>
                <w:sz w:val="14"/>
                <w:szCs w:val="14"/>
                <w:b w:val="1"/>
                <w:bCs w:val="1"/>
                <w:color w:val="auto"/>
              </w:rPr>
              <w:t>Filed</w:t>
            </w:r>
          </w:p>
        </w:tc>
      </w:tr>
      <w:tr>
        <w:trPr>
          <w:trHeight w:val="192"/>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6"/>
                <w:szCs w:val="16"/>
                <w:color w:val="auto"/>
              </w:rPr>
            </w:pPr>
          </w:p>
        </w:tc>
        <w:tc>
          <w:tcPr>
            <w:tcW w:w="1080" w:type="dxa"/>
            <w:vAlign w:val="bottom"/>
          </w:tcPr>
          <w:p>
            <w:pPr>
              <w:ind w:left="40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6"/>
                <w:szCs w:val="16"/>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Number    Herewith</w:t>
            </w:r>
          </w:p>
        </w:tc>
      </w:tr>
      <w:tr>
        <w:trPr>
          <w:trHeight w:val="418"/>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10/19/2015</w:t>
            </w:r>
          </w:p>
        </w:tc>
        <w:tc>
          <w:tcPr>
            <w:tcW w:w="140" w:type="dxa"/>
            <w:vAlign w:val="bottom"/>
          </w:tcPr>
          <w:p>
            <w:pPr>
              <w:spacing w:after="0"/>
              <w:rPr>
                <w:sz w:val="24"/>
                <w:szCs w:val="24"/>
                <w:color w:val="auto"/>
              </w:rPr>
            </w:pPr>
          </w:p>
        </w:tc>
        <w:tc>
          <w:tcPr>
            <w:tcW w:w="64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500"/>
        </w:trPr>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6/23/2020</w:t>
            </w:r>
          </w:p>
        </w:tc>
        <w:tc>
          <w:tcPr>
            <w:tcW w:w="780" w:type="dxa"/>
            <w:vAlign w:val="bottom"/>
            <w:gridSpan w:val="2"/>
          </w:tcPr>
          <w:p>
            <w:pPr>
              <w:jc w:val="right"/>
              <w:ind w:right="139"/>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13"/>
        </w:trPr>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10/19/2015</w:t>
            </w:r>
          </w:p>
        </w:tc>
        <w:tc>
          <w:tcPr>
            <w:tcW w:w="780" w:type="dxa"/>
            <w:vAlign w:val="bottom"/>
            <w:gridSpan w:val="2"/>
          </w:tcPr>
          <w:p>
            <w:pPr>
              <w:jc w:val="right"/>
              <w:ind w:right="139"/>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837"/>
        </w:trPr>
        <w:tc>
          <w:tcPr>
            <w:tcW w:w="8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9/28/2015</w:t>
            </w:r>
          </w:p>
        </w:tc>
        <w:tc>
          <w:tcPr>
            <w:tcW w:w="780" w:type="dxa"/>
            <w:vAlign w:val="bottom"/>
            <w:gridSpan w:val="2"/>
          </w:tcPr>
          <w:p>
            <w:pPr>
              <w:jc w:val="right"/>
              <w:ind w:right="13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27"/>
        </w:trPr>
        <w:tc>
          <w:tcPr>
            <w:tcW w:w="8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8/6/2020</w:t>
            </w:r>
          </w:p>
        </w:tc>
        <w:tc>
          <w:tcPr>
            <w:tcW w:w="780" w:type="dxa"/>
            <w:vAlign w:val="bottom"/>
            <w:gridSpan w:val="2"/>
          </w:tcPr>
          <w:p>
            <w:pPr>
              <w:jc w:val="right"/>
              <w:ind w:right="139"/>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sectPr>
          <w:pgSz w:w="11900" w:h="16838" w:orient="portrait"/>
          <w:cols w:equalWidth="0" w:num="2">
            <w:col w:w="7220" w:space="220"/>
            <w:col w:w="3740"/>
          </w:cols>
          <w:pgMar w:left="320" w:top="364" w:right="399" w:bottom="1440" w:gutter="0" w:footer="0" w:header="0"/>
          <w:type w:val="continuous"/>
        </w:sectPr>
      </w:pPr>
    </w:p>
    <w:p>
      <w:pPr>
        <w:ind w:left="520" w:right="100" w:hanging="512"/>
        <w:spacing w:after="0" w:line="299" w:lineRule="auto"/>
        <w:tabs>
          <w:tab w:leader="none" w:pos="45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w:t>
      </w:r>
    </w:p>
    <w:p>
      <w:pPr>
        <w:spacing w:after="0" w:line="1" w:lineRule="exact"/>
        <w:rPr>
          <w:sz w:val="20"/>
          <w:szCs w:val="20"/>
          <w:color w:val="auto"/>
        </w:rPr>
      </w:pPr>
    </w:p>
    <w:p>
      <w:pPr>
        <w:ind w:left="520" w:right="260"/>
        <w:spacing w:after="0" w:line="266" w:lineRule="auto"/>
        <w:rPr>
          <w:sz w:val="20"/>
          <w:szCs w:val="20"/>
          <w:color w:val="auto"/>
        </w:rPr>
      </w:pPr>
      <w:r>
        <w:rPr>
          <w:rFonts w:ascii="Arial" w:cs="Arial" w:eastAsia="Arial" w:hAnsi="Arial"/>
          <w:sz w:val="18"/>
          <w:szCs w:val="18"/>
          <w:color w:val="auto"/>
        </w:rPr>
        <w:t>Exchange Act of 1934, as amended, whether made before or after the date of this Form 10-Q, irrespective of any general incorporation language contained in such filing.</w:t>
      </w: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type w:val="continuous"/>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CytomX Therapeutics, Inc.</w:t>
      </w:r>
    </w:p>
    <w:p>
      <w:pPr>
        <w:spacing w:after="0" w:line="351" w:lineRule="exact"/>
        <w:rPr>
          <w:sz w:val="20"/>
          <w:szCs w:val="20"/>
          <w:color w:val="auto"/>
        </w:rPr>
      </w:pPr>
    </w:p>
    <w:p>
      <w:pPr>
        <w:ind w:left="20"/>
        <w:spacing w:after="0"/>
        <w:tabs>
          <w:tab w:leader="none" w:pos="6360" w:val="left"/>
          <w:tab w:leader="none" w:pos="822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A.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23495</wp:posOffset>
            </wp:positionV>
            <wp:extent cx="28200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9"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Sean A. McCarthy, D. Phil.</w:t>
      </w:r>
    </w:p>
    <w:p>
      <w:pPr>
        <w:spacing w:after="0" w:line="50" w:lineRule="exact"/>
        <w:rPr>
          <w:sz w:val="20"/>
          <w:szCs w:val="20"/>
          <w:color w:val="auto"/>
        </w:rPr>
      </w:pPr>
    </w:p>
    <w:p>
      <w:pPr>
        <w:ind w:left="7200"/>
        <w:spacing w:after="0"/>
        <w:rPr>
          <w:sz w:val="20"/>
          <w:szCs w:val="20"/>
          <w:color w:val="auto"/>
        </w:rPr>
      </w:pPr>
      <w:r>
        <w:rPr>
          <w:rFonts w:ascii="Arial" w:cs="Arial" w:eastAsia="Arial" w:hAnsi="Arial"/>
          <w:sz w:val="17"/>
          <w:szCs w:val="17"/>
          <w:b w:val="1"/>
          <w:bCs w:val="1"/>
          <w:color w:val="auto"/>
        </w:rPr>
        <w:t>President, Chief Executive Officer and Director</w:t>
      </w:r>
    </w:p>
    <w:p>
      <w:pPr>
        <w:spacing w:after="0" w:line="39"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(Principal Executive Officer)</w:t>
      </w:r>
    </w:p>
    <w:p>
      <w:pPr>
        <w:spacing w:after="0" w:line="346" w:lineRule="exact"/>
        <w:rPr>
          <w:sz w:val="20"/>
          <w:szCs w:val="20"/>
          <w:color w:val="auto"/>
        </w:rPr>
      </w:pPr>
    </w:p>
    <w:p>
      <w:pPr>
        <w:ind w:left="20"/>
        <w:spacing w:after="0"/>
        <w:tabs>
          <w:tab w:leader="none" w:pos="6360" w:val="left"/>
          <w:tab w:leader="none" w:pos="832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Carlos Campoy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23495</wp:posOffset>
            </wp:positionV>
            <wp:extent cx="28200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9"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Carlos Campoy</w:t>
      </w:r>
    </w:p>
    <w:p>
      <w:pPr>
        <w:spacing w:after="0" w:line="50"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jc w:val="center"/>
        <w:ind w:left="6780"/>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23" w:lineRule="exact"/>
        <w:rPr>
          <w:sz w:val="20"/>
          <w:szCs w:val="20"/>
          <w:color w:val="auto"/>
        </w:rPr>
      </w:pPr>
    </w:p>
    <w:p>
      <w:pPr>
        <w:jc w:val="center"/>
        <w:ind w:left="678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President and Chief Executive Officer of CytomX Therapeutics, Inc., certify that:</w:t>
      </w:r>
    </w:p>
    <w:p>
      <w:pPr>
        <w:spacing w:after="0" w:line="131" w:lineRule="exact"/>
        <w:rPr>
          <w:sz w:val="20"/>
          <w:szCs w:val="20"/>
          <w:color w:val="auto"/>
        </w:rPr>
      </w:pPr>
    </w:p>
    <w:p>
      <w:pPr>
        <w:ind w:left="960" w:hanging="44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38" w:lineRule="exact"/>
        <w:rPr>
          <w:rFonts w:ascii="Arial" w:cs="Arial" w:eastAsia="Arial" w:hAnsi="Arial"/>
          <w:sz w:val="18"/>
          <w:szCs w:val="18"/>
          <w:color w:val="auto"/>
        </w:rPr>
      </w:pPr>
    </w:p>
    <w:p>
      <w:pPr>
        <w:jc w:val="both"/>
        <w:ind w:left="960" w:right="80" w:hanging="443"/>
        <w:spacing w:after="0" w:line="27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960" w:right="40" w:hanging="443"/>
        <w:spacing w:after="0" w:line="324"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960" w:hanging="443"/>
        <w:spacing w:after="0" w:line="230" w:lineRule="exact"/>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29" w:lineRule="exact"/>
        <w:rPr>
          <w:rFonts w:ascii="Arial" w:cs="Arial" w:eastAsia="Arial" w:hAnsi="Arial"/>
          <w:sz w:val="16"/>
          <w:szCs w:val="16"/>
          <w:color w:val="auto"/>
        </w:rPr>
      </w:pPr>
    </w:p>
    <w:p>
      <w:pPr>
        <w:ind w:left="1460" w:right="660" w:hanging="434"/>
        <w:spacing w:after="0" w:line="279"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460" w:right="240" w:hanging="434"/>
        <w:spacing w:after="0" w:line="279"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460" w:right="40" w:hanging="434"/>
        <w:spacing w:after="0" w:line="359" w:lineRule="auto"/>
        <w:tabs>
          <w:tab w:leader="none" w:pos="14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460" w:right="40" w:hanging="434"/>
        <w:spacing w:after="0" w:line="279"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960" w:right="160" w:hanging="443"/>
        <w:spacing w:after="0" w:line="359"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460" w:right="280" w:hanging="434"/>
        <w:spacing w:after="0" w:line="359" w:lineRule="auto"/>
        <w:tabs>
          <w:tab w:leader="none" w:pos="14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460" w:right="580" w:hanging="434"/>
        <w:spacing w:after="0" w:line="293"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20" w:type="dxa"/>
            <w:vAlign w:val="bottom"/>
          </w:tcPr>
          <w:p>
            <w:pPr>
              <w:ind w:left="20"/>
              <w:spacing w:after="0"/>
              <w:rPr>
                <w:sz w:val="20"/>
                <w:szCs w:val="20"/>
                <w:color w:val="auto"/>
              </w:rPr>
            </w:pPr>
            <w:r>
              <w:rPr>
                <w:rFonts w:ascii="Arial" w:cs="Arial" w:eastAsia="Arial" w:hAnsi="Arial"/>
                <w:sz w:val="18"/>
                <w:szCs w:val="18"/>
                <w:color w:val="auto"/>
              </w:rPr>
              <w:t>Date: August 5, 2021</w:t>
            </w:r>
          </w:p>
        </w:tc>
        <w:tc>
          <w:tcPr>
            <w:tcW w:w="2600" w:type="dxa"/>
            <w:vAlign w:val="bottom"/>
          </w:tcPr>
          <w:p>
            <w:pPr>
              <w:ind w:left="184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A. McCarthy</w:t>
            </w:r>
          </w:p>
        </w:tc>
        <w:tc>
          <w:tcPr>
            <w:tcW w:w="580" w:type="dxa"/>
            <w:vAlign w:val="bottom"/>
          </w:tcPr>
          <w:p>
            <w:pPr>
              <w:spacing w:after="0"/>
              <w:rPr>
                <w:sz w:val="21"/>
                <w:szCs w:val="21"/>
                <w:color w:val="auto"/>
              </w:rPr>
            </w:pPr>
          </w:p>
        </w:tc>
      </w:tr>
      <w:tr>
        <w:trPr>
          <w:trHeight w:val="237"/>
        </w:trPr>
        <w:tc>
          <w:tcPr>
            <w:tcW w:w="3420" w:type="dxa"/>
            <w:vAlign w:val="bottom"/>
          </w:tcPr>
          <w:p>
            <w:pPr>
              <w:spacing w:after="0"/>
              <w:rPr>
                <w:sz w:val="20"/>
                <w:szCs w:val="20"/>
                <w:color w:val="auto"/>
              </w:rPr>
            </w:pPr>
          </w:p>
        </w:tc>
        <w:tc>
          <w:tcPr>
            <w:tcW w:w="2600" w:type="dxa"/>
            <w:vAlign w:val="bottom"/>
          </w:tcPr>
          <w:p>
            <w:pPr>
              <w:ind w:left="1840"/>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Sean A. McCarthy</w:t>
            </w:r>
          </w:p>
        </w:tc>
        <w:tc>
          <w:tcPr>
            <w:tcW w:w="580" w:type="dxa"/>
            <w:vAlign w:val="bottom"/>
          </w:tcPr>
          <w:p>
            <w:pPr>
              <w:spacing w:after="0"/>
              <w:rPr>
                <w:sz w:val="20"/>
                <w:szCs w:val="20"/>
                <w:color w:val="auto"/>
              </w:rPr>
            </w:pPr>
          </w:p>
        </w:tc>
      </w:tr>
      <w:tr>
        <w:trPr>
          <w:trHeight w:val="257"/>
        </w:trPr>
        <w:tc>
          <w:tcPr>
            <w:tcW w:w="3420" w:type="dxa"/>
            <w:vAlign w:val="bottom"/>
          </w:tcPr>
          <w:p>
            <w:pPr>
              <w:spacing w:after="0"/>
              <w:rPr>
                <w:sz w:val="22"/>
                <w:szCs w:val="22"/>
                <w:color w:val="auto"/>
              </w:rPr>
            </w:pPr>
          </w:p>
        </w:tc>
        <w:tc>
          <w:tcPr>
            <w:tcW w:w="2600" w:type="dxa"/>
            <w:vAlign w:val="bottom"/>
          </w:tcPr>
          <w:p>
            <w:pPr>
              <w:ind w:left="1840"/>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580" w:type="dxa"/>
            <w:vAlign w:val="bottom"/>
          </w:tcPr>
          <w:p>
            <w:pPr>
              <w:spacing w:after="0"/>
              <w:rPr>
                <w:sz w:val="22"/>
                <w:szCs w:val="22"/>
                <w:color w:val="auto"/>
              </w:rPr>
            </w:pPr>
          </w:p>
        </w:tc>
      </w:tr>
      <w:tr>
        <w:trPr>
          <w:trHeight w:val="790"/>
        </w:trPr>
        <w:tc>
          <w:tcPr>
            <w:tcW w:w="34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Carlos Campoy, Chief Financial Officer of CytomX Therapeutics, Inc., certify that:</w:t>
      </w:r>
    </w:p>
    <w:p>
      <w:pPr>
        <w:spacing w:after="0" w:line="131" w:lineRule="exact"/>
        <w:rPr>
          <w:sz w:val="20"/>
          <w:szCs w:val="20"/>
          <w:color w:val="auto"/>
        </w:rPr>
      </w:pPr>
    </w:p>
    <w:p>
      <w:pPr>
        <w:ind w:left="960" w:hanging="44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38" w:lineRule="exact"/>
        <w:rPr>
          <w:rFonts w:ascii="Arial" w:cs="Arial" w:eastAsia="Arial" w:hAnsi="Arial"/>
          <w:sz w:val="18"/>
          <w:szCs w:val="18"/>
          <w:color w:val="auto"/>
        </w:rPr>
      </w:pPr>
    </w:p>
    <w:p>
      <w:pPr>
        <w:jc w:val="both"/>
        <w:ind w:left="960" w:right="80" w:hanging="443"/>
        <w:spacing w:after="0" w:line="27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960" w:right="40" w:hanging="443"/>
        <w:spacing w:after="0" w:line="324"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960" w:hanging="443"/>
        <w:spacing w:after="0" w:line="230" w:lineRule="exact"/>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29" w:lineRule="exact"/>
        <w:rPr>
          <w:rFonts w:ascii="Arial" w:cs="Arial" w:eastAsia="Arial" w:hAnsi="Arial"/>
          <w:sz w:val="16"/>
          <w:szCs w:val="16"/>
          <w:color w:val="auto"/>
        </w:rPr>
      </w:pPr>
    </w:p>
    <w:p>
      <w:pPr>
        <w:ind w:left="1460" w:right="660" w:hanging="434"/>
        <w:spacing w:after="0" w:line="279"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460" w:right="240" w:hanging="434"/>
        <w:spacing w:after="0" w:line="279"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460" w:right="40" w:hanging="434"/>
        <w:spacing w:after="0" w:line="359" w:lineRule="auto"/>
        <w:tabs>
          <w:tab w:leader="none" w:pos="14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460" w:right="40" w:hanging="434"/>
        <w:spacing w:after="0" w:line="279"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960" w:right="160" w:hanging="443"/>
        <w:spacing w:after="0" w:line="359"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460" w:right="280" w:hanging="434"/>
        <w:spacing w:after="0" w:line="359" w:lineRule="auto"/>
        <w:tabs>
          <w:tab w:leader="none" w:pos="14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460" w:right="580" w:hanging="434"/>
        <w:spacing w:after="0" w:line="293"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20" w:type="dxa"/>
            <w:vAlign w:val="bottom"/>
          </w:tcPr>
          <w:p>
            <w:pPr>
              <w:ind w:left="20"/>
              <w:spacing w:after="0"/>
              <w:rPr>
                <w:sz w:val="20"/>
                <w:szCs w:val="20"/>
                <w:color w:val="auto"/>
              </w:rPr>
            </w:pPr>
            <w:r>
              <w:rPr>
                <w:rFonts w:ascii="Arial" w:cs="Arial" w:eastAsia="Arial" w:hAnsi="Arial"/>
                <w:sz w:val="18"/>
                <w:szCs w:val="18"/>
                <w:color w:val="auto"/>
              </w:rPr>
              <w:t>Date: August 5, 2021</w:t>
            </w:r>
          </w:p>
        </w:tc>
        <w:tc>
          <w:tcPr>
            <w:tcW w:w="2600" w:type="dxa"/>
            <w:vAlign w:val="bottom"/>
          </w:tcPr>
          <w:p>
            <w:pPr>
              <w:ind w:left="184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Carlos Campoy</w:t>
            </w:r>
          </w:p>
        </w:tc>
        <w:tc>
          <w:tcPr>
            <w:tcW w:w="580" w:type="dxa"/>
            <w:vAlign w:val="bottom"/>
          </w:tcPr>
          <w:p>
            <w:pPr>
              <w:spacing w:after="0"/>
              <w:rPr>
                <w:sz w:val="21"/>
                <w:szCs w:val="21"/>
                <w:color w:val="auto"/>
              </w:rPr>
            </w:pPr>
          </w:p>
        </w:tc>
      </w:tr>
      <w:tr>
        <w:trPr>
          <w:trHeight w:val="236"/>
        </w:trPr>
        <w:tc>
          <w:tcPr>
            <w:tcW w:w="3420" w:type="dxa"/>
            <w:vAlign w:val="bottom"/>
          </w:tcPr>
          <w:p>
            <w:pPr>
              <w:spacing w:after="0"/>
              <w:rPr>
                <w:sz w:val="20"/>
                <w:szCs w:val="20"/>
                <w:color w:val="auto"/>
              </w:rPr>
            </w:pPr>
          </w:p>
        </w:tc>
        <w:tc>
          <w:tcPr>
            <w:tcW w:w="2600" w:type="dxa"/>
            <w:vAlign w:val="bottom"/>
          </w:tcPr>
          <w:p>
            <w:pPr>
              <w:ind w:left="1840"/>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Carlos Campoy</w:t>
            </w:r>
          </w:p>
        </w:tc>
        <w:tc>
          <w:tcPr>
            <w:tcW w:w="580" w:type="dxa"/>
            <w:vAlign w:val="bottom"/>
          </w:tcPr>
          <w:p>
            <w:pPr>
              <w:spacing w:after="0"/>
              <w:rPr>
                <w:sz w:val="20"/>
                <w:szCs w:val="20"/>
                <w:color w:val="auto"/>
              </w:rPr>
            </w:pPr>
          </w:p>
        </w:tc>
      </w:tr>
      <w:tr>
        <w:trPr>
          <w:trHeight w:val="257"/>
        </w:trPr>
        <w:tc>
          <w:tcPr>
            <w:tcW w:w="3420" w:type="dxa"/>
            <w:vAlign w:val="bottom"/>
          </w:tcPr>
          <w:p>
            <w:pPr>
              <w:spacing w:after="0"/>
              <w:rPr>
                <w:sz w:val="22"/>
                <w:szCs w:val="22"/>
                <w:color w:val="auto"/>
              </w:rPr>
            </w:pPr>
          </w:p>
        </w:tc>
        <w:tc>
          <w:tcPr>
            <w:tcW w:w="2600" w:type="dxa"/>
            <w:vAlign w:val="bottom"/>
          </w:tcPr>
          <w:p>
            <w:pPr>
              <w:ind w:left="1840"/>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580" w:type="dxa"/>
            <w:vAlign w:val="bottom"/>
          </w:tcPr>
          <w:p>
            <w:pPr>
              <w:spacing w:after="0"/>
              <w:rPr>
                <w:sz w:val="22"/>
                <w:szCs w:val="22"/>
                <w:color w:val="auto"/>
              </w:rPr>
            </w:pPr>
          </w:p>
        </w:tc>
      </w:tr>
      <w:tr>
        <w:trPr>
          <w:trHeight w:val="817"/>
        </w:trPr>
        <w:tc>
          <w:tcPr>
            <w:tcW w:w="34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180"/>
        <w:spacing w:after="0" w:line="303"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June 30, 2021,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Sean A. McCarthy, President and Chief Executive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6"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August 5, 2021</w:t>
            </w:r>
          </w:p>
        </w:tc>
        <w:tc>
          <w:tcPr>
            <w:tcW w:w="2540" w:type="dxa"/>
            <w:vAlign w:val="bottom"/>
          </w:tcPr>
          <w:p>
            <w:pPr>
              <w:ind w:left="188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224"/>
        </w:trPr>
        <w:tc>
          <w:tcPr>
            <w:tcW w:w="3420" w:type="dxa"/>
            <w:vAlign w:val="bottom"/>
          </w:tcPr>
          <w:p>
            <w:pPr>
              <w:spacing w:after="0"/>
              <w:rPr>
                <w:sz w:val="19"/>
                <w:szCs w:val="19"/>
                <w:color w:val="auto"/>
              </w:rPr>
            </w:pPr>
          </w:p>
        </w:tc>
        <w:tc>
          <w:tcPr>
            <w:tcW w:w="2540" w:type="dxa"/>
            <w:vAlign w:val="bottom"/>
          </w:tcPr>
          <w:p>
            <w:pPr>
              <w:ind w:left="1880"/>
              <w:spacing w:after="0"/>
              <w:rPr>
                <w:sz w:val="20"/>
                <w:szCs w:val="20"/>
                <w:color w:val="auto"/>
              </w:rPr>
            </w:pPr>
            <w:r>
              <w:rPr>
                <w:rFonts w:ascii="Arial" w:cs="Arial" w:eastAsia="Arial" w:hAnsi="Arial"/>
                <w:sz w:val="18"/>
                <w:szCs w:val="18"/>
                <w:color w:val="auto"/>
              </w:rPr>
              <w:t>Name:</w:t>
            </w:r>
          </w:p>
        </w:tc>
        <w:tc>
          <w:tcPr>
            <w:tcW w:w="4700" w:type="dxa"/>
            <w:vAlign w:val="bottom"/>
          </w:tcPr>
          <w:p>
            <w:pPr>
              <w:spacing w:after="0"/>
              <w:rPr>
                <w:sz w:val="20"/>
                <w:szCs w:val="20"/>
                <w:color w:val="auto"/>
              </w:rPr>
            </w:pPr>
            <w:r>
              <w:rPr>
                <w:rFonts w:ascii="Arial" w:cs="Arial" w:eastAsia="Arial" w:hAnsi="Arial"/>
                <w:sz w:val="18"/>
                <w:szCs w:val="18"/>
                <w:color w:val="auto"/>
              </w:rPr>
              <w:t>Sean A. McCarthy</w:t>
            </w:r>
          </w:p>
        </w:tc>
      </w:tr>
      <w:tr>
        <w:trPr>
          <w:trHeight w:val="242"/>
        </w:trPr>
        <w:tc>
          <w:tcPr>
            <w:tcW w:w="3420" w:type="dxa"/>
            <w:vAlign w:val="bottom"/>
          </w:tcPr>
          <w:p>
            <w:pPr>
              <w:spacing w:after="0"/>
              <w:rPr>
                <w:sz w:val="21"/>
                <w:szCs w:val="21"/>
                <w:color w:val="auto"/>
              </w:rPr>
            </w:pPr>
          </w:p>
        </w:tc>
        <w:tc>
          <w:tcPr>
            <w:tcW w:w="2540" w:type="dxa"/>
            <w:vAlign w:val="bottom"/>
          </w:tcPr>
          <w:p>
            <w:pPr>
              <w:ind w:left="1880"/>
              <w:spacing w:after="0"/>
              <w:rPr>
                <w:sz w:val="20"/>
                <w:szCs w:val="20"/>
                <w:color w:val="auto"/>
              </w:rPr>
            </w:pPr>
            <w:r>
              <w:rPr>
                <w:rFonts w:ascii="Arial" w:cs="Arial" w:eastAsia="Arial" w:hAnsi="Arial"/>
                <w:sz w:val="18"/>
                <w:szCs w:val="18"/>
                <w:color w:val="auto"/>
              </w:rPr>
              <w:t>Title:</w:t>
            </w: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42" w:lineRule="exact"/>
        <w:rPr>
          <w:sz w:val="20"/>
          <w:szCs w:val="20"/>
          <w:color w:val="auto"/>
        </w:rPr>
      </w:pPr>
    </w:p>
    <w:p>
      <w:pPr>
        <w:ind w:right="280"/>
        <w:spacing w:after="0" w:line="329"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80"/>
        <w:spacing w:after="0" w:line="303"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June 30, 2021,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Carlos Campoy, Chief Financial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6"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40" w:hanging="432"/>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August 5, 2021</w:t>
            </w:r>
          </w:p>
        </w:tc>
        <w:tc>
          <w:tcPr>
            <w:tcW w:w="2540" w:type="dxa"/>
            <w:vAlign w:val="bottom"/>
          </w:tcPr>
          <w:p>
            <w:pPr>
              <w:ind w:left="188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Carlos Campoy</w:t>
            </w:r>
          </w:p>
        </w:tc>
      </w:tr>
      <w:tr>
        <w:trPr>
          <w:trHeight w:val="224"/>
        </w:trPr>
        <w:tc>
          <w:tcPr>
            <w:tcW w:w="3420" w:type="dxa"/>
            <w:vAlign w:val="bottom"/>
          </w:tcPr>
          <w:p>
            <w:pPr>
              <w:spacing w:after="0"/>
              <w:rPr>
                <w:sz w:val="19"/>
                <w:szCs w:val="19"/>
                <w:color w:val="auto"/>
              </w:rPr>
            </w:pPr>
          </w:p>
        </w:tc>
        <w:tc>
          <w:tcPr>
            <w:tcW w:w="2540" w:type="dxa"/>
            <w:vAlign w:val="bottom"/>
          </w:tcPr>
          <w:p>
            <w:pPr>
              <w:ind w:left="1880"/>
              <w:spacing w:after="0"/>
              <w:rPr>
                <w:sz w:val="20"/>
                <w:szCs w:val="20"/>
                <w:color w:val="auto"/>
              </w:rPr>
            </w:pPr>
            <w:r>
              <w:rPr>
                <w:rFonts w:ascii="Arial" w:cs="Arial" w:eastAsia="Arial" w:hAnsi="Arial"/>
                <w:sz w:val="18"/>
                <w:szCs w:val="18"/>
                <w:color w:val="auto"/>
              </w:rPr>
              <w:t>Name:</w:t>
            </w:r>
          </w:p>
        </w:tc>
        <w:tc>
          <w:tcPr>
            <w:tcW w:w="4700" w:type="dxa"/>
            <w:vAlign w:val="bottom"/>
          </w:tcPr>
          <w:p>
            <w:pPr>
              <w:spacing w:after="0"/>
              <w:rPr>
                <w:sz w:val="20"/>
                <w:szCs w:val="20"/>
                <w:color w:val="auto"/>
              </w:rPr>
            </w:pPr>
            <w:r>
              <w:rPr>
                <w:rFonts w:ascii="Arial" w:cs="Arial" w:eastAsia="Arial" w:hAnsi="Arial"/>
                <w:sz w:val="18"/>
                <w:szCs w:val="18"/>
                <w:color w:val="auto"/>
              </w:rPr>
              <w:t>Carlos Campoy</w:t>
            </w:r>
          </w:p>
        </w:tc>
      </w:tr>
      <w:tr>
        <w:trPr>
          <w:trHeight w:val="242"/>
        </w:trPr>
        <w:tc>
          <w:tcPr>
            <w:tcW w:w="3420" w:type="dxa"/>
            <w:vAlign w:val="bottom"/>
          </w:tcPr>
          <w:p>
            <w:pPr>
              <w:spacing w:after="0"/>
              <w:rPr>
                <w:sz w:val="21"/>
                <w:szCs w:val="21"/>
                <w:color w:val="auto"/>
              </w:rPr>
            </w:pPr>
          </w:p>
        </w:tc>
        <w:tc>
          <w:tcPr>
            <w:tcW w:w="2540" w:type="dxa"/>
            <w:vAlign w:val="bottom"/>
          </w:tcPr>
          <w:p>
            <w:pPr>
              <w:ind w:left="1880"/>
              <w:spacing w:after="0"/>
              <w:rPr>
                <w:sz w:val="20"/>
                <w:szCs w:val="20"/>
                <w:color w:val="auto"/>
              </w:rPr>
            </w:pPr>
            <w:r>
              <w:rPr>
                <w:rFonts w:ascii="Arial" w:cs="Arial" w:eastAsia="Arial" w:hAnsi="Arial"/>
                <w:sz w:val="18"/>
                <w:szCs w:val="18"/>
                <w:color w:val="auto"/>
              </w:rPr>
              <w:t>Title:</w:t>
            </w: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42" w:lineRule="exact"/>
        <w:rPr>
          <w:sz w:val="20"/>
          <w:szCs w:val="20"/>
          <w:color w:val="auto"/>
        </w:rPr>
      </w:pPr>
    </w:p>
    <w:p>
      <w:pPr>
        <w:ind w:right="280"/>
        <w:spacing w:after="0" w:line="329"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04"/>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56" Type="http://schemas.openxmlformats.org/officeDocument/2006/relationships/hyperlink" Target="https://www.sec.gov/Archives/edgar/data/0001501989/000119312515347080/d78795dex31.htm" TargetMode="External"/><Relationship Id="rId257" Type="http://schemas.openxmlformats.org/officeDocument/2006/relationships/hyperlink" Target="https://www.sec.gov/Archives/edgar/data/1501989/000119312520176532/d920733dex31.htm" TargetMode="External"/><Relationship Id="rId258" Type="http://schemas.openxmlformats.org/officeDocument/2006/relationships/hyperlink" Target="https://www.sec.gov/Archives/edgar/data/0001501989/000119312515347080/d78795dex32.htm" TargetMode="External"/><Relationship Id="rId259" Type="http://schemas.openxmlformats.org/officeDocument/2006/relationships/hyperlink" Target="https://www.sec.gov/Archives/edgar/data/0001501989/000119312515329662/d948537dex41.htm" TargetMode="External"/><Relationship Id="rId260" Type="http://schemas.openxmlformats.org/officeDocument/2006/relationships/hyperlink" Target="https://www.sec.gov/Archives/edgar/data/1501989/000156459020037722/ctmx-ex44_2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2021-08-05T17:00:43Z</dcterms:created>
  <dcterms:modified xsi:type="dcterms:W3CDTF">2021-08-05T17:00:43Z</dcterms:modified>
</cp:coreProperties>
</file>