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line="206" w:lineRule="auto"/>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34925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560" w:hanging="539"/>
        <w:spacing w:after="0"/>
        <w:tabs>
          <w:tab w:leader="none" w:pos="56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ind w:left="3840"/>
        <w:spacing w:after="0" w:line="221" w:lineRule="auto"/>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center"/>
        <w:ind w:right="-19"/>
        <w:spacing w:after="0"/>
        <w:rPr>
          <w:sz w:val="20"/>
          <w:szCs w:val="20"/>
          <w:color w:val="auto"/>
        </w:rPr>
      </w:pPr>
      <w:r>
        <w:rPr>
          <w:rFonts w:ascii="Arial" w:cs="Arial" w:eastAsia="Arial" w:hAnsi="Arial"/>
          <w:sz w:val="16"/>
          <w:szCs w:val="16"/>
          <w:b w:val="1"/>
          <w:bCs w:val="1"/>
          <w:color w:val="auto"/>
        </w:rPr>
        <w:t>Commission File Number 001-37587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Arial" w:cs="Arial" w:eastAsia="Arial" w:hAnsi="Arial"/>
                <w:sz w:val="16"/>
                <w:szCs w:val="16"/>
                <w:b w:val="1"/>
                <w:bCs w:val="1"/>
                <w:color w:val="auto"/>
                <w:w w:val="91"/>
              </w:rPr>
              <w:t>Delaware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20" w:type="dxa"/>
            <w:vAlign w:val="bottom"/>
            <w:gridSpan w:val="3"/>
          </w:tcPr>
          <w:p>
            <w:pPr>
              <w:jc w:val="right"/>
              <w:ind w:right="2265"/>
              <w:spacing w:after="0"/>
              <w:rPr>
                <w:sz w:val="20"/>
                <w:szCs w:val="20"/>
                <w:color w:val="auto"/>
              </w:rPr>
            </w:pPr>
            <w:r>
              <w:rPr>
                <w:rFonts w:ascii="Arial" w:cs="Arial" w:eastAsia="Arial" w:hAnsi="Arial"/>
                <w:sz w:val="16"/>
                <w:szCs w:val="16"/>
                <w:b w:val="1"/>
                <w:bCs w:val="1"/>
                <w:color w:val="auto"/>
              </w:rPr>
              <w:t>27-3521219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gridSpan w:val="3"/>
          </w:tcPr>
          <w:p>
            <w:pPr>
              <w:jc w:val="center"/>
              <w:ind w:left="1444"/>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gridSpan w:val="2"/>
          </w:tcPr>
          <w:p>
            <w:pPr>
              <w:jc w:val="center"/>
              <w:ind w:right="2005"/>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60" w:type="dxa"/>
            <w:vAlign w:val="bottom"/>
            <w:gridSpan w:val="3"/>
          </w:tcPr>
          <w:p>
            <w:pPr>
              <w:jc w:val="center"/>
              <w:ind w:left="144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80" w:type="dxa"/>
            <w:vAlign w:val="bottom"/>
            <w:gridSpan w:val="8"/>
          </w:tcPr>
          <w:p>
            <w:pPr>
              <w:jc w:val="center"/>
              <w:ind w:right="1400"/>
              <w:spacing w:after="0"/>
              <w:rPr>
                <w:sz w:val="20"/>
                <w:szCs w:val="20"/>
                <w:color w:val="auto"/>
              </w:rPr>
            </w:pPr>
            <w:r>
              <w:rPr>
                <w:rFonts w:ascii="Arial" w:cs="Arial" w:eastAsia="Arial" w:hAnsi="Arial"/>
                <w:sz w:val="16"/>
                <w:szCs w:val="16"/>
                <w:b w:val="1"/>
                <w:bCs w:val="1"/>
                <w:color w:val="auto"/>
                <w:w w:val="91"/>
              </w:rPr>
              <w:t>151 Oyster Point Boulevard, Suite 400</w:t>
            </w:r>
          </w:p>
        </w:tc>
        <w:tc>
          <w:tcPr>
            <w:tcW w:w="600" w:type="dxa"/>
            <w:vAlign w:val="bottom"/>
          </w:tcPr>
          <w:p>
            <w:pPr>
              <w:spacing w:after="0"/>
              <w:rPr>
                <w:sz w:val="16"/>
                <w:szCs w:val="16"/>
                <w:color w:val="auto"/>
              </w:rPr>
            </w:pPr>
          </w:p>
        </w:tc>
        <w:tc>
          <w:tcPr>
            <w:tcW w:w="3720" w:type="dxa"/>
            <w:vAlign w:val="bottom"/>
            <w:gridSpan w:val="3"/>
            <w:vMerge w:val="restart"/>
          </w:tcPr>
          <w:p>
            <w:pPr>
              <w:jc w:val="right"/>
              <w:ind w:right="2445"/>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60" w:type="dxa"/>
            <w:vAlign w:val="bottom"/>
            <w:gridSpan w:val="3"/>
          </w:tcPr>
          <w:p>
            <w:pPr>
              <w:jc w:val="center"/>
              <w:ind w:left="1444"/>
              <w:spacing w:after="0" w:line="166" w:lineRule="exact"/>
              <w:rPr>
                <w:sz w:val="20"/>
                <w:szCs w:val="20"/>
                <w:color w:val="auto"/>
              </w:rPr>
            </w:pPr>
            <w:r>
              <w:rPr>
                <w:rFonts w:ascii="Arial" w:cs="Arial" w:eastAsia="Arial" w:hAnsi="Arial"/>
                <w:sz w:val="16"/>
                <w:szCs w:val="16"/>
                <w:b w:val="1"/>
                <w:bCs w:val="1"/>
                <w:color w:val="auto"/>
                <w:w w:val="90"/>
              </w:rPr>
              <w:t>South San Francisco, California</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60" w:type="dxa"/>
            <w:vAlign w:val="bottom"/>
            <w:gridSpan w:val="3"/>
          </w:tcPr>
          <w:p>
            <w:pPr>
              <w:jc w:val="center"/>
              <w:ind w:left="146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jc w:val="center"/>
              <w:ind w:right="230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3"/>
          </w:tcPr>
          <w:p>
            <w:pPr>
              <w:jc w:val="center"/>
              <w:ind w:left="684"/>
              <w:spacing w:after="0"/>
              <w:rPr>
                <w:sz w:val="20"/>
                <w:szCs w:val="20"/>
                <w:color w:val="auto"/>
              </w:rPr>
            </w:pPr>
            <w:r>
              <w:rPr>
                <w:rFonts w:ascii="Arial" w:cs="Arial" w:eastAsia="Arial" w:hAnsi="Arial"/>
                <w:sz w:val="16"/>
                <w:szCs w:val="16"/>
                <w:b w:val="1"/>
                <w:bCs w:val="1"/>
                <w:color w:val="auto"/>
                <w:w w:val="93"/>
              </w:rPr>
              <w:t>(650) 515-3185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gridSpan w:val="6"/>
          </w:tcPr>
          <w:p>
            <w:pPr>
              <w:jc w:val="center"/>
              <w:ind w:right="1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7"/>
          </w:tcPr>
          <w:p>
            <w:pPr>
              <w:jc w:val="center"/>
              <w:ind w:left="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960" w:type="dxa"/>
            <w:vAlign w:val="bottom"/>
            <w:gridSpan w:val="3"/>
          </w:tcPr>
          <w:p>
            <w:pPr>
              <w:jc w:val="center"/>
              <w:ind w:right="528"/>
              <w:spacing w:after="0"/>
              <w:rPr>
                <w:sz w:val="20"/>
                <w:szCs w:val="20"/>
                <w:color w:val="auto"/>
              </w:rPr>
            </w:pPr>
            <w:r>
              <w:rPr>
                <w:rFonts w:ascii="Arial" w:cs="Arial" w:eastAsia="Arial" w:hAnsi="Arial"/>
                <w:sz w:val="14"/>
                <w:szCs w:val="14"/>
                <w:b w:val="1"/>
                <w:bCs w:val="1"/>
                <w:color w:val="auto"/>
                <w:w w:val="89"/>
              </w:rPr>
              <w:t>Title of each class</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Trading Symbol(s)</w:t>
            </w: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Common Stock, </w:t>
            </w:r>
            <w:r>
              <w:rPr>
                <w:rFonts w:ascii="Arial" w:cs="Arial" w:eastAsia="Arial" w:hAnsi="Arial"/>
                <w:sz w:val="17"/>
                <w:szCs w:val="17"/>
                <w:b w:val="1"/>
                <w:bCs w:val="1"/>
                <w:color w:val="auto"/>
                <w:w w:val="92"/>
              </w:rPr>
              <w:t>$0.00001</w:t>
            </w:r>
            <w:r>
              <w:rPr>
                <w:rFonts w:ascii="Arial" w:cs="Arial" w:eastAsia="Arial" w:hAnsi="Arial"/>
                <w:sz w:val="16"/>
                <w:szCs w:val="16"/>
                <w:b w:val="1"/>
                <w:bCs w:val="1"/>
                <w:color w:val="auto"/>
                <w:w w:val="92"/>
              </w:rPr>
              <w:t xml:space="preserve"> par value</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CTMX</w:t>
            </w:r>
          </w:p>
        </w:tc>
        <w:tc>
          <w:tcPr>
            <w:tcW w:w="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860" w:type="dxa"/>
            <w:vAlign w:val="bottom"/>
            <w:gridSpan w:val="11"/>
          </w:tcPr>
          <w:p>
            <w:pPr>
              <w:jc w:val="center"/>
              <w:ind w:right="3265"/>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None</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740" w:type="dxa"/>
            <w:vAlign w:val="bottom"/>
            <w:gridSpan w:val="6"/>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80" w:type="dxa"/>
            <w:vAlign w:val="bottom"/>
            <w:gridSpan w:val="2"/>
          </w:tcPr>
          <w:p>
            <w:pPr>
              <w:spacing w:after="0"/>
              <w:rPr>
                <w:sz w:val="4"/>
                <w:szCs w:val="4"/>
                <w:color w:val="auto"/>
              </w:rPr>
            </w:pPr>
          </w:p>
        </w:tc>
        <w:tc>
          <w:tcPr>
            <w:tcW w:w="6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720" w:type="dxa"/>
            <w:vAlign w:val="bottom"/>
            <w:gridSpan w:val="3"/>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00" w:type="dxa"/>
            <w:vAlign w:val="bottom"/>
            <w:vMerge w:val="continue"/>
          </w:tcPr>
          <w:p>
            <w:pPr>
              <w:spacing w:after="0"/>
              <w:rPr>
                <w:sz w:val="17"/>
                <w:szCs w:val="17"/>
                <w:color w:val="auto"/>
              </w:rPr>
            </w:pPr>
          </w:p>
        </w:tc>
        <w:tc>
          <w:tcPr>
            <w:tcW w:w="3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0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720" w:type="dxa"/>
            <w:vAlign w:val="bottom"/>
            <w:gridSpan w:val="3"/>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1"/>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6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right="54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ind w:right="120"/>
        <w:spacing w:after="0" w:line="23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of the registrant was approximately $408.3 million, based on the closing price of the registrant’s common stock on the Nasdaq Global Select Market on June 30, 2021 of $6.33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2022, 65,392,758 shares of the registrant’s common stock, $0.00001 par value per share, were outstanding.</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Portions of the registrant’s definitive proxy statement to be filed for its 2022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60" w:type="dxa"/>
            <w:vAlign w:val="bottom"/>
            <w:gridSpan w:val="11"/>
          </w:tcPr>
          <w:p>
            <w:pPr>
              <w:jc w:val="center"/>
              <w:ind w:right="3480"/>
              <w:spacing w:after="0"/>
              <w:rPr>
                <w:sz w:val="20"/>
                <w:szCs w:val="20"/>
                <w:color w:val="auto"/>
              </w:rPr>
            </w:pPr>
            <w:r>
              <w:rPr>
                <w:rFonts w:ascii="Arial" w:cs="Arial" w:eastAsia="Arial" w:hAnsi="Arial"/>
                <w:sz w:val="18"/>
                <w:szCs w:val="18"/>
                <w:b w:val="1"/>
                <w:bCs w:val="1"/>
                <w:color w:val="auto"/>
              </w:rPr>
              <w:t>CYTOMX THERAPEUTICS, INC.</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60" w:type="dxa"/>
            <w:vAlign w:val="bottom"/>
            <w:gridSpan w:val="11"/>
          </w:tcPr>
          <w:p>
            <w:pPr>
              <w:jc w:val="center"/>
              <w:ind w:right="3480"/>
              <w:spacing w:after="0" w:line="202" w:lineRule="exact"/>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8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20" w:type="dxa"/>
            <w:vAlign w:val="bottom"/>
            <w:tcBorders>
              <w:bottom w:val="single" w:sz="8" w:color="0000EE"/>
            </w:tcBorders>
          </w:tcPr>
          <w:p>
            <w:pPr>
              <w:spacing w:after="0"/>
              <w:rPr>
                <w:sz w:val="24"/>
                <w:szCs w:val="24"/>
                <w:color w:val="auto"/>
              </w:rPr>
            </w:pPr>
          </w:p>
        </w:tc>
        <w:tc>
          <w:tcPr>
            <w:tcW w:w="8660" w:type="dxa"/>
            <w:vAlign w:val="bottom"/>
            <w:gridSpan w:val="2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1A.</w:t>
            </w:r>
          </w:p>
        </w:tc>
        <w:tc>
          <w:tcPr>
            <w:tcW w:w="9320" w:type="dxa"/>
            <w:vAlign w:val="bottom"/>
            <w:gridSpan w:val="2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ITEM 1B.</w:t>
            </w: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vMerge w:val="continue"/>
          </w:tcPr>
          <w:p>
            <w:pPr>
              <w:spacing w:after="0"/>
              <w:rPr>
                <w:sz w:val="24"/>
                <w:szCs w:val="24"/>
                <w:color w:val="auto"/>
              </w:rPr>
            </w:pPr>
          </w:p>
        </w:tc>
        <w:tc>
          <w:tcPr>
            <w:tcW w:w="9320" w:type="dxa"/>
            <w:vAlign w:val="bottom"/>
            <w:gridSpan w:val="2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Unresolved Staff Comments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2.</w:t>
            </w:r>
          </w:p>
        </w:tc>
        <w:tc>
          <w:tcPr>
            <w:tcW w:w="2040" w:type="dxa"/>
            <w:vAlign w:val="bottom"/>
            <w:tcBorders>
              <w:top w:val="single" w:sz="8" w:color="0000FF"/>
            </w:tcBorders>
            <w:gridSpan w:val="1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Properties</w:t>
              </w:r>
            </w:hyperlink>
          </w:p>
        </w:tc>
        <w:tc>
          <w:tcPr>
            <w:tcW w:w="7280" w:type="dxa"/>
            <w:vAlign w:val="bottom"/>
            <w:gridSpan w:val="1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ITEM 3.</w:t>
            </w: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vMerge w:val="continue"/>
          </w:tcPr>
          <w:p>
            <w:pPr>
              <w:spacing w:after="0"/>
              <w:rPr>
                <w:sz w:val="24"/>
                <w:szCs w:val="24"/>
                <w:color w:val="auto"/>
              </w:rPr>
            </w:pPr>
          </w:p>
        </w:tc>
        <w:tc>
          <w:tcPr>
            <w:tcW w:w="13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24"/>
                <w:szCs w:val="24"/>
                <w:color w:val="auto"/>
              </w:rPr>
            </w:pPr>
          </w:p>
        </w:tc>
        <w:tc>
          <w:tcPr>
            <w:tcW w:w="7960" w:type="dxa"/>
            <w:vAlign w:val="bottom"/>
            <w:gridSpan w:val="16"/>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4.</w:t>
            </w:r>
          </w:p>
        </w:tc>
        <w:tc>
          <w:tcPr>
            <w:tcW w:w="9320" w:type="dxa"/>
            <w:vAlign w:val="bottom"/>
            <w:gridSpan w:val="2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Mine Safety Disclosures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80" w:type="dxa"/>
            <w:vAlign w:val="bottom"/>
            <w:tcBorders>
              <w:bottom w:val="single" w:sz="8" w:color="0000FF"/>
            </w:tcBorders>
            <w:gridSpan w:val="2"/>
          </w:tcPr>
          <w:p>
            <w:pPr>
              <w:ind w:left="20"/>
              <w:spacing w:after="0"/>
              <w:rPr>
                <w:rFonts w:ascii="Arial" w:cs="Arial" w:eastAsia="Arial" w:hAnsi="Arial"/>
                <w:sz w:val="18"/>
                <w:szCs w:val="18"/>
                <w:b w:val="1"/>
                <w:bCs w:val="1"/>
                <w:color w:val="0000FF"/>
                <w:w w:val="99"/>
              </w:rPr>
            </w:pPr>
            <w:hyperlink w:anchor="page76">
              <w:r>
                <w:rPr>
                  <w:rFonts w:ascii="Arial" w:cs="Arial" w:eastAsia="Arial" w:hAnsi="Arial"/>
                  <w:sz w:val="18"/>
                  <w:szCs w:val="18"/>
                  <w:b w:val="1"/>
                  <w:bCs w:val="1"/>
                  <w:color w:val="0000FF"/>
                  <w:w w:val="99"/>
                </w:rPr>
                <w:t>PART II</w:t>
              </w:r>
            </w:hyperlink>
          </w:p>
        </w:tc>
        <w:tc>
          <w:tcPr>
            <w:tcW w:w="20" w:type="dxa"/>
            <w:vAlign w:val="bottom"/>
            <w:tcBorders>
              <w:bottom w:val="single" w:sz="8" w:color="0000EE"/>
            </w:tcBorders>
          </w:tcPr>
          <w:p>
            <w:pPr>
              <w:spacing w:after="0"/>
              <w:rPr>
                <w:sz w:val="24"/>
                <w:szCs w:val="24"/>
                <w:color w:val="auto"/>
              </w:rPr>
            </w:pPr>
          </w:p>
        </w:tc>
        <w:tc>
          <w:tcPr>
            <w:tcW w:w="58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5.</w:t>
            </w:r>
          </w:p>
        </w:tc>
        <w:tc>
          <w:tcPr>
            <w:tcW w:w="812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Market for Registrant’s Common Equity, Related Stockholder Matters, and Issuer Purchases of Equity Securities</w:t>
              </w:r>
            </w:hyperlink>
          </w:p>
        </w:tc>
        <w:tc>
          <w:tcPr>
            <w:tcW w:w="12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6.</w:t>
            </w:r>
          </w:p>
        </w:tc>
        <w:tc>
          <w:tcPr>
            <w:tcW w:w="9320" w:type="dxa"/>
            <w:vAlign w:val="bottom"/>
            <w:gridSpan w:val="24"/>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[Reserved]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ITEM 7.</w:t>
            </w: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vMerge w:val="continue"/>
          </w:tcPr>
          <w:p>
            <w:pPr>
              <w:spacing w:after="0"/>
              <w:rPr>
                <w:sz w:val="24"/>
                <w:szCs w:val="24"/>
                <w:color w:val="auto"/>
              </w:rPr>
            </w:pPr>
          </w:p>
        </w:tc>
        <w:tc>
          <w:tcPr>
            <w:tcW w:w="646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7A.</w:t>
            </w:r>
          </w:p>
        </w:tc>
        <w:tc>
          <w:tcPr>
            <w:tcW w:w="436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Quantitative and Qualitative Disclosures About Market Risk</w:t>
              </w:r>
            </w:hyperlink>
          </w:p>
        </w:tc>
        <w:tc>
          <w:tcPr>
            <w:tcW w:w="496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8.</w:t>
            </w:r>
          </w:p>
        </w:tc>
        <w:tc>
          <w:tcPr>
            <w:tcW w:w="9320" w:type="dxa"/>
            <w:vAlign w:val="bottom"/>
            <w:gridSpan w:val="2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Financial Statements and Supplementary Data</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ITEM 9.</w:t>
            </w: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vMerge w:val="continue"/>
          </w:tcPr>
          <w:p>
            <w:pPr>
              <w:spacing w:after="0"/>
              <w:rPr>
                <w:sz w:val="24"/>
                <w:szCs w:val="24"/>
                <w:color w:val="auto"/>
              </w:rPr>
            </w:pPr>
          </w:p>
        </w:tc>
        <w:tc>
          <w:tcPr>
            <w:tcW w:w="648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Changes in and Disagreements with Accountants on Accounting and Financial Disclosure</w:t>
              </w:r>
            </w:hyperlink>
          </w:p>
        </w:tc>
        <w:tc>
          <w:tcPr>
            <w:tcW w:w="284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9A.</w:t>
            </w:r>
          </w:p>
        </w:tc>
        <w:tc>
          <w:tcPr>
            <w:tcW w:w="9320" w:type="dxa"/>
            <w:vAlign w:val="bottom"/>
            <w:gridSpan w:val="24"/>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Controls and Procedures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6"/>
              </w:rPr>
              <w:t>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9B.</w:t>
            </w: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24"/>
                <w:szCs w:val="24"/>
                <w:color w:val="auto"/>
              </w:rPr>
            </w:pPr>
          </w:p>
        </w:tc>
        <w:tc>
          <w:tcPr>
            <w:tcW w:w="420" w:type="dxa"/>
            <w:vAlign w:val="bottom"/>
            <w:tcBorders>
              <w:top w:val="single" w:sz="8" w:color="0000FF"/>
            </w:tcBorders>
            <w:gridSpan w:val="3"/>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9C.</w:t>
            </w:r>
          </w:p>
        </w:tc>
        <w:tc>
          <w:tcPr>
            <w:tcW w:w="9320" w:type="dxa"/>
            <w:vAlign w:val="bottom"/>
            <w:gridSpan w:val="24"/>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Disclosure Regarding Foreign Jurisdictions That Prevent Inspections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60" w:type="dxa"/>
            <w:vAlign w:val="bottom"/>
            <w:tcBorders>
              <w:bottom w:val="single" w:sz="8" w:color="0000FF"/>
            </w:tcBorders>
            <w:gridSpan w:val="5"/>
          </w:tcPr>
          <w:p>
            <w:pPr>
              <w:ind w:left="20"/>
              <w:spacing w:after="0"/>
              <w:rPr>
                <w:rFonts w:ascii="Arial" w:cs="Arial" w:eastAsia="Arial" w:hAnsi="Arial"/>
                <w:sz w:val="18"/>
                <w:szCs w:val="18"/>
                <w:b w:val="1"/>
                <w:bCs w:val="1"/>
                <w:color w:val="0000FF"/>
              </w:rPr>
            </w:pPr>
            <w:hyperlink w:anchor="page123">
              <w:r>
                <w:rPr>
                  <w:rFonts w:ascii="Arial" w:cs="Arial" w:eastAsia="Arial" w:hAnsi="Arial"/>
                  <w:sz w:val="18"/>
                  <w:szCs w:val="18"/>
                  <w:b w:val="1"/>
                  <w:bCs w:val="1"/>
                  <w:color w:val="0000FF"/>
                </w:rPr>
                <w:t>PART III</w:t>
              </w:r>
            </w:hyperlink>
          </w:p>
        </w:tc>
        <w:tc>
          <w:tcPr>
            <w:tcW w:w="20" w:type="dxa"/>
            <w:vAlign w:val="bottom"/>
            <w:tcBorders>
              <w:bottom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10.</w:t>
            </w:r>
          </w:p>
        </w:tc>
        <w:tc>
          <w:tcPr>
            <w:tcW w:w="41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23">
              <w:r>
                <w:rPr>
                  <w:rFonts w:ascii="Arial" w:cs="Arial" w:eastAsia="Arial" w:hAnsi="Arial"/>
                  <w:sz w:val="18"/>
                  <w:szCs w:val="18"/>
                  <w:color w:val="0000FF"/>
                  <w:w w:val="90"/>
                </w:rPr>
                <w:t>Directors, Executive Officers and Corporate Governance</w:t>
              </w:r>
            </w:hyperlink>
          </w:p>
        </w:tc>
        <w:tc>
          <w:tcPr>
            <w:tcW w:w="522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11.</w:t>
            </w:r>
          </w:p>
        </w:tc>
        <w:tc>
          <w:tcPr>
            <w:tcW w:w="9320" w:type="dxa"/>
            <w:vAlign w:val="bottom"/>
            <w:gridSpan w:val="24"/>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Executive Compensation</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ITEM 12.</w:t>
            </w: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7"/>
            <w:vMerge w:val="continue"/>
          </w:tcPr>
          <w:p>
            <w:pPr>
              <w:spacing w:after="0"/>
              <w:rPr>
                <w:sz w:val="24"/>
                <w:szCs w:val="24"/>
                <w:color w:val="auto"/>
              </w:rPr>
            </w:pPr>
          </w:p>
        </w:tc>
        <w:tc>
          <w:tcPr>
            <w:tcW w:w="9320" w:type="dxa"/>
            <w:vAlign w:val="bottom"/>
            <w:gridSpan w:val="24"/>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Security Ownership of Certain Beneficial Owners and Management and Related Stockholder Matters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13.</w:t>
            </w:r>
          </w:p>
        </w:tc>
        <w:tc>
          <w:tcPr>
            <w:tcW w:w="7280" w:type="dxa"/>
            <w:vAlign w:val="bottom"/>
            <w:tcBorders>
              <w:top w:val="single" w:sz="8" w:color="0000FF"/>
            </w:tcBorders>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Certain Relationships and Related Transactions, and Director Independence</w:t>
              </w:r>
            </w:hyperlink>
          </w:p>
        </w:tc>
        <w:tc>
          <w:tcPr>
            <w:tcW w:w="20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14.</w:t>
            </w:r>
          </w:p>
        </w:tc>
        <w:tc>
          <w:tcPr>
            <w:tcW w:w="5440" w:type="dxa"/>
            <w:vAlign w:val="bottom"/>
            <w:tcBorders>
              <w:top w:val="single" w:sz="8" w:color="0000FF"/>
            </w:tcBorders>
            <w:gridSpan w:val="19"/>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Principal Accounting Fees and Services</w:t>
              </w:r>
            </w:hyperlink>
          </w:p>
        </w:tc>
        <w:tc>
          <w:tcPr>
            <w:tcW w:w="388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40" w:type="dxa"/>
            <w:vAlign w:val="bottom"/>
            <w:tcBorders>
              <w:bottom w:val="single" w:sz="8" w:color="0000FF"/>
            </w:tcBorders>
            <w:gridSpan w:val="4"/>
          </w:tcPr>
          <w:p>
            <w:pPr>
              <w:ind w:left="20"/>
              <w:spacing w:after="0"/>
              <w:rPr>
                <w:rFonts w:ascii="Arial" w:cs="Arial" w:eastAsia="Arial" w:hAnsi="Arial"/>
                <w:sz w:val="18"/>
                <w:szCs w:val="18"/>
                <w:b w:val="1"/>
                <w:bCs w:val="1"/>
                <w:color w:val="0000FF"/>
                <w:w w:val="98"/>
              </w:rPr>
            </w:pPr>
            <w:hyperlink w:anchor="page124">
              <w:r>
                <w:rPr>
                  <w:rFonts w:ascii="Arial" w:cs="Arial" w:eastAsia="Arial" w:hAnsi="Arial"/>
                  <w:sz w:val="18"/>
                  <w:szCs w:val="18"/>
                  <w:b w:val="1"/>
                  <w:bCs w:val="1"/>
                  <w:color w:val="0000FF"/>
                  <w:w w:val="98"/>
                </w:rPr>
                <w:t>PART IV</w:t>
              </w:r>
            </w:hyperlink>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15.</w:t>
            </w:r>
          </w:p>
        </w:tc>
        <w:tc>
          <w:tcPr>
            <w:tcW w:w="31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24">
              <w:r>
                <w:rPr>
                  <w:rFonts w:ascii="Arial" w:cs="Arial" w:eastAsia="Arial" w:hAnsi="Arial"/>
                  <w:sz w:val="18"/>
                  <w:szCs w:val="18"/>
                  <w:color w:val="0000FF"/>
                  <w:w w:val="89"/>
                </w:rPr>
                <w:t>Exhibits and Financial Statement Schedules</w:t>
              </w:r>
            </w:hyperlink>
          </w:p>
        </w:tc>
        <w:tc>
          <w:tcPr>
            <w:tcW w:w="6160" w:type="dxa"/>
            <w:vAlign w:val="bottom"/>
            <w:gridSpan w:val="10"/>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ITEM 16.</w:t>
            </w:r>
          </w:p>
        </w:tc>
        <w:tc>
          <w:tcPr>
            <w:tcW w:w="9320" w:type="dxa"/>
            <w:vAlign w:val="bottom"/>
            <w:gridSpan w:val="24"/>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Form 10-K Summary</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Borders>
              <w:top w:val="single" w:sz="8" w:color="0000FF"/>
            </w:tcBorders>
            <w:gridSpan w:val="9"/>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Signatures</w:t>
              </w:r>
            </w:hyperlink>
          </w:p>
        </w:tc>
        <w:tc>
          <w:tcPr>
            <w:tcW w:w="7780" w:type="dxa"/>
            <w:vAlign w:val="bottom"/>
            <w:gridSpan w:val="15"/>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126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30" w:lineRule="exact"/>
        <w:rPr>
          <w:sz w:val="20"/>
          <w:szCs w:val="20"/>
          <w:color w:val="auto"/>
        </w:rPr>
      </w:pPr>
    </w:p>
    <w:p>
      <w:pPr>
        <w:ind w:left="1020" w:right="20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the COVID-19 pandemic and related governmental regulations and restrictions may impact our business, including our research, clinical trials, which include ongoing site initiation and patient enrollment, manufacturing and financial condition;</w:t>
      </w:r>
    </w:p>
    <w:p>
      <w:pPr>
        <w:spacing w:after="0" w:line="29" w:lineRule="exact"/>
        <w:rPr>
          <w:rFonts w:ascii="Arial" w:cs="Arial" w:eastAsia="Arial" w:hAnsi="Arial"/>
          <w:sz w:val="16"/>
          <w:szCs w:val="16"/>
          <w:color w:val="auto"/>
        </w:rPr>
      </w:pPr>
    </w:p>
    <w:p>
      <w:pPr>
        <w:ind w:left="1020" w:right="4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6"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17" w:lineRule="exact"/>
        <w:rPr>
          <w:rFonts w:ascii="Arial" w:cs="Arial" w:eastAsia="Arial" w:hAnsi="Arial"/>
          <w:sz w:val="18"/>
          <w:szCs w:val="18"/>
          <w:color w:val="auto"/>
        </w:rPr>
      </w:pPr>
    </w:p>
    <w:p>
      <w:pPr>
        <w:ind w:left="1020" w:right="8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17"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Except where the context otherwise requires, in this Annual Report on Form 10-K, “we,” “us,” “our” and the “Company” refer to CytomX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are a clinical-stage, oncology-focused biopharmaceutical company dedicated to destroying cancer differently. We aim to build a commercial enterprise to maximize our impact on the treatment of cancer. By pioneering a novel class of conditionally activated biologic candidates, powered by our Probody® therapeutic technology platform, we lead the field of conditionally activated oncology therapeutics and have established conditional activation as a strategic area of biologics research and development. Our goal is to transcend the limits of current cancer treatments by successfully leveraging therapeutic targets and strategies that were once thought to be inaccessible.</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proprietary, unique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drugs to their targets until the mask is removed by proteases in the tumor microenvironment, providing more selective targeting of the tumor. We believe this innovative approach has the potential to improve cancer treatment in three ways:</w:t>
      </w:r>
    </w:p>
    <w:p>
      <w:pPr>
        <w:spacing w:after="0" w:line="73" w:lineRule="exact"/>
        <w:rPr>
          <w:sz w:val="20"/>
          <w:szCs w:val="20"/>
          <w:color w:val="auto"/>
        </w:rPr>
      </w:pPr>
    </w:p>
    <w:p>
      <w:pPr>
        <w:ind w:left="1020" w:right="26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normal tissues;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Enhancing a potential product’s “therapeutic window,” the balance between tolerability and anti-tumor activity;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239"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We are employing our leading, conditional activation platform technology to address some of the biggest challenges today in oncology biologics research and development. These include the validation of potential new targets for antibody-drug conjugates (“ADCs”), opening solid tumor opportunities for T-cell engaging bispecific antibodies (“TCBs”), and increasing the therapeutic window for immune modulators such as cytokines and checkpoint inhibitors (“CPIs”).</w:t>
      </w:r>
    </w:p>
    <w:p>
      <w:pPr>
        <w:spacing w:after="0" w:line="188"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We have utilized our multi-modality Probody platform to build a promising pipeline of potential first-in-class and best-in-class therapeutics that encompasses six novel product candidates, four of which are currently in multiple Phase 2 clinical studies in nine cancer indications. These include the conditionally activated ADCs praluzatamab ravtansine (CX-2009, targeting CD166) and CX-2029 (targeting CD71), and the Probody immune CPIs pacmilimab (CX-072, targeting PD-L1) and BMS-986249 (targeting CTLA-4).</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Underscoring our commitment to destroying cancer differently, we have recently advanced a new Probody modality into the clinic. CX-904 is our first conditionally activated TCB, targeting the epidermal growth factor receptor (“EGFR”) on tumor cells and the CD3 receptor on T cells. In January 2022, the investigational new drug application (“IND”) for the program was allowed to proceed by the U.S. Food and Drug Administration (“FDA”). We are in the process of initiating a first-in-human Phase 1 study of CX-904 in patients with advanced solid tumors and expect to dose the first patient in the first half of 2022. We are also developing CX-2043, our third conditionally activated ADC directed toward epithelial cell adhesion molecule, EpCAM/Trop-1, currently in preclinical studies, as well as other discovery stage programs across multiple modalities.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Strategy</w:t>
      </w:r>
    </w:p>
    <w:p>
      <w:pPr>
        <w:spacing w:after="0" w:line="10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are utilizing our industry-leading, proprietary, versatile, and tunable Probody platform to create a robust pipeline of biologic therapeutics to improve the lives of people with cancer and to build a long-term, multi-product, commercial biopharmaceutical company. We aim to achieve this goal by:</w:t>
      </w:r>
    </w:p>
    <w:p>
      <w:pPr>
        <w:spacing w:after="0" w:line="16" w:lineRule="exact"/>
        <w:rPr>
          <w:sz w:val="20"/>
          <w:szCs w:val="20"/>
          <w:color w:val="auto"/>
        </w:rPr>
      </w:pPr>
    </w:p>
    <w:p>
      <w:pPr>
        <w:ind w:left="1020" w:right="62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potentially first-in-class therapies against high potential, novel targets that have not yet been developed because of broad expression in healthy tissue. Praluzatamab ravtansine and CX-2029, targeting CD166 and CD71, respectively, are our most advanced programs in this class.</w:t>
      </w:r>
    </w:p>
    <w:p>
      <w:pPr>
        <w:spacing w:after="0" w:line="73" w:lineRule="exact"/>
        <w:rPr>
          <w:rFonts w:ascii="Arial" w:cs="Arial" w:eastAsia="Arial" w:hAnsi="Arial"/>
          <w:sz w:val="18"/>
          <w:szCs w:val="18"/>
          <w:color w:val="auto"/>
        </w:rPr>
      </w:pPr>
    </w:p>
    <w:p>
      <w:pPr>
        <w:jc w:val="both"/>
        <w:ind w:left="1020" w:right="80" w:hanging="503"/>
        <w:spacing w:after="0" w:line="29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Continuing our leadership in the field of conditional activation of biologic therapeutics by advancing new therapeutic formats into the clinic. We are in the process of initiating our Phase 1 study of CX-904 after our IND was allowed to proceed by the FDA in January 2022. The CX-904 IND marks the sixth therapeutic candidate and the third treatment modality overall to enter the clinic from the Probody platform.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1020" w:hanging="503"/>
        <w:spacing w:after="0" w:line="24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novel and improved combination therapies based on validated immuno-oncology targets and pathways that have the potential to improve outcomes for cancer patients. Our partner, Bristol Myers Squibb Company (“Bristol Myers Squibb”), is progressing two Probody anti-CTLA-4 inhibitors, BMS-986249 and BMS-986288, in combination with nivolumab, a PD-1 inhibitor, in multiple solid tumors. Additionally, we are studying our conditionally activated anti-PD-L1 therapeutic candidate, pacmilimab (CX-072), in combination with praluzatamab ravtansine in breast cancer.</w:t>
      </w:r>
    </w:p>
    <w:p>
      <w:pPr>
        <w:spacing w:after="0" w:line="81" w:lineRule="exact"/>
        <w:rPr>
          <w:rFonts w:ascii="Arial" w:cs="Arial" w:eastAsia="Arial" w:hAnsi="Arial"/>
          <w:sz w:val="18"/>
          <w:szCs w:val="18"/>
          <w:color w:val="auto"/>
        </w:rPr>
      </w:pPr>
    </w:p>
    <w:p>
      <w:pPr>
        <w:ind w:left="1020" w:right="280" w:hanging="503"/>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Partnering with leading global biopharmaceutical companies to access capital, additional resources and expertise, as well as increase the number of Probody therapeutic candidates being advanced into clinical studies. To date, we have formed several strategic alliances with major multinational drug companies, including AbbVie, Inc. (“AbbVie”), Amgen, Inc. (“Amgen”), Bristol Myers Squibb, and Astellas Pharma Inc. (“Astellas”).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Fostering a unique, patient-focused culture of execution, alignment and accountability centered around our vision, mission and values.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Conditionally Activated Product Candidates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leveraging our Probody platform to build a robust pipeline of potential first-in-class and best-in-class anti-cancer therapies. We currently retain worldwide development and commercialization rights to two of our most advanced Probody therapeutics in the clinic, praluzatamab ravtansine and pacmilimab. Additionally, we are advancing multiple partnered development programs in the clinic, including CX-2029 in collaboration with AbbVie, BMS-986249 and BMS-986288 partnered with Bristol Myers Squibb, and the Amgen-partnered CX-904. The table below depicts the current status of our conditionally activated product candidates that are in clinical and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162560</wp:posOffset>
            </wp:positionV>
            <wp:extent cx="6172200" cy="268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CytomX Pipeline of Conditionally Activated Probody Therapeutics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Praluzatamab Ravtansine (CX-2009): A Potentially First-in-Class Conditionally Activated ADC Targeting CD-166</w:t>
      </w:r>
    </w:p>
    <w:p>
      <w:pPr>
        <w:spacing w:after="0" w:line="10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With more than ten ADCs approved in the United States, this drug class is now well established as an effective therapeutic strategy for the treatment of cancer. However, conventional ADCs are restricted to targeting proteins that are expressed highly in tumors, but with little or no expression in healthy tissues, in order to avoid undesirable on-target toxicities. Few cancer-associated proteins have this desirable profile, thereby limiting the utility of conventional ADCs.</w:t>
      </w:r>
    </w:p>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therapeutic strategy with conditionally activated ADCs is to leverage targets to achieve binding to tumor cells, and to effect cancer cell killing via a cytotoxic payload conjugated to the antibody. Our Probody platform is designed to reduce on-target toxicities that otherwise may occur with conventional ADCs. We do not mask the cytotoxic payload in our conditionally activated ADCs, and therefore some payload-related toxicities are expected. Furthermore, payload toxicities may offer an indication that therapeutically active levels of the drug conjugate are being achieved.</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6" w:name="page7"/>
    <w:bookmarkEnd w:id="6"/>
    <w:p>
      <w:pPr>
        <w:ind w:right="300"/>
        <w:spacing w:after="0" w:line="243" w:lineRule="auto"/>
        <w:rPr>
          <w:sz w:val="20"/>
          <w:szCs w:val="20"/>
          <w:color w:val="auto"/>
        </w:rPr>
      </w:pPr>
      <w:r>
        <w:rPr>
          <w:rFonts w:ascii="Arial" w:cs="Arial" w:eastAsia="Arial" w:hAnsi="Arial"/>
          <w:sz w:val="18"/>
          <w:szCs w:val="18"/>
          <w:color w:val="auto"/>
        </w:rPr>
        <w:t>Praluzatamab ravtansine, our wholly-owned lead product candidate, is a potential first-in-class conditionally activated ADC directed toward CD166. CD166 is a tumor target previously considered undruggable with a conventional ADC therapy due to its high expression on normal tissues, but that has been validated as a potential target at CytomX. Praluzatamab ravtansine is conjugated with the potent microtubule inhibiting payload DM4, a chemotherapeutic agent in the maytansine class, licensed from ImmunoGen.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We have completed a Phase 1 dose-finding, multi-cohort study involving heavily-pretreated patients. These first-in-human data were published in the peer-reviewed journal </w:t>
      </w:r>
      <w:r>
        <w:rPr>
          <w:rFonts w:ascii="Arial" w:cs="Arial" w:eastAsia="Arial" w:hAnsi="Arial"/>
          <w:sz w:val="17"/>
          <w:szCs w:val="17"/>
          <w:i w:val="1"/>
          <w:iCs w:val="1"/>
          <w:color w:val="auto"/>
        </w:rPr>
        <w:t>Clinical Cancer Research</w:t>
      </w:r>
      <w:r>
        <w:rPr>
          <w:rFonts w:ascii="Arial" w:cs="Arial" w:eastAsia="Arial" w:hAnsi="Arial"/>
          <w:sz w:val="17"/>
          <w:szCs w:val="17"/>
          <w:color w:val="auto"/>
        </w:rPr>
        <w:t xml:space="preserve"> in February 2022, in which we reported encouraging anti-cancer activity in patients with triple-negative breast cancer (“TNBC”) and hormone receptor-positive (“HR+”), human epidermal growth factor receptor 2 (“HER2”)-non-amplified breast cancer, among others. In particular, clinical benefit rates ("CBR") in breast cancer of 41% and 28% were observed at 16 and 24 weeks (“CBR16” and “CBR 24”), respectively, with all four patients with TNBC who achieved CBR16 maintaining it at CBR24. Praluzatamab ravtansine was generally well tolerated at doses up to 7 mg/kg administered every three weeks, with mostly DM4-related toxicities, including ocular, neuropathic, and hepatic.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222885</wp:posOffset>
            </wp:positionV>
            <wp:extent cx="6172200" cy="2434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Observed Responses and Durability in Breast Cancer with Praluzatamab Ravtansine (CX-2009) at Doses ≥4 mg/kg Q3W as of August 31, 2020</w:t>
      </w:r>
    </w:p>
    <w:p>
      <w:pPr>
        <w:spacing w:after="0" w:line="2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December 2020, we initiated a three-arm, Phase 2 study of praluzatamab ravtansine in HER2-non amplified breast cancer. The first two arms, Arms A and B, will evaluate praluzatamab ravtansine as monotherapy, with Arm A focusing on patients with HR+, HER2-non-amplified breast cancer and Arm B in patients with TNBC. Arm C will study praluzatamab ravtansine in combination with pacmilimab in patients with TNBC. We expect initial data for Arms A and B to be available in the second half of 2022.</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According to the American Cancer Society, an estimated 287,850 new cases of invasive breast cancer are expected to be diagnosed in women in the United States in 2022, making it the most frequently diagnosed cancer in women. HR+/HER2‒ and TNBC subtypes, collectively HER2-non-amplified, is the largest segment of breast cancer, accounting for greater than 80% of patients with advanced breast cancer. Patients with HR+ breast cancer are treated with hormone-based therapy, which can be single-agent or combination therapy (including CDK4/6 or mTOR inhibition). If their cancer progresses, patients may require more aggressive cytotoxic chemotherapy and this late-stage disease setting represents a significant unmet need for more efficacious treatment options. For TNBC, given this tumor subtype lacks estrogen or progesterone receptors and the HER2 protein, chemotherapy is the main systemic treatment option. The combination of immune CPI and chemotherapy has recently been approved by the FDA for patients with advanced, previously-untreated TNBC that expresses the PD-L1 marker. For patients who have tried at least 2 other drug treatments, the ADC, sacituzumab govitecan, might be an option. Despite these recent advances, significant need exists for novel treatment options for these patients.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CX-2029: A Potentially First-in-Class Conditionally Activated ADC Targeting CD71, The Transferrin Receptor</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second lead conditionally activated ADC is CX-2029, which we are advancing in a global co-development collaboration with AbbVie. This program is intended to open a therapeutic window for successful targeting of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 w:name="page8"/>
    <w:bookmarkEnd w:id="7"/>
    <w:p>
      <w:pPr>
        <w:ind w:right="220"/>
        <w:spacing w:after="0" w:line="261" w:lineRule="auto"/>
        <w:rPr>
          <w:sz w:val="20"/>
          <w:szCs w:val="20"/>
          <w:color w:val="auto"/>
        </w:rPr>
      </w:pPr>
      <w:r>
        <w:rPr>
          <w:rFonts w:ascii="Arial" w:cs="Arial" w:eastAsia="Arial" w:hAnsi="Arial"/>
          <w:sz w:val="18"/>
          <w:szCs w:val="18"/>
          <w:color w:val="auto"/>
        </w:rPr>
        <w:t>thought to be an undruggable target with conventional ADCs. CX-2029 is conjugated with the tubulin inhibitor, monomethyl auristatin E (“MMAE”), as the payload.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In 2020, we completed the dose-escalation phase of an ongoing Phase 1/2 clinical study, for which we received a $40 million milestone payment from AbbVie. We published these first-in-human data in the peer-reviewed journal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xml:space="preserve"> in June 2021. A total of 45 patients with advanced solid tumors were enrolled to receive CX-2029 intravenously every three weeks at dose levels ranging from 0.1 mg/kg to 5 mg/kg. At doses of 0.25 mg/kg to 5 mg/kg, more than 90% of CX-2029 circulated predominantly as the intact species. CX-2029 was generally well tolerated at doses up to 3 mg/kg, with infusion related reactions, anemia, and neutropenia as the most common dose-dependent adverse events. Neutropenia is commonly associated with the MMAE payload. The etiology of anemia is under investigation and is likely multifactorial. The MMAE payload is also known to be associated with anemia, and preclinical studies have shown that reduction of red blood cell precursors has been observed in response to targeting CD71, which is known to play a role in early erythroid development. Anemia was managed with transfusions and supportive care. Additionally, no CX-2029 treatment related deaths were reported, and no patient withdrew from the dose-escalation phase of the clinical trial due to anemia.</w:t>
      </w:r>
    </w:p>
    <w:p>
      <w:pPr>
        <w:spacing w:after="0" w:line="169"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Encouraging preliminary clinical activity was observed at doses of 2 mg/kg and higher. Notably, three of four patients with squamous non-small cell lung carcinoma (“sqNSCLC”) had stable disease (“SD”) or better, including two confirmed partial responses (“PRs”) (at doses of 3 and 5 mg/kg); and seven of eight patients with head and neck squamous cell carcinoma (“HNSCC”) had SD or better, including one confirmed PR at 3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36195</wp:posOffset>
            </wp:positionV>
            <wp:extent cx="6103620" cy="382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0362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Observed Responses and Durability in sqNSCLC and HNSCC with CX-2029 at Doses ≥2 mg/kg Q3W as of August 14, 2020</w:t>
      </w:r>
    </w:p>
    <w:p>
      <w:pPr>
        <w:spacing w:after="0" w:line="24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November 2020, we expanded this study into a four-cohort Phase 2 expansion, designed to evaluate CX-2029 as a monotherapy in patients with sqNSCLC, HNSCC, esophageal and gastro-esophageal junction cancers, and diffuse large B-cell lymphoma (“DLBCL”). Preliminary data for the sqNSCLC and HNSCC cohorts were disclosed in December 2021. As of the data cutoff on October 29, 2021, 23 patients with sqNSCLC and 29 patients with HNSCC had received at least one dose of CX-2029 (safety population), of whom 16 sqNSCLC patients and 25 HNSCC patients had at least one post baseline assessment (efficacy-evaluable population). For the sqNSCLC cohort, an objective response rate (“ORR”) by local investigator of 18.8% was observed in the 16 efficacy-evaluable patients, including two confirmed PRs and one unconfirmed PR that confirmed seven days after the data cutoff. Two of these responses were ongoing as of the data cutoff and the third had a response duration of 5.6 months. The disease control rate (“DCR”),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 w:name="page9"/>
    <w:bookmarkEnd w:id="8"/>
    <w:p>
      <w:pPr>
        <w:jc w:val="both"/>
        <w:ind w:right="140"/>
        <w:spacing w:after="0" w:line="248" w:lineRule="auto"/>
        <w:rPr>
          <w:sz w:val="20"/>
          <w:szCs w:val="20"/>
          <w:color w:val="auto"/>
        </w:rPr>
      </w:pPr>
      <w:r>
        <w:rPr>
          <w:rFonts w:ascii="Arial" w:cs="Arial" w:eastAsia="Arial" w:hAnsi="Arial"/>
          <w:sz w:val="18"/>
          <w:szCs w:val="18"/>
          <w:color w:val="auto"/>
        </w:rPr>
        <w:t>which includes patients with a complete response, PR, or stable disease, was 87.5%. The sqNSCLC cohort continues to enroll patients towards the goal of 25 efficacy-evaluable patients. In the 25 efficacy-evaluable patients with HNSCC, the ORR was 4.0%, with a 56.0% DCR, including one unconfirmed PR which will not confirm. The HNSCC cohort has completed enrollment.</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preliminary safety profile of CX-2029 in the Phase 2 expansion was consistent with previous Phase 1 observations, with no new safety signals identified. The most common treatment-related adverse events (“TRAEs”) in 10% or more of patients (All Grade, Grade 3) were anemia (78.8%, 67.3%), infusion related reactions (69.2%, 3.8%), fatigue (19.2%, 1.9%), and nausea (13.5%, 0.0%), and decreased neutrophil count (13.6%, 9.6% (plus one Grade 4 event 1.9%)). The most common reason for treatment discontinuation was disease progression (44.2%), three patients (5.8%) discontinued for a treatment-related adverse event (anemia; 2 Grade 2, 1 Grade 3). TRAEs leading to dose interruption or reduction were 40.4% and 34.6%, respectively. Thirteen patients, eight with sqNSCLC and five with HNSCC, were still on treatment as of the data cut off. Patient enrollment continues in the CX-2029 expansion phase and we plan to provide certain additional data updates in 2022.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Lung cancer is the leading cause of death from all cancers globally, resulting in more than 1.8 million deaths per year. Greater than 80% of lung cancers are NSCLC and the main subtypes of NSCLC are adenocarcinoma, squamous cell carcinoma, and large cell carcinoma, with squamous cell representing approximately 30%. While a number of immune CPIs have been approved by the FDA for NSCLC treatment, patients who failed these agents have limited treatment options, representing a potentially significant opportunity for CX-2029 to address. Head and neck cancers include cancers in the larynx, throat, lips, mouth, nose, and salivary glands, and represent the 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most common cancer worldwide, resulting in 350,000 deaths annually, whereas it is the 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most commonly diagnosed cancer in the United States, accounting for approximately 11,500 deaths annually. The most common types of esophageal cancer are adenocarcinoma and squamous cell carcinoma, with squamous cell accounting for about 90% of the global annual incidence of 456,000. DLBCL is the most common aggressive subtype of non-Hodgkin lymphoma, constituting up to 40% of cases globally and more than 18,000 people diagnosed with the malignancy each year in the United States. Despite recent advances in cancer treatment, including the advent of immuno-oncology therapy, significant unmet need remains for these four cancer types.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Pacmilimab (CX-072): A Probody Therapeutic Targeting PD-L1</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most advanced wholly-owned immuno-oncology product candidate is pacmilimab, a Probody therapeutic against PD-L1, a clinically and commercially validated cancer target. The PD pathway consists principally of two targets: PD-1, which is typically expressed on T-cells, and PD-L1, which is typically expressed on the tumor cells as well as on healthy tissue. In healthy tissue, PD-1 and PD-L1 work together to negatively regulate immune response and maintain tolerance between the immune system and healthy tissue. Tumors, however, upregulate PD-L1 to evade immune surveillance by the host’s immune system. Therefore, development of antibodies against PD-1 and PD-L1 have become a key focal point in cancer drug development, with multiple PD-1 antibodies including nivolumab (Opdivo®), pembrolizumab (Keytruda®), and cemiplimab (Libtayo®) and multiple PD-L1 antibodies including atezolizumab (Tecentriq®), durvalumab (Imfinzi®), and avelumab (Bavencio®) approved by the FDA. There continue to be many other PD pathway inhibitors in clinical development. In addition to assessment as single agents, PD-1 and PD-L1 antibodies have been studied extensively as the centerpiece of oncology combination therapies.</w:t>
      </w:r>
    </w:p>
    <w:p>
      <w:pPr>
        <w:spacing w:after="0" w:line="18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While inhibitors of the PD-L1 and/or PD-1 pathway offer the potential for clinical benefit in patients with a wide-variety of cancer types, there are a number of risks imposed by administration of these agents. According to U.S. labels for Opdivo, Keytruda, Tecentriq, Bavencio, and Imfinzi, the most common side effects (defined as either &gt;15% or &gt;20%, depending upon the agent) that were observed with commercially available anti-PD-L1 and anti-PD-1 agents include: fatigue, decreased appetite, nausea, vomiting, diarrhea, dyspnea, constipation, cough, musculoskeletal pain, back pain, abdominal pain, arthralgia, urinary tract infection, upper respiratory tract infection, peripheral edema, infusion-related reaction, rash, asthenia, pruritus, headache, and pyrexia.</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Combining a PD pathway inhibitor with another anti-cancer agent often results in significantly greater toxicity than monotherapy alone. One example is the combination of atezolizumab and paclitaxel protein-bound, or nab-paclitaxel, which was approved in the United States for the treatment of adult patients with unresectable locally advanced or metastatic TNBC whose tumors express ≥ 1% of PD-L1, as determined by an FDA approved test. According to data reported in 2018 in The New England Journal of Medicine, the combination of atezolizumab at a dose of 840 mg and nab-paclitaxel at a dose of 100 mg per square meter of body-surface resulted in Grade 3/4 treatment related adverse events (“TRAEs”) in 48.7% of the patients treated versus 42.2% in the placebo-nab-paclitaxel group, and drug discontinuations in 6.4% of the patients treated, compared to 1.4% in the placebo group.</w:t>
      </w:r>
    </w:p>
    <w:p>
      <w:pPr>
        <w:spacing w:after="0" w:line="16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believe that a locally activated Probody therapeutic targeting PD-L1 has the potential to maintain the anti-tumor activity of the PD pathway blockade while reducing the autoimmunity that results from blocking such pathway systemically. As such, we believe that pacmilimab has the potential to enable combination therapies that cannot be appropriately dosed because of synergistic toxicity, and ultimately that pacmilimab may have the potential to play an important role in combination therapy. Pacmilimab may also ultimately prove to be a safer monotherapy than existing PD inhibitors which could have specific applications in certain clinical settings.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ind w:right="100"/>
        <w:spacing w:after="0" w:line="241" w:lineRule="auto"/>
        <w:rPr>
          <w:sz w:val="20"/>
          <w:szCs w:val="20"/>
          <w:color w:val="auto"/>
        </w:rPr>
      </w:pPr>
      <w:r>
        <w:rPr>
          <w:rFonts w:ascii="Arial" w:cs="Arial" w:eastAsia="Arial" w:hAnsi="Arial"/>
          <w:sz w:val="18"/>
          <w:szCs w:val="18"/>
          <w:color w:val="auto"/>
        </w:rPr>
        <w:t>In July 2021, we published two manuscripts in the Journal for ImmunoTherapy of Cancer: (1) pacmilimab monotherapy at the recommended Phase 2 dose of 10 mg/kg every 14 days in 114 patients and (2) paclimimab in combination with ipilimumab in 27 patients; all patients were heavily-pretreated. Both studies demonstrated a low rate of immune-mediated toxicity. Additionally, pacmilimab monotherapy showed signs of anti-tumor activity in patients not selected for high PD-L1 expression but had tumors that are sensitive to immune checkpoint inhibition, including TNBC, anal squamous cell carcinoma, cutaneous squamous cell carcinoma, and tumors with high mutational burden.</w:t>
      </w:r>
    </w:p>
    <w:p>
      <w:pPr>
        <w:spacing w:after="0" w:line="189" w:lineRule="exact"/>
        <w:rPr>
          <w:sz w:val="20"/>
          <w:szCs w:val="20"/>
          <w:color w:val="auto"/>
        </w:rPr>
      </w:pPr>
    </w:p>
    <w:p>
      <w:pPr>
        <w:jc w:val="both"/>
        <w:ind w:right="740"/>
        <w:spacing w:after="0" w:line="324" w:lineRule="auto"/>
        <w:rPr>
          <w:sz w:val="20"/>
          <w:szCs w:val="20"/>
          <w:color w:val="auto"/>
        </w:rPr>
      </w:pPr>
      <w:r>
        <w:rPr>
          <w:rFonts w:ascii="Arial" w:cs="Arial" w:eastAsia="Arial" w:hAnsi="Arial"/>
          <w:sz w:val="16"/>
          <w:szCs w:val="16"/>
          <w:color w:val="auto"/>
        </w:rPr>
        <w:t>Based on this potentially differentiated profile of a favorable tolerability and clear evidence of anti-cancer activity, we are studying pacmilimab in combination with praluzatamab ravtansine in a Phase 2 study in TNBC and continue to evaluate additional combination partners for pacmilimab.</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BMS-986249 and BMS-986288</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collaboration with our partner, Bristol Myers Squibb, we are developing BMS-986249 and BMS-986288, Probody versions of ipilimumab. Ipilimumab, sold under the brand name Yervoy®, is a monoclonal antibody that targets CTLA-4, a checkpoint protein receptor that downregulates the immune system. In the United States, ipilimumab has been approved by the FDA to treat melanoma as a single agent and in combination with nivolumab, an anti-PD-1 antibody, for colorectal cancer, hepatocellular carcinoma, malignant pleural mesothelioma, NSCLC, and renal cell carcinoma. While treatment with ipilimumab as a monotherapy or in combination with nivolumab has resulted in clinically meaningful anti-tumor activity in these malignancies, highlighted by the recently updated median overall survival of 72.1 months for the combination in the Phase 3 study of nivolumab or nivolumab plus ipilimumab versus ipilimumab alone in previously-untreated advanced melanoma ("CheckMate 067"), ipilimumab has a narrow therapeutic window and the FDA approved label has a warning about potential severe and fatal immune-related adverse events. We believe our CTLA-4-targeting Probody therapeutic may be able to effectively localize the anti-CTLA-4 antibody activity to the tumor microenvironment, thereby limiting systemic toxicities normally seen with ipilimumab, which could improve the benefit/risk profile of anti-CTLA-4 containing treatment regimens.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an ongoing Phase 1/2 study conducted by Bristol Myers Squibb in patients with advanced cancers, Bristol Myers Squibb reported at ASCO 2020 preliminary data indicating that escalating doses of BMS-986249 ranging from 240 mg to 2400 mg (approximately 3 to 30 mg/kg of ipilimumab) were found to be generally well tolerated, either as a single agent or in combination with nivolumab. In February 2020, Bristol Myers Squibb initiated a randomized Phase 2 study cohort expansion in combination with nivolumab in patients with previously-untreated unresectable stage III-IV melanoma which resulted in a $10 million milestone payment from Bristol Myers Squibb. This study has been modified to include three additional single-arm cohorts: advanced hepatocellular carcinoma, metastatic castration-resistant prostate cancer, and unresectable locally advanced or metastatic TNBC.</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BMS-986288, a Probody version of non-fuscosylated ipilimumab, Bristol Myers Squibb is evaluating its safety and efficacy alone and in combination with nivolumab in an ongoing Phase 1/2 study in patients with selected advanced solid tumors.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CX-904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also extended our Probody platform to the new and promising modality of T-cell engaging bispecific antibodies (“TCBs”). Conventional TCBs are a highly potent therapeutic modality designed to direct the activity of cytotoxic T cells to tumors. TCBs such as the BiTE® molecule, Blincyto®, a CD19-directed TCB commercialized by Amgen, have shown clinical activity in hematologic malignancies, but development of TCBs for solid tumor indications is proving challenging. Due to their high potency, TCBs can target normal tissues with low antigen expression, which may result in significant toxicity challenges. We believe such challenges could be addressed using our Probody platform by localizing the activity of TCBs to the tumor microenvironment thereby improving the therapeutic window for TCBs in solid tumors.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most advanced program in this modality is CX-904, a conditionally activated epidermal growth factor receptor-CD3 (“EGFRxCD3”) TCB, which we partnered with Amgen. In preclinical studies, CytomX’s Probody EGFRxCD3 bispecific therapeutics demonstrated anti-tumor activity and better tolerability when compared to EGFRxCD3 bispecifics without Probody masking. Additionally, while we believe our preclinical studies show that we have the potential to reach a favorable therapeutic index, clinical data will be necessary to specify an acceptable dose. In January 2022, the IND for CX-904 was allowed to proceed by the FDA. We are in the process of initiating a first-in-human Phase 1 study in patients with advanced solid tumors and expect to dose the first patient in the first half of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Product Candidates and Research</w:t>
      </w:r>
    </w:p>
    <w:p>
      <w:pPr>
        <w:spacing w:after="0" w:line="10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We are actively broadening the potential application of our Probody platform technology to multiple other product candidates, including additional potential first-in-class conditionally activated ADC product candidates, investigational TCBs and cytokines.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Anti-Trop-1 (EpCAM) Conditionally Activated ADC Program</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Trop-1 or epithelial cell adhesion molecule (“EpCAM”) is a target that is highly expressed on a wide variety of tumor types. It has been, however, a difficult target to drug </w:t>
      </w:r>
      <w:r>
        <w:rPr>
          <w:rFonts w:ascii="Arial" w:cs="Arial" w:eastAsia="Arial" w:hAnsi="Arial"/>
          <w:sz w:val="18"/>
          <w:szCs w:val="18"/>
          <w:color w:val="333333"/>
        </w:rPr>
        <w:t>due to its wide expression</w:t>
      </w:r>
      <w:r>
        <w:rPr>
          <w:rFonts w:ascii="Arial" w:cs="Arial" w:eastAsia="Arial" w:hAnsi="Arial"/>
          <w:sz w:val="18"/>
          <w:szCs w:val="18"/>
          <w:color w:val="auto"/>
        </w:rPr>
        <w:t xml:space="preserve"> on normal tissues. An EpCAM-targeting conditionally activated ADC program, CX-2043, was </w:t>
      </w:r>
      <w:r>
        <w:rPr>
          <w:rFonts w:ascii="Arial" w:cs="Arial" w:eastAsia="Arial" w:hAnsi="Arial"/>
          <w:sz w:val="18"/>
          <w:szCs w:val="18"/>
          <w:color w:val="333333"/>
        </w:rPr>
        <w:t>originally</w:t>
      </w:r>
      <w:r>
        <w:rPr>
          <w:rFonts w:ascii="Arial" w:cs="Arial" w:eastAsia="Arial" w:hAnsi="Arial"/>
          <w:sz w:val="18"/>
          <w:szCs w:val="18"/>
          <w:color w:val="auto"/>
        </w:rPr>
        <w:t xml:space="preserve"> developed by ImmunoGen utilizing our Probody technology and ImmunoGen’s next-generation linker chemistry and novel maytansinoid payload, DM21. At the 2018 European Antibody Congress and the 2019 American Association for Cancer Research Annual Meeting, ImmunoGen reported pre-clinical data from this program showing CX-2043 elicited potent tumor regression in multiple tumor models, while minimizing on-target toxicities outside the tumor microenvironment. In late 2019, we </w:t>
      </w:r>
      <w:r>
        <w:rPr>
          <w:rFonts w:ascii="Arial" w:cs="Arial" w:eastAsia="Arial" w:hAnsi="Arial"/>
          <w:sz w:val="18"/>
          <w:szCs w:val="18"/>
          <w:color w:val="333333"/>
        </w:rPr>
        <w:t>in-licensed exclusive</w:t>
      </w:r>
      <w:r>
        <w:rPr>
          <w:rFonts w:ascii="Arial" w:cs="Arial" w:eastAsia="Arial" w:hAnsi="Arial"/>
          <w:sz w:val="18"/>
          <w:szCs w:val="18"/>
          <w:color w:val="auto"/>
        </w:rPr>
        <w:t xml:space="preserve"> worldwide </w:t>
      </w:r>
      <w:r>
        <w:rPr>
          <w:rFonts w:ascii="Arial" w:cs="Arial" w:eastAsia="Arial" w:hAnsi="Arial"/>
          <w:sz w:val="18"/>
          <w:szCs w:val="18"/>
          <w:color w:val="333333"/>
        </w:rPr>
        <w:t>development and commercialization rights</w:t>
      </w:r>
      <w:r>
        <w:rPr>
          <w:rFonts w:ascii="Arial" w:cs="Arial" w:eastAsia="Arial" w:hAnsi="Arial"/>
          <w:sz w:val="18"/>
          <w:szCs w:val="18"/>
          <w:color w:val="auto"/>
        </w:rPr>
        <w:t xml:space="preserve"> to </w:t>
      </w:r>
      <w:r>
        <w:rPr>
          <w:rFonts w:ascii="Arial" w:cs="Arial" w:eastAsia="Arial" w:hAnsi="Arial"/>
          <w:sz w:val="18"/>
          <w:szCs w:val="18"/>
          <w:color w:val="333333"/>
        </w:rPr>
        <w:t>CX-2043</w:t>
      </w:r>
      <w:r>
        <w:rPr>
          <w:rFonts w:ascii="Arial" w:cs="Arial" w:eastAsia="Arial" w:hAnsi="Arial"/>
          <w:sz w:val="18"/>
          <w:szCs w:val="18"/>
          <w:color w:val="auto"/>
        </w:rPr>
        <w:t>, for which we are working towards submitting an IND.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Cytokines</w:t>
      </w:r>
    </w:p>
    <w:p>
      <w:pPr>
        <w:spacing w:after="0" w:line="10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work with cytokines stems from the fact that systemic toxicity and poor exposure have limited the clinical success of this important and highly potent class of immune modulators. While significant progress has been made in recent years with the approval of interleukin-2, a prototypical immune modulator, for the treatment of metastatic renal cell carcinoma and metastatic melanoma, many efforts to improve its therapeutic window have not been successful. By leveraging our Probody platform, we have recently created a protease-activatable version of interferon alpha-2b, which has shown an improved therapeutic window in preclinical studies.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T-cell engaging Bispecific Antibodies</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to our work on CX-904, we are advancing a program of T-cell engaging bispecific antibodies, both ourselves, and with our partners, Amgen and Astellas. This program includes novel antibody formats and leverages our deep expertise in masking and extensive and growing knowledge of the tumor protease microenvironment.</w:t>
      </w:r>
    </w:p>
    <w:p>
      <w:pPr>
        <w:spacing w:after="0" w:line="18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successful development of our product candidates involves a lengthy and expensive process with an uncertain outcome, and preliminary or interim results of our studies may not be predictive of the final results from those trials and the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Probody Platform</w:t>
      </w:r>
    </w:p>
    <w:p>
      <w:pPr>
        <w:spacing w:after="0" w:line="10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Localization of therapeutic activity of biologics within disease tissue is of increasing interest in the biopharmaceutical industry due to the desire to maximize the activity of biologics while reducing their toxicities. We call our approach to therapeutic localization of biologics our Probody platform. A Probody therapeutic candidate consists of three components: an active anti-cancer biologic, a mask for the biologic, and a protease-cleavable linker which connects the mask to the biologic. The mask is a peptide designed to disguise the active binding site of the biologic to prevent it from binding to the target present on healthy tissue. Probody therapeutic candidates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 w:name="page12"/>
    <w:bookmarkEnd w:id="11"/>
    <w:p>
      <w:pPr>
        <w:ind w:right="720"/>
        <w:spacing w:after="0" w:line="261" w:lineRule="auto"/>
        <w:rPr>
          <w:sz w:val="20"/>
          <w:szCs w:val="20"/>
          <w:color w:val="auto"/>
        </w:rPr>
      </w:pPr>
      <w:r>
        <w:rPr>
          <w:rFonts w:ascii="Arial" w:cs="Arial" w:eastAsia="Arial" w:hAnsi="Arial"/>
          <w:sz w:val="18"/>
          <w:szCs w:val="18"/>
          <w:color w:val="auto"/>
        </w:rPr>
        <w:t>are produced as a single protein by standard biologic production methodology. The following graphic depicts the three components of a Probody therapeutic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109220</wp:posOffset>
            </wp:positionV>
            <wp:extent cx="6172200" cy="2648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Depiction of the structure of a Probody therapeutic candidate and a protease interacting with the Probody to cleave the linker and activate the molecule</w:t>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When a Probody therapeutic candidate enters a tumor, it encounters proteases, which are enzymes that cleave proteins and have increased activity in the tumor microenvironment. The proteases in the tumor cleave the linker, releasing the mask and allowing the biologic to bind to the target on the tumor. The following graphic depicts the way a Probody therapeutic candidate is designed to be activated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104775</wp:posOffset>
            </wp:positionV>
            <wp:extent cx="5974715" cy="1362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471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00" w:right="100"/>
        <w:spacing w:after="0" w:line="258" w:lineRule="auto"/>
        <w:rPr>
          <w:sz w:val="20"/>
          <w:szCs w:val="20"/>
          <w:color w:val="auto"/>
        </w:rPr>
      </w:pPr>
      <w:r>
        <w:rPr>
          <w:rFonts w:ascii="Arial" w:cs="Arial" w:eastAsia="Arial" w:hAnsi="Arial"/>
          <w:sz w:val="16"/>
          <w:szCs w:val="16"/>
          <w:i w:val="1"/>
          <w:iCs w:val="1"/>
          <w:color w:val="auto"/>
        </w:rPr>
        <w:t>Depiction of how a Probody therapeutic is designed to enter the tumor microenvironment (left), be activated by protease cleavage to remove the mask (middle), thereby enabling the released biologic to bind to the tumor target (right)</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we believe that toxicities that arise from the binding of a biologic therapeutic to a target in healthy tissues can be reduced, while biological activity against the tumor where it is desired can be preserved. We and our partners have demonstrated the potential of our Probody platform across multiple modalities, including ADCs, cancer immunotherapy, TCBs, and cytokines.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Key Advantages of Our Probody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212090</wp:posOffset>
            </wp:positionV>
            <wp:extent cx="6172200" cy="258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CytomX’s leadership in conditional activation is built on a decade-long expertise in tumor biology and its customizable Probody platform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Probody platform provides the following key advantages:</w:t>
      </w:r>
    </w:p>
    <w:p>
      <w:pPr>
        <w:spacing w:after="0" w:line="104" w:lineRule="exact"/>
        <w:rPr>
          <w:sz w:val="20"/>
          <w:szCs w:val="20"/>
          <w:color w:val="auto"/>
        </w:rPr>
      </w:pPr>
    </w:p>
    <w:p>
      <w:pPr>
        <w:ind w:left="1020" w:right="6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novel biologic therapeutic class enabled by our proprietary platform. </w:t>
      </w:r>
      <w:r>
        <w:rPr>
          <w:rFonts w:ascii="Arial" w:cs="Arial" w:eastAsia="Arial" w:hAnsi="Arial"/>
          <w:sz w:val="18"/>
          <w:szCs w:val="18"/>
          <w:color w:val="auto"/>
        </w:rPr>
        <w:t>By pioneering a novel class of conditionally activated biologic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we are a leader in the field and have established conditional activation as a strategic area of biologics research and development. Our technology platform is supported by more than a decade of research and a strong intellectual property portfolio comprising over 550 issued and pending patents. More than 400 patients with diverse tumor types have been treated with our Probody therapeutic candidates in multiple clinical studies, providing clinical proof of concept and a deep knowledge base for translational advancement and optimization of our drug candidates and platform.</w:t>
      </w:r>
    </w:p>
    <w:p>
      <w:pPr>
        <w:spacing w:after="0" w:line="81" w:lineRule="exact"/>
        <w:rPr>
          <w:rFonts w:ascii="Arial" w:cs="Arial" w:eastAsia="Arial" w:hAnsi="Arial"/>
          <w:sz w:val="18"/>
          <w:szCs w:val="18"/>
          <w:color w:val="auto"/>
        </w:rPr>
      </w:pPr>
    </w:p>
    <w:p>
      <w:pPr>
        <w:ind w:left="1020" w:right="100" w:hanging="503"/>
        <w:spacing w:after="0" w:line="24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versatile technology for improvement of therapeutic window. </w:t>
      </w:r>
      <w:r>
        <w:rPr>
          <w:rFonts w:ascii="Arial" w:cs="Arial" w:eastAsia="Arial" w:hAnsi="Arial"/>
          <w:sz w:val="18"/>
          <w:szCs w:val="18"/>
          <w:color w:val="auto"/>
        </w:rPr>
        <w:t>By engineering our therapeutics to selectively activate in the tumor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microenvironment, our Probody product candidates have the potential to improve safety and tolerability. We are applying our technology to some of the biggest challenges in oncology biologics research and development today. Namely, the validation of potential new targets for ADCs, opening solid tumor opportunities for TCBs, and increasing the therapeutic window for immune modulators such as cytokines and CPIs.</w:t>
      </w:r>
    </w:p>
    <w:p>
      <w:pPr>
        <w:spacing w:after="0" w:line="81" w:lineRule="exact"/>
        <w:rPr>
          <w:rFonts w:ascii="Arial" w:cs="Arial" w:eastAsia="Arial" w:hAnsi="Arial"/>
          <w:sz w:val="18"/>
          <w:szCs w:val="18"/>
          <w:color w:val="auto"/>
        </w:rPr>
      </w:pPr>
    </w:p>
    <w:p>
      <w:pPr>
        <w:ind w:left="1020" w:right="40" w:hanging="503"/>
        <w:spacing w:after="0" w:line="257"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combine more effectively with other therapies. </w:t>
      </w:r>
      <w:r>
        <w:rPr>
          <w:rFonts w:ascii="Arial" w:cs="Arial" w:eastAsia="Arial" w:hAnsi="Arial"/>
          <w:sz w:val="17"/>
          <w:szCs w:val="17"/>
          <w:color w:val="auto"/>
        </w:rPr>
        <w:t>We believe the therapeutic window and tumor specificity of our drug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the potential to reduce the dose-limiting toxicities observed in combination therapies and thus enable new combinations with other cancer therapies that are difficult or impossible to use. For example, our partner, Bristol Myers Squibb, reported at ASCO 2020 that BMS-986249, our Probody version of the anti-CTLA4 therapeutic, ipilimumab, was generally well tolerated at high doses ranging from 240 mg to 2400 mg (approximately 3 to 30 mg/kg of ipilimumab), either as a single agent or in combination with nivolumab. The approved doses of ipilimumab commonly used today are 1 mg/kg and 3 mg/kg.</w:t>
      </w:r>
    </w:p>
    <w:p>
      <w:pPr>
        <w:spacing w:after="0" w:line="67" w:lineRule="exact"/>
        <w:rPr>
          <w:rFonts w:ascii="Arial" w:cs="Arial" w:eastAsia="Arial" w:hAnsi="Arial"/>
          <w:sz w:val="17"/>
          <w:szCs w:val="17"/>
          <w:color w:val="auto"/>
        </w:rPr>
      </w:pPr>
    </w:p>
    <w:p>
      <w:pPr>
        <w:ind w:left="1020" w:right="60" w:hanging="503"/>
        <w:spacing w:after="0" w:line="27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Molecular tunability and applicability across many targets. </w:t>
      </w:r>
      <w:r>
        <w:rPr>
          <w:rFonts w:ascii="Arial" w:cs="Arial" w:eastAsia="Arial" w:hAnsi="Arial"/>
          <w:sz w:val="16"/>
          <w:szCs w:val="16"/>
          <w:color w:val="auto"/>
        </w:rPr>
        <w:t>Our proprietary masking technologies, leveraging affinity-based and steric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approaches, allow for unique customization of large drug candidate pools from which high potential clinical candidates are selected. Our technology has the potential to address many different molecular targets expressed by a wide range of tumor types, including targets that are difficult to address due to their widespread expression on healthy cells. CD166 is a prime example of such target, for which we have developed praluzatamab ravtansine, a conditionally activated ADC that is currently in a Phase 2 study in breast cancer.</w:t>
      </w:r>
    </w:p>
    <w:p>
      <w:pPr>
        <w:spacing w:after="0" w:line="51" w:lineRule="exact"/>
        <w:rPr>
          <w:rFonts w:ascii="Arial" w:cs="Arial" w:eastAsia="Arial" w:hAnsi="Arial"/>
          <w:sz w:val="16"/>
          <w:szCs w:val="16"/>
          <w:color w:val="auto"/>
        </w:rPr>
      </w:pPr>
    </w:p>
    <w:p>
      <w:pPr>
        <w:ind w:left="102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knowledge of the tumor protease microenvironment. </w:t>
      </w:r>
      <w:r>
        <w:rPr>
          <w:rFonts w:ascii="Arial" w:cs="Arial" w:eastAsia="Arial" w:hAnsi="Arial"/>
          <w:sz w:val="18"/>
          <w:szCs w:val="18"/>
          <w:color w:val="auto"/>
        </w:rPr>
        <w:t>Our extensive protease biology expertise, driven by state-of-the-art experimental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computational methods, allows us to employ multiple approaches to generate novel targeted, multi-selective, and potentially indication-tailored protease-cleavable substrates.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Collaborations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believe that the Probody platform has broad applicability across many cancer types, biological targets and antibody modalities. We have leveraged strategic partnering to (a) extend the reach of our therapeutic opportunity, and (b) bring in significant non-dilutive capital into the Company. Since 2013, we have entered into collaborations with AbbVie, Amgen, Astellas, Bristol Myers Squibb and ImmunoGen, among others, to enable development of certain Probody therapeutics. In constructing each of these collaborations, our primary objectives were to collaborate with leading biopharmaceutical players to realize the potential of Probody therapeutics; gain meaningful near-term funding and/or technology access to enable advancement of our wholly-owned Probody therapeutics pipeline; broaden the number of Probody therapeutics that ultimately reach the clinic; and retain significant milestones, royalties, and in some cases product rights, for their long-term potential.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Ireland Unlimited Company</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April 2016, we entered into two agreements with AbbVie, a CD71 Co-Development and Licensing Agreement (the “CD71 Agreement”) and the Discovery Agreement (the Discovery Agreement, together with the CD71 Agreement are collectively referred to as the “AbbVie Agreements”). Under the terms of the CD71 Agreement, we and AbbVie are co-developing CX-2029, a conditionally activated antibody-drug conjugate (“ADC”) against CD71, and we are responsible for pre-clinical and early clinical development. AbbVie will be responsible for later development and commercialization, with global late-stage development costs shared between the two companies. We will assume 35% of the net profits or net losses related to later development unless we opt-out. If we opt-out from participation of co-development of CX-2029, AbbVie will have sole right and responsibility for the further development, manufacturing and commercialization of CX-2029.</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Under the CD71 Agreement, we received an upfront payment of $20.0 million in April 2016, and a milestone payment of $40.0 million in May 2020 for completion of the dose-escalation phase of the ongoing Phase 1/2 study. We are currently eligible to receive up to $430.0 million in development, regulatory and commercial milestone payments and royalties on ex-US sales in the high teens to low twenties if we participate in the co-development of CX-2029 subject to a reduction in such royalties if we opt-out from the co-development of the CD71 conditionally activated ADC. Our share of later stage co-development costs for CX-2029 is capped, provided that AbbVie may offset our co-development cost above the capped amounts from future payments such as milestone payments and royalties.</w:t>
      </w:r>
    </w:p>
    <w:p>
      <w:pPr>
        <w:spacing w:after="0" w:line="18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Under the terms of the Discovery Agreement, AbbVie received exclusive worldwide rights to develop and commercialize conditionally activated ADCs against up to two targets, one of which was selected in March 2017 and the second of which was selected in July 2019. We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89"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Under the Discovery Agreement, we received an upfront payment of $10.0 million in April 2016 and we received an additional upfront payment of $10.0 million in July 2019 upon the selection by AbbVie of the second target and the satisfaction of certain performance conditions under the CD71 Agreement. We are also eligible to receive up to $265.0 million for each target in development, regulatory and commercial milestone payments as well as royalties in the high single-digits to low teens from commercial sales of any resulting conditionally activated ADCs.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0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Under the terms of the Amgen Agreement, we and Amgen are co-developing a conditionally activated T-cell engaging bispecific therapeutic targeting EGFR (“EGFR Products”). We are responsible for early-stage development of EGFR Products and all related costs (up to certain pre-set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$460.0 million in development, regulatory, and commercial milestone payments for EGFR Products, and royalties in the low-double digit to mid-teen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ind w:right="340"/>
        <w:spacing w:after="0" w:line="261" w:lineRule="auto"/>
        <w:rPr>
          <w:sz w:val="20"/>
          <w:szCs w:val="20"/>
          <w:color w:val="auto"/>
        </w:rPr>
      </w:pPr>
      <w:r>
        <w:rPr>
          <w:rFonts w:ascii="Arial" w:cs="Arial" w:eastAsia="Arial" w:hAnsi="Arial"/>
          <w:sz w:val="18"/>
          <w:szCs w:val="18"/>
          <w:color w:val="auto"/>
        </w:rPr>
        <w:t>percentage of worldwide commercial sales, provided that if we exercise our EGFR Co-Development option, we shall only receive royalties in the low-double digit to mid-teen percentage of commercial sales outside of the United States.</w:t>
      </w:r>
    </w:p>
    <w:p>
      <w:pPr>
        <w:spacing w:after="0" w:line="171"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In October 2021, we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Amgen also has the right to select a total of up to three targets, including the two additional targets discussed below. We and Amgen will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8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have the option to select, from programs specified in the Amgen Agreement, an existing pre-clinical stage T-cell engaging bispecific product from the Amgen pre-clinical pipeline. We will be responsible, at our expense, for converting this program to a conditionally activated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Pharma Inc</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March 2020, we entered into a Collaboration and License Agreement (the “Astellas Agreement”) with Astellas, pursuant to which we and Astellas will collaborate on the research, development and commercialization of T-cell engaging bispecific antibody products (“Products”) directed to CD3 and selected tumor antigen targets using our Probody® platform and other proprietary technology. Under the Astellas Agreement, we granted Astellas an exclusive, worldwide, royalty-bearing license to develop and commercialize Products in all fields. Astellas may select up to four targets to develop, with an option to expand to six targets. We will lead preclinical research and discovery activities up to clinical candidate selection for Products directed against up to four targets. Astellas will lead preclinical and clinical development of and regulatory approval for all Products. Astellas will be responsible for commercializing each Product, provided that we will have the option to elect to co-commercialize certain Products with Astellas in the United States, subject to the terms of a separate commercialization agreement to be entered into between us and Astellas.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Under the terms of the Astellas Agreement, we received an upfront payment of $80 million, and Astellas will be responsible for funding the cost of preclinical research and discovery activities of both parties for all Products and for funding the cost of development and commercialization of all Products worldwide. If Astellas exercises its option to expand to six targets, we will be eligible to receive future preclinical, clinical and commercial milestones of approximately $2.5 billion. Astellas will pay us tiered royalties on global net sales of Products from high single-digit to mid-teens percentages, subject to certain reductions. Astellas’ royalty obligations continue with respect to each country and each Product until the later of (i) the date on which such Product is no longer covered by certain intellectual property rights, (ii) the 10th anniversary of the first commercial sale of such product in such country, and (iii) the loss of regulatory exclusivity for such Product in such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a specified number of targets, at a pre-specified time prior to the initiation of the first pivotal study of a Product directed against such target, we will have an option to elect to co-fund certain subsequently initiated clinical trials for such Product. If we opt in, we would be responsible for a pre-determined portion of the costs of such trials, subject to specified caps, deferrals and offsets. We would then have the option to elect to co-commercialize such Products in the United States. For any such Products, in lieu of royalties in the United States, we will receive less than 40% of the profits for such Products in the United States and tiered low double-digit to mid-teens percentage royalties on net sales of such Products outside of the United States, subject to certain reductions.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 Myers Squibb Company</w:t>
      </w:r>
    </w:p>
    <w:p>
      <w:pPr>
        <w:spacing w:after="0" w:line="104"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In May 2014, we and Bristol Myers Squibb entered into a Collaboration and License Agreement (the “BMS Agreement”) to discover and develop compounds for use in human therapeutics aimed at multiple immuno-oncology targets using our Probody therapeutic technology.</w:t>
      </w:r>
    </w:p>
    <w:p>
      <w:pPr>
        <w:spacing w:after="0" w:line="147"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Under the terms of the BMS Agreement, we granted Bristol Myers Squibb exclusive worldwide rights to develop and commercialize Probody therapeutics for up to four oncology targets, two of which were selected upon the execution of the BMS Agreement. Pursuant to the BMS Agreement, we received an upfront payment of $50.0 million and were initially entitled to receive contingent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5" w:name="page16"/>
    <w:bookmarkEnd w:id="15"/>
    <w:p>
      <w:pPr>
        <w:ind w:right="220"/>
        <w:spacing w:after="0" w:line="243" w:lineRule="auto"/>
        <w:rPr>
          <w:sz w:val="20"/>
          <w:szCs w:val="20"/>
          <w:color w:val="auto"/>
        </w:rPr>
      </w:pPr>
      <w:r>
        <w:rPr>
          <w:rFonts w:ascii="Arial" w:cs="Arial" w:eastAsia="Arial" w:hAnsi="Arial"/>
          <w:sz w:val="18"/>
          <w:szCs w:val="18"/>
          <w:color w:val="auto"/>
        </w:rPr>
        <w:t>payments of up to an aggregate of $1,217.0 million in development, regulatory and commercial milestone payments, which can be reduced by any such payments received or by any termination of targets being pursued. We are entitled to royalty payments in the mid-single-digit to low double-digits percentage from potential future sales. We also receive research and development service fees. Bristol Myers Squibb has terminated certain targets from the BMS Agreement,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January 2016, Bristol Myers Squibb selected the third target pursuant to the BMS Agreement and paid us $10.0 million. In December 2016, Bristol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Myers Squibb selected the fourth and its final target pursuant to the BMS Agreement and paid us $15.0 million. In December 2016, Bristol Myers Squibb</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selected BMS-986249, a CTLA-4 Probody therapeutic, as a clinical candidate pursuant to the BMS Agreement, which triggered a $2.0 million pre-clinical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 to us. In November 2017, Bristol Myers Squibb received acceptance of the IND for BMS-986249 from the FDA, which triggered 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$10.0 million milestone payment to us. Bristol Myers Squibb recently advanced BMS-986249 into a randomized Phase 2 cohort expansion in patients with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metastatic melanoma in combination with the PD-1 inhibitor nivolumab as part of the larger clinical trial, triggering, in February 2020, a $10.0 million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 from Bristol Myers Squibb to us. This study has been modified to include three additional single-arm cohorts: advanced hepatocellular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carcinoma, metastatic castration-resistant prostate cancer, and unresectable locally advanced or metastatic TNBC.</w:t>
      </w:r>
    </w:p>
    <w:p>
      <w:pPr>
        <w:spacing w:after="0" w:line="196"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September 2019, Bristol Myers Squibb initiated the dose escalation phase of a Phase 1/2a clinical trial of a second anti-CTLA-4-directed therapeutic, BMS-986288, based on a modified version of ipilimumab, administered as monotherapy and in combination with nivolumab in patients with selected advanced solid tumors.</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March 2017, we and Bristol Myers Squibb entered into Amendment Number 1 to Extend Collaboration and License Agreement (“Amendment 1”). Amendment 1 granted Bristol Myers Squibb exclusive worldwide rights to develop and commercialize Probody therapeutics for up to six additional oncology targets and two non-oncology targets. Under the terms of Amendment 1, we continued to collaborate with Bristol Myers Squibb to discover and conduct preclinical development of Probody therapeutics against targets selected by Bristol Myers Squibb. Pursuant to Amendment 1, we received an upfront payment of $200.0 million and were eligible to receive contingent payments for development, regulatory and sales milestones. We were also entitled to tiered mid-single to low double-digit percentage of royalties from potential future sales.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February 2021, we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we will continue to collaborate with Bristol Myers Squibb to discover and conduct preclinical development of Probody therapeutics against targets selected by Bristol Myers Squibb. Pursuant to Amendment 2, we are eligible to receive contingent payments for development, regulatory and sales milestones of up to an aggregate of $1,779.0 million. We are also entitled to tiered mid-single- to low double-digit percentage of royalties from potential future sales.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 Inc</w:t>
      </w:r>
      <w:r>
        <w:rPr>
          <w:rFonts w:ascii="Arial" w:cs="Arial" w:eastAsia="Arial" w:hAnsi="Arial"/>
          <w:sz w:val="18"/>
          <w:szCs w:val="18"/>
          <w:b w:val="1"/>
          <w:bCs w:val="1"/>
          <w:i w:val="1"/>
          <w:iCs w:val="1"/>
          <w:color w:val="auto"/>
        </w:rPr>
        <w:t>.</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January 2014, CytomX and ImmunoGen entered into the Research Collaboration Agreement (the “ImmunoGen Research Agreement”). The ImmunoGen Research Agreement provides us with the right to use ImmunoGen’s ADC technology in combination with our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Under the agreement, we provided ImmunoGen with the rights to our Probody therapeutic technology to create conditionally activated ADCs directed at two targets under the research license and to subsequently obtain exclusive, worldwide development and commercialization licenses to develop and commercialize such conditionally activated ADCs. In February 2016, we exercised our option to obtain a development and commercialization license for praluzatamab ravtansine (CX-2009) pursuant to the terms of the ImmunoGen Research Agreement (the “CX-2009 License”). In February 2017, ImmunoGen exercised its option to obtain a development and commercialization license for the first of its two targets. ImmunoGen discontinued this program in July 2017 and substitution rights for this program terminated in February 2017. ImmunoGen exercised its second option to obtain a development and commercialization license pursuant to the ImmunoGen Research Agreement (the “ImmunoGen 2017 License”) for a target, EpCAM, in December 2017. At the end of 2019, as a result of a strategic restructuring by ImmunoGen and its decision to out-license certain programs, we obtained a worldwide, exclusive, sublicensable license to the EpCAM conditionally activated ADC program from ImmunoGen (the “ImmunoGen 2019 License”) and the ImmunoGen 2017 license ended.</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Under the terms of the ImmunoGen Research Agreement, both we and ImmunoGen were required to perform research activities on behalf of the other party for no monetary consideration. Each party was solely responsible for the development, manufacturing and commercialization of any products resulting from the exclusive development and commercialization license obtained by such party under the agreement. In consideration for the praluzatamab ravtansine License, ImmunoGen is entitled to receive up to $60.0 million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ind w:right="40"/>
        <w:spacing w:after="0"/>
        <w:rPr>
          <w:sz w:val="20"/>
          <w:szCs w:val="20"/>
          <w:color w:val="auto"/>
        </w:rPr>
      </w:pPr>
      <w:r>
        <w:rPr>
          <w:rFonts w:ascii="Arial" w:cs="Arial" w:eastAsia="Arial" w:hAnsi="Arial"/>
          <w:sz w:val="18"/>
          <w:szCs w:val="18"/>
          <w:color w:val="auto"/>
        </w:rPr>
        <w:t>in development and regulatory milestone payments, up to $100.0 million in sales milestone payments and royalties in the mid to high single-digits percentage on the commercial sales of any resulting product. In August 2017, we made a milestone payment of $1.0 million to ImmunoGen for the first patient dosing with praluzatamab ravtansine and in February 2020, we triggered a $3.0 million milestone payment to ImmunoGen for the first dosing of a patient in the praluzatamab ravtansine Phase 2 clinical trial. Under the ImmunoGen 2019 License, we gained rights to the EpCAM conditionally activated ADC program and, in return, we made an upfront payment, and we will pay certain clinical development, approval and commercialization milestone payments if achieved and royalties on product sales.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Probody therapeutic candidates are designed to be produced as fully recombinant antibody prodrugs. Our Probody therapeutic candidates are also designed to maintain the manufacturability benefits of antibodies and leverage well established technologies used for antibody production.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72"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We utilize well established production steps typically part of a platform manufacturing process for antibodies. The CMOs we have selected have a strong track record in manufacturing therapeutic biologics, including antibodies. Similarly, for our conditionally activated ADC projects we have selected CMOs with strong expertise in clinical/commercial drug conjugate manufacturing and with capabilities for toxin conjugation and fill-finish. Furthermore, our two lead conditionally activated ADC programs incorporate toxin payloads that have an established clinical and regulatory history.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To date, we have generally been able to successfully manufacture praluzatamab ravtansine (CX-2009), CX-2029, and pacmilimab (CX-072) for our ongoing early-stage clinical trials with contract manufacturers. Our partner, Bristol Myers Squibb, has also been successful in independently manufacturing drug product for BMS-986249 and BMS-986288. Furthermore, in order to conduct later-stage clinical trials of our product candidates, including praluzatamab ravtansine, CX-2029, and pacmilimab,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scaling up for large drug manufacturing capability for praluzatamab ravtansine and pacmilimab and increasing the term of stability for pacmilimab drug product for late-stage clinical trials and commercialization. However, we may have to start late-stage trials with our early clinical trial drug product and switch to the late-stage or commercial drug product mid trial. In such event,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While we believe we can complete the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unable scale up our manufacturing capabilities with respect to praluzatamab ravtansine, pacmilimab or any of our other product candidates, increase the life of drug stability of pacmilimab or such other product candidates, or successfully complete the FDA’s bridging requirements, we may not be able to successfully obtain FDA approval and commercialize pacmilimab or such other product candidates in a timely manner or at all.</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supply chain for the manufacturing of our product candidates is complicated and can involve many parties.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This could result in a substantial delay of our clinical trials. For example, for each of praluzatamab ravtansine, CX-2029, pacmilimab and CX-904, our manufacturing supply chain includes several contract manufacturers, and failure by any of these manufacturers could result in interruptions of our clinical studies.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have completed the transfer of the drug substance manufacturing process from ImmunoGen to a contract manufacturer, where we have an existing relationship and with expertise in the manufacture of antibody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7" w:name="page18"/>
    <w:bookmarkEnd w:id="17"/>
    <w:p>
      <w:pPr>
        <w:jc w:val="both"/>
        <w:ind w:right="180"/>
        <w:spacing w:after="0" w:line="248" w:lineRule="auto"/>
        <w:rPr>
          <w:sz w:val="20"/>
          <w:szCs w:val="20"/>
          <w:color w:val="auto"/>
        </w:rPr>
      </w:pPr>
      <w:r>
        <w:rPr>
          <w:rFonts w:ascii="Arial" w:cs="Arial" w:eastAsia="Arial" w:hAnsi="Arial"/>
          <w:sz w:val="18"/>
          <w:szCs w:val="18"/>
          <w:color w:val="auto"/>
        </w:rPr>
        <w:t>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manufacturing of praluzatamab ravtansine.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from UCSB</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had no upfront payment obligations under the agreement. In April 2019, we amended the UCSB Agreement and in connection with the amendment, we paid UCSB $1.0 million and issued 150,000 shares of our common stock to UCSB. 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$1,075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from ImmunoGen</w:t>
      </w:r>
    </w:p>
    <w:p>
      <w:pPr>
        <w:spacing w:after="0" w:line="11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February 2016, we exercised our option to obtain a worldwide, exclusive, sublicensable license from ImmunoGen for development and commercialization of products directed against the target selected by us under our research collaboration agreement with ImmunoGen. Additionally, in December 2019, we obtained a worldwide, exclusive, sublicensable license to ImmunoGen’s EpCAM conditionally activated ADC program. See the description of the license agreements set forth under the caption “Our Collaborations—ImmunoGen, Inc.” in this Item 1 of this Annual Report on Form 10-K.</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CytomX is pioneering a new class of antibody therapeutics – the Probody therapeutic platform. The biotechnology and biopharmaceutical industries, including the ADC and immuno-oncology subsectors,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ADC and immuno-oncology therapeutics, where competition is intense and rapidly evolving. These competitors generally fall within the following categories:</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 xml:space="preserve">Masking and conditional activation: </w:t>
      </w:r>
      <w:r>
        <w:rPr>
          <w:rFonts w:ascii="Arial" w:cs="Arial" w:eastAsia="Arial" w:hAnsi="Arial"/>
          <w:sz w:val="18"/>
          <w:szCs w:val="18"/>
          <w:color w:val="auto"/>
        </w:rPr>
        <w:t>Several companies, including AbbVie, Adagene, Amgen, Amunix, BioAtla, Halozyme, Harpoon, Pandion</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Revitope, Roche, Seagen, Takeda, Werewolf, and Xilio are exploring antibody masking and/or conditional activation strategies, which could compete with our Probody platform.</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 xml:space="preserve">Antibody-drug conjugates: </w:t>
      </w:r>
      <w:r>
        <w:rPr>
          <w:rFonts w:ascii="Arial" w:cs="Arial" w:eastAsia="Arial" w:hAnsi="Arial"/>
          <w:sz w:val="18"/>
          <w:szCs w:val="18"/>
          <w:color w:val="auto"/>
        </w:rPr>
        <w:t>Several large pharmaceutical companies, such as AbbVie, Daiichi Sankyo, Gilead, Pfizer, Roche, and Takeda are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ADCs. Two mid-sized companies, ImmunoGen and Seagen are also leaders in this space. In addition, numerous smaller companies have ongoing efforts in the space.</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color w:val="auto"/>
        </w:rPr>
        <w:t xml:space="preserve">Cancer immunotherapies: </w:t>
      </w:r>
      <w:r>
        <w:rPr>
          <w:rFonts w:ascii="Arial" w:cs="Arial" w:eastAsia="Arial" w:hAnsi="Arial"/>
          <w:sz w:val="17"/>
          <w:szCs w:val="17"/>
          <w:color w:val="auto"/>
        </w:rPr>
        <w:t>Cancer immunotherapy is one of the most competitive and fastest growing segments of the pharmaceutical industry. Almost</w:t>
      </w:r>
      <w:r>
        <w:rPr>
          <w:rFonts w:ascii="Arial" w:cs="Arial" w:eastAsia="Arial" w:hAnsi="Arial"/>
          <w:sz w:val="17"/>
          <w:szCs w:val="17"/>
          <w:b w:val="1"/>
          <w:bCs w:val="1"/>
          <w:color w:val="auto"/>
        </w:rPr>
        <w:t xml:space="preserve"> </w:t>
      </w:r>
      <w:r>
        <w:rPr>
          <w:rFonts w:ascii="Arial" w:cs="Arial" w:eastAsia="Arial" w:hAnsi="Arial"/>
          <w:sz w:val="17"/>
          <w:szCs w:val="17"/>
          <w:color w:val="auto"/>
        </w:rPr>
        <w:t>every large pharmaceutical company is developing cancer immunotherapies, including Amgen, AstraZeneca, Bristol Myers Squibb, Celgene, GlaxoSmithKline, Merck, Novartis, Pfizer, Roche, and Sanofi. In addition, many large and mid-sized biotech companies such as BeiGene, Incyte, Nektar, and Alkermes have ongoing efforts in cancer immunotherapy. Numerous smaller companies are also working in this space.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8" w:name="page19"/>
    <w:bookmarkEnd w:id="18"/>
    <w:p>
      <w:pPr>
        <w:ind w:right="80"/>
        <w:spacing w:after="0" w:line="250" w:lineRule="auto"/>
        <w:rPr>
          <w:sz w:val="20"/>
          <w:szCs w:val="20"/>
          <w:color w:val="auto"/>
        </w:rPr>
      </w:pPr>
      <w:r>
        <w:rPr>
          <w:rFonts w:ascii="Arial" w:cs="Arial" w:eastAsia="Arial" w:hAnsi="Arial"/>
          <w:sz w:val="18"/>
          <w:szCs w:val="18"/>
          <w:b w:val="1"/>
          <w:bCs w:val="1"/>
          <w:color w:val="auto"/>
        </w:rPr>
        <w:t xml:space="preserve">T-cell engaging bispecifics: </w:t>
      </w:r>
      <w:r>
        <w:rPr>
          <w:rFonts w:ascii="Arial" w:cs="Arial" w:eastAsia="Arial" w:hAnsi="Arial"/>
          <w:sz w:val="18"/>
          <w:szCs w:val="18"/>
          <w:color w:val="auto"/>
        </w:rPr>
        <w:t>Several large pharmaceutics companies, such as Amgen, Novartis, and Roche, have on-going efforts in the field of TCBs.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several mid-sized biotech companies such as MacroGenics and Xencor, as well as numerous smaller companies, including Janux, have ongoing efforts in TCBs.</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We believe that we have a strong global intellectual property position and substantial know-how and trade secrets relating to our Probody therapeutic technology, platform and product candidates. Our patent portfolio as of January 6, 2022 contains at least 160 granted patents (some of which are co-owned with a third party) and at least 390 pending patent applications (some of which are co-owned with a third party). We have exclusively licensed UCSB’s interest in the co-owned patent family covering Probody and other pro-protein technology in the fields of therapeutics,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diagnostics and prophylactics.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These patents and patent applications include claims directed to:</w:t>
      </w:r>
    </w:p>
    <w:p>
      <w:pPr>
        <w:spacing w:after="0" w:line="10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platform and PDC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pro-protein platforms;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conjugates and conjugation methods to produce PDCs;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Bispecific and other multispecific Probody therapeutics, including T-cell-recruiting bispecific Probody therapeutics;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Protease-cleavable linkers, e.g., serine protease- and/or MMP-cleavable linkers;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Improved display systems for peptide display, e.g., to identify masks, substrates, and other proteins;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Cancer immunotherapy Probody therapeutics, e.g., PD-L1, PD-1, and CTLA-4 Probody therapeutics, as well as related novel antibodies and combination therapies;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drug conjugates, e.g., CD-166, CD71 (transferrin receptor), CD49c (integrin alpha 3), and CD147 PDCs, as well as related Probody therapeutics, novel antibodies and ADCs;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ind w:left="1020" w:right="3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Probody therapeutics to other targets, e.g., EGFR, Jagged, and IL6R Probody therapeutics, as well as related PDCs, novel antibodies and ADCs;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Antibodies that bind Probody therapeutics, e.g., anti-mask and anti-Probody antibodies;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Antibodies that bind key targets;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Antibodies that bind the active site of uPA protease;</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Compositions and methods to discriminate between intact Probody therapeutics and activated versions thereof, as well as other translation assays;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produce intact Probody therapeutics;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use any of the above-referenced compounds and compositions.</w:t>
      </w:r>
    </w:p>
    <w:p>
      <w:pPr>
        <w:spacing w:after="0" w:line="21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addition, we have exclusively licensed a patent portfolio of patent families from UCSB patents and patent applications that cover compositions and methods related to screening for and identification of masks and protease-cleavable linkers that we have incorporated into our Probody therapeutics and may incorporate into future Probody therapeutics.</w:t>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currently issued patents will likely expire on dates ranging from 2028 to 2037, unless we receive patent term extension or adjustment as might be available under applicable law. If patents are issued on our pending patent applications, the resulting patents are projected to expire on dates ranging from 2028 to 2041,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the U.S., the FDA regulates biologics under the Federal Food, Drug, and Cosmetic Act (“FDCA”) and the Public Health Service Act (“PHSA”), and their respective implementing regulations.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Approval Process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biologic may be marketed in the U.S. generally involves the following:</w:t>
      </w:r>
    </w:p>
    <w:p>
      <w:pPr>
        <w:spacing w:after="0" w:line="104" w:lineRule="exact"/>
        <w:rPr>
          <w:sz w:val="20"/>
          <w:szCs w:val="20"/>
          <w:color w:val="auto"/>
        </w:rPr>
      </w:pPr>
    </w:p>
    <w:p>
      <w:pPr>
        <w:ind w:left="1020" w:right="6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conducted according to good laboratory practices (“GLPs”), and other applicable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institutional review board (“IRB”) or ethics committee at each clinical site before the trial is commenced;</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to the FDA of a BLA after completion of all pivotal trials;</w:t>
      </w:r>
    </w:p>
    <w:p>
      <w:pPr>
        <w:spacing w:after="0" w:line="103" w:lineRule="exact"/>
        <w:rPr>
          <w:rFonts w:ascii="Arial" w:cs="Arial" w:eastAsia="Arial" w:hAnsi="Arial"/>
          <w:sz w:val="18"/>
          <w:szCs w:val="18"/>
          <w:color w:val="auto"/>
        </w:rPr>
      </w:pPr>
    </w:p>
    <w:p>
      <w:pPr>
        <w:ind w:left="1020" w:right="160" w:hanging="503"/>
        <w:spacing w:after="0" w:line="24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 and of selected clinical investigation sites to assess compliance with GCPs; and</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its particular labeled uses in the United States.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Studies</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under the IND.</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7"/>
          <w:szCs w:val="17"/>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trials and completed clinical trial results to public registries.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020" w:right="220" w:hanging="503"/>
        <w:spacing w:after="0" w:line="24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9" w:lineRule="exact"/>
        <w:rPr>
          <w:rFonts w:ascii="Arial" w:cs="Arial" w:eastAsia="Arial" w:hAnsi="Arial"/>
          <w:sz w:val="18"/>
          <w:szCs w:val="18"/>
          <w:color w:val="auto"/>
        </w:rPr>
      </w:pPr>
    </w:p>
    <w:p>
      <w:pPr>
        <w:jc w:val="both"/>
        <w:ind w:left="1020" w:right="24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2—The product candidate is administered to a limited patient population with the specified disease or condition to identify possible adverse effects and safety risks, to preliminarily evaluate the efficacy of the product for specific targeted diseases and to determine dosage tolerance and optimal dosage.</w:t>
      </w:r>
    </w:p>
    <w:p>
      <w:pPr>
        <w:spacing w:after="0" w:line="7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3—The product candidate is administered to an expanded patient population to further evaluate dosage, clinical efficacy and safety, generally at geographically dispersed clinical study sites. These studies are intended to establish the overall risk-benefit ratio of the product and provide an adequate basis for product approval.</w:t>
      </w:r>
    </w:p>
    <w:p>
      <w:pPr>
        <w:spacing w:after="0" w:line="1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82"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jc w:val="both"/>
        <w:ind w:right="60"/>
        <w:spacing w:after="0" w:line="272" w:lineRule="auto"/>
        <w:rPr>
          <w:sz w:val="20"/>
          <w:szCs w:val="20"/>
          <w:color w:val="auto"/>
        </w:rPr>
      </w:pPr>
      <w:r>
        <w:rPr>
          <w:rFonts w:ascii="Arial" w:cs="Arial" w:eastAsia="Arial" w:hAnsi="Arial"/>
          <w:sz w:val="16"/>
          <w:szCs w:val="16"/>
          <w:color w:val="auto"/>
        </w:rPr>
        <w:t>Sponsors typically use the meeting at the end of Phase 2 to discuss their Phase 2 clinical results and present their plans for the pivotal Phase 3 clinical trial that they believe will support the approval of the new therapeutic. If a Phase 3 clinical trial is the subject of discussion at the end of Phase 2 meeting with the FDA, a sponsor may be able to request a Special Protocol Assessment (“SPA”), the purpose of which is to reach agreement with the FDA on the Phase 3 clinical trial protocol design and analysis that will form the primary basis of an efficacy claim. If a written agreement is reached, it will be binding on the FDA and may not be changed by the sponsor or the FDA after the trial begins except with the written agreement of the sponsor and the FDA or if the FDA determines that a substantial scientific issue essential to determining the safety or efficacy of the product candidate was identified after the testing began.</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 BLA to the FDA</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 w:name="page23"/>
    <w:bookmarkEnd w:id="22"/>
    <w:p>
      <w:pPr>
        <w:spacing w:after="0" w:line="262" w:lineRule="auto"/>
        <w:rPr>
          <w:sz w:val="20"/>
          <w:szCs w:val="20"/>
          <w:color w:val="auto"/>
        </w:rPr>
      </w:pPr>
      <w:r>
        <w:rPr>
          <w:rFonts w:ascii="Arial" w:cs="Arial" w:eastAsia="Arial" w:hAnsi="Arial"/>
          <w:sz w:val="17"/>
          <w:szCs w:val="17"/>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An approval letter authorizes commercial marketing of the product with specific prescribing information for specific indications. A complete response letter generally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and the FDA uses similar procedures in reviewing supplements as it does in reviewing original applications.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Companion Diagnostics</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18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FDA offers a number of expedited development and review programs for qualifying product candidates.</w:t>
      </w:r>
    </w:p>
    <w:p>
      <w:pPr>
        <w:spacing w:after="0" w:line="212"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product candidate may be eligible for Priority Review.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and Accelerated Approval. A BLA is eligible for Priority Review if the product candidate has the potential to provide a significant improvement in the treatment, diagnosis or prevention of a serious disease or condition compared available products. Priority review designation means the FDA’s goal is to take action on the marketing application within six months of the 60-day filing date, compared to ten months under standard review.</w:t>
      </w:r>
    </w:p>
    <w:p>
      <w:pPr>
        <w:spacing w:after="0" w:line="15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Marketing Exclusivity</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Biosimilars and Exclusivity</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0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entitles the applicant to incentives, which may include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If a product candidate that has Orphan Drug Designation subsequently receives the first FDA approval for the disease for which it has such designation, the product candidate is entitled to orphan product exclusivity, which means that the FDA may not approve any other applications to market the same product candidate for the same indication for seven years, except under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10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6" w:name="page27"/>
    <w:bookmarkEnd w:id="26"/>
    <w:p>
      <w:pPr>
        <w:ind w:right="60"/>
        <w:spacing w:after="0"/>
        <w:rPr>
          <w:sz w:val="20"/>
          <w:szCs w:val="20"/>
          <w:color w:val="auto"/>
        </w:rPr>
      </w:pPr>
      <w:r>
        <w:rPr>
          <w:rFonts w:ascii="Arial" w:cs="Arial" w:eastAsia="Arial" w:hAnsi="Arial"/>
          <w:sz w:val="18"/>
          <w:szCs w:val="18"/>
          <w:color w:val="auto"/>
        </w:rPr>
        <w:t>candidate is determined to be safe, pure and potent.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6"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refusal of the FDA to approve pending BLAs or supplements to approved BLAs, or suspension or revocation of product approvals;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Regulation Outside of the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6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71"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Medicare Part D coverage gap discount program, in which manufacturers had to offer 50% point-of-sale discounts, which, through subsequent legislative amendments, was increased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8" w:name="page29"/>
    <w:bookmarkEnd w:id="28"/>
    <w:p>
      <w:pPr>
        <w:ind w:right="540"/>
        <w:spacing w:after="0" w:line="261" w:lineRule="auto"/>
        <w:rPr>
          <w:sz w:val="20"/>
          <w:szCs w:val="20"/>
          <w:color w:val="auto"/>
        </w:rPr>
      </w:pPr>
      <w:r>
        <w:rPr>
          <w:rFonts w:ascii="Arial" w:cs="Arial" w:eastAsia="Arial" w:hAnsi="Arial"/>
          <w:sz w:val="18"/>
          <w:szCs w:val="18"/>
          <w:color w:val="auto"/>
        </w:rPr>
        <w:t>70%, off negotiated prices of applicable brand drugs to eligible beneficiaries during their coverage gap period, as a condition for the manufacturer’s outpatient drugs to be covered under Medicare Part D.</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of 2% per fiscal year starting in April 2013, and, due to subsequent legislative amendments, will stay in effect through 2030, with the exception of a temporary suspension from May 1, 2020 through March 31, 2022, unless additional Congressional action is taken. On January 2, 2013, the American Taxpayer Relief Act of 2012 (the “ATRA”) was signed into law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8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9" w:name="page30"/>
    <w:bookmarkEnd w:id="29"/>
    <w:p>
      <w:pPr>
        <w:ind w:right="20"/>
        <w:spacing w:after="0" w:line="252"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6"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certain non-physician practitioners including physician assistants and nurse practitioners and teaching hospitals,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6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Numerous state, federal and foreign laws, regulations and standards govern the collection, use, access to, confidentiality and security of health-related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personal information, and could apply now or in the future to our operations or the operations of our partners. In the United States, numerous federal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state laws and regulations, including data breach notification laws, health information privacy and security laws and consumer protection laws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regulations govern the collection, use, disclosure, and protection of health-related and other personal information. In addition, certain foreign laws govern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privacy and security of personal data, including health-related data. For example, the General Data Protection Regulation (“GDPR”) imposes strict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requirements for processing the personal data of individuals within the European Economic Area (“EEA”). Companies that must comply with the GDPR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face increased compliance obligations and risk, including more robust regulatory enforcement of data protection requirements and potential fines for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noncompliance of up to €20 million or 4% of the annual global revenues of the noncompliant company, whichever is greater. Further, from January 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2021, companies have had to comply with the GDPR and also the United Kingdom GDPR (“UK GDPR”), which, together with the amended UK Data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Protection Act 2018, retains the GDPR in UK national law. The UK GDPR mirrors the fines under the GDPR, i.e., fines up to the greater of €20 million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(£17.5 million) or 4% of global turnover. Privacy and security laws, regulations, and other obligations are constantly evolving, may conflict with each other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to complicate compliance efforts, and can result in investigations, proceedings, or actions that lead to significant civil and/or criminal penalties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data processing.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 w:name="page31"/>
    <w:bookmarkEnd w:id="30"/>
    <w:p>
      <w:pPr>
        <w:ind w:right="600"/>
        <w:spacing w:after="0" w:line="261" w:lineRule="auto"/>
        <w:rPr>
          <w:sz w:val="20"/>
          <w:szCs w:val="20"/>
          <w:color w:val="auto"/>
        </w:rPr>
      </w:pPr>
      <w:r>
        <w:rPr>
          <w:rFonts w:ascii="Arial" w:cs="Arial" w:eastAsia="Arial" w:hAnsi="Arial"/>
          <w:sz w:val="18"/>
          <w:szCs w:val="18"/>
          <w:color w:val="auto"/>
        </w:rPr>
        <w:t>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Origins and Team</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and chairman, Dr. Sean McCarthy, leads a team that draws on robust experience in all phases of product discovery, clinical development and commercialization. Our clinical development team is led by Dr. Amy Peterson, president and chief operating officer, and Dr. Alison Hannah, chief medical officer. Our research and preclinical development team is led by Dr. Marcia Belvin, head of research, and includes renowned and established researchers. Our management team members have significant experience in oncology with previous experience at BeiGene, Chiron, Genentech, Maxygen, Medivation, Millennium, Novartis, SGX and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As of December 31, 2021, we had 174 full-time employees and 4 part-time employees. Of these employees, 137 were primarily engaged in research and development activities.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24"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8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Our research and development expenses were $114.2 million, $112.9 million, and $131.6 million for the years ended December 31, 2021, 2020, and 2019, respectively. Please see “Management’s Discussion and Analysis of Financial Condition and Results of Operations-Research and Development Expenses” for additional detail regarding our research and development activities.</w:t>
      </w:r>
    </w:p>
    <w:p>
      <w:pPr>
        <w:spacing w:after="0" w:line="182"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www.cytomx.com</w:t>
      </w:r>
      <w:r>
        <w:rPr>
          <w:rFonts w:ascii="Arial" w:cs="Arial" w:eastAsia="Arial" w:hAnsi="Arial"/>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8"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64" w:lineRule="exact"/>
        <w:rPr>
          <w:sz w:val="20"/>
          <w:szCs w:val="20"/>
          <w:color w:val="auto"/>
        </w:rPr>
      </w:pPr>
    </w:p>
    <w:p>
      <w:pPr>
        <w:ind w:left="1020" w:right="4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2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2"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rFonts w:ascii="Arial" w:cs="Arial" w:eastAsia="Arial" w:hAnsi="Arial"/>
          <w:sz w:val="16"/>
          <w:szCs w:val="16"/>
          <w:color w:val="auto"/>
        </w:rPr>
      </w:pPr>
    </w:p>
    <w:p>
      <w:pPr>
        <w:ind w:left="1020" w:right="32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jc w:val="both"/>
        <w:ind w:left="1020" w:right="40" w:hanging="503"/>
        <w:spacing w:after="0" w:line="27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5" w:lineRule="exact"/>
        <w:rPr>
          <w:rFonts w:ascii="Arial" w:cs="Arial" w:eastAsia="Arial" w:hAnsi="Arial"/>
          <w:sz w:val="17"/>
          <w:szCs w:val="17"/>
          <w:color w:val="auto"/>
        </w:rPr>
      </w:pPr>
    </w:p>
    <w:p>
      <w:pPr>
        <w:ind w:left="1020" w:right="1220" w:hanging="503"/>
        <w:spacing w:after="0" w:line="29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38" w:lineRule="exact"/>
        <w:rPr>
          <w:rFonts w:ascii="Arial" w:cs="Arial" w:eastAsia="Arial" w:hAnsi="Arial"/>
          <w:sz w:val="17"/>
          <w:szCs w:val="17"/>
          <w:color w:val="auto"/>
        </w:rPr>
      </w:pPr>
    </w:p>
    <w:p>
      <w:pPr>
        <w:jc w:val="both"/>
        <w:ind w:left="1020" w:right="14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3" w:lineRule="exact"/>
        <w:rPr>
          <w:rFonts w:ascii="Arial" w:cs="Arial" w:eastAsia="Arial" w:hAnsi="Arial"/>
          <w:sz w:val="18"/>
          <w:szCs w:val="18"/>
          <w:color w:val="auto"/>
        </w:rPr>
      </w:pPr>
    </w:p>
    <w:p>
      <w:pPr>
        <w:ind w:left="1020" w:right="200" w:hanging="503"/>
        <w:spacing w:after="0" w:line="24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9"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6378575</wp:posOffset>
            </wp:positionH>
            <wp:positionV relativeFrom="paragraph">
              <wp:posOffset>-5361305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2" w:name="page33"/>
    <w:bookmarkEnd w:id="32"/>
    <w:p>
      <w:pPr>
        <w:ind w:left="1020" w:right="18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6" w:lineRule="exact"/>
        <w:rPr>
          <w:rFonts w:ascii="Arial" w:cs="Arial" w:eastAsia="Arial" w:hAnsi="Arial"/>
          <w:sz w:val="16"/>
          <w:szCs w:val="16"/>
          <w:color w:val="auto"/>
        </w:rPr>
      </w:pPr>
    </w:p>
    <w:p>
      <w:pPr>
        <w:ind w:left="1020" w:right="40" w:hanging="503"/>
        <w:spacing w:after="0" w:line="29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2019, a novel strain of coronavirus, COVID-19, was reported to have surfaced in Wuhan, China. Since then,COVID-19 has spread to multiple countries, including the United States and European and Asia-Pacific countries, including countries in which we have planned or active clinical trial sites, including for praluzatamab ravtansine (CX-2009).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and clinical trials of our partners, including Bristol Myers Squibb. These disruptions and impacts may include:</w:t>
      </w:r>
    </w:p>
    <w:p>
      <w:pPr>
        <w:spacing w:after="0" w:line="8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praluzatamab ravtansine, CX-2029, CX-904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03" w:lineRule="exact"/>
        <w:rPr>
          <w:rFonts w:ascii="Arial" w:cs="Arial" w:eastAsia="Arial" w:hAnsi="Arial"/>
          <w:sz w:val="18"/>
          <w:szCs w:val="18"/>
          <w:color w:val="auto"/>
        </w:rPr>
      </w:pPr>
    </w:p>
    <w:p>
      <w:pPr>
        <w:ind w:left="1020" w:right="220" w:hanging="503"/>
        <w:spacing w:after="0" w:line="32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ind w:left="1020" w:right="36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3" w:name="page34"/>
    <w:bookmarkEnd w:id="33"/>
    <w:p>
      <w:pPr>
        <w:ind w:right="20"/>
        <w:spacing w:after="0" w:line="238"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Since then, we have revised our strategy for developing praluzatamab ravtansine, including redesigning the study. While enrollment is ongoing for our Phase 2 clinical trial for praluzatamab ravtansine and the Phase 2 expansion cohorts for CX-2029, we cannot be certain of the continuing impact of the COVID-19 pandemic, including COVID-19 variants on clinical trial planning, or that site initiation, patient recruitment or other clinical trial activities will not continue to be delayed, discontinued or otherwise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-664210</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we continue to operate in a hybrid, work-from-home environment and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9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9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December 31, 2021 and December 31, 2020, we had an accumulated deficit of $533.7 million and $450.1 million, respectively. Substantially all of our losses have resulted from expenses incurred in connection with our research and development programs and from general and administrative costs associated with our operations.</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4" w:name="page35"/>
    <w:bookmarkEnd w:id="34"/>
    <w:p>
      <w:pPr>
        <w:ind w:right="20"/>
        <w:spacing w:after="0" w:line="251"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as we enroll patients in our Phase 1 clinical trial of CX-904, our conditionally activated T-cell-engaging bispecific antibody candidate against the epidermal growth factor receptor (“EGFR”) in collaboration with Amgen,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3"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of December 31, 2021, we had $305.2 million in cash, cash equivalents and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as we enroll patients in our Phase 2 expansion trial of CX-2029, and as we enroll patients in our Phase 1 clinical trial of CX-904.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04" w:lineRule="exact"/>
        <w:rPr>
          <w:sz w:val="20"/>
          <w:szCs w:val="20"/>
          <w:color w:val="auto"/>
        </w:rPr>
      </w:pPr>
    </w:p>
    <w:p>
      <w:pPr>
        <w:ind w:left="1020" w:right="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5" w:name="page36"/>
    <w:bookmarkEnd w:id="35"/>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15" w:lineRule="exact"/>
        <w:rPr>
          <w:rFonts w:ascii="Arial" w:cs="Arial" w:eastAsia="Arial" w:hAnsi="Arial"/>
          <w:sz w:val="17"/>
          <w:szCs w:val="17"/>
          <w:color w:val="auto"/>
        </w:rPr>
      </w:pPr>
    </w:p>
    <w:p>
      <w:pPr>
        <w:ind w:left="1020" w:right="4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80"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clinical trials for programs beyond praluzatamab ravtansine, CX-2029, BMS-986249, BMS-986288, and pacmilimab and CX-904 is subject to finalizing the trial design and submission of an IND or similar submission to the FDA or similar global health authorities. In addition, even if we submit an IND or a comparable submission in other jurisdictions for these or other product candidates, including CX-2043,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1" w:lineRule="exact"/>
        <w:rPr>
          <w:sz w:val="20"/>
          <w:szCs w:val="20"/>
          <w:color w:val="auto"/>
        </w:rPr>
      </w:pPr>
    </w:p>
    <w:p>
      <w:pPr>
        <w:ind w:left="5540" w:right="2480" w:hanging="5023"/>
        <w:spacing w:after="0" w:line="465" w:lineRule="auto"/>
        <w:tabs>
          <w:tab w:leader="none" w:pos="10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6" w:name="page37"/>
    <w:bookmarkEnd w:id="36"/>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are very early in our development efforts, with only four product candidates, praluzatamab ravtansine (CX-2009), CX-2029, pacmilimab (CX-072), and CX-904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180"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20" w:right="56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1"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w:t>
      </w:r>
    </w:p>
    <w:p>
      <w:pPr>
        <w:spacing w:after="0" w:line="290"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We can make no assurances that the ultimate trial results for these two cohorts will be consistent with or better or worse than that reported data.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20"/>
        <w:spacing w:after="0" w:line="243"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9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and pacmilimab (CX-072)).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May 2020, we reported that the administration of monotherapy pacmilimab had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7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December 2021, we announced preliminary data on two of four expansion cohorts for CX-2029, including that the most common Grade 3 TRAEs in 10% or more of patients were anemia (67.3%) and decreased neutrophil count (9.6% (plus one Grade</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4 event 1.9%)).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these TRAEs are manageable, there can be no assurance that the rate or severity of any of these side effects will not increase over time with more patients being treated in ongoing or future studies.</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are in the process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20"/>
        <w:spacing w:after="0" w:line="248" w:lineRule="auto"/>
        <w:rPr>
          <w:sz w:val="20"/>
          <w:szCs w:val="20"/>
          <w:color w:val="auto"/>
        </w:rPr>
      </w:pPr>
      <w:r>
        <w:rPr>
          <w:rFonts w:ascii="Arial" w:cs="Arial" w:eastAsia="Arial" w:hAnsi="Arial"/>
          <w:sz w:val="18"/>
          <w:szCs w:val="18"/>
          <w:color w:val="auto"/>
        </w:rPr>
        <w:t>initiating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19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67"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4"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0" w:name="page41"/>
    <w:bookmarkEnd w:id="40"/>
    <w:p>
      <w:pPr>
        <w:ind w:right="18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example, in March 2020, we announced a temporary pause in new patient enrollment and new site activation in our Phase 2 clinical trial of praluzatamab ravtansine as a result of the COVID-19 pandemic. We revised our strategy for praluzatamab ravtansine and in December 2020, we initiated a new Phase 2 clinical trial of praluzatamab ravtansine, for which we anticipated to report initial clinical data in the fourth quarter of 2021. However, in August 2021, we announced that primarily due to the COVID-19 pandemic, we anticipate initial clinical data from that trial in 2022. There can be no assurances that the COVID-19 pandemic will not continue to have a significant impact on our ability to complete our ongoing clinical trials and enroll patients in any planned or future clinical trials.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1" w:name="page42"/>
    <w:bookmarkEnd w:id="41"/>
    <w:p>
      <w:pPr>
        <w:spacing w:after="0" w:line="266"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3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47"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We believe the only clinical experience that the FDA and foreign regulatory authorities have with Probody-based therapeutics in oncology comes from praluzatamab ravtansine, CX-2029, BMS-986249, BMS-986288, and pacmilimab.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right="240"/>
        <w:spacing w:after="0" w:line="261"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7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04" w:lineRule="exact"/>
        <w:rPr>
          <w:sz w:val="20"/>
          <w:szCs w:val="20"/>
          <w:color w:val="auto"/>
        </w:rPr>
      </w:pPr>
    </w:p>
    <w:p>
      <w:pPr>
        <w:ind w:left="1020" w:right="7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rFonts w:ascii="Arial" w:cs="Arial" w:eastAsia="Arial" w:hAnsi="Arial"/>
          <w:sz w:val="18"/>
          <w:szCs w:val="18"/>
          <w:color w:val="auto"/>
        </w:rPr>
      </w:pPr>
    </w:p>
    <w:p>
      <w:pPr>
        <w:ind w:left="1020" w:right="380" w:hanging="503"/>
        <w:spacing w:after="0" w:line="29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39" w:lineRule="exact"/>
        <w:rPr>
          <w:rFonts w:ascii="Arial" w:cs="Arial" w:eastAsia="Arial" w:hAnsi="Arial"/>
          <w:sz w:val="16"/>
          <w:szCs w:val="16"/>
          <w:color w:val="auto"/>
        </w:rPr>
      </w:pPr>
    </w:p>
    <w:p>
      <w:pPr>
        <w:ind w:left="1020" w:right="120" w:hanging="503"/>
        <w:spacing w:after="0" w:line="27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5"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20" w:right="9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80"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4" w:name="page45"/>
    <w:bookmarkEnd w:id="44"/>
    <w:p>
      <w:pPr>
        <w:ind w:right="40"/>
        <w:spacing w:after="0" w:line="238" w:lineRule="auto"/>
        <w:rPr>
          <w:sz w:val="20"/>
          <w:szCs w:val="20"/>
          <w:color w:val="auto"/>
        </w:rPr>
      </w:pPr>
      <w:r>
        <w:rPr>
          <w:rFonts w:ascii="Arial" w:cs="Arial" w:eastAsia="Arial" w:hAnsi="Arial"/>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9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Further, we continue to see an impact as a result of the COVID-19 pandemic on our efforts, including ongoing clinical trial site activation and patient enrollment for praluzatamab ravtansine.</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9"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6"/>
          <w:szCs w:val="16"/>
          <w:color w:val="auto"/>
        </w:rPr>
        <w:t>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right="100"/>
        <w:spacing w:after="0" w:line="261" w:lineRule="auto"/>
        <w:rPr>
          <w:sz w:val="20"/>
          <w:szCs w:val="20"/>
          <w:color w:val="auto"/>
        </w:rPr>
      </w:pPr>
      <w:r>
        <w:rPr>
          <w:rFonts w:ascii="Arial" w:cs="Arial" w:eastAsia="Arial" w:hAnsi="Arial"/>
          <w:sz w:val="18"/>
          <w:szCs w:val="18"/>
          <w:color w:val="auto"/>
        </w:rPr>
        <w:t>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7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9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60"/>
        <w:spacing w:after="0" w:line="274" w:lineRule="auto"/>
        <w:rPr>
          <w:sz w:val="20"/>
          <w:szCs w:val="20"/>
          <w:color w:val="auto"/>
        </w:rPr>
      </w:pPr>
      <w:r>
        <w:rPr>
          <w:rFonts w:ascii="Arial" w:cs="Arial" w:eastAsia="Arial" w:hAnsi="Arial"/>
          <w:sz w:val="16"/>
          <w:szCs w:val="16"/>
          <w:color w:val="auto"/>
        </w:rPr>
        <w:t>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6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3"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23"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CX-2029 and CX-904.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pacmilimab (CX-072), and CX-904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8" w:name="page49"/>
    <w:bookmarkEnd w:id="48"/>
    <w:p>
      <w:pPr>
        <w:ind w:right="20"/>
        <w:spacing w:after="0" w:line="267" w:lineRule="auto"/>
        <w:rPr>
          <w:sz w:val="20"/>
          <w:szCs w:val="20"/>
          <w:color w:val="auto"/>
        </w:rPr>
      </w:pPr>
      <w:r>
        <w:rPr>
          <w:rFonts w:ascii="Arial" w:cs="Arial" w:eastAsia="Arial" w:hAnsi="Arial"/>
          <w:sz w:val="16"/>
          <w:szCs w:val="16"/>
          <w:color w:val="auto"/>
        </w:rPr>
        <w:t>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praluzatamab ravtansine (CX-2009), CX-2029, pacmilimab (CX-072), and CX-904.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praluzatamab ravtansine (CX-2009), CX-2029, pacmilimab (CX-072), CX-904 and our other product candidates, including CX-2043,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jc w:val="both"/>
        <w:ind w:right="120"/>
        <w:spacing w:after="0" w:line="248" w:lineRule="auto"/>
        <w:rPr>
          <w:sz w:val="20"/>
          <w:szCs w:val="20"/>
          <w:color w:val="auto"/>
        </w:rPr>
      </w:pPr>
      <w:r>
        <w:rPr>
          <w:rFonts w:ascii="Arial" w:cs="Arial" w:eastAsia="Arial" w:hAnsi="Arial"/>
          <w:sz w:val="18"/>
          <w:szCs w:val="18"/>
          <w:color w:val="auto"/>
        </w:rPr>
        <w:t>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9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the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Amunix,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chief executive officer and chairman, and Amy C. Peterson, M.D., our president and chief operating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28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 -priced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are exposed to significant product liability risks inherent in the development, testing, manufacturing and marketing of therapeutic treatments, including as a result of the clinical testing of praluzatamab ravtansine (CX-2009), CX-2029, BMS-986249, BMS-986288,</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1" w:name="page52"/>
    <w:bookmarkEnd w:id="51"/>
    <w:p>
      <w:pPr>
        <w:ind w:right="100"/>
        <w:spacing w:after="0" w:line="270" w:lineRule="auto"/>
        <w:rPr>
          <w:sz w:val="20"/>
          <w:szCs w:val="20"/>
          <w:color w:val="auto"/>
        </w:rPr>
      </w:pPr>
      <w:r>
        <w:rPr>
          <w:rFonts w:ascii="Arial" w:cs="Arial" w:eastAsia="Arial" w:hAnsi="Arial"/>
          <w:sz w:val="16"/>
          <w:szCs w:val="16"/>
          <w:color w:val="auto"/>
        </w:rPr>
        <w:t>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76" w:lineRule="exact"/>
        <w:rPr>
          <w:sz w:val="20"/>
          <w:szCs w:val="20"/>
          <w:color w:val="auto"/>
        </w:rPr>
      </w:pPr>
    </w:p>
    <w:p>
      <w:pPr>
        <w:ind w:right="180"/>
        <w:spacing w:after="0" w:line="356"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16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200"/>
        <w:spacing w:after="0" w:line="261" w:lineRule="auto"/>
        <w:rPr>
          <w:sz w:val="20"/>
          <w:szCs w:val="20"/>
          <w:color w:val="auto"/>
        </w:rPr>
      </w:pPr>
      <w:r>
        <w:rPr>
          <w:rFonts w:ascii="Arial" w:cs="Arial" w:eastAsia="Arial" w:hAnsi="Arial"/>
          <w:sz w:val="18"/>
          <w:szCs w:val="18"/>
          <w:color w:val="auto"/>
        </w:rPr>
        <w:t>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ind w:right="140"/>
        <w:spacing w:after="0" w:line="237"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460"/>
        <w:spacing w:after="0" w:line="261" w:lineRule="auto"/>
        <w:rPr>
          <w:sz w:val="20"/>
          <w:szCs w:val="20"/>
          <w:color w:val="auto"/>
        </w:rPr>
      </w:pPr>
      <w:r>
        <w:rPr>
          <w:rFonts w:ascii="Arial" w:cs="Arial" w:eastAsia="Arial" w:hAnsi="Arial"/>
          <w:sz w:val="18"/>
          <w:szCs w:val="18"/>
          <w:color w:val="auto"/>
        </w:rPr>
        <w:t>maintained as trade secrets. If third parties disclose or misappropriate our proprietary rights, it may materially and adversely affect our position in the market.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1" w:lineRule="exact"/>
        <w:rPr>
          <w:sz w:val="20"/>
          <w:szCs w:val="20"/>
          <w:color w:val="auto"/>
        </w:rPr>
      </w:pPr>
    </w:p>
    <w:p>
      <w:pPr>
        <w:ind w:left="1020" w:right="2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03"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5" w:lineRule="exact"/>
        <w:rPr>
          <w:rFonts w:ascii="Arial" w:cs="Arial" w:eastAsia="Arial" w:hAnsi="Arial"/>
          <w:sz w:val="17"/>
          <w:szCs w:val="17"/>
          <w:color w:val="auto"/>
        </w:rPr>
      </w:pPr>
    </w:p>
    <w:p>
      <w:pPr>
        <w:ind w:left="1020" w:hanging="503"/>
        <w:spacing w:after="0" w:line="29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4" w:name="page55"/>
    <w:bookmarkEnd w:id="54"/>
    <w:p>
      <w:pPr>
        <w:ind w:right="300"/>
        <w:spacing w:after="0" w:line="261"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89"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5" w:name="page56"/>
    <w:bookmarkEnd w:id="55"/>
    <w:p>
      <w:pPr>
        <w:ind w:right="20"/>
        <w:spacing w:after="0" w:line="243"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94" w:lineRule="exact"/>
        <w:rPr>
          <w:sz w:val="20"/>
          <w:szCs w:val="20"/>
          <w:color w:val="auto"/>
        </w:rPr>
      </w:pPr>
    </w:p>
    <w:p>
      <w:pPr>
        <w:jc w:val="both"/>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6" w:name="page57"/>
    <w:bookmarkEnd w:id="56"/>
    <w:p>
      <w:pPr>
        <w:ind w:right="60"/>
        <w:spacing w:after="0" w:line="257" w:lineRule="auto"/>
        <w:rPr>
          <w:sz w:val="20"/>
          <w:szCs w:val="20"/>
          <w:color w:val="auto"/>
        </w:rPr>
      </w:pPr>
      <w:r>
        <w:rPr>
          <w:rFonts w:ascii="Arial" w:cs="Arial" w:eastAsia="Arial" w:hAnsi="Arial"/>
          <w:sz w:val="17"/>
          <w:szCs w:val="17"/>
          <w:color w:val="auto"/>
        </w:rPr>
        <w:t>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6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right="200"/>
        <w:spacing w:after="0" w:line="243" w:lineRule="auto"/>
        <w:rPr>
          <w:sz w:val="20"/>
          <w:szCs w:val="20"/>
          <w:color w:val="auto"/>
        </w:rPr>
      </w:pPr>
      <w:r>
        <w:rPr>
          <w:rFonts w:ascii="Arial" w:cs="Arial" w:eastAsia="Arial" w:hAnsi="Arial"/>
          <w:sz w:val="18"/>
          <w:szCs w:val="18"/>
          <w:color w:val="auto"/>
        </w:rPr>
        <w:t>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6"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5" w:lineRule="exact"/>
        <w:rPr>
          <w:sz w:val="20"/>
          <w:szCs w:val="20"/>
          <w:color w:val="auto"/>
        </w:rPr>
      </w:pPr>
    </w:p>
    <w:p>
      <w:pPr>
        <w:ind w:right="120"/>
        <w:spacing w:after="0" w:line="208"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9" w:name="page60"/>
    <w:bookmarkEnd w:id="59"/>
    <w:p>
      <w:pPr>
        <w:ind w:right="600"/>
        <w:spacing w:after="0" w:line="261" w:lineRule="auto"/>
        <w:rPr>
          <w:sz w:val="20"/>
          <w:szCs w:val="20"/>
          <w:color w:val="auto"/>
        </w:rPr>
      </w:pPr>
      <w:r>
        <w:rPr>
          <w:rFonts w:ascii="Arial" w:cs="Arial" w:eastAsia="Arial" w:hAnsi="Arial"/>
          <w:sz w:val="18"/>
          <w:szCs w:val="18"/>
          <w:color w:val="auto"/>
        </w:rPr>
        <w:t>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7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6" w:lineRule="exact"/>
        <w:rPr>
          <w:sz w:val="20"/>
          <w:szCs w:val="20"/>
          <w:color w:val="auto"/>
        </w:rPr>
      </w:pPr>
    </w:p>
    <w:p>
      <w:pPr>
        <w:ind w:left="1020" w:right="1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20"/>
        <w:spacing w:after="0" w:line="261" w:lineRule="auto"/>
        <w:rPr>
          <w:sz w:val="20"/>
          <w:szCs w:val="20"/>
          <w:color w:val="auto"/>
        </w:rPr>
      </w:pPr>
      <w:r>
        <w:rPr>
          <w:rFonts w:ascii="Arial" w:cs="Arial" w:eastAsia="Arial" w:hAnsi="Arial"/>
          <w:sz w:val="18"/>
          <w:szCs w:val="18"/>
          <w:color w:val="auto"/>
        </w:rPr>
        <w:t>our reference products in a way that is similar to traditional generic substitution for non-biological products is not yet clear, and will depend on a number of marketplace and regulatory factors that are still developing.</w:t>
      </w:r>
    </w:p>
    <w:p>
      <w:pPr>
        <w:spacing w:after="0" w:line="27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the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right="180"/>
        <w:spacing w:after="0" w:line="27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00" w:lineRule="exact"/>
        <w:rPr>
          <w:sz w:val="20"/>
          <w:szCs w:val="20"/>
          <w:color w:val="auto"/>
        </w:rPr>
      </w:pPr>
    </w:p>
    <w:p>
      <w:pPr>
        <w:spacing w:after="0" w:line="282"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3" w:lineRule="exact"/>
        <w:rPr>
          <w:sz w:val="20"/>
          <w:szCs w:val="20"/>
          <w:color w:val="auto"/>
        </w:rPr>
      </w:pPr>
    </w:p>
    <w:p>
      <w:pPr>
        <w:ind w:left="1020" w:right="2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left="1020" w:right="60"/>
        <w:spacing w:after="0" w:line="261" w:lineRule="auto"/>
        <w:rPr>
          <w:sz w:val="20"/>
          <w:szCs w:val="20"/>
          <w:color w:val="auto"/>
        </w:rPr>
      </w:pPr>
      <w:r>
        <w:rPr>
          <w:rFonts w:ascii="Arial" w:cs="Arial" w:eastAsia="Arial" w:hAnsi="Arial"/>
          <w:sz w:val="18"/>
          <w:szCs w:val="18"/>
          <w:color w:val="auto"/>
        </w:rPr>
        <w:t>payment may be made under federal and state healthcare programs such as Medicare and Medicaid. A person or entity does not need to have actual knowledge of the statute or specific intent to violate it in order to have committed a violation;</w:t>
      </w:r>
    </w:p>
    <w:p>
      <w:pPr>
        <w:spacing w:after="0" w:line="63" w:lineRule="exact"/>
        <w:rPr>
          <w:sz w:val="20"/>
          <w:szCs w:val="20"/>
          <w:color w:val="auto"/>
        </w:rPr>
      </w:pPr>
    </w:p>
    <w:p>
      <w:pPr>
        <w:ind w:left="1020" w:right="60" w:hanging="503"/>
        <w:spacing w:after="0" w:line="257"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7" w:lineRule="exact"/>
        <w:rPr>
          <w:rFonts w:ascii="Arial" w:cs="Arial" w:eastAsia="Arial" w:hAnsi="Arial"/>
          <w:sz w:val="17"/>
          <w:szCs w:val="17"/>
          <w:color w:val="auto"/>
        </w:rPr>
      </w:pPr>
    </w:p>
    <w:p>
      <w:pPr>
        <w:ind w:left="1020" w:right="60" w:hanging="503"/>
        <w:spacing w:after="0" w:line="25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5" w:lineRule="exact"/>
        <w:rPr>
          <w:rFonts w:ascii="Arial" w:cs="Arial" w:eastAsia="Arial" w:hAnsi="Arial"/>
          <w:sz w:val="17"/>
          <w:szCs w:val="17"/>
          <w:color w:val="auto"/>
        </w:rPr>
      </w:pPr>
    </w:p>
    <w:p>
      <w:pPr>
        <w:ind w:left="1020" w:right="280" w:hanging="503"/>
        <w:spacing w:after="0" w:line="25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71" w:lineRule="exact"/>
        <w:rPr>
          <w:rFonts w:ascii="Arial" w:cs="Arial" w:eastAsia="Arial" w:hAnsi="Arial"/>
          <w:sz w:val="17"/>
          <w:szCs w:val="17"/>
          <w:color w:val="auto"/>
        </w:rPr>
      </w:pPr>
    </w:p>
    <w:p>
      <w:pPr>
        <w:ind w:left="1020" w:hanging="503"/>
        <w:spacing w:after="0" w:line="279"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spacing w:after="0" w:line="239" w:lineRule="auto"/>
        <w:rPr>
          <w:sz w:val="20"/>
          <w:szCs w:val="20"/>
          <w:color w:val="auto"/>
        </w:rPr>
      </w:pPr>
      <w:r>
        <w:rPr>
          <w:rFonts w:ascii="Arial" w:cs="Arial" w:eastAsia="Arial" w:hAnsi="Arial"/>
          <w:sz w:val="18"/>
          <w:szCs w:val="18"/>
          <w:color w:val="auto"/>
        </w:rPr>
        <w:t>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7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European Union in relation to certain aspects of data protection law remains unclear, including how data transfers between European Union member states and the United Kingdom will be treated. These changes may lead to additional compliance costs and could increase our overall risk.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European Union, the rules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for business to business communications, and significantly increases fines for non-compliance. Regulation of cookies and web beacons may lead to broader restrictions on our online activities, including our efforts to understand our users’ internet usage and promote ourselves to them.</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22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8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6" w:name="page67"/>
    <w:bookmarkEnd w:id="66"/>
    <w:p>
      <w:pPr>
        <w:ind w:right="240"/>
        <w:spacing w:after="0" w:line="248" w:lineRule="auto"/>
        <w:rPr>
          <w:sz w:val="20"/>
          <w:szCs w:val="20"/>
          <w:color w:val="auto"/>
        </w:rPr>
      </w:pPr>
      <w:r>
        <w:rPr>
          <w:rFonts w:ascii="Arial" w:cs="Arial" w:eastAsia="Arial" w:hAnsi="Arial"/>
          <w:sz w:val="18"/>
          <w:szCs w:val="18"/>
          <w:color w:val="auto"/>
        </w:rPr>
        <w:t>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2"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71"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1020" w:right="8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15" w:lineRule="exact"/>
        <w:rPr>
          <w:rFonts w:ascii="Arial" w:cs="Arial" w:eastAsia="Arial" w:hAnsi="Arial"/>
          <w:sz w:val="17"/>
          <w:szCs w:val="17"/>
          <w:color w:val="auto"/>
        </w:rPr>
      </w:pPr>
    </w:p>
    <w:p>
      <w:pPr>
        <w:ind w:left="1020" w:right="220" w:hanging="503"/>
        <w:spacing w:after="0" w:line="24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8" w:name="page69"/>
    <w:bookmarkEnd w:id="68"/>
    <w:p>
      <w:pPr>
        <w:ind w:left="1020" w:right="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15" w:lineRule="exact"/>
        <w:rPr>
          <w:rFonts w:ascii="Arial" w:cs="Arial" w:eastAsia="Arial" w:hAnsi="Arial"/>
          <w:sz w:val="17"/>
          <w:szCs w:val="17"/>
          <w:color w:val="auto"/>
        </w:rPr>
      </w:pPr>
    </w:p>
    <w:p>
      <w:pPr>
        <w:ind w:left="1020" w:right="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69" w:name="page70"/>
    <w:bookmarkEnd w:id="69"/>
    <w:p>
      <w:pPr>
        <w:ind w:right="680"/>
        <w:spacing w:after="0" w:line="261"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executive officers, directors, holders of 5% or more of our capital stock based on publicly available filings made with the SEC and their respective affiliates beneficially owned approximately 39%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97" w:lineRule="exact"/>
        <w:rPr>
          <w:sz w:val="20"/>
          <w:szCs w:val="20"/>
          <w:color w:val="auto"/>
        </w:rPr>
      </w:pPr>
    </w:p>
    <w:p>
      <w:pPr>
        <w:ind w:right="78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1"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03" w:lineRule="exact"/>
        <w:rPr>
          <w:rFonts w:ascii="Arial" w:cs="Arial" w:eastAsia="Arial" w:hAnsi="Arial"/>
          <w:sz w:val="18"/>
          <w:szCs w:val="18"/>
          <w:color w:val="auto"/>
        </w:rPr>
      </w:pPr>
    </w:p>
    <w:p>
      <w:pPr>
        <w:ind w:left="1020" w:right="20" w:hanging="503"/>
        <w:spacing w:after="0" w:line="24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70" w:name="page71"/>
    <w:bookmarkEnd w:id="70"/>
    <w:p>
      <w:pPr>
        <w:ind w:right="180"/>
        <w:spacing w:after="0" w:line="24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1" w:name="page72"/>
    <w:bookmarkEnd w:id="71"/>
    <w:p>
      <w:pPr>
        <w:ind w:right="200"/>
        <w:spacing w:after="0" w:line="261" w:lineRule="auto"/>
        <w:rPr>
          <w:sz w:val="20"/>
          <w:szCs w:val="20"/>
          <w:color w:val="auto"/>
        </w:rPr>
      </w:pPr>
      <w:r>
        <w:rPr>
          <w:rFonts w:ascii="Arial" w:cs="Arial" w:eastAsia="Arial" w:hAnsi="Arial"/>
          <w:sz w:val="18"/>
          <w:szCs w:val="18"/>
          <w:color w:val="auto"/>
        </w:rPr>
        <w:t>future. Stockholder lawsuits of this type against us, even if it is without merit, could cause us to incur substantial costs defending the lawsuit. The lawsuit could also divert the time and attention of our management.</w:t>
      </w:r>
    </w:p>
    <w:p>
      <w:pPr>
        <w:spacing w:after="0" w:line="27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9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9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175"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73" w:name="page74"/>
    <w:bookmarkEnd w:id="73"/>
    <w:p>
      <w:pPr>
        <w:ind w:right="40"/>
        <w:spacing w:after="0" w:line="274" w:lineRule="auto"/>
        <w:rPr>
          <w:sz w:val="20"/>
          <w:szCs w:val="20"/>
          <w:color w:val="auto"/>
        </w:rPr>
      </w:pPr>
      <w:r>
        <w:rPr>
          <w:rFonts w:ascii="Arial" w:cs="Arial" w:eastAsia="Arial" w:hAnsi="Arial"/>
          <w:sz w:val="16"/>
          <w:szCs w:val="16"/>
          <w:color w:val="auto"/>
        </w:rPr>
        <w:t>of the COVID-19 pandemic and resulting shelter-in-place and stay-at-home restrictions,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16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7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2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120"/>
        <w:spacing w:after="0" w:line="261" w:lineRule="auto"/>
        <w:rPr>
          <w:sz w:val="20"/>
          <w:szCs w:val="20"/>
          <w:color w:val="auto"/>
        </w:rPr>
      </w:pPr>
      <w:r>
        <w:rPr>
          <w:rFonts w:ascii="Arial" w:cs="Arial" w:eastAsia="Arial" w:hAnsi="Arial"/>
          <w:sz w:val="18"/>
          <w:szCs w:val="18"/>
          <w:color w:val="auto"/>
        </w:rPr>
        <w:t>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jc w:val="both"/>
        <w:ind w:right="540"/>
        <w:spacing w:after="0" w:line="248" w:lineRule="auto"/>
        <w:rPr>
          <w:sz w:val="20"/>
          <w:szCs w:val="20"/>
          <w:color w:val="auto"/>
        </w:rPr>
      </w:pPr>
      <w:r>
        <w:rPr>
          <w:rFonts w:ascii="Arial" w:cs="Arial" w:eastAsia="Arial" w:hAnsi="Arial"/>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All case deadlines are stayed until the Court resolves the parties’ claim construction disputes.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40"/>
        <w:spacing w:after="0" w:line="36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for Common Stock</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As of January 31, 2022, there were approximately 26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4"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following graph shows the total stockholder’s return on an investment of $100 in cash at market close on October 8, 2015 (the first day of trading of our common stock), through December 31, 2021 for (i) our common stock, (ii) the Nasdaq Composite Index and (iii) the Nasdaq Biotechnology Index. Pursuant to applicable Securities and Exchange Commission rules, all values assume reinvestment of pre-tax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54610</wp:posOffset>
            </wp:positionV>
            <wp:extent cx="6155055" cy="2425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505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$100 investment in</w:t>
            </w: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October 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 or index</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CytomX (CTMX)</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117.05</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20"/>
              <w:spacing w:after="0" w:line="162" w:lineRule="exact"/>
              <w:rPr>
                <w:sz w:val="20"/>
                <w:szCs w:val="20"/>
                <w:color w:val="auto"/>
              </w:rPr>
            </w:pPr>
            <w:r>
              <w:rPr>
                <w:rFonts w:ascii="Arial" w:cs="Arial" w:eastAsia="Arial" w:hAnsi="Arial"/>
                <w:sz w:val="18"/>
                <w:szCs w:val="18"/>
                <w:color w:val="auto"/>
                <w:w w:val="94"/>
              </w:rPr>
              <w:t>Nasdaq Composite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Index</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104.09</w:t>
            </w:r>
          </w:p>
        </w:tc>
        <w:tc>
          <w:tcPr>
            <w:tcW w:w="48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111.90</w:t>
            </w:r>
          </w:p>
        </w:tc>
        <w:tc>
          <w:tcPr>
            <w:tcW w:w="46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143.50</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137.92</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186.51</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267.90</w:t>
            </w: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325.21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Arial" w:cs="Arial" w:eastAsia="Arial" w:hAnsi="Arial"/>
                <w:sz w:val="18"/>
                <w:szCs w:val="18"/>
                <w:color w:val="auto"/>
              </w:rPr>
              <w:t>(IXIC)</w:t>
            </w: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Nasdaq Biotech</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48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46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4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94.77</w:t>
            </w:r>
          </w:p>
        </w:tc>
        <w:tc>
          <w:tcPr>
            <w:tcW w:w="4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117.91</w:t>
            </w:r>
          </w:p>
        </w:tc>
        <w:tc>
          <w:tcPr>
            <w:tcW w:w="4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148.19</w:t>
            </w:r>
          </w:p>
        </w:tc>
        <w:tc>
          <w:tcPr>
            <w:tcW w:w="4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147.25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Index (^NBI)</w:t>
            </w:r>
          </w:p>
        </w:tc>
        <w:tc>
          <w:tcPr>
            <w:tcW w:w="300" w:type="dxa"/>
            <w:vAlign w:val="bottom"/>
            <w:gridSpan w:val="2"/>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5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i w:val="1"/>
          <w:iCs w:val="1"/>
          <w:color w:val="auto"/>
        </w:rPr>
        <w:t>For a discussion related to the results of operations for 2020 compared to 2019, refer to Part II, Item 7, "Management's Discussion and Analysis of Financial Condition and Results of Operations - Comparison of Years Ended December 31, 2020 and 2019" in our Annual Report on Form 10-K for the year ended December 31, 2020 filed with the SEC on February 24,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We are a clinical-stage, oncology-focused biopharmaceutical company dedicated to destroying cancer differently. By pioneering a novel class of conditionally activated biologics, powered by our Probody® technology platform, our goal is to transcend the limits of current cancer treatments and successfully leverage therapeutic targets and strategies that were once thought to be inaccessible.</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Probody therapeutic candidates are designed to be conditionally activated in the tumor microenvironment, effectively enabling the targeting of cancer tissues more specifically, while minimizing deleterious activity in healthy tissues and in circulation. We achieve this conditional activation by modifying our therapeutic product candidates with a mask that is designed to block binding to target until the mask is removed by proteases, which are enzymes that are more active in the tumor microenvironment than in normal tissue. We believe this innovative approach has the promise to improve cancer treatments in three ways by:</w:t>
      </w:r>
    </w:p>
    <w:p>
      <w:pPr>
        <w:spacing w:after="0" w:line="81"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Enhancing a potential product’s therapeutic window, the balance between tolerability and anti-tumor activity;</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Allowing the pursuit of anti-cancer targets that were previously considered “undruggable,” due to their widespread presence on normal tissues;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that are otherwise poorly tolerated.</w:t>
      </w:r>
    </w:p>
    <w:p>
      <w:pPr>
        <w:spacing w:after="0" w:line="21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are employing our industry-leading conditionally activated Probody platform to address some of the biggest challenges today in oncology biologics research and development and have successfully applied our technology to a variety of biologic modalities including antibodies, antibody-drug conjugates (“ADCs”), T-cell bispecifics ("TCBs"), and cytokines; all of which are in various stages of development spanning from discovery to clinical development.</w:t>
      </w:r>
    </w:p>
    <w:p>
      <w:pPr>
        <w:spacing w:after="0" w:line="14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robust and differentiated product pipeline includes the wholly-owned, praluzatamab ravtansine (CX-2009) and the AbbVie-partnered CX-2029, two investigational conditionally activated ADCs directed toward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and CX-2029 are currently in Phase 2 clinical studies.</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currently enrolling patients into a three-arm study of praluzatamab ravtansine in patients with advanced human epidermal growth factor receptor 2 (“HER2”)-non-amplified breast cancer. Arms A and B will evaluate praluzatamab ravtansine monotherapy in patients with hormone receptor-positive (“HR+”)/HER2-non-amplified breast cancer and triple-negative breast cancer (“TNBC”), respectively. Arm C will evaluate praluzatamab ravtansine in combination with pacmilimab (CX-072), our wholly-owned PD-L1 inhibitor, both administered every three weeks in patients with TNBC. We expect approximately 40 efficacy-evaluable patients will be enrolled in each arm of the study. Initial data for Arms A and B are expected in the second half of 2022.</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CX-2029, our CD71-directed ADC is being evaluated as monotherapy in a four-cohort Phase 2 expansion study designed to enroll twenty five efficacy evaluable patients with squamous non-small cell lung cancer (“sqNSCLC”), head and neck squamous cell carcinoma (“HNSCC”), esophageal and gastro-esophageal junction cancers, and diffuse large B-cell lymphoma. Preliminary data from the CX-2029 study for sqNSCLC and HNSCC were disclosed via a company press release in December 2021 in which encouraging activity in patients with sqNSCLC was highlighted. Patient enrollment continues in the expansion phase of this study with certain additional data updates expected in 2022.</w:t>
      </w:r>
    </w:p>
    <w:p>
      <w:pPr>
        <w:spacing w:after="0" w:line="1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robust clinical pipeline also includes cancer immunotherapeutic candidates against validated targets such as CTLA-4. Our partner, Bristol Myers Squibb, is conducting a randomized Phase 2 study evaluating BMS-986249, a Probody version of the CTLA-4-targeting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8" w:name="page79"/>
    <w:bookmarkEnd w:id="78"/>
    <w:p>
      <w:pPr>
        <w:ind w:right="20"/>
        <w:spacing w:after="0" w:line="243" w:lineRule="auto"/>
        <w:rPr>
          <w:sz w:val="20"/>
          <w:szCs w:val="20"/>
          <w:color w:val="auto"/>
        </w:rPr>
      </w:pPr>
      <w:r>
        <w:rPr>
          <w:rFonts w:ascii="Arial" w:cs="Arial" w:eastAsia="Arial" w:hAnsi="Arial"/>
          <w:sz w:val="18"/>
          <w:szCs w:val="18"/>
          <w:color w:val="auto"/>
        </w:rPr>
        <w:t>antibody, ipilimumab, in combination with the anti-PD-1 antibody, nivolumab,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study.</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Underscoring our commitment to destroying cancer differently, we have recently introduced the third treatment modality overall into the clinic from our versatile and tunable Probody platform, reinforcing our leadership in the field of conditional activation of biologic therapeutics. As part of our partnership with Amgen, we are advancing CX-904, a conditionally activated T-cell-engaging bispecific antibody candidate against the epidermal growth factor receptor (“EGFR”) on tumor cells and CD3 on T cells. In January 2022, our investigational new drug application (“IND”) for CX-904 was allowed to proceed by the FDA. We are in the process of initiating a first-in-human Phase 1 study to evaluate CX-904 as a treatment for patients with advanced solid tumors and expect to dose the first patient in the first half of 2022.</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preclinical studies, we are developing CX-2043, our third conditionally activated ADC directed toward the epithelial cell adhesion molecule (“EpCAM”), a widely expressed tumor antigen. CX-2043 has demonstrated potent anti-tumor activity across multiple cancer types and superior tolerability in animal models compared to the corresponding unmasked ADC. We are also engaged in drug discovery efforts towards the generation of new clinical candidates for the treatment of cancer, including the application of our conditional activation platform to the engineering of novel, locally active cytokines, including interferon-alpha-2b, as well as additional TCBs.</w:t>
      </w:r>
    </w:p>
    <w:p>
      <w:pPr>
        <w:spacing w:after="0" w:line="189"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In January and February 2021, we completed an underwritten public offering of 16,428,571 shares of common stock at a price of $7.00 per share. The aggregate net proceeds received by us from the offering were $107.7 million, after deducting underwriting discounts and commissions and offering expenses of $7.3 million.</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$83.6 million, $32.9 million, and $102.2 million for 2021, 2020 and 2019, respectively. As of December 31, 2021and 2020, we had an accumulated deficit of $533.7 million and $450.1 million, respectively. We expect to continue to incur significant losses for the foreseeable future.</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pacmilimab, and CX-904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0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and in March 2020 the World Health Organization declared the outbreak a pandemic There continues to be uncertainty as to the extent and duration of the COVID-19 pandemic including the emergence and impact of new variants.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During 2020 and 2021, the COVID -19 outbreak impacted our ongoing operations, including clinical trials. Any preventative or protective actions that we, our collaboration partners or others have taken, or may take, in respect of the virus may result in further disruption for our clinical trials, including clinical trials for praluzatamab ravtansine, CX-2029 and CX-904,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9" w:name="page80"/>
    <w:bookmarkEnd w:id="79"/>
    <w:p>
      <w:pPr>
        <w:spacing w:after="0" w:line="261" w:lineRule="auto"/>
        <w:rPr>
          <w:sz w:val="20"/>
          <w:szCs w:val="20"/>
          <w:color w:val="auto"/>
        </w:rPr>
      </w:pPr>
      <w:r>
        <w:rPr>
          <w:rFonts w:ascii="Arial" w:cs="Arial" w:eastAsia="Arial" w:hAnsi="Arial"/>
          <w:sz w:val="18"/>
          <w:szCs w:val="18"/>
          <w:color w:val="auto"/>
        </w:rPr>
        <w:t>however, we will continue to monitor the COVID-19 situation closely and operate in accordance with all relevant health and safety guidelines as they evolve in response to changing public health conditions.</w:t>
      </w: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44" w:right="7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potential future clinical trials for CX-2029 and for praluzatamab ravtansine in combination with pacmilimab (CX-072) and our Phase 1 clinical trial for CX-904 which is in the process of being initiated.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89"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r>
      <w:tr>
        <w:trPr>
          <w:trHeight w:val="169"/>
        </w:trPr>
        <w:tc>
          <w:tcPr>
            <w:tcW w:w="6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AbbVie</w:t>
            </w:r>
          </w:p>
        </w:tc>
        <w:tc>
          <w:tcPr>
            <w:tcW w:w="880" w:type="dxa"/>
            <w:vAlign w:val="bottom"/>
            <w:shd w:val="clear" w:color="auto" w:fill="CFF0FC"/>
          </w:tcPr>
          <w:p>
            <w:pPr>
              <w:jc w:val="right"/>
              <w:ind w:right="69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11,845</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38,192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(26,347 )</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Amgen</w:t>
            </w: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8,744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8,609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Astellas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19,365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13,931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5,434</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Bristol Myers Squibb</w:t>
            </w: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29,619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39,630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(10,011 )</w:t>
            </w: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auto"/>
              <w:bottom w:val="single" w:sz="8" w:color="auto"/>
            </w:tcBorders>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69,573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100,362</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(30,789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34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revenue of $30.8 million for 2021 compared to 2020 was primarily due to:</w:t>
      </w:r>
    </w:p>
    <w:p>
      <w:pPr>
        <w:spacing w:after="0" w:line="104" w:lineRule="exact"/>
        <w:rPr>
          <w:sz w:val="20"/>
          <w:szCs w:val="20"/>
          <w:color w:val="auto"/>
        </w:rPr>
      </w:pPr>
    </w:p>
    <w:p>
      <w:pPr>
        <w:ind w:left="1020" w:right="100" w:hanging="503"/>
        <w:spacing w:after="0" w:line="294"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decrease in revenue of $26.3 million from AbbVie primarily due to the $40.0 million milestone payment earned in the first quarter of 2020 for satisfying the CD71 dose escalation success criteria milestone under the CD71 Co-Development and Licensing Agreement (the “CD71 Agreement”), of which $26.6 million was recognized reflecting the project percentage completion to date in the first quarter of 2020; and</w:t>
      </w:r>
    </w:p>
    <w:p>
      <w:pPr>
        <w:spacing w:after="0" w:line="39" w:lineRule="exact"/>
        <w:rPr>
          <w:rFonts w:ascii="Arial" w:cs="Arial" w:eastAsia="Arial" w:hAnsi="Arial"/>
          <w:sz w:val="16"/>
          <w:szCs w:val="16"/>
          <w:color w:val="auto"/>
        </w:rPr>
      </w:pPr>
    </w:p>
    <w:p>
      <w:pPr>
        <w:ind w:left="102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in revenue from Bristol Myers Squibb of $10.0 million due to the recognition in full of the $10.0 million milestone payment earned for achieving the dosing of the first patient in the Part 2 cohort expansion of the ongoing CTLA-4 program by Bristol Myers Squibb in February 2020; partially offset by</w:t>
      </w:r>
    </w:p>
    <w:p>
      <w:pPr>
        <w:spacing w:after="0" w:line="73"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revenue from Astellas of $5.4 million due to a full year recognition of the $80.0 million upfront payment over the estimated research service period of five years under the Astellas Agreement entered into in March 2020, as well as the increased research services during the current period.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CX-2009 (CD166)</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18,516</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16,191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CX-2029 (CD71)</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11,556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5,978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CX-072 (PD-L1)</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10,642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(7,107 )</w:t>
            </w: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Other wholly owned and partnered programs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17,353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19,255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(1,902 )</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research and development expenses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13,534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13,016</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64,494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65,082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Internal Costs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49,700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47,854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0"/>
              <w:spacing w:after="0" w:line="182" w:lineRule="exact"/>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114,194</w:t>
            </w:r>
          </w:p>
        </w:tc>
        <w:tc>
          <w:tcPr>
            <w:tcW w:w="4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112,936</w:t>
            </w:r>
          </w:p>
        </w:tc>
        <w:tc>
          <w:tcPr>
            <w:tcW w:w="30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-424815</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-424815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research and development expenses for 2021 compared to 2020 was attributable to the following changes by project:</w:t>
      </w:r>
    </w:p>
    <w:p>
      <w:pPr>
        <w:spacing w:after="0" w:line="104" w:lineRule="exact"/>
        <w:rPr>
          <w:sz w:val="20"/>
          <w:szCs w:val="20"/>
          <w:color w:val="auto"/>
        </w:rPr>
      </w:pPr>
    </w:p>
    <w:p>
      <w:pPr>
        <w:ind w:left="1020" w:right="4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CX-2029 expenses was primarily driven by a $5.8 million increase in clinical trial expenses and laboratory contract and services due to increase in patient enrollment activities;</w:t>
      </w:r>
    </w:p>
    <w:p>
      <w:pPr>
        <w:spacing w:after="0" w:line="62" w:lineRule="exact"/>
        <w:rPr>
          <w:rFonts w:ascii="Arial" w:cs="Arial" w:eastAsia="Arial" w:hAnsi="Arial"/>
          <w:sz w:val="18"/>
          <w:szCs w:val="18"/>
          <w:color w:val="auto"/>
        </w:rPr>
      </w:pPr>
    </w:p>
    <w:p>
      <w:pPr>
        <w:jc w:val="both"/>
        <w:ind w:left="1020" w:right="24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CX-2009 expenses was primarily driven by a $3.9 million increase in clinical trial studies and laboratory contract services due to increase in manufacturing and development activities, as well as a $1.2 million increase in consulting expenses; partially offset by a $3.0 million licensing payment to ImmunoGen in the first quarter of 2020;</w:t>
      </w:r>
    </w:p>
    <w:p>
      <w:pPr>
        <w:spacing w:after="0" w:line="7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decrease in CX-072 expenses was primarily due to a $5.1 million decrease in clinical trial related expenses and a $1.3 million decrease in laboratory contract services as a result of the timing of manufacturing and other research activities in the CX-072-001 study and the termination of the CX-072-002 study;</w:t>
      </w:r>
    </w:p>
    <w:p>
      <w:pPr>
        <w:spacing w:after="0" w:line="73" w:lineRule="exact"/>
        <w:rPr>
          <w:rFonts w:ascii="Arial" w:cs="Arial" w:eastAsia="Arial" w:hAnsi="Arial"/>
          <w:sz w:val="18"/>
          <w:szCs w:val="18"/>
          <w:color w:val="auto"/>
        </w:rPr>
      </w:pPr>
    </w:p>
    <w:p>
      <w:pPr>
        <w:ind w:left="1020" w:right="120" w:hanging="503"/>
        <w:spacing w:after="0" w:line="284"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decrease in “Other wholly owned and partnered programs” was primarily due to a $6.0 million sublicense fee payment to UCSB related to the $80.0 million upfront payment under the Astellas Agreement during the first quarter of 2020; a $4.1 million decrease in laboratory contracts and services related to the CX-904 program as it moved into the IND application preparation phase; partially offset by an increase of $7.9 million in laboratory contracts and services expenses related to the EpCAM program due to an increase in pre-clinical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jc w:val="right"/>
              <w:ind w:right="619"/>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39,160</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36,031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3,129</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General and administrative expenses increased by $3.1 million during 2021 compared to 2020 primarily due to an increase in personnel related and recruiting expenses.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(1,581 )</w:t>
            </w: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94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(27 )</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(56 )</w:t>
            </w: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interest income and other expense</w:t>
            </w:r>
          </w:p>
        </w:tc>
        <w:tc>
          <w:tcPr>
            <w:tcW w:w="940" w:type="dxa"/>
            <w:vAlign w:val="bottom"/>
            <w:tcBorders>
              <w:top w:val="single" w:sz="8" w:color="auto"/>
              <w:bottom w:val="single" w:sz="8" w:color="auto"/>
            </w:tcBorders>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by $1.6 million during 2021 compared to 2020, primarily driven by lower interest rates in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 from income taxes</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(13,911 )  $</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13,911</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Income tax benefit decreased by $13.9 million for 2021 compared to 2020. The income tax benefit of $13.9 million for 2020 was generated due to the recognition of net operating loss carrybacks under the CARES Act, which generated a tax refund of taxes paid for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As of December 31, 2021, we had cash, cash equivalents and investments of $305.2 million and an accumulated deficit of $533.7 million, compared to cash, cash equivalents and investments of $316.1 million and an accumulated deficit of $450.1 million as of December 31, 2020. In January and February 2021, in an underwritten public offering of our common stock, we raised an aggregate net proceeds of approximately $107.7 million.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Based upon our current operating plan, we expect our existing capital resources will be sufficient to fund operations for a period of at least twelve months from the issuance date of the financial statements included in this report.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(119,031 )</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(140,480 )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by investing activities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(18,718 )</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79,701</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110,213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16,893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13,671</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3,434</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(59,152 )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-159385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w:t>
      </w:r>
    </w:p>
    <w:p>
      <w:pPr>
        <w:spacing w:after="0" w:line="11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year ended December 31, 2021, cash used in operating activities was $119.0 million, which consisted of a net loss of $83.6 million, adjusted by non-cash charges of $19.3 million and a net decrease of $54.7 million relating to the changes in our net operating assets and liabilities. The non-cash charges primarily consisted of $13.2 million in stock-based compensation, $3.1 million in non-cash lease expense, $2.7 million in depreciation and amortization and $0.3 million in net accretion of discounts on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change of our net operating assets and liabilities was primarily due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4" w:name="page85"/>
    <w:bookmarkEnd w:id="84"/>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net decrease of $66.2 million in deferred revenue resulting from the continued recognition of deferred revenue from existing customers;</w:t>
      </w:r>
    </w:p>
    <w:p>
      <w:pPr>
        <w:spacing w:after="0" w:line="126"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$7.4 million in accrued liabilities and accounts payable primarily due to timing of payments and an increase in research and clinical expenses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$4.1 million in cash flows from prepaid expenses and other current assets and other assets primarily due to reduced advance payments to our third-party manufacturing vendors and timing of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w: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During the year ended December 31, 2020, cash provided by operating activities was $5.3 million, which consisted of a net loss of $32.9 million, adjusted by non-cash charges of $20.1 million and a net increase of $18.1 million relating to the change of our net operating assets and liabilities. The non-cash charges primarily consisted of $14.8 million in stock-based compensation, $2.9 million in non-cash lease expense and $2.6 million in depreciation and amortization, which amounts were partially offset by $0.2 million in net accretion of discounts on our short-term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change of our net operating assets and liabilities was primarily due to:</w:t>
      </w:r>
    </w:p>
    <w:p>
      <w:pPr>
        <w:spacing w:after="0" w:line="104" w:lineRule="exact"/>
        <w:rPr>
          <w:sz w:val="20"/>
          <w:szCs w:val="20"/>
          <w:color w:val="auto"/>
        </w:rPr>
      </w:pPr>
    </w:p>
    <w:p>
      <w:pPr>
        <w:ind w:left="1020" w:right="20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net increase of $30.9 million in deferred revenue resulting primarily from the $80.0 million upfront payment from Astellas as well as the $40.0 million milestone payment from AbbVie, partially offset by the continued recognition of deferred revenue from other existing customers;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$0.1 million in cash flows from prepaid expenses and other current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$0.2 million in cash flows from other assets;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$11.0 million in accrued liabilities primarily due to payment of $7.5 million for the ImmunoGen 2019 License and $2.8 million for lease liabilities;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cashflow of $0.8 million from accounts receivable primarily related to research and development service fees due from Astellas pursuant to the Astellas Agreement;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cashflow of $0.9 million from accounts payable.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the year ended December 31, 2021, cash provided by investing activities was $22.5 million, which consisted of $124.0 million in proceeds received upon the maturity of short-term marketable securities, partially offset by $99.9 million used in the purchase of long-term investments and $1.6 million of capital expenditures used to purchase property and equipment.</w:t>
      </w:r>
    </w:p>
    <w:p>
      <w:pPr>
        <w:spacing w:after="0" w:line="20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During the year ended December 31, 2020, cash used in investing activities was $18.7 million, which consisted of $199.1 million used in the purchase of short-term investments and $2.3 million of capital expenditures used to purchase property and equipment, partially offset by $182.7 million in proceeds received upon the maturity of marketable securities.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During the year ended December 31, 2021, cash provided by financing activities was $110.2 million, which consisted of $107.7 million of net proceeds from the follow-on public offering in January and February 2021 and $2.5 million of proceeds from the exercise of stock options and employee stock purchases under the employee stock purchase plan (“ESPP”).</w:t>
      </w:r>
    </w:p>
    <w:p>
      <w:pPr>
        <w:spacing w:after="0" w:line="20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During the year ended December 31, 2020, cash provided by financing activities was $16.9 million, which primarily consisted of proceeds from our common stock issuance of $11.3 million under the Open Market Sales Agreement (net of underwriting discounts and stock issuance costs of $0.4 million) and $5.6 million from the exercise of stock options and employee stock purchases under the ESPP.</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The following table summarizes our contractual obligations that become due within the next twelve months (in thousands):</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4"/>
          <w:szCs w:val="24"/>
          <w:color w:val="auto"/>
          <w:vertAlign w:val="superscript"/>
        </w:rPr>
        <w:t>(1)</w:t>
      </w:r>
    </w:p>
    <w:p>
      <w:pPr>
        <w:ind w:left="20"/>
        <w:spacing w:after="0" w:line="183" w:lineRule="auto"/>
        <w:rPr>
          <w:sz w:val="20"/>
          <w:szCs w:val="20"/>
          <w:color w:val="auto"/>
        </w:rPr>
      </w:pPr>
      <w:r>
        <w:rPr>
          <w:rFonts w:ascii="Arial" w:cs="Arial" w:eastAsia="Arial" w:hAnsi="Arial"/>
          <w:sz w:val="17"/>
          <w:szCs w:val="17"/>
          <w:color w:val="auto"/>
        </w:rPr>
        <w:t>Royalty obligations</w:t>
      </w:r>
      <w:r>
        <w:rPr>
          <w:rFonts w:ascii="Arial" w:cs="Arial" w:eastAsia="Arial" w:hAnsi="Arial"/>
          <w:sz w:val="23"/>
          <w:szCs w:val="23"/>
          <w:color w:val="auto"/>
          <w:vertAlign w:val="superscript"/>
        </w:rPr>
        <w:t>(2)</w:t>
      </w:r>
    </w:p>
    <w:p>
      <w:pPr>
        <w:ind w:left="20"/>
        <w:spacing w:after="0" w:line="196" w:lineRule="auto"/>
        <w:rPr>
          <w:sz w:val="20"/>
          <w:szCs w:val="20"/>
          <w:color w:val="auto"/>
        </w:rPr>
      </w:pPr>
      <w:r>
        <w:rPr>
          <w:rFonts w:ascii="Arial" w:cs="Arial" w:eastAsia="Arial" w:hAnsi="Arial"/>
          <w:sz w:val="17"/>
          <w:szCs w:val="17"/>
          <w:color w:val="auto"/>
        </w:rPr>
        <w:t>License maintenance fees</w:t>
      </w:r>
      <w:r>
        <w:rPr>
          <w:rFonts w:ascii="Arial" w:cs="Arial" w:eastAsia="Arial" w:hAnsi="Arial"/>
          <w:sz w:val="23"/>
          <w:szCs w:val="23"/>
          <w:color w:val="auto"/>
          <w:vertAlign w:val="superscript"/>
        </w:rPr>
        <w:t>(3)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1912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ind w:right="1196"/>
              <w:spacing w:after="0"/>
              <w:rPr>
                <w:sz w:val="20"/>
                <w:szCs w:val="20"/>
                <w:color w:val="auto"/>
              </w:rPr>
            </w:pPr>
            <w:r>
              <w:rPr>
                <w:rFonts w:ascii="Arial" w:cs="Arial" w:eastAsia="Arial" w:hAnsi="Arial"/>
                <w:sz w:val="14"/>
                <w:szCs w:val="14"/>
                <w:b w:val="1"/>
                <w:bCs w:val="1"/>
                <w:color w:val="auto"/>
              </w:rPr>
              <w:t>Payments Due by</w:t>
            </w:r>
          </w:p>
        </w:tc>
      </w:tr>
      <w:tr>
        <w:trPr>
          <w:trHeight w:val="169"/>
        </w:trPr>
        <w:tc>
          <w:tcPr>
            <w:tcW w:w="6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right"/>
              <w:ind w:right="1596"/>
              <w:spacing w:after="0"/>
              <w:rPr>
                <w:sz w:val="20"/>
                <w:szCs w:val="20"/>
                <w:color w:val="auto"/>
              </w:rPr>
            </w:pPr>
            <w:r>
              <w:rPr>
                <w:rFonts w:ascii="Arial" w:cs="Arial" w:eastAsia="Arial" w:hAnsi="Arial"/>
                <w:sz w:val="14"/>
                <w:szCs w:val="14"/>
                <w:b w:val="1"/>
                <w:bCs w:val="1"/>
                <w:color w:val="auto"/>
              </w:rPr>
              <w:t>2022</w:t>
            </w:r>
          </w:p>
        </w:tc>
      </w:tr>
      <w:tr>
        <w:trPr>
          <w:trHeight w:val="182"/>
        </w:trPr>
        <w:tc>
          <w:tcPr>
            <w:tcW w:w="680" w:type="dxa"/>
            <w:vAlign w:val="bottom"/>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2940" w:type="dxa"/>
            <w:vAlign w:val="bottom"/>
          </w:tcPr>
          <w:p>
            <w:pPr>
              <w:jc w:val="right"/>
              <w:spacing w:after="0" w:line="182" w:lineRule="exact"/>
              <w:rPr>
                <w:sz w:val="20"/>
                <w:szCs w:val="20"/>
                <w:color w:val="auto"/>
              </w:rPr>
            </w:pPr>
            <w:r>
              <w:rPr>
                <w:rFonts w:ascii="Arial" w:cs="Arial" w:eastAsia="Arial" w:hAnsi="Arial"/>
                <w:sz w:val="18"/>
                <w:szCs w:val="18"/>
                <w:color w:val="auto"/>
              </w:rPr>
              <w:t>5,273</w:t>
            </w:r>
          </w:p>
        </w:tc>
      </w:tr>
      <w:tr>
        <w:trPr>
          <w:trHeight w:val="203"/>
        </w:trPr>
        <w:tc>
          <w:tcPr>
            <w:tcW w:w="680" w:type="dxa"/>
            <w:vAlign w:val="bottom"/>
          </w:tcPr>
          <w:p>
            <w:pPr>
              <w:spacing w:after="0"/>
              <w:rPr>
                <w:sz w:val="17"/>
                <w:szCs w:val="17"/>
                <w:color w:val="auto"/>
              </w:rPr>
            </w:pP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17"/>
        </w:trPr>
        <w:tc>
          <w:tcPr>
            <w:tcW w:w="6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196"/>
        </w:trPr>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2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6,173</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-548005</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-290830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6840" w:space="720"/>
            <w:col w:w="3680"/>
          </w:cols>
          <w:pgMar w:left="320" w:top="436" w:right="339" w:bottom="1440" w:gutter="0" w:footer="0" w:header="0"/>
          <w:type w:val="continuous"/>
        </w:sectPr>
      </w:pPr>
    </w:p>
    <w:p>
      <w:pPr>
        <w:ind w:left="520" w:right="340" w:hanging="512"/>
        <w:spacing w:after="0" w:line="209" w:lineRule="auto"/>
        <w:tabs>
          <w:tab w:leader="none" w:pos="520" w:val="left"/>
        </w:tabs>
        <w:numPr>
          <w:ilvl w:val="0"/>
          <w:numId w:val="46"/>
        </w:numPr>
        <w:rPr>
          <w:rFonts w:ascii="Arial" w:cs="Arial" w:eastAsia="Arial" w:hAnsi="Arial"/>
          <w:sz w:val="24"/>
          <w:szCs w:val="24"/>
          <w:color w:val="auto"/>
          <w:vertAlign w:val="superscript"/>
        </w:rPr>
      </w:pPr>
      <w:r>
        <w:rPr>
          <w:rFonts w:ascii="Arial" w:cs="Arial" w:eastAsia="Arial" w:hAnsi="Arial"/>
          <w:sz w:val="18"/>
          <w:szCs w:val="18"/>
          <w:color w:val="auto"/>
        </w:rPr>
        <w:t>We lease our current facility under a long-term operating lease, which expires in 2026. The lease provides us with one option to extend the lease term for a period of five years at the then fair market rental value.</w:t>
      </w:r>
    </w:p>
    <w:p>
      <w:pPr>
        <w:ind w:left="520" w:right="160" w:hanging="512"/>
        <w:spacing w:after="0" w:line="222" w:lineRule="auto"/>
        <w:tabs>
          <w:tab w:leader="none" w:pos="520" w:val="left"/>
        </w:tabs>
        <w:numPr>
          <w:ilvl w:val="0"/>
          <w:numId w:val="46"/>
        </w:numPr>
        <w:rPr>
          <w:rFonts w:ascii="Arial" w:cs="Arial" w:eastAsia="Arial" w:hAnsi="Arial"/>
          <w:sz w:val="23"/>
          <w:szCs w:val="23"/>
          <w:color w:val="auto"/>
          <w:vertAlign w:val="superscript"/>
        </w:rPr>
      </w:pPr>
      <w:r>
        <w:rPr>
          <w:rFonts w:ascii="Arial" w:cs="Arial" w:eastAsia="Arial" w:hAnsi="Arial"/>
          <w:sz w:val="17"/>
          <w:szCs w:val="17"/>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10 - “License Agreement" in the accompanying Notes to the financial statements for more information.</w:t>
      </w:r>
    </w:p>
    <w:p>
      <w:pPr>
        <w:spacing w:after="0" w:line="1" w:lineRule="exact"/>
        <w:rPr>
          <w:rFonts w:ascii="Arial" w:cs="Arial" w:eastAsia="Arial" w:hAnsi="Arial"/>
          <w:sz w:val="23"/>
          <w:szCs w:val="23"/>
          <w:color w:val="auto"/>
          <w:vertAlign w:val="superscript"/>
        </w:rPr>
      </w:pPr>
    </w:p>
    <w:p>
      <w:pPr>
        <w:ind w:left="520" w:right="320" w:hanging="512"/>
        <w:spacing w:after="0" w:line="235" w:lineRule="auto"/>
        <w:tabs>
          <w:tab w:leader="none" w:pos="52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We have annual license maintenance fees under the terms of certain license agreement with UCSB. See Part II. Item 8. Financial Statements and Supplementary Data, Note 10 - “License Agreement” in the accompanying Notes to the financial statements for more information.</w:t>
      </w:r>
    </w:p>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$7.8 million as of December 31, 2021 because these uncertain tax positions, if recognized, would be an adjustment to our deferred tax assets, which are subject to a valuation allowance.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our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86" w:name="page87"/>
    <w:bookmarkEnd w:id="86"/>
    <w:p>
      <w:pPr>
        <w:ind w:right="40"/>
        <w:spacing w:after="0" w:line="274" w:lineRule="auto"/>
        <w:rPr>
          <w:sz w:val="20"/>
          <w:szCs w:val="20"/>
          <w:color w:val="auto"/>
        </w:rPr>
      </w:pPr>
      <w:r>
        <w:rPr>
          <w:rFonts w:ascii="Arial" w:cs="Arial" w:eastAsia="Arial" w:hAnsi="Arial"/>
          <w:sz w:val="16"/>
          <w:szCs w:val="16"/>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To date we have concluded that these contingent payments should be fully constrained until the conditions are met. At each reporting date, we re-evaluate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7"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21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Most of our collaboration arrangements are related to delivering a combined performance obligation satisfied over time. Some of our revenue is recognized over a defined research period as stand-ready obligations, while others are recognized using a cost-based input measure based on our actual full time employee ("FTE") hours incurred as a percentage of projected FTE hours for completing the performance obligation. We evaluate the measure of progress each reporting period and, if necessary, we adjust the measure of performance and related revenue recognition. There have been changes in estimates of research service periods and the related estimated FTE hours-to-completion, of certain of our research development programs in 2021, 2020, and 2019. Such adjustments have impacted and may continue to impact the amounts and timing of our revenue recognized.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1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 There has not been material changes in estimates in recent years.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investments of $305.2 million and $316.1 million as of December 31, 2021 and 2020, respectively, which consists of bank deposits, money market funds and U.S. government bonds. Such interest-bearing instruments carry a degree of interest rate risk; however, historical fluctuations of interest income have not been significant.</w:t>
      </w:r>
    </w:p>
    <w:p>
      <w:pPr>
        <w:spacing w:after="0" w:line="18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2021, a hypothetical 100 basis point change in interest rates would not have material effect in the fair value of the portfolio.</w:t>
      </w: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48"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1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ANNUAL REPORT ON FORM 10-K</w:t>
      </w:r>
    </w:p>
    <w:p>
      <w:pPr>
        <w:ind w:left="3560"/>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80" w:type="dxa"/>
            <w:vAlign w:val="bottom"/>
            <w:gridSpan w:val="8"/>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Reports of Independent Registered Public Accounting Firm (PCAOB ID: 42)</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5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Statements</w:t>
            </w:r>
          </w:p>
        </w:tc>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Balance Sheets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9140" w:type="dxa"/>
            <w:vAlign w:val="bottom"/>
            <w:gridSpan w:val="6"/>
            <w:vMerge w:val="restart"/>
          </w:tcPr>
          <w:p>
            <w:pPr>
              <w:jc w:val="right"/>
              <w:ind w:right="6580"/>
              <w:spacing w:after="0" w:line="202" w:lineRule="exact"/>
              <w:rPr>
                <w:rFonts w:ascii="Arial" w:cs="Arial" w:eastAsia="Arial" w:hAnsi="Arial"/>
                <w:sz w:val="18"/>
                <w:szCs w:val="18"/>
                <w:color w:val="0000FF"/>
                <w:w w:val="85"/>
              </w:rPr>
            </w:pPr>
            <w:hyperlink w:anchor="page94">
              <w:r>
                <w:rPr>
                  <w:rFonts w:ascii="Arial" w:cs="Arial" w:eastAsia="Arial" w:hAnsi="Arial"/>
                  <w:sz w:val="18"/>
                  <w:szCs w:val="18"/>
                  <w:color w:val="0000FF"/>
                  <w:w w:val="85"/>
                </w:rPr>
                <w:t>Operations and Comprehensive Loss</w:t>
              </w:r>
            </w:hyperlink>
          </w:p>
        </w:tc>
        <w:tc>
          <w:tcPr>
            <w:tcW w:w="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92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line="182" w:lineRule="exact"/>
              <w:rPr>
                <w:rFonts w:ascii="Arial" w:cs="Arial" w:eastAsia="Arial" w:hAnsi="Arial"/>
                <w:sz w:val="18"/>
                <w:szCs w:val="18"/>
                <w:color w:val="0000FF"/>
                <w:w w:val="95"/>
              </w:rPr>
            </w:pPr>
            <w:hyperlink w:anchor="page94">
              <w:r>
                <w:rPr>
                  <w:rFonts w:ascii="Arial" w:cs="Arial" w:eastAsia="Arial" w:hAnsi="Arial"/>
                  <w:sz w:val="18"/>
                  <w:szCs w:val="18"/>
                  <w:color w:val="0000FF"/>
                  <w:w w:val="95"/>
                </w:rPr>
                <w:t>Statements of</w:t>
              </w:r>
            </w:hyperlink>
          </w:p>
        </w:tc>
        <w:tc>
          <w:tcPr>
            <w:tcW w:w="9140" w:type="dxa"/>
            <w:vAlign w:val="bottom"/>
            <w:gridSpan w:val="6"/>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Statements of Stockholders’ Equity</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Statements of Cash Flows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40" w:type="dxa"/>
            <w:vAlign w:val="bottom"/>
            <w:gridSpan w:val="7"/>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Notes to Financial Statements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460" w:type="dxa"/>
            <w:vAlign w:val="bottom"/>
            <w:gridSpan w:val="2"/>
          </w:tcPr>
          <w:p>
            <w:pPr>
              <w:spacing w:after="0"/>
              <w:rPr>
                <w:sz w:val="24"/>
                <w:szCs w:val="24"/>
                <w:color w:val="auto"/>
              </w:rPr>
            </w:pPr>
          </w:p>
        </w:tc>
        <w:tc>
          <w:tcPr>
            <w:tcW w:w="2140" w:type="dxa"/>
            <w:vAlign w:val="bottom"/>
            <w:tcBorders>
              <w:top w:val="single" w:sz="8" w:color="0000FF"/>
            </w:tcBorders>
            <w:gridSpan w:val="3"/>
          </w:tcPr>
          <w:p>
            <w:pPr>
              <w:spacing w:after="0"/>
              <w:rPr>
                <w:sz w:val="24"/>
                <w:szCs w:val="24"/>
                <w:color w:val="auto"/>
              </w:rPr>
            </w:pPr>
          </w:p>
        </w:tc>
        <w:tc>
          <w:tcPr>
            <w:tcW w:w="8100" w:type="dxa"/>
            <w:vAlign w:val="bottom"/>
            <w:gridSpan w:val="4"/>
          </w:tcPr>
          <w:p>
            <w:pPr>
              <w:jc w:val="right"/>
              <w:ind w:right="4980"/>
              <w:spacing w:after="0"/>
              <w:rPr>
                <w:sz w:val="20"/>
                <w:szCs w:val="20"/>
                <w:color w:val="auto"/>
              </w:rPr>
            </w:pPr>
            <w:r>
              <w:rPr>
                <w:rFonts w:ascii="Arial" w:cs="Arial" w:eastAsia="Arial" w:hAnsi="Arial"/>
                <w:sz w:val="18"/>
                <w:szCs w:val="18"/>
                <w:color w:val="auto"/>
              </w:rPr>
              <w:t>87</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ind w:right="3160" w:firstLine="3551"/>
        <w:spacing w:after="0" w:line="34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CytomX Therapeutics,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We have audited the accompanying balance sheets of </w:t>
      </w:r>
      <w:r>
        <w:rPr>
          <w:rFonts w:ascii="Arial" w:cs="Arial" w:eastAsia="Arial" w:hAnsi="Arial"/>
          <w:sz w:val="17"/>
          <w:szCs w:val="17"/>
          <w:color w:val="333333"/>
        </w:rPr>
        <w:t>CytomX Therapeutics, Inc.</w:t>
      </w:r>
      <w:r>
        <w:rPr>
          <w:rFonts w:ascii="Arial" w:cs="Arial" w:eastAsia="Arial" w:hAnsi="Arial"/>
          <w:sz w:val="17"/>
          <w:szCs w:val="17"/>
          <w:color w:val="auto"/>
        </w:rPr>
        <w:t xml:space="preserve"> (the Company) as of December 31, 2021 and 2020, the related statements of operations and comprehensive loss</w:t>
      </w:r>
      <w:r>
        <w:rPr>
          <w:rFonts w:ascii="Arial" w:cs="Arial" w:eastAsia="Arial" w:hAnsi="Arial"/>
          <w:sz w:val="17"/>
          <w:szCs w:val="17"/>
          <w:b w:val="1"/>
          <w:bCs w:val="1"/>
          <w:color w:val="auto"/>
        </w:rPr>
        <w:t>,</w:t>
      </w:r>
      <w:r>
        <w:rPr>
          <w:rFonts w:ascii="Arial" w:cs="Arial" w:eastAsia="Arial" w:hAnsi="Arial"/>
          <w:sz w:val="17"/>
          <w:szCs w:val="17"/>
          <w:color w:val="auto"/>
        </w:rPr>
        <w:t xml:space="preserve"> stockholders' equity and cash flows for each of the three years in the period ended December 31, 2021, and the related notes</w:t>
      </w:r>
      <w:r>
        <w:rPr>
          <w:sz w:val="1"/>
          <w:szCs w:val="1"/>
          <w:color w:val="auto"/>
        </w:rPr>
        <w:drawing>
          <wp:inline distT="0" distB="0" distL="0" distR="0">
            <wp:extent cx="17145" cy="857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7"/>
          <w:szCs w:val="17"/>
          <w:color w:val="auto"/>
        </w:rPr>
        <w:t>(collectively referred to as the “ financial statements”). In our opinion, the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60" w:lineRule="exact"/>
        <w:rPr>
          <w:sz w:val="20"/>
          <w:szCs w:val="20"/>
          <w:color w:val="auto"/>
        </w:rPr>
      </w:pPr>
    </w:p>
    <w:p>
      <w:pPr>
        <w:jc w:val="both"/>
        <w:ind w:right="30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w:t>
      </w:r>
      <w:r>
        <w:rPr>
          <w:sz w:val="1"/>
          <w:szCs w:val="1"/>
          <w:color w:val="auto"/>
        </w:rPr>
        <w:drawing>
          <wp:inline distT="0" distB="0" distL="0" distR="0">
            <wp:extent cx="25400"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00" cy="85725"/>
                    </a:xfrm>
                    <a:prstGeom prst="rect">
                      <a:avLst/>
                    </a:prstGeom>
                    <a:noFill/>
                    <a:ln>
                      <a:noFill/>
                    </a:ln>
                  </pic:spPr>
                </pic:pic>
              </a:graphicData>
            </a:graphic>
          </wp:inline>
        </w:drawing>
      </w:r>
      <w:r>
        <w:rPr>
          <w:rFonts w:ascii="Arial" w:cs="Arial" w:eastAsia="Arial" w:hAnsi="Arial"/>
          <w:sz w:val="18"/>
          <w:szCs w:val="18"/>
          <w:color w:val="auto"/>
        </w:rPr>
        <w:t>to which it relates.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90" w:name="page91"/>
    <w:bookmarkEnd w:id="90"/>
    <w:p>
      <w:pPr>
        <w:spacing w:after="0" w:line="301" w:lineRule="exact"/>
        <w:rPr>
          <w:sz w:val="20"/>
          <w:szCs w:val="20"/>
          <w:color w:val="auto"/>
        </w:rPr>
      </w:pPr>
    </w:p>
    <w:p>
      <w:pPr>
        <w:ind w:left="280" w:right="100"/>
        <w:spacing w:after="0" w:line="22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line="24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b w:val="1"/>
          <w:bCs w:val="1"/>
          <w:color w:val="auto"/>
        </w:rPr>
        <w:t>Accounting for revenue and collaboration agreements</w:t>
      </w:r>
    </w:p>
    <w:p>
      <w:pPr>
        <w:spacing w:after="0" w:line="10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Company recorded revenue from collaboration agreements of $69.6 million for the year ended December 31, 2021. As described in Note 2,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21"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Auditing the Company’s accounting for revenues from collaboration arrangements was complex and required significant judgments primarily in identifying which elements represent revenue producing performance obligations, determining the measurement and allocation of arrangement consideration, and evaluating estimates of the total expected inputs under the input method for revenue recognized over time.</w:t>
      </w:r>
    </w:p>
    <w:p>
      <w:pPr>
        <w:spacing w:after="0" w:line="14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processes for assessing the accounting treatment of its collaboration arrangements, including controls over the review of contracts and accounting conclusions, as well as controls over the completeness and accuracy of the data used. We also tested the controls over the development of estimated total inputs for revenue recognized over time.</w:t>
      </w:r>
    </w:p>
    <w:p>
      <w:pPr>
        <w:spacing w:after="0" w:line="114"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color w:val="auto"/>
        </w:rPr>
        <w:t>To test the accounting treatment for revenue from collaboration arrangements, we evaluated, among other things, whether the identified performance obligations were properly determined, and the transaction price was properly measured and allocated to the identified performance obligations. To test the measurement of efforts toward satisfying the performance obligation, our audit procedures included, among others, reviewing management’s analysis for accuracy and completeness by agreeing data to the underlying contract, inspecting communications with the collaborative partner, evaluating the application of the input method for the recognition of revenue and testing the estimated total inputs and actual inputs incurred.</w:t>
      </w:r>
    </w:p>
    <w:p>
      <w:pPr>
        <w:spacing w:after="0" w:line="446" w:lineRule="exact"/>
        <w:rPr>
          <w:sz w:val="20"/>
          <w:szCs w:val="20"/>
          <w:color w:val="auto"/>
        </w:rPr>
      </w:pPr>
    </w:p>
    <w:p>
      <w:pPr>
        <w:sectPr>
          <w:pgSz w:w="11900" w:h="16838" w:orient="portrait"/>
          <w:cols w:equalWidth="0" w:num="2">
            <w:col w:w="1680" w:space="500"/>
            <w:col w:w="8620"/>
          </w:cols>
          <w:pgMar w:left="700" w:top="486" w:right="399" w:bottom="1440" w:gutter="0" w:footer="0" w:header="0"/>
        </w:sect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3" w:lineRule="auto"/>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 2022</w:t>
      </w:r>
    </w:p>
    <w:p>
      <w:pPr>
        <w:spacing w:after="0" w:line="14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86" w:right="399" w:bottom="1440" w:gutter="0" w:footer="0" w:header="0"/>
          <w:type w:val="continuous"/>
        </w:sectPr>
      </w:pPr>
    </w:p>
    <w:bookmarkStart w:id="91" w:name="page92"/>
    <w:bookmarkEnd w:id="91"/>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CytomX Therapeutics,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audited CytomX 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CytomX Therapeutics, Inc. (the Company) maintained, in all material respects, effective internal control over financial reporting as of December 31, 2021, based on the COSO criteria.</w:t>
      </w:r>
    </w:p>
    <w:p>
      <w:pPr>
        <w:spacing w:after="0" w:line="174"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sheets of the Company as of December 31, 2021 and 2020, the related statements of operations and comprehensive loss, stockholders’ equity and cash flows for each of the three years in the period ended December 31, 2021, and the related notes and our report dated March 1,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7"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 2022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205,530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191,859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99,696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124,260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310,301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324,013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5,960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19,362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901</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339,411</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358,663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34,236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revenues, current portion</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69,262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74,869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106,316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100,924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125,660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186,261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long term</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18,056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250,032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308,860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Convertible preferred stock, $0.00001 par value; 10,000,000 shares authorized and</w:t>
            </w:r>
          </w:p>
        </w:tc>
        <w:tc>
          <w:tcPr>
            <w:tcW w:w="260" w:type="dxa"/>
            <w:vAlign w:val="bottom"/>
            <w:shd w:val="clear" w:color="auto" w:fill="CFF0FC"/>
          </w:tcPr>
          <w:p>
            <w:pPr>
              <w:spacing w:after="0"/>
              <w:rPr>
                <w:sz w:val="14"/>
                <w:szCs w:val="14"/>
                <w:color w:val="auto"/>
              </w:rPr>
            </w:pPr>
          </w:p>
        </w:tc>
        <w:tc>
          <w:tcPr>
            <w:tcW w:w="16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 shares issued and outstanding at December 31, 2021 and 2020</w:t>
            </w:r>
          </w:p>
        </w:tc>
        <w:tc>
          <w:tcPr>
            <w:tcW w:w="260" w:type="dxa"/>
            <w:vAlign w:val="bottom"/>
            <w:shd w:val="clear" w:color="auto" w:fill="CFF0FC"/>
          </w:tcPr>
          <w:p>
            <w:pPr>
              <w:spacing w:after="0"/>
              <w:rPr>
                <w:sz w:val="18"/>
                <w:szCs w:val="18"/>
                <w:color w:val="auto"/>
              </w:rPr>
            </w:pPr>
          </w:p>
        </w:tc>
        <w:tc>
          <w:tcPr>
            <w:tcW w:w="16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color w:val="auto"/>
              </w:rPr>
              <w:t>Common stock, $0.00001 par value; 150,000,000 shares authorized, and 65,392,758</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76" w:lineRule="exact"/>
              <w:rPr>
                <w:sz w:val="20"/>
                <w:szCs w:val="20"/>
                <w:color w:val="auto"/>
              </w:rPr>
            </w:pPr>
            <w:r>
              <w:rPr>
                <w:rFonts w:ascii="Arial" w:cs="Arial" w:eastAsia="Arial" w:hAnsi="Arial"/>
                <w:sz w:val="18"/>
                <w:szCs w:val="18"/>
                <w:color w:val="auto"/>
              </w:rPr>
              <w:t>and 48,251,819 shares issued and outstanding at December 31, 2021 and 2020,</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623,344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499,964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(242 )</w:t>
            </w: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(533,724 )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(450,115 )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89,379</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49,803</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339,411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358,663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-2868295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-2868295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-2062480</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-2062480</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69,573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100,362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57,489</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114,194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112,936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131,619</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36,031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36,765</w:t>
            </w:r>
          </w:p>
        </w:tc>
        <w:tc>
          <w:tcPr>
            <w:tcW w:w="100" w:type="dxa"/>
            <w:vAlign w:val="bottom"/>
          </w:tcPr>
          <w:p>
            <w:pPr>
              <w:spacing w:after="0"/>
              <w:rPr>
                <w:sz w:val="17"/>
                <w:szCs w:val="17"/>
                <w:color w:val="auto"/>
              </w:rPr>
            </w:pPr>
          </w:p>
        </w:tc>
      </w:tr>
      <w:tr>
        <w:trPr>
          <w:trHeight w:val="196"/>
        </w:trPr>
        <w:tc>
          <w:tcPr>
            <w:tcW w:w="66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153,354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148,967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168,384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(83,781 )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(48,605 )</w:t>
            </w: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(110,895 )</w:t>
            </w: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(27 )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(135 )</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(83,609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(46,796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(102,665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Benefit from income taxes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(13,911 )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(427 )</w:t>
            </w: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(83,609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(32,885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(102,238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(1.30 )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(0.71 )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used to compute net loss per share, 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64,146,848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46,145,563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45,335,927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(loss) on short-term investments, net of tax</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(104 )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Impact of adoption of new accounting pronouncement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(83,804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(32,989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(102,088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-1659255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-1659255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-1659255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-862330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-862330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-573405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-556895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-573405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-556895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2"/>
              </w:rPr>
              <w:t>Accumulate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112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Comprehens</w:t>
            </w:r>
          </w:p>
        </w:tc>
        <w:tc>
          <w:tcPr>
            <w:tcW w:w="1020" w:type="dxa"/>
            <w:vAlign w:val="bottom"/>
            <w:gridSpan w:val="3"/>
          </w:tcPr>
          <w:p>
            <w:pPr>
              <w:jc w:val="center"/>
              <w:ind w:right="99"/>
              <w:spacing w:after="0" w:line="162" w:lineRule="exact"/>
              <w:rPr>
                <w:sz w:val="20"/>
                <w:szCs w:val="20"/>
                <w:color w:val="auto"/>
              </w:rPr>
            </w:pPr>
            <w:r>
              <w:rPr>
                <w:rFonts w:ascii="Arial" w:cs="Arial" w:eastAsia="Arial" w:hAnsi="Arial"/>
                <w:sz w:val="16"/>
                <w:szCs w:val="16"/>
                <w:b w:val="1"/>
                <w:bCs w:val="1"/>
                <w:color w:val="auto"/>
                <w:w w:val="92"/>
              </w:rPr>
              <w:t>Accumulat</w:t>
            </w:r>
          </w:p>
        </w:tc>
        <w:tc>
          <w:tcPr>
            <w:tcW w:w="9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Stockholde</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9"/>
              </w:rPr>
              <w:t>ive</w:t>
            </w:r>
          </w:p>
        </w:tc>
        <w:tc>
          <w:tcPr>
            <w:tcW w:w="140" w:type="dxa"/>
            <w:vAlign w:val="bottom"/>
          </w:tcPr>
          <w:p>
            <w:pPr>
              <w:spacing w:after="0"/>
              <w:rPr>
                <w:sz w:val="16"/>
                <w:szCs w:val="16"/>
                <w:color w:val="auto"/>
              </w:rPr>
            </w:pPr>
          </w:p>
        </w:tc>
        <w:tc>
          <w:tcPr>
            <w:tcW w:w="8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5"/>
              </w:rPr>
              <w:t>ed</w:t>
            </w:r>
          </w:p>
        </w:tc>
        <w:tc>
          <w:tcPr>
            <w:tcW w:w="140" w:type="dxa"/>
            <w:vAlign w:val="bottom"/>
          </w:tcPr>
          <w:p>
            <w:pPr>
              <w:spacing w:after="0"/>
              <w:rPr>
                <w:sz w:val="16"/>
                <w:szCs w:val="16"/>
                <w:color w:val="auto"/>
              </w:rPr>
            </w:pPr>
          </w:p>
        </w:tc>
        <w:tc>
          <w:tcPr>
            <w:tcW w:w="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rs'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2"/>
                <w:szCs w:val="12"/>
                <w:color w:val="auto"/>
              </w:rPr>
            </w:pPr>
          </w:p>
        </w:tc>
        <w:tc>
          <w:tcPr>
            <w:tcW w:w="1120" w:type="dxa"/>
            <w:vAlign w:val="bottom"/>
            <w:gridSpan w:val="3"/>
          </w:tcPr>
          <w:p>
            <w:pPr>
              <w:jc w:val="center"/>
              <w:ind w:right="99"/>
              <w:spacing w:after="0" w:line="142" w:lineRule="exact"/>
              <w:rPr>
                <w:sz w:val="20"/>
                <w:szCs w:val="20"/>
                <w:color w:val="auto"/>
              </w:rPr>
            </w:pPr>
            <w:r>
              <w:rPr>
                <w:rFonts w:ascii="Arial" w:cs="Arial" w:eastAsia="Arial" w:hAnsi="Arial"/>
                <w:sz w:val="16"/>
                <w:szCs w:val="16"/>
                <w:b w:val="1"/>
                <w:bCs w:val="1"/>
                <w:color w:val="auto"/>
                <w:w w:val="91"/>
              </w:rPr>
              <w:t>Income/(Los</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4"/>
              </w:rPr>
              <w:t>s)</w:t>
            </w: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9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2018</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45,083,209</w:t>
            </w: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445,956</w:t>
            </w: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(314,981</w:t>
            </w:r>
          </w:p>
        </w:tc>
        <w:tc>
          <w:tcPr>
            <w:tcW w:w="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130,883</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Impact of adoption of new accounting pronouncement - ASU 2018-02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146,930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under the Employee Stock 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142,949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to UCSB</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19,100</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6"/>
                <w:szCs w:val="16"/>
                <w:color w:val="auto"/>
              </w:rPr>
              <w:t>(102,238 )</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(102,238 )</w:t>
            </w:r>
          </w:p>
        </w:tc>
        <w:tc>
          <w:tcPr>
            <w:tcW w:w="0" w:type="dxa"/>
            <w:vAlign w:val="bottom"/>
          </w:tcPr>
          <w:p>
            <w:pPr>
              <w:spacing w:after="0"/>
              <w:rPr>
                <w:sz w:val="1"/>
                <w:szCs w:val="1"/>
                <w:color w:val="auto"/>
              </w:rPr>
            </w:pPr>
          </w:p>
        </w:tc>
      </w:tr>
      <w:tr>
        <w:trPr>
          <w:trHeight w:val="183"/>
        </w:trPr>
        <w:tc>
          <w:tcPr>
            <w:tcW w:w="49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2019</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45,523,088</w:t>
            </w: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468,285</w:t>
            </w: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(417,230</w:t>
            </w:r>
          </w:p>
        </w:tc>
        <w:tc>
          <w:tcPr>
            <w:tcW w:w="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51,113</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1,064,830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4,876</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the 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128,684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152"/>
        </w:trPr>
        <w:tc>
          <w:tcPr>
            <w:tcW w:w="49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Issuance of common stock under the Open Market Sale Agreement,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1,535,217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11,288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11,288</w:t>
            </w:r>
          </w:p>
        </w:tc>
        <w:tc>
          <w:tcPr>
            <w:tcW w:w="0" w:type="dxa"/>
            <w:vAlign w:val="bottom"/>
          </w:tcPr>
          <w:p>
            <w:pPr>
              <w:spacing w:after="0"/>
              <w:rPr>
                <w:sz w:val="1"/>
                <w:szCs w:val="1"/>
                <w:color w:val="auto"/>
              </w:rPr>
            </w:pPr>
          </w:p>
        </w:tc>
      </w:tr>
      <w:tr>
        <w:trPr>
          <w:trHeight w:val="199"/>
        </w:trPr>
        <w:tc>
          <w:tcPr>
            <w:tcW w:w="4980" w:type="dxa"/>
            <w:vAlign w:val="bottom"/>
            <w:gridSpan w:val="2"/>
          </w:tcPr>
          <w:p>
            <w:pPr>
              <w:ind w:left="140"/>
              <w:spacing w:after="0"/>
              <w:rPr>
                <w:sz w:val="20"/>
                <w:szCs w:val="20"/>
                <w:color w:val="auto"/>
              </w:rPr>
            </w:pPr>
            <w:r>
              <w:rPr>
                <w:rFonts w:ascii="Arial" w:cs="Arial" w:eastAsia="Arial" w:hAnsi="Arial"/>
                <w:sz w:val="16"/>
                <w:szCs w:val="16"/>
                <w:color w:val="auto"/>
              </w:rPr>
              <w:t>net of issuance cost</w:t>
            </w: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14,786</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(104 )</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(32,885 )</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(32,885 )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48,251,819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499,964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(47 )</w:t>
            </w:r>
          </w:p>
        </w:tc>
        <w:tc>
          <w:tcPr>
            <w:tcW w:w="140" w:type="dxa"/>
            <w:vAlign w:val="bottom"/>
          </w:tcPr>
          <w:p>
            <w:pPr>
              <w:spacing w:after="0"/>
              <w:rPr>
                <w:sz w:val="15"/>
                <w:szCs w:val="15"/>
                <w:color w:val="auto"/>
              </w:rPr>
            </w:pPr>
          </w:p>
        </w:tc>
        <w:tc>
          <w:tcPr>
            <w:tcW w:w="88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(450,115 )</w:t>
            </w: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49,803</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528,503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under the Employee Stock 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183,865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in follow-on offering, net of issuance cost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16,428,571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107,712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107,712</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13,167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13,167</w:t>
            </w:r>
          </w:p>
        </w:tc>
        <w:tc>
          <w:tcPr>
            <w:tcW w:w="0" w:type="dxa"/>
            <w:vAlign w:val="bottom"/>
          </w:tcPr>
          <w:p>
            <w:pPr>
              <w:spacing w:after="0"/>
              <w:rPr>
                <w:sz w:val="1"/>
                <w:szCs w:val="1"/>
                <w:color w:val="auto"/>
              </w:rPr>
            </w:pPr>
          </w:p>
        </w:tc>
      </w:tr>
      <w:tr>
        <w:trPr>
          <w:trHeight w:val="189"/>
        </w:trPr>
        <w:tc>
          <w:tcPr>
            <w:tcW w:w="4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(195 )</w:t>
            </w:r>
          </w:p>
        </w:tc>
        <w:tc>
          <w:tcPr>
            <w:tcW w:w="1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6"/>
                <w:szCs w:val="16"/>
                <w:color w:val="auto"/>
              </w:rPr>
              <w:t>(83,609 )</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(83,609 )</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Balance at December 31, 2021</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65,392,758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623,344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(242</w:t>
            </w:r>
          </w:p>
        </w:tc>
        <w:tc>
          <w:tcPr>
            <w:tcW w:w="180" w:type="dxa"/>
            <w:vAlign w:val="bottom"/>
            <w:tcBorders>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(533,724</w:t>
            </w:r>
          </w:p>
        </w:tc>
        <w:tc>
          <w:tcPr>
            <w:tcW w:w="18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89,379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-999490</wp:posOffset>
            </wp:positionV>
            <wp:extent cx="3429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-999490</wp:posOffset>
            </wp:positionV>
            <wp:extent cx="342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-999490</wp:posOffset>
            </wp:positionV>
            <wp:extent cx="342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-999490</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-999490</wp:posOffset>
            </wp:positionV>
            <wp:extent cx="431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-999490</wp:posOffset>
            </wp:positionV>
            <wp:extent cx="431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34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6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r>
      <w:tr>
        <w:trPr>
          <w:trHeight w:val="182"/>
        </w:trPr>
        <w:tc>
          <w:tcPr>
            <w:tcW w:w="68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8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(83,609 )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(32,885 )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(102,238 )</w:t>
            </w:r>
          </w:p>
        </w:tc>
      </w:tr>
      <w:tr>
        <w:trPr>
          <w:trHeight w:val="189"/>
        </w:trPr>
        <w:tc>
          <w:tcPr>
            <w:tcW w:w="6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2,560</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2,427</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w:t>
            </w: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380"/>
              <w:spacing w:after="0"/>
              <w:rPr>
                <w:sz w:val="20"/>
                <w:szCs w:val="20"/>
                <w:color w:val="auto"/>
              </w:rPr>
            </w:pPr>
            <w:r>
              <w:rPr>
                <w:rFonts w:ascii="Arial" w:cs="Arial" w:eastAsia="Arial" w:hAnsi="Arial"/>
                <w:sz w:val="16"/>
                <w:szCs w:val="16"/>
                <w:color w:val="auto"/>
              </w:rPr>
              <w:t>Amortization of premium (accretion of discounts) on investments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(236 )</w:t>
            </w:r>
          </w:p>
        </w:tc>
        <w:tc>
          <w:tcPr>
            <w:tcW w:w="3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(2,228 )</w:t>
            </w:r>
          </w:p>
        </w:tc>
      </w:tr>
      <w:tr>
        <w:trPr>
          <w:trHeight w:val="189"/>
        </w:trPr>
        <w:tc>
          <w:tcPr>
            <w:tcW w:w="6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13,167</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14,786</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19,100</w:t>
            </w: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38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2,672</w:t>
            </w: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Issuance of common stock in connection with UCSB sublicense fee</w:t>
            </w: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w:t>
            </w: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(785 )</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5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2,074</w:t>
            </w: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(157 )</w:t>
            </w:r>
          </w:p>
        </w:tc>
        <w:tc>
          <w:tcPr>
            <w:tcW w:w="3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(640 )</w:t>
            </w:r>
          </w:p>
        </w:tc>
      </w:tr>
      <w:tr>
        <w:trPr>
          <w:trHeight w:val="189"/>
        </w:trPr>
        <w:tc>
          <w:tcPr>
            <w:tcW w:w="684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(139 )</w:t>
            </w:r>
          </w:p>
        </w:tc>
        <w:tc>
          <w:tcPr>
            <w:tcW w:w="3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(857 )</w:t>
            </w:r>
          </w:p>
        </w:tc>
        <w:tc>
          <w:tcPr>
            <w:tcW w:w="3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(374 )</w:t>
            </w:r>
          </w:p>
        </w:tc>
      </w:tr>
      <w:tr>
        <w:trPr>
          <w:trHeight w:val="189"/>
        </w:trPr>
        <w:tc>
          <w:tcPr>
            <w:tcW w:w="68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liabilities, income tax payable and other long-term liabilities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7,558</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(11,039 )</w:t>
            </w:r>
          </w:p>
        </w:tc>
        <w:tc>
          <w:tcPr>
            <w:tcW w:w="3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(15,396 )</w:t>
            </w:r>
          </w:p>
        </w:tc>
      </w:tr>
      <w:tr>
        <w:trPr>
          <w:trHeight w:val="189"/>
        </w:trPr>
        <w:tc>
          <w:tcPr>
            <w:tcW w:w="6840" w:type="dxa"/>
            <w:vAlign w:val="bottom"/>
          </w:tcPr>
          <w:p>
            <w:pPr>
              <w:ind w:left="5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(66,209 )</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30,891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(47,741 )</w:t>
            </w:r>
          </w:p>
        </w:tc>
      </w:tr>
      <w:tr>
        <w:trPr>
          <w:trHeight w:val="183"/>
        </w:trPr>
        <w:tc>
          <w:tcPr>
            <w:tcW w:w="6840" w:type="dxa"/>
            <w:vAlign w:val="bottom"/>
            <w:tcBorders>
              <w:bottom w:val="single" w:sz="8" w:color="CFF0FC"/>
            </w:tcBorders>
            <w:shd w:val="clear" w:color="auto" w:fill="CFF0FC"/>
          </w:tcPr>
          <w:p>
            <w:pPr>
              <w:ind w:left="560"/>
              <w:spacing w:after="0" w:line="183" w:lineRule="exact"/>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(119,031</w:t>
            </w:r>
          </w:p>
        </w:tc>
        <w:tc>
          <w:tcPr>
            <w:tcW w:w="20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5,259</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(140,480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8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6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(1,609 )</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(2,309 )</w:t>
            </w:r>
          </w:p>
        </w:tc>
        <w:tc>
          <w:tcPr>
            <w:tcW w:w="3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(3,497 )</w:t>
            </w:r>
          </w:p>
        </w:tc>
      </w:tr>
      <w:tr>
        <w:trPr>
          <w:trHeight w:val="189"/>
        </w:trPr>
        <w:tc>
          <w:tcPr>
            <w:tcW w:w="684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(99,898 )</w:t>
            </w:r>
          </w:p>
        </w:tc>
        <w:tc>
          <w:tcPr>
            <w:tcW w:w="3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(199,108 )</w:t>
            </w:r>
          </w:p>
        </w:tc>
        <w:tc>
          <w:tcPr>
            <w:tcW w:w="3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(174,992 )</w:t>
            </w:r>
          </w:p>
        </w:tc>
      </w:tr>
      <w:tr>
        <w:trPr>
          <w:trHeight w:val="189"/>
        </w:trPr>
        <w:tc>
          <w:tcPr>
            <w:tcW w:w="6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Maturities of investments</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123,996</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182,699</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258,190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840" w:type="dxa"/>
            <w:vAlign w:val="bottom"/>
          </w:tcPr>
          <w:p>
            <w:pPr>
              <w:ind w:left="56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22,489</w:t>
            </w:r>
          </w:p>
        </w:tc>
        <w:tc>
          <w:tcPr>
            <w:tcW w:w="200" w:type="dxa"/>
            <w:vAlign w:val="bottom"/>
          </w:tcPr>
          <w:p>
            <w:pPr>
              <w:spacing w:after="0"/>
              <w:rPr>
                <w:sz w:val="15"/>
                <w:szCs w:val="15"/>
                <w:color w:val="auto"/>
              </w:rPr>
            </w:pP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(18,718 )</w:t>
            </w: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79,701</w:t>
            </w:r>
          </w:p>
        </w:tc>
        <w:tc>
          <w:tcPr>
            <w:tcW w:w="80" w:type="dxa"/>
            <w:vAlign w:val="bottom"/>
          </w:tcPr>
          <w:p>
            <w:pPr>
              <w:spacing w:after="0"/>
              <w:rPr>
                <w:sz w:val="15"/>
                <w:szCs w:val="15"/>
                <w:color w:val="auto"/>
              </w:rPr>
            </w:pPr>
          </w:p>
        </w:tc>
      </w:tr>
      <w:tr>
        <w:trPr>
          <w:trHeight w:val="182"/>
        </w:trPr>
        <w:tc>
          <w:tcPr>
            <w:tcW w:w="68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84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net of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107,712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11,288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6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2,501</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5,605</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840" w:type="dxa"/>
            <w:vAlign w:val="bottom"/>
          </w:tcPr>
          <w:p>
            <w:pPr>
              <w:ind w:left="56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110,213</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16,893</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1,627</w:t>
            </w:r>
          </w:p>
        </w:tc>
        <w:tc>
          <w:tcPr>
            <w:tcW w:w="80" w:type="dxa"/>
            <w:vAlign w:val="bottom"/>
          </w:tcPr>
          <w:p>
            <w:pPr>
              <w:spacing w:after="0"/>
              <w:rPr>
                <w:sz w:val="15"/>
                <w:szCs w:val="15"/>
                <w:color w:val="auto"/>
              </w:rPr>
            </w:pPr>
          </w:p>
        </w:tc>
      </w:tr>
      <w:tr>
        <w:trPr>
          <w:trHeight w:val="183"/>
        </w:trPr>
        <w:tc>
          <w:tcPr>
            <w:tcW w:w="68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13,671</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3,434</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(59,152</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9"/>
        </w:trPr>
        <w:tc>
          <w:tcPr>
            <w:tcW w:w="6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192,776</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189,342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248,494</w:t>
            </w:r>
          </w:p>
        </w:tc>
        <w:tc>
          <w:tcPr>
            <w:tcW w:w="80" w:type="dxa"/>
            <w:vAlign w:val="bottom"/>
          </w:tcPr>
          <w:p>
            <w:pPr>
              <w:spacing w:after="0"/>
              <w:rPr>
                <w:sz w:val="16"/>
                <w:szCs w:val="16"/>
                <w:color w:val="auto"/>
              </w:rPr>
            </w:pPr>
          </w:p>
        </w:tc>
      </w:tr>
      <w:tr>
        <w:trPr>
          <w:trHeight w:val="223"/>
        </w:trPr>
        <w:tc>
          <w:tcPr>
            <w:tcW w:w="68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cash equivalents and restricted cash, end of year</w:t>
            </w: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206,447</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192,776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189,342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9"/>
        </w:trPr>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13,061</w:t>
            </w: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items: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 in accounts payable and accrued liabilities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FF0FC"/>
          </w:tcPr>
          <w:p>
            <w:pPr>
              <w:spacing w:after="0"/>
              <w:rPr>
                <w:sz w:val="16"/>
                <w:szCs w:val="16"/>
                <w:color w:val="auto"/>
              </w:rPr>
            </w:pPr>
          </w:p>
        </w:tc>
      </w:tr>
      <w:tr>
        <w:trPr>
          <w:trHeight w:val="206"/>
        </w:trPr>
        <w:tc>
          <w:tcPr>
            <w:tcW w:w="6840" w:type="dxa"/>
            <w:vAlign w:val="bottom"/>
          </w:tcPr>
          <w:p>
            <w:pPr>
              <w:ind w:left="200"/>
              <w:spacing w:after="0"/>
              <w:rPr>
                <w:sz w:val="20"/>
                <w:szCs w:val="20"/>
                <w:color w:val="auto"/>
              </w:rPr>
            </w:pPr>
            <w:r>
              <w:rPr>
                <w:rFonts w:ascii="Arial" w:cs="Arial" w:eastAsia="Arial" w:hAnsi="Arial"/>
                <w:sz w:val="16"/>
                <w:szCs w:val="16"/>
                <w:color w:val="auto"/>
              </w:rPr>
              <w:t>Right of use assets obtained in exchange for operating lease obligations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28,054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-2364740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-2364740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-2364740</wp:posOffset>
            </wp:positionV>
            <wp:extent cx="514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-1876425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-1876425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-1876425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-1379220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-1379220</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-1379220</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-876300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-859155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-876300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-859155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-876300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-859155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3" w:lineRule="exact"/>
        <w:rPr>
          <w:sz w:val="20"/>
          <w:szCs w:val="20"/>
          <w:color w:val="auto"/>
        </w:rPr>
      </w:pPr>
    </w:p>
    <w:p>
      <w:pPr>
        <w:ind w:right="5680" w:firstLine="8"/>
        <w:spacing w:after="0" w:line="362" w:lineRule="auto"/>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74" w:lineRule="exact"/>
        <w:rPr>
          <w:sz w:val="20"/>
          <w:szCs w:val="20"/>
          <w:color w:val="auto"/>
        </w:rPr>
      </w:pPr>
    </w:p>
    <w:p>
      <w:pPr>
        <w:jc w:val="both"/>
        <w:ind w:right="300"/>
        <w:spacing w:after="0" w:line="294"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in highly rated money market funds and its short-term investments in U.S. Government Bonds.</w:t>
      </w:r>
    </w:p>
    <w:p>
      <w:pPr>
        <w:spacing w:after="0" w:line="1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Customers and collaboration partners who represent 10% or more of the Company’s total revenue during each period presented or accounts receivable balance at each respective balance sheet date are as follows:</w:t>
      </w:r>
    </w:p>
    <w:p>
      <w:pPr>
        <w:spacing w:after="0" w:line="162" w:lineRule="exact"/>
        <w:rPr>
          <w:sz w:val="20"/>
          <w:szCs w:val="20"/>
          <w:color w:val="auto"/>
        </w:rPr>
      </w:pPr>
    </w:p>
    <w:tbl>
      <w:tblPr>
        <w:tblLayout w:type="fixed"/>
        <w:tblInd w:w="5200" w:type="dxa"/>
        <w:tblCellMar>
          <w:top w:w="0" w:type="dxa"/>
          <w:left w:w="0" w:type="dxa"/>
          <w:bottom w:w="0" w:type="dxa"/>
          <w:right w:w="0" w:type="dxa"/>
        </w:tblCellMar>
      </w:tblPr>
      <w:tr>
        <w:trPr>
          <w:trHeight w:val="185"/>
        </w:trPr>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Accounts Receivable, net</w:t>
            </w:r>
          </w:p>
        </w:tc>
      </w:tr>
      <w:tr>
        <w:trPr>
          <w:trHeight w:val="169"/>
        </w:trPr>
        <w:tc>
          <w:tcPr>
            <w:tcW w:w="8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71"/>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w w:val="76"/>
              </w:rPr>
              <w:t>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AbbVie Ireland Unlimited Company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Astellas Pharma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Bristol Myers Squibb Company</w:t>
      </w:r>
    </w:p>
    <w:p>
      <w:pPr>
        <w:spacing w:after="0" w:line="23" w:lineRule="exact"/>
        <w:rPr>
          <w:sz w:val="20"/>
          <w:szCs w:val="20"/>
          <w:color w:val="auto"/>
        </w:rPr>
      </w:pPr>
    </w:p>
    <w:p>
      <w:pPr>
        <w:ind w:left="240" w:right="180" w:hanging="134"/>
        <w:spacing w:after="0" w:line="231" w:lineRule="auto"/>
        <w:rPr>
          <w:sz w:val="20"/>
          <w:szCs w:val="20"/>
          <w:color w:val="auto"/>
        </w:rPr>
      </w:pPr>
      <w:r>
        <w:rPr>
          <w:rFonts w:ascii="Arial" w:cs="Arial" w:eastAsia="Arial" w:hAnsi="Arial"/>
          <w:sz w:val="18"/>
          <w:szCs w:val="18"/>
          <w:color w:val="auto"/>
        </w:rPr>
        <w:t>Total revenue from customers who represent 10% or more of the Company's total revenue</w:t>
      </w:r>
    </w:p>
    <w:p>
      <w:pPr>
        <w:ind w:left="240" w:hanging="183"/>
        <w:spacing w:after="0" w:line="231" w:lineRule="auto"/>
        <w:tabs>
          <w:tab w:leader="none" w:pos="240" w:val="left"/>
        </w:tabs>
        <w:numPr>
          <w:ilvl w:val="0"/>
          <w:numId w:val="48"/>
        </w:numPr>
        <w:rPr>
          <w:rFonts w:ascii="Arial" w:cs="Arial" w:eastAsia="Arial" w:hAnsi="Arial"/>
          <w:sz w:val="19"/>
          <w:szCs w:val="19"/>
          <w:color w:val="auto"/>
        </w:rPr>
      </w:pPr>
      <w:r>
        <w:rPr>
          <w:rFonts w:ascii="Arial" w:cs="Arial" w:eastAsia="Arial" w:hAnsi="Arial"/>
          <w:sz w:val="14"/>
          <w:szCs w:val="14"/>
          <w:color w:val="auto"/>
        </w:rPr>
        <w:t>Less than 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11,845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38,192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8,744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17"/>
        </w:trPr>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69,573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91,753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53,618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-530860</wp:posOffset>
            </wp:positionV>
            <wp:extent cx="71323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-239395</wp:posOffset>
            </wp:positionV>
            <wp:extent cx="713232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4480" w:space="720"/>
            <w:col w:w="6040"/>
          </w:cols>
          <w:pgMar w:left="320" w:top="121"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customers are located in the United States of America, Ireland and Japan.</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Management has determined that it has one business activity and operates as one operating segment as it only reports financial information on an aggregate basis to its chief executive officer and chief financial officer, who are the Company’s chief operating decision makers. All long-lived assets are maintained in the United States of America.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w:t>
      </w:r>
    </w:p>
    <w:p>
      <w:pPr>
        <w:spacing w:after="0" w:line="21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amounts shown in the statement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w w:val="95"/>
              </w:rPr>
              <w:t>(in thousands)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205,530</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191,859</w:t>
            </w:r>
          </w:p>
        </w:tc>
        <w:tc>
          <w:tcPr>
            <w:tcW w:w="6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188,425</w:t>
            </w:r>
          </w:p>
        </w:tc>
        <w:tc>
          <w:tcPr>
            <w:tcW w:w="6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 non-current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60" w:type="dxa"/>
            <w:vAlign w:val="bottom"/>
          </w:tcPr>
          <w:p>
            <w:pPr>
              <w:spacing w:after="0"/>
              <w:rPr>
                <w:sz w:val="17"/>
                <w:szCs w:val="17"/>
                <w:color w:val="auto"/>
              </w:rPr>
            </w:pPr>
          </w:p>
        </w:tc>
      </w:tr>
      <w:tr>
        <w:trPr>
          <w:trHeight w:val="236"/>
        </w:trPr>
        <w:tc>
          <w:tcPr>
            <w:tcW w:w="6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206,447</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192,776</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189,342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342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All investments have been classified as available-for-sale (“AFS”) and are carried at fair value as determined based upon quoted market prices or pricing models for similar securities at period end. Investments that are required for use in current operations and that mature in less than 12 months are classified as short-term investments in the accompanying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94"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7220" w:type="dxa"/>
            <w:vAlign w:val="bottom"/>
            <w:shd w:val="clear" w:color="auto" w:fill="CFF0FC"/>
          </w:tcPr>
          <w:p>
            <w:pPr>
              <w:ind w:left="2340"/>
              <w:spacing w:after="0"/>
              <w:rPr>
                <w:sz w:val="20"/>
                <w:szCs w:val="20"/>
                <w:color w:val="auto"/>
              </w:rPr>
            </w:pPr>
            <w:r>
              <w:rPr>
                <w:rFonts w:ascii="Arial" w:cs="Arial" w:eastAsia="Arial" w:hAnsi="Arial"/>
                <w:sz w:val="18"/>
                <w:szCs w:val="18"/>
                <w:color w:val="auto"/>
              </w:rPr>
              <w:t>5 years</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7220" w:type="dxa"/>
            <w:vAlign w:val="bottom"/>
          </w:tcPr>
          <w:p>
            <w:pPr>
              <w:ind w:left="234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4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7220" w:type="dxa"/>
            <w:vAlign w:val="bottom"/>
            <w:shd w:val="clear" w:color="auto" w:fill="CFF0FC"/>
          </w:tcPr>
          <w:p>
            <w:pPr>
              <w:ind w:left="2340"/>
              <w:spacing w:after="0" w:line="202" w:lineRule="exact"/>
              <w:rPr>
                <w:sz w:val="20"/>
                <w:szCs w:val="20"/>
                <w:color w:val="auto"/>
              </w:rPr>
            </w:pPr>
            <w:r>
              <w:rPr>
                <w:rFonts w:ascii="Arial" w:cs="Arial" w:eastAsia="Arial" w:hAnsi="Arial"/>
                <w:sz w:val="18"/>
                <w:szCs w:val="18"/>
                <w:color w:val="auto"/>
              </w:rPr>
              <w:t>3 years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220" w:type="dxa"/>
            <w:vAlign w:val="bottom"/>
          </w:tcPr>
          <w:p>
            <w:pPr>
              <w:ind w:left="2340"/>
              <w:spacing w:after="0"/>
              <w:rPr>
                <w:sz w:val="20"/>
                <w:szCs w:val="20"/>
                <w:color w:val="auto"/>
              </w:rPr>
            </w:pPr>
            <w:r>
              <w:rPr>
                <w:rFonts w:ascii="Arial" w:cs="Arial" w:eastAsia="Arial" w:hAnsi="Arial"/>
                <w:sz w:val="18"/>
                <w:szCs w:val="18"/>
                <w:color w:val="auto"/>
                <w:w w:val="98"/>
              </w:rPr>
              <w:t>Shorter of remaining lease term or estimated life of the assets</w:t>
            </w:r>
          </w:p>
        </w:tc>
      </w:tr>
      <w:tr>
        <w:trPr>
          <w:trHeight w:val="566"/>
        </w:trPr>
        <w:tc>
          <w:tcPr>
            <w:tcW w:w="4020" w:type="dxa"/>
            <w:vAlign w:val="bottom"/>
          </w:tcPr>
          <w:p>
            <w:pPr>
              <w:spacing w:after="0"/>
              <w:rPr>
                <w:sz w:val="24"/>
                <w:szCs w:val="24"/>
                <w:color w:val="auto"/>
              </w:rPr>
            </w:pPr>
          </w:p>
        </w:tc>
        <w:tc>
          <w:tcPr>
            <w:tcW w:w="7220" w:type="dxa"/>
            <w:vAlign w:val="bottom"/>
          </w:tcPr>
          <w:p>
            <w:pPr>
              <w:ind w:left="1520"/>
              <w:spacing w:after="0"/>
              <w:rPr>
                <w:sz w:val="20"/>
                <w:szCs w:val="20"/>
                <w:color w:val="auto"/>
              </w:rPr>
            </w:pPr>
            <w:r>
              <w:rPr>
                <w:rFonts w:ascii="Arial" w:cs="Arial" w:eastAsia="Arial" w:hAnsi="Arial"/>
                <w:sz w:val="18"/>
                <w:szCs w:val="18"/>
                <w:color w:val="auto"/>
              </w:rPr>
              <w:t>96</w:t>
            </w:r>
          </w:p>
        </w:tc>
      </w:tr>
      <w:tr>
        <w:trPr>
          <w:trHeight w:val="88"/>
        </w:trPr>
        <w:tc>
          <w:tcPr>
            <w:tcW w:w="4020" w:type="dxa"/>
            <w:vAlign w:val="bottom"/>
            <w:tcBorders>
              <w:bottom w:val="single" w:sz="8" w:color="9A9A9A"/>
            </w:tcBorders>
          </w:tcPr>
          <w:p>
            <w:pPr>
              <w:spacing w:after="0"/>
              <w:rPr>
                <w:sz w:val="7"/>
                <w:szCs w:val="7"/>
                <w:color w:val="auto"/>
              </w:rPr>
            </w:pPr>
          </w:p>
        </w:tc>
        <w:tc>
          <w:tcPr>
            <w:tcW w:w="7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that do not extend the life or improve the asset are expensed when incurred.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2021, 2020 and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There was no impairment of long-lived assets during the years ended December 31, 2021, 2020 and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89"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are included when the sales or usage occur.</w:t>
      </w:r>
    </w:p>
    <w:p>
      <w:pPr>
        <w:spacing w:after="0" w:line="15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The Company’s non-credit related unrealized gains and losses on investments and impact of adoption of new accounting pronouncements during the period represent the components of other comprehensive income (loss) that is excluded from the reported net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88"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Company measures compensation expense for all stock-based payment awards, including employee stock options, restricted stock units ("RSUs"), and employee stock purchases related to Employee Stock Purchase Plan ("ESPP") based on estimated fair values of the award at the grant date, and recognizes compensation expense over the requisite service vesting period. Stock options forfeitures are accounted for in the period in which they occur.</w:t>
      </w:r>
    </w:p>
    <w:p>
      <w:pPr>
        <w:spacing w:after="0" w:line="147"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To determine the fair value of a stock option award on the grant date, the Company uses the Black-Scholes option pricing model which consist of estimating variables such as: expected life, volatility, and risk-free interest rate. Expected life and volatility are estimated primarily from the Company's historical records, and the risk-free rate is based on the U.S. Treasury yield curve in effect at the time of grant commensurate with the expected life assumption. These estimates involve inherent uncertainties and the application of judgment.</w:t>
      </w:r>
    </w:p>
    <w:p>
      <w:pPr>
        <w:spacing w:after="0" w:line="18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Company measures its restricted stock unit awards based on the market price of the Company’s common shares on the date of grant. Share-based compensation expense for performance-based awards is recognized when it becomes probable that the performance condition will be met. The Company reassesses the estimated probability at each reporting period, and if it is determined at a future date that a performance condition is probable of being achieved, the Company will recognize a cumulative catch-up adjustment and record the remaining expense ratably over the remaining requisite service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2021, the Company continues to maintain a full valuation allowance against all of its deferred tax assets after management considered all available evidence, both positive and negative, including but not limited to its historical operating results, income or loss in recent periods, cumulative income in recent years, forecasted earnings, future taxable income, and significant risk and uncertainty related to forecasts.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Although the Company does not anticipate significant changes to its uncertain income tax positions in the next twelve months, items outside of its control could cause its uncertain income tax positions to change in the future, which would be recorded in its statements of operations. Interest and/or penalties related to income tax matters are recognized as a component of income tax expense.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Adopted Accounting Pronouncements</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Company adopted this ASU on January 1, 2021, and there was no material impact on the financial statements upon adoption of this ASU.</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7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98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9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RSUs and ESPP to purchase common stock</w:t>
            </w: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11,987,362</w:t>
            </w:r>
          </w:p>
        </w:tc>
        <w:tc>
          <w:tcPr>
            <w:tcW w:w="3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11,388,691</w:t>
            </w:r>
          </w:p>
        </w:tc>
        <w:tc>
          <w:tcPr>
            <w:tcW w:w="3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9,687,844</w:t>
            </w:r>
          </w:p>
        </w:tc>
        <w:tc>
          <w:tcPr>
            <w:tcW w:w="100" w:type="dxa"/>
            <w:vAlign w:val="bottom"/>
            <w:shd w:val="clear" w:color="auto" w:fill="CFF0FC"/>
          </w:tcPr>
          <w:p>
            <w:pPr>
              <w:spacing w:after="0"/>
              <w:rPr>
                <w:sz w:val="17"/>
                <w:szCs w:val="17"/>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and Investments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03" w:lineRule="exact"/>
        <w:rPr>
          <w:rFonts w:ascii="Arial" w:cs="Arial" w:eastAsia="Arial" w:hAnsi="Arial"/>
          <w:sz w:val="18"/>
          <w:szCs w:val="18"/>
          <w:color w:val="auto"/>
        </w:rPr>
      </w:pPr>
    </w:p>
    <w:p>
      <w:pPr>
        <w:ind w:left="1020" w:right="500" w:hanging="503"/>
        <w:spacing w:after="0" w:line="24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4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5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Valuation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Allowance for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Holding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Holding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Hierarchy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Credit Losses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40" w:type="dxa"/>
            <w:vAlign w:val="bottom"/>
          </w:tcPr>
          <w:p>
            <w:pPr>
              <w:spacing w:after="0"/>
              <w:rPr>
                <w:sz w:val="17"/>
                <w:szCs w:val="17"/>
                <w:color w:val="auto"/>
              </w:rPr>
            </w:pPr>
          </w:p>
        </w:tc>
        <w:tc>
          <w:tcPr>
            <w:tcW w:w="134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7"/>
              </w:rPr>
              <w:t>Level I</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165,736</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68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165,736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(money market funds)</w:t>
            </w:r>
          </w:p>
        </w:tc>
        <w:tc>
          <w:tcPr>
            <w:tcW w:w="4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7"/>
              </w:rPr>
              <w:t>Level I</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68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40" w:type="dxa"/>
            <w:vAlign w:val="bottom"/>
          </w:tcPr>
          <w:p>
            <w:pPr>
              <w:spacing w:after="0"/>
              <w:rPr>
                <w:sz w:val="17"/>
                <w:szCs w:val="17"/>
                <w:color w:val="auto"/>
              </w:rPr>
            </w:pPr>
          </w:p>
        </w:tc>
        <w:tc>
          <w:tcPr>
            <w:tcW w:w="134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7"/>
              </w:rPr>
              <w:t>Level I</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68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99,696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Securities</w:t>
            </w:r>
          </w:p>
        </w:tc>
        <w:tc>
          <w:tcPr>
            <w:tcW w:w="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266,591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ind w:left="68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ind w:left="740"/>
              <w:spacing w:after="0" w:line="196" w:lineRule="exact"/>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266,349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7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Holding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Holding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Hierarchy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gridSpan w:val="2"/>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40" w:type="dxa"/>
            <w:vAlign w:val="bottom"/>
          </w:tcPr>
          <w:p>
            <w:pPr>
              <w:spacing w:after="0"/>
              <w:rPr>
                <w:sz w:val="17"/>
                <w:szCs w:val="17"/>
                <w:color w:val="auto"/>
              </w:rPr>
            </w:pPr>
          </w:p>
        </w:tc>
        <w:tc>
          <w:tcPr>
            <w:tcW w:w="134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7"/>
              </w:rPr>
              <w:t>Level I</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131,121</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131,121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(money market funds)</w:t>
            </w:r>
          </w:p>
        </w:tc>
        <w:tc>
          <w:tcPr>
            <w:tcW w:w="4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center"/>
              <w:ind w:right="100"/>
              <w:spacing w:after="0" w:line="202" w:lineRule="exact"/>
              <w:rPr>
                <w:sz w:val="20"/>
                <w:szCs w:val="20"/>
                <w:color w:val="auto"/>
              </w:rPr>
            </w:pPr>
            <w:r>
              <w:rPr>
                <w:rFonts w:ascii="Arial" w:cs="Arial" w:eastAsia="Arial" w:hAnsi="Arial"/>
                <w:sz w:val="18"/>
                <w:szCs w:val="18"/>
                <w:color w:val="auto"/>
                <w:w w:val="97"/>
              </w:rPr>
              <w:t>Level I</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6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U.S. Government bonds</w:t>
            </w:r>
          </w:p>
        </w:tc>
        <w:tc>
          <w:tcPr>
            <w:tcW w:w="40" w:type="dxa"/>
            <w:vAlign w:val="bottom"/>
          </w:tcPr>
          <w:p>
            <w:pPr>
              <w:spacing w:after="0"/>
              <w:rPr>
                <w:sz w:val="17"/>
                <w:szCs w:val="17"/>
                <w:color w:val="auto"/>
              </w:rPr>
            </w:pPr>
          </w:p>
        </w:tc>
        <w:tc>
          <w:tcPr>
            <w:tcW w:w="134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7"/>
              </w:rPr>
              <w:t>Level I</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124,254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124,260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securities</w:t>
            </w:r>
          </w:p>
        </w:tc>
        <w:tc>
          <w:tcPr>
            <w:tcW w:w="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256,292</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ind w:left="64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256,298</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-1490980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-1473835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-1490980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-1473835</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-1490980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-1473835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-1490980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-1473835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-1490980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-1473835</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 securities have contractual maturities of greater than twelve months.</w:t>
      </w:r>
    </w:p>
    <w:p>
      <w:pPr>
        <w:spacing w:after="0" w:line="2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December 31,2021, the unrealized loss on the Company’s investment in US Government bonds were caused by interest rate changes and were not attributable to credit losses. The remaining contractual terms of those investments are less than a year. The Company does not intend to sell the investments and it is not more likely than not that the Company will be required to sell the investments before recovery of their amortized cost bases.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76"/>
              </w:rPr>
              <w:t>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15,086</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13,772</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5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5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1,054</w:t>
            </w: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17"/>
                <w:szCs w:val="17"/>
                <w:color w:val="auto"/>
              </w:rPr>
            </w:pPr>
          </w:p>
        </w:tc>
      </w:tr>
      <w:tr>
        <w:trPr>
          <w:trHeight w:val="202"/>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1,728</w:t>
            </w:r>
          </w:p>
        </w:tc>
        <w:tc>
          <w:tcPr>
            <w:tcW w:w="100" w:type="dxa"/>
            <w:vAlign w:val="bottom"/>
          </w:tcPr>
          <w:p>
            <w:pPr>
              <w:spacing w:after="0"/>
              <w:rPr>
                <w:sz w:val="17"/>
                <w:szCs w:val="17"/>
                <w:color w:val="auto"/>
              </w:rPr>
            </w:pPr>
          </w:p>
        </w:tc>
      </w:tr>
      <w:tr>
        <w:trPr>
          <w:trHeight w:val="203"/>
        </w:trPr>
        <w:tc>
          <w:tcPr>
            <w:tcW w:w="6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5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308</w:t>
            </w:r>
          </w:p>
        </w:tc>
        <w:tc>
          <w:tcPr>
            <w:tcW w:w="3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19,792</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18,376</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5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(13,832 )</w:t>
            </w:r>
          </w:p>
        </w:tc>
        <w:tc>
          <w:tcPr>
            <w:tcW w:w="5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(11,426 )</w:t>
            </w:r>
          </w:p>
        </w:tc>
      </w:tr>
      <w:tr>
        <w:trPr>
          <w:trHeight w:val="196"/>
        </w:trPr>
        <w:tc>
          <w:tcPr>
            <w:tcW w:w="672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5,960</w:t>
            </w:r>
          </w:p>
        </w:tc>
        <w:tc>
          <w:tcPr>
            <w:tcW w:w="34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6,950</w:t>
            </w:r>
          </w:p>
        </w:tc>
        <w:tc>
          <w:tcPr>
            <w:tcW w:w="100" w:type="dxa"/>
            <w:vAlign w:val="bottom"/>
            <w:tcBorders>
              <w:top w:val="single" w:sz="8" w:color="CFF0FC"/>
            </w:tcBorders>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-424815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Depreciation and amortization expense was $2.6 million, $2.4 million and $2.5 million for the years ended December 31, 2021, 2020, and 2019,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0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intangible asset is being amortized over the estimated lives of the patents which average 12 years. The amortization expense for the years ended December 31, 2021, 2020, and 2019 was $0.1 million, $0.1 million and $0.1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Probody platform intangible asset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accumulated amortization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consisted of the following: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2034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24"/>
        </w:trPr>
        <w:tc>
          <w:tcPr>
            <w:tcW w:w="400" w:type="dxa"/>
            <w:vAlign w:val="bottom"/>
          </w:tcPr>
          <w:p>
            <w:pPr>
              <w:spacing w:after="0"/>
              <w:rPr>
                <w:sz w:val="19"/>
                <w:szCs w:val="19"/>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8"/>
                <w:szCs w:val="18"/>
                <w:color w:val="auto"/>
              </w:rPr>
            </w:pPr>
          </w:p>
        </w:tc>
      </w:tr>
      <w:tr>
        <w:trPr>
          <w:trHeight w:val="217"/>
        </w:trPr>
        <w:tc>
          <w:tcPr>
            <w:tcW w:w="4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(729 )</w:t>
            </w:r>
          </w:p>
        </w:tc>
        <w:tc>
          <w:tcPr>
            <w:tcW w:w="4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(583 )</w:t>
            </w:r>
          </w:p>
        </w:tc>
      </w:tr>
      <w:tr>
        <w:trPr>
          <w:trHeight w:val="196"/>
        </w:trPr>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w:t>
            </w:r>
          </w:p>
        </w:tc>
        <w:tc>
          <w:tcPr>
            <w:tcW w:w="2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1,167</w:t>
            </w:r>
          </w:p>
        </w:tc>
        <w:tc>
          <w:tcPr>
            <w:tcW w:w="80" w:type="dxa"/>
            <w:vAlign w:val="bottom"/>
          </w:tcPr>
          <w:p>
            <w:pPr>
              <w:spacing w:after="0"/>
              <w:rPr>
                <w:sz w:val="17"/>
                <w:szCs w:val="17"/>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-290830</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2177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8"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21774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(in thousands)</w:t>
      </w:r>
    </w:p>
    <w:p>
      <w:pPr>
        <w:spacing w:after="0" w:line="19"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clinical expenses</w:t>
            </w:r>
          </w:p>
        </w:tc>
        <w:tc>
          <w:tcPr>
            <w:tcW w:w="8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18,861</w:t>
            </w:r>
          </w:p>
        </w:tc>
        <w:tc>
          <w:tcPr>
            <w:tcW w:w="2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Payroll and related expenses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9,576</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8,362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Legal and professional expenses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1,468</w:t>
            </w: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815</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short term</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3,618</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8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713</w:t>
            </w:r>
          </w:p>
        </w:tc>
        <w:tc>
          <w:tcPr>
            <w:tcW w:w="2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880" w:type="dxa"/>
            <w:vAlign w:val="bottom"/>
          </w:tcPr>
          <w:p>
            <w:pPr>
              <w:spacing w:after="0"/>
              <w:rPr>
                <w:sz w:val="17"/>
                <w:szCs w:val="17"/>
                <w:color w:val="auto"/>
              </w:rPr>
            </w:pPr>
          </w:p>
        </w:tc>
        <w:tc>
          <w:tcPr>
            <w:tcW w:w="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34,236</w:t>
            </w:r>
          </w:p>
        </w:tc>
        <w:tc>
          <w:tcPr>
            <w:tcW w:w="280" w:type="dxa"/>
            <w:vAlign w:val="bottom"/>
          </w:tcPr>
          <w:p>
            <w:pPr>
              <w:spacing w:after="0"/>
              <w:rPr>
                <w:sz w:val="17"/>
                <w:szCs w:val="17"/>
                <w:color w:val="auto"/>
              </w:rPr>
            </w:pPr>
          </w:p>
        </w:tc>
        <w:tc>
          <w:tcPr>
            <w:tcW w:w="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23,059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9. Research and Collaboration Agreements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tcPr>
          <w:p>
            <w:pPr>
              <w:spacing w:after="0"/>
              <w:rPr>
                <w:sz w:val="20"/>
                <w:szCs w:val="20"/>
                <w:color w:val="auto"/>
              </w:rPr>
            </w:pPr>
            <w:r>
              <w:rPr>
                <w:rFonts w:ascii="Arial" w:cs="Arial" w:eastAsia="Arial" w:hAnsi="Arial"/>
                <w:sz w:val="18"/>
                <w:szCs w:val="18"/>
                <w:color w:val="auto"/>
              </w:rPr>
              <w:t>The following table summarizes the revenue by collaboration partners: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AbbVie</w:t>
            </w:r>
          </w:p>
        </w:tc>
        <w:tc>
          <w:tcPr>
            <w:tcW w:w="880" w:type="dxa"/>
            <w:vAlign w:val="bottom"/>
            <w:shd w:val="clear" w:color="auto" w:fill="CFF0FC"/>
          </w:tcPr>
          <w:p>
            <w:pPr>
              <w:jc w:val="right"/>
              <w:ind w:right="69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11,845</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38,192</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Amgen</w:t>
            </w:r>
          </w:p>
        </w:tc>
        <w:tc>
          <w:tcPr>
            <w:tcW w:w="8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8,609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Astellas</w:t>
            </w:r>
          </w:p>
        </w:tc>
        <w:tc>
          <w:tcPr>
            <w:tcW w:w="8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19,365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13,931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tcPr>
          <w:p>
            <w:pPr>
              <w:ind w:left="200"/>
              <w:spacing w:after="0" w:line="202" w:lineRule="exact"/>
              <w:rPr>
                <w:sz w:val="20"/>
                <w:szCs w:val="20"/>
                <w:color w:val="auto"/>
              </w:rPr>
            </w:pPr>
            <w:r>
              <w:rPr>
                <w:rFonts w:ascii="Arial" w:cs="Arial" w:eastAsia="Arial" w:hAnsi="Arial"/>
                <w:sz w:val="18"/>
                <w:szCs w:val="18"/>
                <w:color w:val="auto"/>
              </w:rPr>
              <w:t>Bristol Myers Squibb</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0"/>
              </w:rPr>
              <w:t>29,619</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39,630</w:t>
            </w:r>
          </w:p>
        </w:tc>
        <w:tc>
          <w:tcPr>
            <w:tcW w:w="2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47,740</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auto"/>
            </w:tcBorders>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69,573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100,362</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57,489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-1864995</wp:posOffset>
            </wp:positionV>
            <wp:extent cx="685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-1864995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431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43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-162560</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34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-162560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 March 2020, the Company earned a $40.0 million milestone payment for satisfying the CD71 dose escalation success criteria under the CD71 Agreement. Inclusive of the 2017, 2018 and 2020 milestone payments, as of December 31, 2021, the Company has received in aggregate $100.0 million in milestone payments under the agreement.</w:t>
      </w:r>
    </w:p>
    <w:p>
      <w:pPr>
        <w:spacing w:after="0" w:line="19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55"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8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 has determined that the AbbVie Agreements should be combined and evaluated as a single arrangement in determining revenue recognition, because both agreements were concurrently negotiated and executed. Therefore, the Company concluded that there are two distinct performance obligations:</w:t>
      </w:r>
    </w:p>
    <w:p>
      <w:pPr>
        <w:spacing w:after="0" w:line="87" w:lineRule="exact"/>
        <w:rPr>
          <w:sz w:val="20"/>
          <w:szCs w:val="20"/>
          <w:color w:val="auto"/>
        </w:rPr>
      </w:pPr>
    </w:p>
    <w:p>
      <w:pPr>
        <w:ind w:left="1020" w:right="46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were allocated between the two performance obligations based on the estimated relative standalone selling prices. The $30.0 million of upfront payments was allocated $20.0 million to the CD71 Agreement, with the remaining $10.0 million allocated to the Discovery Agreement. The $14.0 million milestone payment received (net of the payment of an associated sublicense fee of $1.0 million to SGEN) and the estimated sublicense fees of $4.2 million were allocated to the CD71 Agreement performance obligation as they are directly related to the development of the CX-2029.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Therefore, of the $39.8 million total initial transaction price discussed above, the Company allocated $29.8 million to the CD71 Agreement performance obligation and recognized revenue using a cost-based input measure. In applying the cost-based input method, revenue is recognized based on actual FTE hours incurred as a percentage of total estimated FTE hours for completing the combined performance obligation over the estimated service period. The Company evaluates the measure of progress each reporting period and, if necessary, adjusts the measure of performance and related revenue recognition.</w:t>
      </w:r>
    </w:p>
    <w:p>
      <w:pPr>
        <w:spacing w:after="0" w:line="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During 2019, as a result of ongoing dose escalation in the continued development program, there was a change in estimate of the research service period as well as an increase in the projected FTE hours-to-completion. As of December 31, 2021, the research service period for the CD71 Agreement performance obligation was extended during the course of the arrangement from April 2021 to March 2023.</w:t>
      </w:r>
    </w:p>
    <w:p>
      <w:pPr>
        <w:spacing w:after="0" w:line="18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was initially recognized on a straight-line basis over five years, which represented the estimated research service period for the first target, through April 2021 using the time-elapsed input method. During the fourth quarter of 2020, the Company extended the estimated research service period for this first target for an additional twelve months from April 2021 to April 2022.</w:t>
      </w:r>
    </w:p>
    <w:p>
      <w:pPr>
        <w:spacing w:after="0" w:line="18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June 2019, the Company earned a $10.0 million milestone payment for the second target selected by AbbVie under the Discovery Agreement. It is recognized also using the time-elapse measure of progress of the related obligation and straight line over the estimated research service period of five years through June 2024.</w:t>
      </w:r>
    </w:p>
    <w:p>
      <w:pPr>
        <w:spacing w:after="0" w:line="18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unconstrained and included as part of the transaction price during the first quarter of 2020 and $26.6 million was recognized as revenue related to this milestone reflecting the percentage completed to-date on the project as of March 2020. The remainder is being recognized as revenue over the remaining estimated research service period through March 2023.</w:t>
      </w:r>
    </w:p>
    <w:p>
      <w:pPr>
        <w:spacing w:after="0" w:line="18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December 31, 2021.</w:t>
      </w:r>
    </w:p>
    <w:p>
      <w:pPr>
        <w:spacing w:after="0" w:line="182"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As of December 31, 2021 and 2020, deferred revenue related to the CD71 Agreement performance obligation was $16.1 million and $25.2 million, respectively, and deferred revenue related to the Discovery Agreement performance obligation was $5.2 million and $8.0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7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59"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promised goods and services at the inception of the Amgen Agreement:</w:t>
      </w:r>
    </w:p>
    <w:p>
      <w:pPr>
        <w:spacing w:after="0" w:line="10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For each of the EGFR Products and the Amgen Other Products, the Company determined that the respective promised goods and services identified are not distinct from the related research and development services. Therefore the identified promised goods and services were combined into one single performance obligation for each of the EGFR Product and the Amgen Other Products.</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Furthermore,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fully constrained due to the uncertainty in achieving them as of December 31, 2021.</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At the end of the second quarter of 2019, the Company determined that it will undertake additional testing and assessment of the molecules being evaluated under the EGFR project. As a result, the estimated FTE hours-to-completion and research service period were increased to eight years. In the second quarter of 2020, the Company completed the clinical candidate characterization phase and has moved into the IND-enabling phase earlier than planned. As a result, the estimated FTE hours-to-completion and research service period were decreased from eight to approximately seven years.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18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As of December 31, 2021 and 2020 deferred revenue related to the EGFR Products performance obligation was $21.8 million and $29.8 million, respectively. As of December 31, 2021 and 2020, deferred revenue related to the Amgen Other Products performance obligation was $1.4 million and $2.2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0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8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189"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The Company determined that the license and expertise related to the development of the product candidates should be combined with the research and development services and participation in the joint research committee as one combined performance obligation. The Company concluded, that at the inception of the agreement, Astellas’ Expansion Option for two Additional Targets were not material rights and therefore not considered performance obligations. As such, each option will be accounted for as a separate arrangement upon exercise.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The initial transaction price of $90.0 million consists of the upfront fee of $80.0 million and research and development service fees of $10.0 million. The Company determined that all potential milestone payments are constrained as of December 31, 2021 due to the significant uncertainty of achievement.</w:t>
      </w:r>
    </w:p>
    <w:p>
      <w:pPr>
        <w:spacing w:after="0" w:line="1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upfront fee of $80.0 million for the combined obligation to continuously make the Probody therapeutic technology platform available to Astellas is recognized on a straight-line basis for the entire performance obligation over the estimated research service period of five years, which ends in March 2025. The research and development service fees, estimated to be $10.0 million, will be recognized when services are provided based on the prescribed FTE rate.</w:t>
      </w:r>
    </w:p>
    <w:p>
      <w:pPr>
        <w:spacing w:after="0" w:line="147"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As of December 31, 2021 and 2020, deferred revenue relating to the Astellas Agreement was $51.6 million and $67.6 million, respectively. The amount due from Astellas under the Astellas Agreement was $0.8 million and $0.8 million as of December 31, 2021 and 2020,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04"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4"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promised goods and services at the inception of the BMS Agreement:</w:t>
      </w:r>
    </w:p>
    <w:p>
      <w:pPr>
        <w:spacing w:after="0" w:line="117"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1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Additionally, the Company considered whether the services performed for each of the two targets selected under the BMS Agreement should be considered as separate performance obligations and concluded that both targets should be accounted for as one combined stand-ready performance obligation.</w:t>
      </w:r>
    </w:p>
    <w:p>
      <w:pPr>
        <w:spacing w:after="0" w:line="15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also concluded that, at the inception of the agreement, Bristol Myers Squibb’s options for the third and fourth targets were not material rights and not performance obligations. As such, each option was accounted for as a separate arrangement upon exercise.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exercised the option to select the third and fourth targets,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 initial transaction price for the BMS Agreement and Amendment 1,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During the first quarter of 2019, Bristol Myers Squibb terminated pre-clinical activities on three of the first four collaboration targets selected under the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 Myers Squibb for the first target, CTLA-4, as it is still being actively developed by Bristol 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 Myers Squibb in January and December of 2016, respectively, under the BMS Agreement, it has no further obligations. As a result of termination of three of the four collaboration targets, the Company is no longer eligible to receive up to an aggregate of $894.0 million contingent payments for development, regulatory and sales milestones as well as the related royalty payments for such targets. As a result, the Company recognized $18.1 million of revenue for the third and fourth targets in the first quarter of 2019, of which $17.4 million represented the accelerated recognition of all of the related deferred revenue upon the effective date of termination. The Company continues to be obligated to perform research work under Amendment 1 executed in March 2017.</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81" w:lineRule="exact"/>
        <w:rPr>
          <w:sz w:val="20"/>
          <w:szCs w:val="20"/>
          <w:color w:val="auto"/>
        </w:rPr>
      </w:pPr>
    </w:p>
    <w:p>
      <w:pPr>
        <w:ind w:right="720"/>
        <w:spacing w:after="0" w:line="248"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were not included in the transaction price on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deferred revenue relating to the BMS Agreement was $98.8 million and $128.3 million,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The Company made no upfront cash payment in connection with the execution of the agreement. Instead, the Company provided ImmunoGen with the rights to CytomX’s Probody therapeutic technology to create conditionally activated ADCs directed at two targets under the ImmunoGen Research Agreement and to subsequently obtain exclusive, worldwide development and commercialization licenses to develop and commercialize such conditionally activated ADCs. In February 2016, the Company exercised its option to obtain a development and commercialization license for praluzatamab ravtansine (CX-2009) pursuant to the terms of the ImmunoGen Research Agreement (the “CX-2009 License”).</w:t>
      </w:r>
    </w:p>
    <w:p>
      <w:pPr>
        <w:spacing w:after="0" w:line="180"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In December 2019, the parties entered into a license agreement (the “ImmunoGen 2019 License”) pursuant to which the ImmunoGen Research Agreement (the ”ImmunoGen 2017 License”) for a target selected in December 2017, was terminated and ImmunoGen granted a license for all of ImmunoGen’s rights under the ImmunoGen 2017 License to the Company. See Note 10. License Agreement, for more information.</w:t>
      </w:r>
    </w:p>
    <w:p>
      <w:pPr>
        <w:spacing w:after="0" w:line="16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February 2020, the Company dosed the first patient in the praluzatamab ravtansine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first quarter of 2020, in connection with this milestone payment to ImmunoGen.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for the year ended December 31, 2021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26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240"/>
              <w:spacing w:after="0"/>
              <w:rPr>
                <w:sz w:val="20"/>
                <w:szCs w:val="20"/>
                <w:color w:val="auto"/>
              </w:rPr>
            </w:pPr>
            <w:r>
              <w:rPr>
                <w:rFonts w:ascii="Arial" w:cs="Arial" w:eastAsia="Arial" w:hAnsi="Arial"/>
                <w:sz w:val="14"/>
                <w:szCs w:val="14"/>
                <w:b w:val="1"/>
                <w:bCs w:val="1"/>
                <w:color w:val="auto"/>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12/31/2020</w:t>
            </w:r>
          </w:p>
        </w:tc>
        <w:tc>
          <w:tcPr>
            <w:tcW w:w="26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12/31/2021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74"/>
              </w:rPr>
              <w:t>thousands)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Contract liabilities:</w:t>
            </w: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261,130</w:t>
            </w:r>
          </w:p>
        </w:tc>
        <w:tc>
          <w:tcPr>
            <w:tcW w:w="160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66,208</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194,922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gridSpan w:val="2"/>
          </w:tcPr>
          <w:p>
            <w:pPr>
              <w:jc w:val="right"/>
              <w:ind w:right="788"/>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2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3"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The Company expects that the $194.9 million of deferred revenue related to the following contracts as of December 31, 2021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80" w:lineRule="exact"/>
        <w:rPr>
          <w:sz w:val="20"/>
          <w:szCs w:val="20"/>
          <w:color w:val="auto"/>
        </w:rPr>
      </w:pPr>
    </w:p>
    <w:p>
      <w:pPr>
        <w:ind w:left="1400" w:right="220" w:hanging="509"/>
        <w:spacing w:after="0" w:line="261"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$16.1 million of deferred revenue related to the CD71 Agreement with AbbVie is expected to be recognized based on actual FTE effort and program progress until 2023.</w:t>
      </w:r>
    </w:p>
    <w:p>
      <w:pPr>
        <w:spacing w:after="0" w:line="62" w:lineRule="exact"/>
        <w:rPr>
          <w:rFonts w:ascii="Arial" w:cs="Arial" w:eastAsia="Arial" w:hAnsi="Arial"/>
          <w:sz w:val="18"/>
          <w:szCs w:val="18"/>
          <w:color w:val="auto"/>
        </w:rPr>
      </w:pPr>
    </w:p>
    <w:p>
      <w:pPr>
        <w:ind w:left="1400" w:right="20" w:hanging="509"/>
        <w:spacing w:after="0" w:line="261"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$0.2 million of deferred revenue related to the first target under the Discovery Agreement with AbbVie is expected to be recognized ratably until 2022.</w:t>
      </w:r>
    </w:p>
    <w:p>
      <w:pPr>
        <w:spacing w:after="0" w:line="62" w:lineRule="exact"/>
        <w:rPr>
          <w:rFonts w:ascii="Arial" w:cs="Arial" w:eastAsia="Arial" w:hAnsi="Arial"/>
          <w:sz w:val="18"/>
          <w:szCs w:val="18"/>
          <w:color w:val="auto"/>
        </w:rPr>
      </w:pPr>
    </w:p>
    <w:p>
      <w:pPr>
        <w:ind w:left="1400" w:right="640" w:hanging="509"/>
        <w:spacing w:after="0" w:line="261"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$5.0 million of deferred revenue related to the second target under the Discovery Agreement with AbbVie is expected to be recognized ratably until 2024.</w:t>
      </w:r>
    </w:p>
    <w:p>
      <w:pPr>
        <w:spacing w:after="0" w:line="62" w:lineRule="exact"/>
        <w:rPr>
          <w:rFonts w:ascii="Arial" w:cs="Arial" w:eastAsia="Arial" w:hAnsi="Arial"/>
          <w:sz w:val="18"/>
          <w:szCs w:val="18"/>
          <w:color w:val="auto"/>
        </w:rPr>
      </w:pPr>
    </w:p>
    <w:p>
      <w:pPr>
        <w:ind w:left="1400" w:hanging="509"/>
        <w:spacing w:after="0" w:line="261"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$21.8 million of deferred revenue related to the Amgen EGFR Products is expected to be recognized based on actual FTE effort and program progress until 2024.</w:t>
      </w:r>
    </w:p>
    <w:p>
      <w:pPr>
        <w:spacing w:after="0" w:line="62"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$1.4 million of deferred revenue related to the Amgen Other Products is expected to be recognized ratably until 2023.</w:t>
      </w:r>
    </w:p>
    <w:p>
      <w:pPr>
        <w:spacing w:after="0" w:line="103"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$51.6 million of deferred revenue related to the Astellas Agreement is expected to be recognized ratably until 2025.</w:t>
      </w:r>
    </w:p>
    <w:p>
      <w:pPr>
        <w:spacing w:after="0" w:line="103" w:lineRule="exact"/>
        <w:rPr>
          <w:rFonts w:ascii="Arial" w:cs="Arial" w:eastAsia="Arial" w:hAnsi="Arial"/>
          <w:sz w:val="18"/>
          <w:szCs w:val="18"/>
          <w:color w:val="auto"/>
        </w:rPr>
      </w:pPr>
    </w:p>
    <w:p>
      <w:pPr>
        <w:ind w:left="1400" w:hanging="509"/>
        <w:spacing w:after="0"/>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$98.8 million of deferred revenue related to the BMS Agreement is expected to be recognized ratably until 2025.</w:t>
      </w:r>
    </w:p>
    <w:p>
      <w:pPr>
        <w:spacing w:after="0" w:line="329"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0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0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18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June 2019, the Company incurred an additional $0.8 million of sublicense fees related to the $10.0 million milestone payment for the second target selected by AbbVie under the Discovery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In February 2020, the Company recorded $0.8 million of sublicense fees triggered by the $10.0 million milestone payment from Bristol Myers Squibb’s dosing of the first patient in the Part 2 cohort expansion portion of its ongoing BMS-986249 clinical study for the CTLA-4 program. In March 2020, the Company incurred additional sublicense fees of $6.0 million related to the $80.0 million upfront fee received pursuant to the Astellas Agreement entered into in March 2020, and $1.4 million related to the $40.0 million milestone payment from AbbVie for satisfying the CD71 dose escalation success criteria under the CD71 Agreement in March 2020.</w:t>
      </w:r>
    </w:p>
    <w:p>
      <w:pPr>
        <w:spacing w:after="0" w:line="1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During the years ended December 31, 2021, 2020, and 2019, the Company incurred sublicense expenses of $1.0 million, $9.1 million, and $4.3 million, respectively, under the provisions of the UCSB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a Probody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 The upfront license fee of $7.5 million was recorded as research and development expense in December 2019.</w:t>
      </w:r>
    </w:p>
    <w:p>
      <w:pPr>
        <w:spacing w:after="0" w:line="281" w:lineRule="exact"/>
        <w:rPr>
          <w:sz w:val="20"/>
          <w:szCs w:val="20"/>
          <w:color w:val="auto"/>
        </w:rPr>
      </w:pPr>
    </w:p>
    <w:p>
      <w:pPr>
        <w:ind w:right="8420" w:firstLine="8"/>
        <w:spacing w:after="0" w:line="383" w:lineRule="auto"/>
        <w:tabs>
          <w:tab w:leader="none" w:pos="2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All case deadlines are stayed until the Court resolves the parties’ claim construction disputes. The Company believes that the lawsuit is without merit and intends to vigorously defend itself , and has not recorded any amount for claims associated with this lawsuit as of December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02" w:lineRule="exact"/>
        <w:rPr>
          <w:sz w:val="20"/>
          <w:szCs w:val="20"/>
          <w:color w:val="auto"/>
        </w:rPr>
      </w:pPr>
    </w:p>
    <w:p>
      <w:pPr>
        <w:ind w:right="9940" w:firstLine="8"/>
        <w:spacing w:after="0" w:line="434" w:lineRule="auto"/>
        <w:tabs>
          <w:tab w:leader="none" w:pos="27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Leases </w:t>
      </w:r>
      <w:r>
        <w:rPr>
          <w:rFonts w:ascii="Arial" w:cs="Arial" w:eastAsia="Arial" w:hAnsi="Arial"/>
          <w:sz w:val="15"/>
          <w:szCs w:val="15"/>
          <w:b w:val="1"/>
          <w:bCs w:val="1"/>
          <w:i w:val="1"/>
          <w:iCs w:val="1"/>
          <w:color w:val="auto"/>
        </w:rPr>
        <w:t>Operating Lease</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December 2015, the Company entered into a lease (the “2016 Lease”) of office and laboratory space located in South San Francisco, California for the Company’s corporate headquarters. The 2016 Lease has an initial term of ten years through 2026 and the Company has an option to extend the initial term for an additional five years at the then fair rental value as determined pursuant to the 2016 Lease.</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of cash securing the Letter of Credit as non-current restricted cash on its balance sheet as of December 31, 2021 and 2020. Rent expense during the years ended December 31, 2021, 2020, and 2019 was $5.1 million, $5.1 million and $4.8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3"/>
              </w:rPr>
              <w:t>December 31, 2021</w:t>
            </w:r>
          </w:p>
        </w:tc>
        <w:tc>
          <w:tcPr>
            <w:tcW w:w="3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8"/>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3"/>
              </w:rPr>
              <w:t>December 31, 2021</w:t>
            </w:r>
          </w:p>
        </w:tc>
        <w:tc>
          <w:tcPr>
            <w:tcW w:w="3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8"/>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balance sheet information related to leases: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182" w:lineRule="exact"/>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19,362</w:t>
            </w:r>
          </w:p>
        </w:tc>
        <w:tc>
          <w:tcPr>
            <w:tcW w:w="36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Current operating lease liabilities</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3,618</w:t>
            </w:r>
          </w:p>
        </w:tc>
        <w:tc>
          <w:tcPr>
            <w:tcW w:w="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3,195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202" w:lineRule="exact"/>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18,056</w:t>
            </w:r>
          </w:p>
        </w:tc>
        <w:tc>
          <w:tcPr>
            <w:tcW w:w="3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21,674</w:t>
            </w:r>
          </w:p>
        </w:tc>
        <w:tc>
          <w:tcPr>
            <w:tcW w:w="3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24,870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700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b w:val="1"/>
                <w:bCs w:val="1"/>
                <w:color w:val="auto"/>
              </w:rPr>
              <w:t>Weighted-average discount rate</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w:t>
            </w:r>
          </w:p>
        </w:tc>
        <w:tc>
          <w:tcPr>
            <w:tcW w:w="14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8.25 %</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621"/>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8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2026 and beyond</w:t>
            </w:r>
          </w:p>
        </w:tc>
        <w:tc>
          <w:tcPr>
            <w:tcW w:w="1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4,387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180"/>
              <w:spacing w:after="0" w:line="196" w:lineRule="exact"/>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26,381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(4,707 )</w:t>
            </w:r>
          </w:p>
        </w:tc>
        <w:tc>
          <w:tcPr>
            <w:tcW w:w="0" w:type="dxa"/>
            <w:vAlign w:val="bottom"/>
          </w:tcPr>
          <w:p>
            <w:pPr>
              <w:spacing w:after="0"/>
              <w:rPr>
                <w:sz w:val="1"/>
                <w:szCs w:val="1"/>
                <w:color w:val="auto"/>
              </w:rPr>
            </w:pPr>
          </w:p>
        </w:tc>
      </w:tr>
      <w:tr>
        <w:trPr>
          <w:trHeight w:val="196"/>
        </w:trPr>
        <w:tc>
          <w:tcPr>
            <w:tcW w:w="700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21,674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-2390775</wp:posOffset>
            </wp:positionV>
            <wp:extent cx="1460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-2374265</wp:posOffset>
            </wp:positionV>
            <wp:extent cx="1460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-2390775</wp:posOffset>
            </wp:positionV>
            <wp:extent cx="1460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-2374265</wp:posOffset>
            </wp:positionV>
            <wp:extent cx="1460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-433705</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-159385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February 2020, the Company entered into an Open Market Sale Agreement (the “Sales Agreement”) with Jefferies LLC (“Jefferies”), to sell shares of the Company’s common stock,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During December 2020, the Company sold 1,535,217 shares at an average price of $7.62 per shares and received net proceeds of approximately $11.3 million after deducting the 3.0% sales commission and related issuance cost.</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2010 Plan and 2011 Plan</w:t>
      </w:r>
    </w:p>
    <w:p>
      <w:pPr>
        <w:spacing w:after="0" w:line="10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2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consummation of the IPO in October 2015, the board of directors adopted the Company’s 2015 Equity Incentive Plan (the “2015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Plan” and collectively with the 2010 Plan and 2011 Plan, the “Plans”). In conjunction with adopting the 2015 Plan, the Company discontinued the 2011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 with respect to new equity awards.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2015 Plan</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2015 Plan authorized the board of directors to grant incentive stock options, non-statutory stock options and RSUs to employees, directors, non-employee directors and consultants of the Company. Stock options under the 2015 Plan may be granted for periods of up to ten years. All stock options issued to date have had a 10-year life. Under the terms of the 2015 Plan, stock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stock options granted under the 2015 Plan generally vest over four years and vest at a rate of 25% upon the first anniversary of the issuance date and 1/48th per month thereafter.</w:t>
      </w:r>
    </w:p>
    <w:p>
      <w:pPr>
        <w:spacing w:after="0" w:line="18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2021 and 2020, 2,276,341 shares and 2,698,798 shares of common stock, respectively, were available for future issuance under the 2015 Plan.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2019 Plan</w:t>
      </w:r>
    </w:p>
    <w:p>
      <w:pPr>
        <w:spacing w:after="0" w:line="10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initial number of shares of common stock available for future issuance under the 2019 Plan was 1,815,000. During 2021, the total number of shares of common stock available for issuance under the 2019 Plan has increased by 1,000,000 shares. As of December 31, 2021 and 2020, 486,234 shares and 204,600 shares, respectively, of common stock were available for future issuance under the 2019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Price Per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9"/>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at December 31, 2020</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10,929,530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10.77</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5,178,897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(528,503 )</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(3,387,708 )</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at December 31, 2021</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12,192,216</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9.42</w:t>
            </w:r>
          </w:p>
        </w:tc>
        <w:tc>
          <w:tcPr>
            <w:tcW w:w="15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34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Options Exercisable—December 31, 2021</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6,054,635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11.46</w:t>
            </w:r>
          </w:p>
        </w:tc>
        <w:tc>
          <w:tcPr>
            <w:tcW w:w="1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6.1</w:t>
            </w:r>
          </w:p>
        </w:tc>
        <w:tc>
          <w:tcPr>
            <w:tcW w:w="3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-159385</wp:posOffset>
            </wp:positionV>
            <wp:extent cx="5969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quoted market price of the underlying common stock as of December 31, 2021.</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aggregate intrinsic value of stock options exercised in the years ended December 31, 2021, 2020, and 2019 was $2.2 million, $4.4 million, and $0.9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options granted in the years ended December 31, 2021, 2020, and 2019 had weighted-average per share grant-date fair values of $3.97, $3.94, and</w:t>
      </w:r>
    </w:p>
    <w:p>
      <w:pPr>
        <w:spacing w:after="0" w:line="3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$7.03 respectively. As of December 31, 2021, the unrecognized compensation expense with respect to options granted was $23.6 million and is expected to be recognized over 2.9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Employee Options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Certain stock options granted under the Plans provide option holders the right to elect to exercise unvested options in exchange for restricted common stock. Such unvested restricted shares are subject to a repurchase right held by the Company at the original issuance price in the event the optionee’s service to the Company is terminated either voluntarily or involuntarily. The right usually lapses 25% on the first anniversary of the vesting start date and in 36 equal monthly amounts thereafter. These repurchase terms are considered to be a forfeiture provision. The cash or full recourse notes received from employees for exercise of unvested options is treated as a refundable deposit and is classified as a liability on the balance sheets.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 ("TRSU") and Performance-based RSUs ("PSU")</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October 2021, the Company granted 439,000 TRSUs as recognition awards to certain employees with an aggregated grant fair value of $2.3 million. 50% of the RSUs granted will vest at the end of the first year of the grant date and the remaining 50% will vest at the end of the second year provided the grantee continues to provide services to the Company. The Company recorded $0.2 million of stock-based compensation expense related to the TRSUs for the year end December 31,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conjunction with the TRSU grants, the Company also granted 435,000 performance-based RSUs (“PSUs”) as recognition awards to executive employees with an aggregated grant date fair value of $2.3 million. 50% of the PSUs granted will vest within one year of the grant date upon achievement of certain specific milestones and the remaining 50% will vest within two years of the grant date upon achievement of additional company objectives. As of December 31, 2021, the Company determined that it is not probable that the performance conditions will be satisfied and hence recorded no compensation cost for these awards as of and for the year ended December 31, 2021.</w:t>
      </w:r>
    </w:p>
    <w:p>
      <w:pPr>
        <w:spacing w:after="0" w:line="18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31, 2021, the unrecognized compensation expense with respect to the TRSUs was $2.1 million which is expected to be recognized over 1.6 years.</w:t>
      </w:r>
    </w:p>
    <w:p>
      <w:pPr>
        <w:spacing w:after="0" w:line="17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fair value of RSUs, including time-based RSUs and performance-based RSUs is based on the market price of the Company's shares on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RSU activities: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Intrinsic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00" w:type="dxa"/>
            <w:vAlign w:val="bottom"/>
            <w:vMerge w:val="continue"/>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RSU's awarded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874,000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RSU's vested</w:t>
            </w: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RSU's cancelled</w:t>
            </w: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(5,750 )</w:t>
            </w: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Balances at December 31, 2021</w:t>
            </w: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868,250</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1.31</w:t>
            </w:r>
          </w:p>
        </w:tc>
        <w:tc>
          <w:tcPr>
            <w:tcW w:w="360" w:type="dxa"/>
            <w:vAlign w:val="bottom"/>
            <w:tcBorders>
              <w:top w:val="single" w:sz="8" w:color="CFF0FC"/>
            </w:tcBorders>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3,760</w:t>
            </w: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Ending Exercisable—December 31, 2021</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-313690</wp:posOffset>
            </wp:positionV>
            <wp:extent cx="596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59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183,865 shares and 128,684 shares of common stock under the ESPP in 2021 and 2020, respectively.</w:t>
      </w:r>
    </w:p>
    <w:p>
      <w:pPr>
        <w:spacing w:after="0" w:line="189"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Shares available for future purchase under the ESPP were 1,751,818 shares and 1,935,683 shares at December 31, 2021 and 2020, respectively. The compensation expense related to the ESPP was $0.4 million, $0.4 million, and $0.6 million for the years ended December 31, 2021, 2020 and 2019, respectively. As of December 31, 2021, there was $0.2 million of unrecognized compensation cost related to the ESPP, which the Company expects to recognize over 5 months.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Total stock-based compensation recorded related to options granted to employees and non-employees and employee stock purchase plan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5,797</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9,226</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7,370</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7,961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9,874</w:t>
            </w:r>
          </w:p>
        </w:tc>
        <w:tc>
          <w:tcPr>
            <w:tcW w:w="100" w:type="dxa"/>
            <w:vAlign w:val="bottom"/>
          </w:tcPr>
          <w:p>
            <w:pPr>
              <w:spacing w:after="0"/>
              <w:rPr>
                <w:sz w:val="17"/>
                <w:szCs w:val="17"/>
                <w:color w:val="auto"/>
              </w:rPr>
            </w:pPr>
          </w:p>
        </w:tc>
      </w:tr>
      <w:tr>
        <w:trPr>
          <w:trHeight w:val="236"/>
        </w:trPr>
        <w:tc>
          <w:tcPr>
            <w:tcW w:w="59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13,167</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14,786</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Stock-based compensation expense for employees was $13.1 million, $14.7 million, and $18.9 million for the years ended December 31, 2021, 2020, and 2019,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Stock-based compensation expense for non-employees was $0.1 million, $0.1 million, and $0.2 million for the years ended December 31, 2021, 2020, and 2019, respectively.</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estimated the fair value of employee stock options and ESPP using the Black-Scholes valuation model based on the date of grant with the following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Options</w:t>
            </w: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ESPP</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14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56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1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69.6%</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- 74.8%</w:t>
            </w:r>
          </w:p>
        </w:tc>
        <w:tc>
          <w:tcPr>
            <w:tcW w:w="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w:t>
            </w:r>
          </w:p>
        </w:tc>
        <w:tc>
          <w:tcPr>
            <w:tcW w:w="800" w:type="dxa"/>
            <w:vAlign w:val="bottom"/>
            <w:tcBorders>
              <w:top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rPr>
              <w:t>- 73.3%</w:t>
            </w:r>
          </w:p>
        </w:tc>
        <w:tc>
          <w:tcPr>
            <w:tcW w:w="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- 68.6%</w:t>
            </w:r>
          </w:p>
        </w:tc>
        <w:tc>
          <w:tcPr>
            <w:tcW w:w="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46.87%</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- 69.58%</w:t>
            </w:r>
          </w:p>
        </w:tc>
        <w:tc>
          <w:tcPr>
            <w:tcW w:w="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47.3% - 122.1%</w:t>
            </w: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w:t>
            </w:r>
          </w:p>
        </w:tc>
        <w:tc>
          <w:tcPr>
            <w:tcW w:w="8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- 71.9%</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- 1.3%</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- 1.3%</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- 2.5%</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- 0.10%</w:t>
            </w:r>
          </w:p>
        </w:tc>
        <w:tc>
          <w:tcPr>
            <w:tcW w:w="1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0.1% - 0.2%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- 2.4%</w:t>
            </w:r>
          </w:p>
        </w:tc>
        <w:tc>
          <w:tcPr>
            <w:tcW w:w="0" w:type="dxa"/>
            <w:vAlign w:val="bottom"/>
          </w:tcPr>
          <w:p>
            <w:pPr>
              <w:spacing w:after="0"/>
              <w:rPr>
                <w:sz w:val="1"/>
                <w:szCs w:val="1"/>
                <w:color w:val="auto"/>
              </w:rPr>
            </w:pPr>
          </w:p>
        </w:tc>
      </w:tr>
      <w:tr>
        <w:trPr>
          <w:trHeight w:val="203"/>
        </w:trPr>
        <w:tc>
          <w:tcPr>
            <w:tcW w:w="1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 yield</w:t>
            </w:r>
          </w:p>
        </w:tc>
        <w:tc>
          <w:tcPr>
            <w:tcW w:w="14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 %</w:t>
            </w:r>
          </w:p>
        </w:tc>
        <w:tc>
          <w:tcPr>
            <w:tcW w:w="8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right="80"/>
              <w:spacing w:after="0" w:line="202" w:lineRule="exact"/>
              <w:rPr>
                <w:sz w:val="20"/>
                <w:szCs w:val="20"/>
                <w:color w:val="auto"/>
              </w:rPr>
            </w:pPr>
            <w:r>
              <w:rPr>
                <w:rFonts w:ascii="Arial" w:cs="Arial" w:eastAsia="Arial" w:hAnsi="Arial"/>
                <w:sz w:val="18"/>
                <w:szCs w:val="18"/>
                <w:color w:val="auto"/>
                <w:w w:val="92"/>
              </w:rPr>
              <w:t>— %</w:t>
            </w:r>
          </w:p>
        </w:tc>
        <w:tc>
          <w:tcPr>
            <w:tcW w:w="14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 %</w:t>
            </w:r>
          </w:p>
        </w:tc>
        <w:tc>
          <w:tcPr>
            <w:tcW w:w="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 %</w:t>
            </w:r>
          </w:p>
        </w:tc>
        <w:tc>
          <w:tcPr>
            <w:tcW w:w="60" w:type="dxa"/>
            <w:vAlign w:val="bottom"/>
            <w:shd w:val="clear" w:color="auto" w:fill="CFF0FC"/>
          </w:tcPr>
          <w:p>
            <w:pPr>
              <w:spacing w:after="0"/>
              <w:rPr>
                <w:sz w:val="17"/>
                <w:szCs w:val="17"/>
                <w:color w:val="auto"/>
              </w:rPr>
            </w:pPr>
          </w:p>
        </w:tc>
        <w:tc>
          <w:tcPr>
            <w:tcW w:w="1700" w:type="dxa"/>
            <w:vAlign w:val="bottom"/>
            <w:gridSpan w:val="3"/>
            <w:shd w:val="clear" w:color="auto" w:fill="CFF0FC"/>
          </w:tcPr>
          <w:p>
            <w:pPr>
              <w:jc w:val="center"/>
              <w:ind w:right="240"/>
              <w:spacing w:after="0" w:line="202" w:lineRule="exact"/>
              <w:rPr>
                <w:sz w:val="20"/>
                <w:szCs w:val="20"/>
                <w:color w:val="auto"/>
              </w:rPr>
            </w:pPr>
            <w:r>
              <w:rPr>
                <w:rFonts w:ascii="Arial" w:cs="Arial" w:eastAsia="Arial" w:hAnsi="Arial"/>
                <w:sz w:val="18"/>
                <w:szCs w:val="18"/>
                <w:color w:val="auto"/>
                <w:w w:val="97"/>
              </w:rPr>
              <w:t>— %</w:t>
            </w:r>
          </w:p>
        </w:tc>
        <w:tc>
          <w:tcPr>
            <w:tcW w:w="1440" w:type="dxa"/>
            <w:vAlign w:val="bottom"/>
            <w:gridSpan w:val="2"/>
            <w:shd w:val="clear" w:color="auto" w:fill="CFF0FC"/>
          </w:tcPr>
          <w:p>
            <w:pPr>
              <w:jc w:val="center"/>
              <w:ind w:right="90"/>
              <w:spacing w:after="0" w:line="202" w:lineRule="exact"/>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8"/>
                <w:szCs w:val="18"/>
                <w:color w:val="auto"/>
              </w:rPr>
              <w:t>Expected term</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- 4.8</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- 4.9</w:t>
            </w: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- 5.0</w:t>
            </w:r>
          </w:p>
        </w:tc>
        <w:tc>
          <w:tcPr>
            <w:tcW w:w="15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0.5</w:t>
            </w: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30"/>
        </w:trPr>
        <w:tc>
          <w:tcPr>
            <w:tcW w:w="1960" w:type="dxa"/>
            <w:vAlign w:val="bottom"/>
          </w:tcPr>
          <w:p>
            <w:pPr>
              <w:ind w:left="160"/>
              <w:spacing w:after="0"/>
              <w:rPr>
                <w:sz w:val="20"/>
                <w:szCs w:val="20"/>
                <w:color w:val="auto"/>
              </w:rPr>
            </w:pPr>
            <w:r>
              <w:rPr>
                <w:rFonts w:ascii="Arial" w:cs="Arial" w:eastAsia="Arial" w:hAnsi="Arial"/>
                <w:sz w:val="18"/>
                <w:szCs w:val="18"/>
                <w:color w:val="auto"/>
              </w:rPr>
              <w:t>(in years)</w:t>
            </w:r>
          </w:p>
        </w:tc>
        <w:tc>
          <w:tcPr>
            <w:tcW w:w="6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of stock options represents the period that the stock options are expected to remain outstanding and is based 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terms, exercise term and contractual lives of the options. The expected term of the ESPP shares is equal to the six-month look-back period.</w:t>
      </w:r>
    </w:p>
    <w:p>
      <w:pPr>
        <w:spacing w:after="0" w:line="12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is based on the historical stock price volatility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commensurate with the estimated expected term of the stock awards. Volatility for ESPP shares is equal to the Company’s historical volatility over a six-month offering period.</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 options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Company derives its income only from the United States. The components of the benefit from income taxes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2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680" w:type="dxa"/>
            <w:vAlign w:val="bottom"/>
            <w:gridSpan w:val="2"/>
          </w:tcPr>
          <w:p>
            <w:pPr>
              <w:jc w:val="right"/>
              <w:ind w:right="799"/>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(13,912 )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(390 )</w:t>
            </w:r>
          </w:p>
        </w:tc>
      </w:tr>
      <w:tr>
        <w:trPr>
          <w:trHeight w:val="203"/>
        </w:trPr>
        <w:tc>
          <w:tcPr>
            <w:tcW w:w="3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27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00" w:type="dxa"/>
            <w:vAlign w:val="bottom"/>
          </w:tcPr>
          <w:p>
            <w:pPr>
              <w:ind w:left="380"/>
              <w:spacing w:after="0" w:line="196" w:lineRule="exact"/>
              <w:rPr>
                <w:sz w:val="20"/>
                <w:szCs w:val="20"/>
                <w:color w:val="auto"/>
              </w:rPr>
            </w:pPr>
            <w:r>
              <w:rPr>
                <w:rFonts w:ascii="Arial" w:cs="Arial" w:eastAsia="Arial" w:hAnsi="Arial"/>
                <w:sz w:val="18"/>
                <w:szCs w:val="18"/>
                <w:color w:val="auto"/>
              </w:rPr>
              <w:t>Total current</w:t>
            </w:r>
          </w:p>
        </w:tc>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ind w:left="18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(13,911 )</w:t>
            </w: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(390 )</w:t>
            </w: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w:t>
            </w:r>
          </w:p>
        </w:tc>
        <w:tc>
          <w:tcPr>
            <w:tcW w:w="2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(37 )</w:t>
            </w:r>
          </w:p>
        </w:tc>
      </w:tr>
      <w:tr>
        <w:trPr>
          <w:trHeight w:val="203"/>
        </w:trPr>
        <w:tc>
          <w:tcPr>
            <w:tcW w:w="3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27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00" w:type="dxa"/>
            <w:vAlign w:val="bottom"/>
          </w:tcPr>
          <w:p>
            <w:pPr>
              <w:ind w:left="380"/>
              <w:spacing w:after="0" w:line="196" w:lineRule="exact"/>
              <w:rPr>
                <w:sz w:val="20"/>
                <w:szCs w:val="20"/>
                <w:color w:val="auto"/>
              </w:rPr>
            </w:pPr>
            <w:r>
              <w:rPr>
                <w:rFonts w:ascii="Arial" w:cs="Arial" w:eastAsia="Arial" w:hAnsi="Arial"/>
                <w:sz w:val="18"/>
                <w:szCs w:val="18"/>
                <w:color w:val="auto"/>
              </w:rPr>
              <w:t>Total deferred</w:t>
            </w:r>
          </w:p>
        </w:tc>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ind w:left="18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(37 )</w:t>
            </w:r>
          </w:p>
        </w:tc>
      </w:tr>
      <w:tr>
        <w:trPr>
          <w:trHeight w:val="236"/>
        </w:trPr>
        <w:tc>
          <w:tcPr>
            <w:tcW w:w="39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Benefit from income taxes</w:t>
            </w:r>
          </w:p>
        </w:tc>
        <w:tc>
          <w:tcPr>
            <w:tcW w:w="27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(13,911</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588"/>
        </w:trPr>
        <w:tc>
          <w:tcPr>
            <w:tcW w:w="3900" w:type="dxa"/>
            <w:vAlign w:val="bottom"/>
          </w:tcPr>
          <w:p>
            <w:pPr>
              <w:spacing w:after="0"/>
              <w:rPr>
                <w:sz w:val="24"/>
                <w:szCs w:val="24"/>
                <w:color w:val="auto"/>
              </w:rPr>
            </w:pPr>
          </w:p>
        </w:tc>
        <w:tc>
          <w:tcPr>
            <w:tcW w:w="2700" w:type="dxa"/>
            <w:vAlign w:val="bottom"/>
          </w:tcPr>
          <w:p>
            <w:pPr>
              <w:jc w:val="right"/>
              <w:ind w:right="750"/>
              <w:spacing w:after="0"/>
              <w:rPr>
                <w:sz w:val="20"/>
                <w:szCs w:val="20"/>
                <w:color w:val="auto"/>
              </w:rPr>
            </w:pPr>
            <w:r>
              <w:rPr>
                <w:rFonts w:ascii="Arial" w:cs="Arial" w:eastAsia="Arial" w:hAnsi="Arial"/>
                <w:sz w:val="18"/>
                <w:szCs w:val="18"/>
                <w:color w:val="auto"/>
              </w:rPr>
              <w:t>116</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390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-1264920</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-1264920</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-1264920</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-742315</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-742315</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-742315</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-471170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-453390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-471170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03"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federal taxes at statutory rate</w:t>
            </w: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tax, net of federal benefit</w:t>
            </w: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2.1 %</w:t>
            </w:r>
          </w:p>
        </w:tc>
        <w:tc>
          <w:tcPr>
            <w:tcW w:w="16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3.3 %</w:t>
            </w:r>
          </w:p>
        </w:tc>
        <w:tc>
          <w:tcPr>
            <w:tcW w:w="15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72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Stock compensation</w:t>
            </w:r>
          </w:p>
        </w:tc>
        <w:tc>
          <w:tcPr>
            <w:tcW w:w="8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(4.3 )%</w:t>
            </w:r>
          </w:p>
        </w:tc>
        <w:tc>
          <w:tcPr>
            <w:tcW w:w="16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(2.2 )%</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03"/>
        </w:trPr>
        <w:tc>
          <w:tcPr>
            <w:tcW w:w="7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 credits</w:t>
            </w: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2.8 %</w:t>
            </w:r>
          </w:p>
        </w:tc>
        <w:tc>
          <w:tcPr>
            <w:tcW w:w="16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11.0 %</w:t>
            </w:r>
          </w:p>
        </w:tc>
        <w:tc>
          <w:tcPr>
            <w:tcW w:w="15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72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1"/>
              </w:rPr>
              <w:t>(21.6 )%</w:t>
            </w:r>
          </w:p>
        </w:tc>
        <w:tc>
          <w:tcPr>
            <w:tcW w:w="16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(31.2 )%</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(22.8 )%</w:t>
            </w:r>
          </w:p>
        </w:tc>
      </w:tr>
      <w:tr>
        <w:trPr>
          <w:trHeight w:val="203"/>
        </w:trPr>
        <w:tc>
          <w:tcPr>
            <w:tcW w:w="7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operating loss carryback</w:t>
            </w: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6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27.9 %</w:t>
            </w:r>
          </w:p>
        </w:tc>
        <w:tc>
          <w:tcPr>
            <w:tcW w:w="15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0.0 %</w:t>
            </w:r>
          </w:p>
        </w:tc>
      </w:tr>
      <w:tr>
        <w:trPr>
          <w:trHeight w:val="203"/>
        </w:trPr>
        <w:tc>
          <w:tcPr>
            <w:tcW w:w="72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Return to provision adjustment</w:t>
            </w:r>
          </w:p>
        </w:tc>
        <w:tc>
          <w:tcPr>
            <w:tcW w:w="8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6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(0.3 )%</w:t>
            </w:r>
          </w:p>
        </w:tc>
      </w:tr>
      <w:tr>
        <w:trPr>
          <w:trHeight w:val="203"/>
        </w:trPr>
        <w:tc>
          <w:tcPr>
            <w:tcW w:w="7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(0.1 )%</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(0.1 )%</w:t>
            </w:r>
          </w:p>
        </w:tc>
      </w:tr>
      <w:tr>
        <w:trPr>
          <w:trHeight w:val="236"/>
        </w:trPr>
        <w:tc>
          <w:tcPr>
            <w:tcW w:w="64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w:t>
            </w:r>
          </w:p>
        </w:tc>
        <w:tc>
          <w:tcPr>
            <w:tcW w:w="3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1968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1968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968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968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1974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1974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types of temporary differences that give rise to significant portions of the Company’s deferred income tax assets and liabilities are set out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560" w:type="dxa"/>
            <w:vAlign w:val="bottom"/>
            <w:gridSpan w:val="6"/>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operating loss carryforwards</w:t>
            </w:r>
          </w:p>
        </w:tc>
        <w:tc>
          <w:tcPr>
            <w:tcW w:w="960" w:type="dxa"/>
            <w:vAlign w:val="bottom"/>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49,186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37,099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20,809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16,803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liability</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3,923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41,291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38,832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1,933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8,578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gross deferred income tax 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129,087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111,990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87"/>
              </w:rPr>
              <w:t>(124,477 )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(106,448 )</w:t>
            </w: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9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4,610</w:t>
            </w:r>
          </w:p>
        </w:tc>
        <w:tc>
          <w:tcPr>
            <w:tcW w:w="2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(253 )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(433 )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9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(4,069 )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(4,724 )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960" w:type="dxa"/>
            <w:vAlign w:val="bottom"/>
          </w:tcPr>
          <w:p>
            <w:pPr>
              <w:spacing w:after="0"/>
              <w:rPr>
                <w:sz w:val="17"/>
                <w:szCs w:val="17"/>
                <w:color w:val="auto"/>
              </w:rPr>
            </w:pPr>
          </w:p>
        </w:tc>
        <w:tc>
          <w:tcPr>
            <w:tcW w:w="9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(288 )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(385 )</w:t>
            </w: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color w:val="auto"/>
              </w:rPr>
              <w:t>Net deferred income tax liabilities</w:t>
            </w:r>
          </w:p>
        </w:tc>
        <w:tc>
          <w:tcPr>
            <w:tcW w:w="960" w:type="dxa"/>
            <w:vAlign w:val="bottom"/>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1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 recognized income tax benefit of $13.9 million for the year ended December 31, 2020, through the net operating loss carryback under the CARES Act which generated a refund of income taxes paid for 2018.</w:t>
      </w:r>
    </w:p>
    <w:p>
      <w:pPr>
        <w:spacing w:after="0" w:line="18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2021, 2020 and 2019 was an increase(decrease) of $18.0 million, $(2.7) million, and $22.7 million, respectively.</w:t>
      </w:r>
    </w:p>
    <w:p>
      <w:pPr>
        <w:spacing w:after="0" w:line="18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had net operating loss carryforwards for federal and state income tax purposes of approximately $226.1 million and $24.2 million, respectively, as of December 31, 2021, available to reduce future taxable income. Of the federal net operating loss carryforwards, $65.6 million will begin to expire in 2034, if not utilized and $160.5 million will carryforward indefinitely. The state net operating loss carryforwards will begin to expire in 2032, if not utilized.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39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The Company also has federal and state research and development tax credits carryforwards of $19.1 million and $11.2 million, respectively, as of December 31, 2021 available to reduce future income taxes. The federal research and development tax credits will begin to expire in 2031 if not utilized. The state research and development tax credits have no expiration date.</w:t>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reviewed its stock ownership for the year ended December 31, 2021 and concluded no ownership changes occurred in current year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unrecognized tax benefit amount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year</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6,454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current year</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1,326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Adjustment based on tax positions related to prior years</w:t>
            </w:r>
          </w:p>
        </w:tc>
        <w:tc>
          <w:tcPr>
            <w:tcW w:w="8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Balance at end of the year</w:t>
            </w:r>
          </w:p>
        </w:tc>
        <w:tc>
          <w:tcPr>
            <w:tcW w:w="880" w:type="dxa"/>
            <w:vAlign w:val="bottom"/>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7,780</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6,454</w:t>
            </w:r>
          </w:p>
        </w:tc>
        <w:tc>
          <w:tcPr>
            <w:tcW w:w="2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5,249</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-159385</wp:posOffset>
            </wp:positionV>
            <wp:extent cx="685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Of the unrecognized tax benefits as of December 31, 2021, 2020 and 2019, approximately $0, $0, and $0.9 million, respectively, would affect the Company’s effective tax rate if recognized.</w:t>
      </w:r>
    </w:p>
    <w:p>
      <w:pPr>
        <w:spacing w:after="0" w:line="17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Interest and penalties have not been accrued for 2021, 2020 and 2019.</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files income tax returns in the U.S. federal and state jurisdictions. The tax years 2010 to 2020 remains open to U.S. federal and state examination to the extent of the utilization of net operating loss and credit carryovers. As of December 31, 2021, the Company is under examination by the State of California.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2021, 2020 and 2019, the Company made contributions to the plan of $0.9 million, $0.8 million, and $0.8 million,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right="3920"/>
        <w:spacing w:after="0" w:line="391"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0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of December 31, 2021, the end of the period covered by this Annual Report on Form 10-K. Management’s assessment of internal control over financial reporting was conducted using the criteria defined in the Internal Control—Integrated Framework (2013 framework) issued by the Committee of Sponsoring Organizations of the Treadway Commission (“COSO”). Based upon such evaluation, our Principal Executive Officer and Principal Financial Officer have concluded that our disclosure controls and procedures were effective at the reasonable assurance level as of such date.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0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management concluded that our internal control over financial reporting was effective as of December 31, 2021.</w:t>
      </w:r>
    </w:p>
    <w:p>
      <w:pPr>
        <w:spacing w:after="0" w:line="19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also been audited by Ernst &amp; Young LLP, an independent registered public accounting firm, as stated in its report included in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fiscal quarter ended December 31, 2021 that has materially affected, or is reasonably likely to materially affect, our internal control over financial reporting.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ind w:left="60" w:right="4239" w:hanging="48"/>
        <w:spacing w:after="0" w:line="397" w:lineRule="auto"/>
        <w:rPr>
          <w:sz w:val="20"/>
          <w:szCs w:val="20"/>
          <w:color w:val="auto"/>
        </w:rPr>
      </w:pPr>
      <w:r>
        <w:rPr>
          <w:rFonts w:ascii="Arial" w:cs="Arial" w:eastAsia="Arial" w:hAnsi="Arial"/>
          <w:sz w:val="18"/>
          <w:szCs w:val="18"/>
          <w:b w:val="1"/>
          <w:bCs w:val="1"/>
          <w:color w:val="auto"/>
        </w:rPr>
        <w:t>Item 9C</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 Regarding Foreign Jurisdictions That Prevent Inspections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r>
        <w:rPr>
          <w:rFonts w:ascii="Arial" w:cs="Arial" w:eastAsia="Arial" w:hAnsi="Arial"/>
          <w:sz w:val="19"/>
          <w:szCs w:val="19"/>
          <w:color w:val="auto"/>
        </w:rPr>
        <w:t>.</w:t>
      </w:r>
    </w:p>
    <w:p>
      <w:pPr>
        <w:spacing w:after="0" w:line="2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122" w:name="page123"/>
    <w:bookmarkEnd w:id="122"/>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08"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12"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63"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63"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w w:val="95"/>
              </w:rPr>
              <w:t>Incorporated by Reference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8"/>
        </w:trPr>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Exhibit Description</w:t>
            </w:r>
          </w:p>
        </w:tc>
        <w:tc>
          <w:tcPr>
            <w:tcW w:w="20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324"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1.1</w:t>
            </w:r>
          </w:p>
        </w:tc>
        <w:tc>
          <w:tcPr>
            <w:tcW w:w="6700" w:type="dxa"/>
            <w:vAlign w:val="bottom"/>
            <w:gridSpan w:val="26"/>
          </w:tcPr>
          <w:p>
            <w:pPr>
              <w:spacing w:after="0"/>
              <w:rPr>
                <w:rFonts w:ascii="Arial" w:cs="Arial" w:eastAsia="Arial" w:hAnsi="Arial"/>
                <w:sz w:val="18"/>
                <w:szCs w:val="18"/>
                <w:color w:val="0000FF"/>
                <w:w w:val="96"/>
              </w:rPr>
            </w:pPr>
            <w:hyperlink r:id="rId327">
              <w:r>
                <w:rPr>
                  <w:rFonts w:ascii="Arial" w:cs="Arial" w:eastAsia="Arial" w:hAnsi="Arial"/>
                  <w:sz w:val="18"/>
                  <w:szCs w:val="18"/>
                  <w:color w:val="0000FF"/>
                  <w:w w:val="96"/>
                </w:rPr>
                <w:t>Open Market Sale Agreement, dated as of February 27, 2020, by and between CytomX</w:t>
              </w:r>
            </w:hyperlink>
          </w:p>
        </w:tc>
      </w:tr>
      <w:tr>
        <w:trPr>
          <w:trHeight w:val="156"/>
        </w:trPr>
        <w:tc>
          <w:tcPr>
            <w:tcW w:w="1120" w:type="dxa"/>
            <w:vAlign w:val="bottom"/>
          </w:tcPr>
          <w:p>
            <w:pPr>
              <w:spacing w:after="0"/>
              <w:rPr>
                <w:sz w:val="13"/>
                <w:szCs w:val="13"/>
                <w:color w:val="auto"/>
              </w:rPr>
            </w:pPr>
          </w:p>
        </w:tc>
        <w:tc>
          <w:tcPr>
            <w:tcW w:w="63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Therapeutics, Inc. and Jefferies LLC.</w:t>
              </w:r>
            </w:hyperlink>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5"/>
        </w:trPr>
        <w:tc>
          <w:tcPr>
            <w:tcW w:w="1120" w:type="dxa"/>
            <w:vAlign w:val="bottom"/>
          </w:tcPr>
          <w:p>
            <w:pPr>
              <w:jc w:val="right"/>
              <w:ind w:right="510"/>
              <w:spacing w:after="0"/>
              <w:rPr>
                <w:sz w:val="20"/>
                <w:szCs w:val="20"/>
                <w:color w:val="auto"/>
              </w:rPr>
            </w:pPr>
            <w:r>
              <w:rPr>
                <w:rFonts w:ascii="Arial" w:cs="Arial" w:eastAsia="Arial" w:hAnsi="Arial"/>
                <w:sz w:val="18"/>
                <w:szCs w:val="18"/>
                <w:color w:val="auto"/>
              </w:rPr>
              <w:t>3.1(a)</w:t>
            </w:r>
          </w:p>
        </w:tc>
        <w:tc>
          <w:tcPr>
            <w:tcW w:w="3740" w:type="dxa"/>
            <w:vAlign w:val="bottom"/>
            <w:tcBorders>
              <w:bottom w:val="single" w:sz="8" w:color="0000FF"/>
            </w:tcBorders>
            <w:gridSpan w:val="13"/>
          </w:tcPr>
          <w:p>
            <w:pPr>
              <w:spacing w:after="0"/>
              <w:rPr>
                <w:rFonts w:ascii="Arial" w:cs="Arial" w:eastAsia="Arial" w:hAnsi="Arial"/>
                <w:sz w:val="18"/>
                <w:szCs w:val="18"/>
                <w:color w:val="0000FF"/>
                <w:w w:val="90"/>
              </w:rPr>
            </w:pPr>
            <w:hyperlink r:id="rId328">
              <w:r>
                <w:rPr>
                  <w:rFonts w:ascii="Arial" w:cs="Arial" w:eastAsia="Arial" w:hAnsi="Arial"/>
                  <w:sz w:val="18"/>
                  <w:szCs w:val="18"/>
                  <w:color w:val="0000FF"/>
                  <w:w w:val="90"/>
                </w:rPr>
                <w:t>Amended and Restated Certificate of Incorporation.</w:t>
              </w:r>
            </w:hyperlink>
          </w:p>
        </w:tc>
        <w:tc>
          <w:tcPr>
            <w:tcW w:w="20" w:type="dxa"/>
            <w:vAlign w:val="bottom"/>
            <w:tcBorders>
              <w:bottom w:val="single" w:sz="8" w:color="0000EE"/>
            </w:tcBorders>
          </w:tcPr>
          <w:p>
            <w:pPr>
              <w:spacing w:after="0"/>
              <w:rPr>
                <w:sz w:val="24"/>
                <w:szCs w:val="24"/>
                <w:color w:val="auto"/>
              </w:rPr>
            </w:pPr>
          </w:p>
        </w:tc>
        <w:tc>
          <w:tcPr>
            <w:tcW w:w="2940" w:type="dxa"/>
            <w:vAlign w:val="bottom"/>
            <w:gridSpan w:val="12"/>
          </w:tcPr>
          <w:p>
            <w:pPr>
              <w:spacing w:after="0"/>
              <w:rPr>
                <w:sz w:val="24"/>
                <w:szCs w:val="24"/>
                <w:color w:val="auto"/>
              </w:rPr>
            </w:pPr>
          </w:p>
        </w:tc>
      </w:tr>
      <w:tr>
        <w:trPr>
          <w:trHeight w:val="385"/>
        </w:trPr>
        <w:tc>
          <w:tcPr>
            <w:tcW w:w="1120" w:type="dxa"/>
            <w:vAlign w:val="bottom"/>
          </w:tcPr>
          <w:p>
            <w:pPr>
              <w:jc w:val="right"/>
              <w:ind w:right="510"/>
              <w:spacing w:after="0"/>
              <w:rPr>
                <w:sz w:val="20"/>
                <w:szCs w:val="20"/>
                <w:color w:val="auto"/>
              </w:rPr>
            </w:pPr>
            <w:r>
              <w:rPr>
                <w:rFonts w:ascii="Arial" w:cs="Arial" w:eastAsia="Arial" w:hAnsi="Arial"/>
                <w:sz w:val="18"/>
                <w:szCs w:val="18"/>
                <w:color w:val="auto"/>
              </w:rPr>
              <w:t>3.1(b)</w:t>
            </w:r>
          </w:p>
        </w:tc>
        <w:tc>
          <w:tcPr>
            <w:tcW w:w="6700" w:type="dxa"/>
            <w:vAlign w:val="bottom"/>
            <w:tcBorders>
              <w:bottom w:val="single" w:sz="8" w:color="0000FF"/>
            </w:tcBorders>
            <w:gridSpan w:val="26"/>
          </w:tcPr>
          <w:p>
            <w:pPr>
              <w:spacing w:after="0"/>
              <w:rPr>
                <w:rFonts w:ascii="Arial" w:cs="Arial" w:eastAsia="Arial" w:hAnsi="Arial"/>
                <w:sz w:val="18"/>
                <w:szCs w:val="18"/>
                <w:color w:val="0000FF"/>
                <w:w w:val="92"/>
              </w:rPr>
            </w:pPr>
            <w:hyperlink r:id="rId329">
              <w:r>
                <w:rPr>
                  <w:rFonts w:ascii="Arial" w:cs="Arial" w:eastAsia="Arial" w:hAnsi="Arial"/>
                  <w:sz w:val="18"/>
                  <w:szCs w:val="18"/>
                  <w:color w:val="0000FF"/>
                  <w:w w:val="92"/>
                </w:rPr>
                <w:t>Certificate of Amendment to Amended and Restated Certificate of Incorporation of CytomX</w:t>
              </w:r>
            </w:hyperlink>
          </w:p>
        </w:tc>
      </w:tr>
      <w:tr>
        <w:trPr>
          <w:trHeight w:val="155"/>
        </w:trPr>
        <w:tc>
          <w:tcPr>
            <w:tcW w:w="1120" w:type="dxa"/>
            <w:vAlign w:val="bottom"/>
          </w:tcPr>
          <w:p>
            <w:pPr>
              <w:spacing w:after="0"/>
              <w:rPr>
                <w:sz w:val="13"/>
                <w:szCs w:val="13"/>
                <w:color w:val="auto"/>
              </w:rPr>
            </w:pPr>
          </w:p>
        </w:tc>
        <w:tc>
          <w:tcPr>
            <w:tcW w:w="130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r:id="rId329">
              <w:r>
                <w:rPr>
                  <w:rFonts w:ascii="Arial" w:cs="Arial" w:eastAsia="Arial" w:hAnsi="Arial"/>
                  <w:sz w:val="18"/>
                  <w:szCs w:val="18"/>
                  <w:color w:val="0000FF"/>
                  <w:w w:val="89"/>
                </w:rPr>
                <w:t>Therapeutics, Inc.</w:t>
              </w:r>
            </w:hyperlink>
          </w:p>
        </w:tc>
        <w:tc>
          <w:tcPr>
            <w:tcW w:w="20" w:type="dxa"/>
            <w:vAlign w:val="bottom"/>
            <w:tcBorders>
              <w:bottom w:val="single" w:sz="8" w:color="0000EE"/>
            </w:tcBorders>
          </w:tcPr>
          <w:p>
            <w:pPr>
              <w:spacing w:after="0"/>
              <w:rPr>
                <w:sz w:val="13"/>
                <w:szCs w:val="13"/>
                <w:color w:val="auto"/>
              </w:rPr>
            </w:pPr>
          </w:p>
        </w:tc>
        <w:tc>
          <w:tcPr>
            <w:tcW w:w="5380" w:type="dxa"/>
            <w:vAlign w:val="bottom"/>
            <w:gridSpan w:val="22"/>
          </w:tcPr>
          <w:p>
            <w:pPr>
              <w:spacing w:after="0"/>
              <w:rPr>
                <w:sz w:val="13"/>
                <w:szCs w:val="13"/>
                <w:color w:val="auto"/>
              </w:rPr>
            </w:pPr>
          </w:p>
        </w:tc>
      </w:tr>
      <w:tr>
        <w:trPr>
          <w:trHeight w:val="385"/>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3.2</w:t>
            </w:r>
          </w:p>
        </w:tc>
        <w:tc>
          <w:tcPr>
            <w:tcW w:w="6700" w:type="dxa"/>
            <w:vAlign w:val="bottom"/>
            <w:gridSpan w:val="26"/>
          </w:tcPr>
          <w:p>
            <w:pPr>
              <w:spacing w:after="0"/>
              <w:rPr>
                <w:rFonts w:ascii="Arial" w:cs="Arial" w:eastAsia="Arial" w:hAnsi="Arial"/>
                <w:sz w:val="18"/>
                <w:szCs w:val="18"/>
                <w:color w:val="0000FF"/>
              </w:rPr>
            </w:pPr>
            <w:hyperlink r:id="rId330">
              <w:r>
                <w:rPr>
                  <w:rFonts w:ascii="Arial" w:cs="Arial" w:eastAsia="Arial" w:hAnsi="Arial"/>
                  <w:sz w:val="18"/>
                  <w:szCs w:val="18"/>
                  <w:color w:val="0000FF"/>
                </w:rPr>
                <w:t>Amended and Restated Bylaws.</w:t>
              </w:r>
            </w:hyperlink>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4.1</w:t>
            </w:r>
          </w:p>
        </w:tc>
        <w:tc>
          <w:tcPr>
            <w:tcW w:w="6700" w:type="dxa"/>
            <w:vAlign w:val="bottom"/>
            <w:gridSpan w:val="26"/>
          </w:tcPr>
          <w:p>
            <w:pPr>
              <w:spacing w:after="0"/>
              <w:rPr>
                <w:sz w:val="20"/>
                <w:szCs w:val="20"/>
                <w:color w:val="auto"/>
              </w:rPr>
            </w:pPr>
            <w:r>
              <w:rPr>
                <w:rFonts w:ascii="Arial" w:cs="Arial" w:eastAsia="Arial" w:hAnsi="Arial"/>
                <w:sz w:val="18"/>
                <w:szCs w:val="18"/>
                <w:color w:val="auto"/>
              </w:rPr>
              <w:t>Reference is made to exhibits 3.1 through 3.2.</w:t>
            </w:r>
          </w:p>
        </w:tc>
      </w:tr>
      <w:tr>
        <w:trPr>
          <w:trHeight w:val="364"/>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4.2</w:t>
            </w:r>
          </w:p>
        </w:tc>
        <w:tc>
          <w:tcPr>
            <w:tcW w:w="2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31">
              <w:r>
                <w:rPr>
                  <w:rFonts w:ascii="Arial" w:cs="Arial" w:eastAsia="Arial" w:hAnsi="Arial"/>
                  <w:sz w:val="18"/>
                  <w:szCs w:val="18"/>
                  <w:color w:val="0000FF"/>
                  <w:w w:val="90"/>
                </w:rPr>
                <w:t>Specimen Common Stock Certificate.</w:t>
              </w:r>
            </w:hyperlink>
          </w:p>
        </w:tc>
        <w:tc>
          <w:tcPr>
            <w:tcW w:w="20" w:type="dxa"/>
            <w:vAlign w:val="bottom"/>
            <w:tcBorders>
              <w:bottom w:val="single" w:sz="8" w:color="0000EE"/>
            </w:tcBorders>
          </w:tcPr>
          <w:p>
            <w:pPr>
              <w:spacing w:after="0"/>
              <w:rPr>
                <w:sz w:val="24"/>
                <w:szCs w:val="24"/>
                <w:color w:val="auto"/>
              </w:rPr>
            </w:pPr>
          </w:p>
        </w:tc>
        <w:tc>
          <w:tcPr>
            <w:tcW w:w="3940" w:type="dxa"/>
            <w:vAlign w:val="bottom"/>
            <w:gridSpan w:val="15"/>
          </w:tcPr>
          <w:p>
            <w:pPr>
              <w:spacing w:after="0"/>
              <w:rPr>
                <w:sz w:val="24"/>
                <w:szCs w:val="24"/>
                <w:color w:val="auto"/>
              </w:rPr>
            </w:pPr>
          </w:p>
        </w:tc>
      </w:tr>
      <w:tr>
        <w:trPr>
          <w:trHeight w:val="385"/>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4.3</w:t>
            </w:r>
          </w:p>
        </w:tc>
        <w:tc>
          <w:tcPr>
            <w:tcW w:w="6700" w:type="dxa"/>
            <w:vAlign w:val="bottom"/>
            <w:gridSpan w:val="26"/>
          </w:tcPr>
          <w:p>
            <w:pPr>
              <w:spacing w:after="0"/>
              <w:rPr>
                <w:rFonts w:ascii="Arial" w:cs="Arial" w:eastAsia="Arial" w:hAnsi="Arial"/>
                <w:sz w:val="18"/>
                <w:szCs w:val="18"/>
                <w:color w:val="0000FF"/>
                <w:w w:val="94"/>
              </w:rPr>
            </w:pPr>
            <w:hyperlink r:id="rId332">
              <w:r>
                <w:rPr>
                  <w:rFonts w:ascii="Arial" w:cs="Arial" w:eastAsia="Arial" w:hAnsi="Arial"/>
                  <w:sz w:val="18"/>
                  <w:szCs w:val="18"/>
                  <w:color w:val="0000FF"/>
                  <w:w w:val="94"/>
                </w:rPr>
                <w:t>Registration Rights Agreement dated as of September 29, 2017 by and between CytomX</w:t>
              </w:r>
            </w:hyperlink>
          </w:p>
        </w:tc>
      </w:tr>
      <w:tr>
        <w:trPr>
          <w:trHeight w:val="156"/>
        </w:trPr>
        <w:tc>
          <w:tcPr>
            <w:tcW w:w="11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Therapeutics, Inc. and Amgen, Inc.</w:t>
              </w:r>
            </w:hyperlink>
          </w:p>
        </w:tc>
        <w:tc>
          <w:tcPr>
            <w:tcW w:w="20" w:type="dxa"/>
            <w:vAlign w:val="bottom"/>
            <w:tcBorders>
              <w:top w:val="single" w:sz="8" w:color="0000FF"/>
              <w:bottom w:val="single" w:sz="8" w:color="0000EE"/>
            </w:tcBorders>
          </w:tcPr>
          <w:p>
            <w:pPr>
              <w:spacing w:after="0"/>
              <w:rPr>
                <w:sz w:val="13"/>
                <w:szCs w:val="13"/>
                <w:color w:val="auto"/>
              </w:rPr>
            </w:pPr>
          </w:p>
        </w:tc>
        <w:tc>
          <w:tcPr>
            <w:tcW w:w="3880" w:type="dxa"/>
            <w:vAlign w:val="bottom"/>
            <w:tcBorders>
              <w:top w:val="single" w:sz="8" w:color="0000FF"/>
            </w:tcBorders>
            <w:gridSpan w:val="17"/>
          </w:tcPr>
          <w:p>
            <w:pPr>
              <w:spacing w:after="0"/>
              <w:rPr>
                <w:sz w:val="13"/>
                <w:szCs w:val="13"/>
                <w:color w:val="auto"/>
              </w:rPr>
            </w:pPr>
          </w:p>
        </w:tc>
        <w:tc>
          <w:tcPr>
            <w:tcW w:w="260" w:type="dxa"/>
            <w:vAlign w:val="bottom"/>
          </w:tcPr>
          <w:p>
            <w:pPr>
              <w:spacing w:after="0"/>
              <w:rPr>
                <w:sz w:val="13"/>
                <w:szCs w:val="13"/>
                <w:color w:val="auto"/>
              </w:rPr>
            </w:pPr>
          </w:p>
        </w:tc>
      </w:tr>
      <w:tr>
        <w:trPr>
          <w:trHeight w:val="385"/>
        </w:trPr>
        <w:tc>
          <w:tcPr>
            <w:tcW w:w="1120" w:type="dxa"/>
            <w:vAlign w:val="bottom"/>
          </w:tcPr>
          <w:p>
            <w:pPr>
              <w:jc w:val="right"/>
              <w:ind w:right="710"/>
              <w:spacing w:after="0"/>
              <w:rPr>
                <w:sz w:val="20"/>
                <w:szCs w:val="20"/>
                <w:color w:val="auto"/>
              </w:rPr>
            </w:pPr>
            <w:r>
              <w:rPr>
                <w:rFonts w:ascii="Arial" w:cs="Arial" w:eastAsia="Arial" w:hAnsi="Arial"/>
                <w:sz w:val="18"/>
                <w:szCs w:val="18"/>
                <w:color w:val="auto"/>
              </w:rPr>
              <w:t>4.4</w:t>
            </w:r>
          </w:p>
        </w:tc>
        <w:tc>
          <w:tcPr>
            <w:tcW w:w="6700" w:type="dxa"/>
            <w:vAlign w:val="bottom"/>
            <w:gridSpan w:val="26"/>
          </w:tcPr>
          <w:p>
            <w:pPr>
              <w:spacing w:after="0"/>
              <w:rPr>
                <w:rFonts w:ascii="Arial" w:cs="Arial" w:eastAsia="Arial" w:hAnsi="Arial"/>
                <w:sz w:val="18"/>
                <w:szCs w:val="18"/>
                <w:color w:val="0000FF"/>
                <w:w w:val="94"/>
              </w:rPr>
            </w:pPr>
            <w:hyperlink r:id="rId333">
              <w:r>
                <w:rPr>
                  <w:rFonts w:ascii="Arial" w:cs="Arial" w:eastAsia="Arial" w:hAnsi="Arial"/>
                  <w:sz w:val="18"/>
                  <w:szCs w:val="18"/>
                  <w:color w:val="0000FF"/>
                  <w:w w:val="94"/>
                </w:rPr>
                <w:t>Description of Registrant’s Securities Registered Pursuant to Section 12 of the Securities</w:t>
              </w:r>
            </w:hyperlink>
          </w:p>
        </w:tc>
      </w:tr>
      <w:tr>
        <w:trPr>
          <w:trHeight w:val="156"/>
        </w:trPr>
        <w:tc>
          <w:tcPr>
            <w:tcW w:w="1120" w:type="dxa"/>
            <w:vAlign w:val="bottom"/>
          </w:tcPr>
          <w:p>
            <w:pPr>
              <w:spacing w:after="0"/>
              <w:rPr>
                <w:sz w:val="13"/>
                <w:szCs w:val="13"/>
                <w:color w:val="auto"/>
              </w:rPr>
            </w:pPr>
          </w:p>
        </w:tc>
        <w:tc>
          <w:tcPr>
            <w:tcW w:w="64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Exchange Act of 1934.</w:t>
              </w:r>
            </w:hyperlink>
          </w:p>
        </w:tc>
        <w:tc>
          <w:tcPr>
            <w:tcW w:w="2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85"/>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6"/>
              </w:rPr>
              <w:t>10.1(a)#</w:t>
            </w:r>
          </w:p>
        </w:tc>
        <w:tc>
          <w:tcPr>
            <w:tcW w:w="5320" w:type="dxa"/>
            <w:vAlign w:val="bottom"/>
            <w:tcBorders>
              <w:bottom w:val="single" w:sz="8" w:color="0000FF"/>
            </w:tcBorders>
            <w:gridSpan w:val="18"/>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2010 Stock Incentive Plan adopted on September 21, 2010 (“2010 Plan”).</w:t>
              </w:r>
            </w:hyperlink>
          </w:p>
        </w:tc>
        <w:tc>
          <w:tcPr>
            <w:tcW w:w="1380" w:type="dxa"/>
            <w:vAlign w:val="bottom"/>
            <w:gridSpan w:val="8"/>
          </w:tcPr>
          <w:p>
            <w:pPr>
              <w:spacing w:after="0"/>
              <w:rPr>
                <w:sz w:val="24"/>
                <w:szCs w:val="24"/>
                <w:color w:val="auto"/>
              </w:rPr>
            </w:pPr>
          </w:p>
        </w:tc>
      </w:tr>
      <w:tr>
        <w:trPr>
          <w:trHeight w:val="385"/>
        </w:trPr>
        <w:tc>
          <w:tcPr>
            <w:tcW w:w="1120" w:type="dxa"/>
            <w:vAlign w:val="bottom"/>
          </w:tcPr>
          <w:p>
            <w:pPr>
              <w:jc w:val="right"/>
              <w:ind w:right="410"/>
              <w:spacing w:after="0"/>
              <w:rPr>
                <w:sz w:val="20"/>
                <w:szCs w:val="20"/>
                <w:color w:val="auto"/>
              </w:rPr>
            </w:pPr>
            <w:r>
              <w:rPr>
                <w:rFonts w:ascii="Arial" w:cs="Arial" w:eastAsia="Arial" w:hAnsi="Arial"/>
                <w:sz w:val="18"/>
                <w:szCs w:val="18"/>
                <w:color w:val="auto"/>
                <w:w w:val="89"/>
              </w:rPr>
              <w:t>10.1(b)#</w:t>
            </w:r>
          </w:p>
        </w:tc>
        <w:tc>
          <w:tcPr>
            <w:tcW w:w="6700" w:type="dxa"/>
            <w:vAlign w:val="bottom"/>
            <w:gridSpan w:val="26"/>
          </w:tcPr>
          <w:p>
            <w:pPr>
              <w:spacing w:after="0"/>
              <w:rPr>
                <w:rFonts w:ascii="Arial" w:cs="Arial" w:eastAsia="Arial" w:hAnsi="Arial"/>
                <w:sz w:val="18"/>
                <w:szCs w:val="18"/>
                <w:color w:val="0000FF"/>
              </w:rPr>
            </w:pPr>
            <w:hyperlink r:id="rId335">
              <w:r>
                <w:rPr>
                  <w:rFonts w:ascii="Arial" w:cs="Arial" w:eastAsia="Arial" w:hAnsi="Arial"/>
                  <w:sz w:val="18"/>
                  <w:szCs w:val="18"/>
                  <w:color w:val="0000FF"/>
                </w:rPr>
                <w:t>Form of Stock Option Agreement under the 2010 Plan.</w:t>
              </w:r>
            </w:hyperlink>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10"/>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85"/>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6"/>
              </w:rPr>
              <w:t>10.2(a)#</w:t>
            </w:r>
          </w:p>
        </w:tc>
        <w:tc>
          <w:tcPr>
            <w:tcW w:w="6080" w:type="dxa"/>
            <w:vAlign w:val="bottom"/>
            <w:tcBorders>
              <w:bottom w:val="single" w:sz="8" w:color="0000FF"/>
            </w:tcBorders>
            <w:gridSpan w:val="21"/>
          </w:tcPr>
          <w:p>
            <w:pPr>
              <w:spacing w:after="0"/>
              <w:rPr>
                <w:rFonts w:ascii="Arial" w:cs="Arial" w:eastAsia="Arial" w:hAnsi="Arial"/>
                <w:sz w:val="18"/>
                <w:szCs w:val="18"/>
                <w:color w:val="0000FF"/>
                <w:w w:val="89"/>
              </w:rPr>
            </w:pPr>
            <w:hyperlink r:id="rId336">
              <w:r>
                <w:rPr>
                  <w:rFonts w:ascii="Arial" w:cs="Arial" w:eastAsia="Arial" w:hAnsi="Arial"/>
                  <w:sz w:val="18"/>
                  <w:szCs w:val="18"/>
                  <w:color w:val="0000FF"/>
                  <w:w w:val="89"/>
                </w:rPr>
                <w:t>2011 Stock Incentive Plan, adopted on February 7, 2012, as amended (“2011 Plan”).</w:t>
              </w:r>
            </w:hyperlink>
          </w:p>
        </w:tc>
        <w:tc>
          <w:tcPr>
            <w:tcW w:w="20" w:type="dxa"/>
            <w:vAlign w:val="bottom"/>
            <w:tcBorders>
              <w:bottom w:val="single" w:sz="8" w:color="0000EE"/>
            </w:tcBorders>
          </w:tcPr>
          <w:p>
            <w:pPr>
              <w:spacing w:after="0"/>
              <w:rPr>
                <w:sz w:val="24"/>
                <w:szCs w:val="24"/>
                <w:color w:val="auto"/>
              </w:rPr>
            </w:pPr>
          </w:p>
        </w:tc>
        <w:tc>
          <w:tcPr>
            <w:tcW w:w="600" w:type="dxa"/>
            <w:vAlign w:val="bottom"/>
            <w:gridSpan w:val="4"/>
          </w:tcPr>
          <w:p>
            <w:pPr>
              <w:spacing w:after="0"/>
              <w:rPr>
                <w:sz w:val="24"/>
                <w:szCs w:val="24"/>
                <w:color w:val="auto"/>
              </w:rPr>
            </w:pPr>
          </w:p>
        </w:tc>
      </w:tr>
      <w:tr>
        <w:trPr>
          <w:trHeight w:val="385"/>
        </w:trPr>
        <w:tc>
          <w:tcPr>
            <w:tcW w:w="1120" w:type="dxa"/>
            <w:vAlign w:val="bottom"/>
          </w:tcPr>
          <w:p>
            <w:pPr>
              <w:jc w:val="right"/>
              <w:ind w:right="410"/>
              <w:spacing w:after="0"/>
              <w:rPr>
                <w:sz w:val="20"/>
                <w:szCs w:val="20"/>
                <w:color w:val="auto"/>
              </w:rPr>
            </w:pPr>
            <w:r>
              <w:rPr>
                <w:rFonts w:ascii="Arial" w:cs="Arial" w:eastAsia="Arial" w:hAnsi="Arial"/>
                <w:sz w:val="18"/>
                <w:szCs w:val="18"/>
                <w:color w:val="auto"/>
                <w:w w:val="89"/>
              </w:rPr>
              <w:t>10.2(b)#</w:t>
            </w:r>
          </w:p>
        </w:tc>
        <w:tc>
          <w:tcPr>
            <w:tcW w:w="6700" w:type="dxa"/>
            <w:vAlign w:val="bottom"/>
            <w:tcBorders>
              <w:bottom w:val="single" w:sz="8" w:color="0000FF"/>
            </w:tcBorders>
            <w:gridSpan w:val="26"/>
          </w:tcPr>
          <w:p>
            <w:pPr>
              <w:spacing w:after="0"/>
              <w:rPr>
                <w:rFonts w:ascii="Arial" w:cs="Arial" w:eastAsia="Arial" w:hAnsi="Arial"/>
                <w:sz w:val="18"/>
                <w:szCs w:val="18"/>
                <w:color w:val="0000FF"/>
                <w:w w:val="91"/>
              </w:rPr>
            </w:pPr>
            <w:hyperlink r:id="rId337">
              <w:r>
                <w:rPr>
                  <w:rFonts w:ascii="Arial" w:cs="Arial" w:eastAsia="Arial" w:hAnsi="Arial"/>
                  <w:sz w:val="18"/>
                  <w:szCs w:val="18"/>
                  <w:color w:val="0000FF"/>
                  <w:w w:val="91"/>
                </w:rPr>
                <w:t>Form of Restricted Stock Award Agreement and Option Exercise Agreement under the 2011</w:t>
              </w:r>
            </w:hyperlink>
          </w:p>
        </w:tc>
      </w:tr>
      <w:tr>
        <w:trPr>
          <w:trHeight w:val="155"/>
        </w:trPr>
        <w:tc>
          <w:tcPr>
            <w:tcW w:w="1120" w:type="dxa"/>
            <w:vAlign w:val="bottom"/>
          </w:tcPr>
          <w:p>
            <w:pPr>
              <w:spacing w:after="0"/>
              <w:rPr>
                <w:sz w:val="13"/>
                <w:szCs w:val="13"/>
                <w:color w:val="auto"/>
              </w:rPr>
            </w:pPr>
          </w:p>
        </w:tc>
        <w:tc>
          <w:tcPr>
            <w:tcW w:w="6700" w:type="dxa"/>
            <w:vAlign w:val="bottom"/>
            <w:gridSpan w:val="26"/>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Plan.</w:t>
              </w:r>
            </w:hyperlink>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85"/>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6"/>
              </w:rPr>
              <w:t>10.3(a)#</w:t>
            </w:r>
          </w:p>
        </w:tc>
        <w:tc>
          <w:tcPr>
            <w:tcW w:w="6700" w:type="dxa"/>
            <w:vAlign w:val="bottom"/>
            <w:gridSpan w:val="26"/>
          </w:tcPr>
          <w:p>
            <w:pPr>
              <w:spacing w:after="0"/>
              <w:rPr>
                <w:rFonts w:ascii="Arial" w:cs="Arial" w:eastAsia="Arial" w:hAnsi="Arial"/>
                <w:sz w:val="18"/>
                <w:szCs w:val="18"/>
                <w:color w:val="0000FF"/>
              </w:rPr>
            </w:pPr>
            <w:hyperlink r:id="rId338">
              <w:r>
                <w:rPr>
                  <w:rFonts w:ascii="Arial" w:cs="Arial" w:eastAsia="Arial" w:hAnsi="Arial"/>
                  <w:sz w:val="18"/>
                  <w:szCs w:val="18"/>
                  <w:color w:val="0000FF"/>
                </w:rPr>
                <w:t>2015 Equity Incentive Plan (“2015 Plan”).</w:t>
              </w:r>
            </w:hyperlink>
          </w:p>
        </w:tc>
      </w:tr>
      <w:tr>
        <w:trPr>
          <w:trHeight w:val="20"/>
        </w:trPr>
        <w:tc>
          <w:tcPr>
            <w:tcW w:w="11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560" w:type="dxa"/>
            <w:vAlign w:val="bottom"/>
            <w:tcBorders>
              <w:right w:val="single" w:sz="8" w:color="0000EE"/>
            </w:tcBorders>
            <w:gridSpan w:val="10"/>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85"/>
        </w:trPr>
        <w:tc>
          <w:tcPr>
            <w:tcW w:w="1120" w:type="dxa"/>
            <w:vAlign w:val="bottom"/>
          </w:tcPr>
          <w:p>
            <w:pPr>
              <w:jc w:val="right"/>
              <w:ind w:right="410"/>
              <w:spacing w:after="0"/>
              <w:rPr>
                <w:sz w:val="20"/>
                <w:szCs w:val="20"/>
                <w:color w:val="auto"/>
              </w:rPr>
            </w:pPr>
            <w:r>
              <w:rPr>
                <w:rFonts w:ascii="Arial" w:cs="Arial" w:eastAsia="Arial" w:hAnsi="Arial"/>
                <w:sz w:val="18"/>
                <w:szCs w:val="18"/>
                <w:color w:val="auto"/>
                <w:w w:val="89"/>
              </w:rPr>
              <w:t>10.3(b)#</w:t>
            </w:r>
          </w:p>
        </w:tc>
        <w:tc>
          <w:tcPr>
            <w:tcW w:w="4280" w:type="dxa"/>
            <w:vAlign w:val="bottom"/>
            <w:tcBorders>
              <w:bottom w:val="single" w:sz="8" w:color="0000FF"/>
            </w:tcBorders>
            <w:gridSpan w:val="17"/>
          </w:tcPr>
          <w:p>
            <w:pPr>
              <w:spacing w:after="0"/>
              <w:rPr>
                <w:rFonts w:ascii="Arial" w:cs="Arial" w:eastAsia="Arial" w:hAnsi="Arial"/>
                <w:sz w:val="18"/>
                <w:szCs w:val="18"/>
                <w:color w:val="0000FF"/>
                <w:w w:val="90"/>
              </w:rPr>
            </w:pPr>
            <w:hyperlink r:id="rId339">
              <w:r>
                <w:rPr>
                  <w:rFonts w:ascii="Arial" w:cs="Arial" w:eastAsia="Arial" w:hAnsi="Arial"/>
                  <w:sz w:val="18"/>
                  <w:szCs w:val="18"/>
                  <w:color w:val="0000FF"/>
                  <w:w w:val="90"/>
                </w:rPr>
                <w:t>Form of 2015 Plan Option Agreement under the 2015 Plan.</w:t>
              </w:r>
            </w:hyperlink>
          </w:p>
        </w:tc>
        <w:tc>
          <w:tcPr>
            <w:tcW w:w="2420" w:type="dxa"/>
            <w:vAlign w:val="bottom"/>
            <w:gridSpan w:val="9"/>
          </w:tcPr>
          <w:p>
            <w:pPr>
              <w:spacing w:after="0"/>
              <w:rPr>
                <w:sz w:val="24"/>
                <w:szCs w:val="24"/>
                <w:color w:val="auto"/>
              </w:rPr>
            </w:pPr>
          </w:p>
        </w:tc>
      </w:tr>
      <w:tr>
        <w:trPr>
          <w:trHeight w:val="385"/>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7"/>
              </w:rPr>
              <w:t>10.3(c)#</w:t>
            </w:r>
          </w:p>
        </w:tc>
        <w:tc>
          <w:tcPr>
            <w:tcW w:w="6700" w:type="dxa"/>
            <w:vAlign w:val="bottom"/>
            <w:gridSpan w:val="26"/>
          </w:tcPr>
          <w:p>
            <w:pPr>
              <w:spacing w:after="0"/>
              <w:rPr>
                <w:rFonts w:ascii="Arial" w:cs="Arial" w:eastAsia="Arial" w:hAnsi="Arial"/>
                <w:sz w:val="18"/>
                <w:szCs w:val="18"/>
                <w:color w:val="0000FF"/>
              </w:rPr>
            </w:pPr>
            <w:hyperlink r:id="rId340">
              <w:r>
                <w:rPr>
                  <w:rFonts w:ascii="Arial" w:cs="Arial" w:eastAsia="Arial" w:hAnsi="Arial"/>
                  <w:sz w:val="18"/>
                  <w:szCs w:val="18"/>
                  <w:color w:val="0000FF"/>
                </w:rPr>
                <w:t>Form of 2015 Plan Early Exercise Option Agreement</w:t>
              </w:r>
            </w:hyperlink>
          </w:p>
        </w:tc>
      </w:tr>
      <w:tr>
        <w:trPr>
          <w:trHeight w:val="20"/>
        </w:trPr>
        <w:tc>
          <w:tcPr>
            <w:tcW w:w="11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340" w:type="dxa"/>
            <w:vAlign w:val="bottom"/>
            <w:tcBorders>
              <w:right w:val="single" w:sz="8" w:color="0000EE"/>
            </w:tcBorders>
            <w:gridSpan w:val="1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85"/>
        </w:trPr>
        <w:tc>
          <w:tcPr>
            <w:tcW w:w="1120" w:type="dxa"/>
            <w:vAlign w:val="bottom"/>
          </w:tcPr>
          <w:p>
            <w:pPr>
              <w:jc w:val="right"/>
              <w:ind w:right="410"/>
              <w:spacing w:after="0"/>
              <w:rPr>
                <w:sz w:val="20"/>
                <w:szCs w:val="20"/>
                <w:color w:val="auto"/>
              </w:rPr>
            </w:pPr>
            <w:r>
              <w:rPr>
                <w:rFonts w:ascii="Arial" w:cs="Arial" w:eastAsia="Arial" w:hAnsi="Arial"/>
                <w:sz w:val="18"/>
                <w:szCs w:val="18"/>
                <w:color w:val="auto"/>
                <w:w w:val="89"/>
              </w:rPr>
              <w:t>10.3(d)#</w:t>
            </w:r>
          </w:p>
        </w:tc>
        <w:tc>
          <w:tcPr>
            <w:tcW w:w="560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30">
              <w:r>
                <w:rPr>
                  <w:rFonts w:ascii="Arial" w:cs="Arial" w:eastAsia="Arial" w:hAnsi="Arial"/>
                  <w:sz w:val="18"/>
                  <w:szCs w:val="18"/>
                  <w:color w:val="0000FF"/>
                  <w:w w:val="90"/>
                </w:rPr>
                <w:t>Form of 2015 Plan Restricted Share Unit Award Grant Notice and Agreement</w:t>
              </w:r>
            </w:hyperlink>
          </w:p>
        </w:tc>
        <w:tc>
          <w:tcPr>
            <w:tcW w:w="20" w:type="dxa"/>
            <w:vAlign w:val="bottom"/>
            <w:tcBorders>
              <w:bottom w:val="single" w:sz="8" w:color="0000EE"/>
            </w:tcBorders>
          </w:tcPr>
          <w:p>
            <w:pPr>
              <w:spacing w:after="0"/>
              <w:rPr>
                <w:sz w:val="24"/>
                <w:szCs w:val="24"/>
                <w:color w:val="auto"/>
              </w:rPr>
            </w:pPr>
          </w:p>
        </w:tc>
        <w:tc>
          <w:tcPr>
            <w:tcW w:w="1080" w:type="dxa"/>
            <w:vAlign w:val="bottom"/>
            <w:gridSpan w:val="6"/>
          </w:tcPr>
          <w:p>
            <w:pPr>
              <w:spacing w:after="0"/>
              <w:rPr>
                <w:sz w:val="24"/>
                <w:szCs w:val="24"/>
                <w:color w:val="auto"/>
              </w:rPr>
            </w:pPr>
          </w:p>
        </w:tc>
      </w:tr>
      <w:tr>
        <w:trPr>
          <w:trHeight w:val="385"/>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6"/>
              </w:rPr>
              <w:t>10.4(a)#</w:t>
            </w:r>
          </w:p>
        </w:tc>
        <w:tc>
          <w:tcPr>
            <w:tcW w:w="6700" w:type="dxa"/>
            <w:vAlign w:val="bottom"/>
            <w:gridSpan w:val="26"/>
          </w:tcPr>
          <w:p>
            <w:pPr>
              <w:spacing w:after="0"/>
              <w:rPr>
                <w:rFonts w:ascii="Arial" w:cs="Arial" w:eastAsia="Arial" w:hAnsi="Arial"/>
                <w:sz w:val="18"/>
                <w:szCs w:val="18"/>
                <w:color w:val="0000FF"/>
                <w:w w:val="97"/>
              </w:rPr>
            </w:pPr>
            <w:hyperlink r:id="rId341">
              <w:r>
                <w:rPr>
                  <w:rFonts w:ascii="Arial" w:cs="Arial" w:eastAsia="Arial" w:hAnsi="Arial"/>
                  <w:sz w:val="18"/>
                  <w:szCs w:val="18"/>
                  <w:color w:val="0000FF"/>
                  <w:w w:val="97"/>
                </w:rPr>
                <w:t>2019 Employment Inducement Incentive Plan adopted on September 18, 2019 (“2019</w:t>
              </w:r>
            </w:hyperlink>
          </w:p>
        </w:tc>
      </w:tr>
      <w:tr>
        <w:trPr>
          <w:trHeight w:val="156"/>
        </w:trPr>
        <w:tc>
          <w:tcPr>
            <w:tcW w:w="1120" w:type="dxa"/>
            <w:vAlign w:val="bottom"/>
          </w:tcPr>
          <w:p>
            <w:pPr>
              <w:spacing w:after="0"/>
              <w:rPr>
                <w:sz w:val="13"/>
                <w:szCs w:val="13"/>
                <w:color w:val="auto"/>
              </w:rPr>
            </w:pPr>
          </w:p>
        </w:tc>
        <w:tc>
          <w:tcPr>
            <w:tcW w:w="62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41">
              <w:r>
                <w:rPr>
                  <w:rFonts w:ascii="Arial" w:cs="Arial" w:eastAsia="Arial" w:hAnsi="Arial"/>
                  <w:sz w:val="18"/>
                  <w:szCs w:val="18"/>
                  <w:color w:val="0000FF"/>
                </w:rPr>
                <w:t>Plan”).</w:t>
              </w:r>
            </w:hyperlink>
          </w:p>
        </w:tc>
        <w:tc>
          <w:tcPr>
            <w:tcW w:w="48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2/27/2020</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1.1</w:t>
            </w:r>
          </w:p>
        </w:tc>
      </w:tr>
      <w:tr>
        <w:trPr>
          <w:trHeight w:val="50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10/19/2015</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3.1</w:t>
            </w:r>
          </w:p>
        </w:tc>
      </w:tr>
      <w:tr>
        <w:trPr>
          <w:trHeight w:val="48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6/23/2020</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3.1</w:t>
            </w:r>
          </w:p>
        </w:tc>
      </w:tr>
      <w:tr>
        <w:trPr>
          <w:trHeight w:val="499"/>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10/19/2015</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3.2</w:t>
            </w:r>
          </w:p>
        </w:tc>
      </w:tr>
      <w:tr>
        <w:trPr>
          <w:trHeight w:val="81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9/28/2015</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4.1</w:t>
            </w:r>
          </w:p>
        </w:tc>
      </w:tr>
      <w:tr>
        <w:trPr>
          <w:trHeight w:val="48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4.4</w:t>
            </w:r>
          </w:p>
        </w:tc>
      </w:tr>
      <w:tr>
        <w:trPr>
          <w:trHeight w:val="67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240" w:type="dxa"/>
            <w:vAlign w:val="bottom"/>
          </w:tcPr>
          <w:p>
            <w:pPr>
              <w:jc w:val="center"/>
              <w:ind w:right="450"/>
              <w:spacing w:after="0"/>
              <w:rPr>
                <w:sz w:val="20"/>
                <w:szCs w:val="20"/>
                <w:color w:val="auto"/>
              </w:rPr>
            </w:pPr>
            <w:r>
              <w:rPr>
                <w:rFonts w:ascii="Arial" w:cs="Arial" w:eastAsia="Arial" w:hAnsi="Arial"/>
                <w:sz w:val="18"/>
                <w:szCs w:val="18"/>
                <w:color w:val="auto"/>
                <w:w w:val="87"/>
              </w:rPr>
              <w:t>4.4</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10.3</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10.4</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10.1</w:t>
            </w:r>
          </w:p>
        </w:tc>
      </w:tr>
      <w:tr>
        <w:trPr>
          <w:trHeight w:val="48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10.2</w:t>
            </w:r>
          </w:p>
        </w:tc>
      </w:tr>
      <w:tr>
        <w:trPr>
          <w:trHeight w:val="50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10/6/2015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10.5</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11/23/2015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10.4</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11/23/2015</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10.5</w:t>
            </w:r>
          </w:p>
        </w:tc>
      </w:tr>
      <w:tr>
        <w:trPr>
          <w:trHeight w:val="40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48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11/7/2019</w:t>
            </w:r>
          </w:p>
        </w:tc>
        <w:tc>
          <w:tcPr>
            <w:tcW w:w="1240" w:type="dxa"/>
            <w:vAlign w:val="bottom"/>
          </w:tcPr>
          <w:p>
            <w:pPr>
              <w:jc w:val="center"/>
              <w:ind w:right="470"/>
              <w:spacing w:after="0"/>
              <w:rPr>
                <w:sz w:val="20"/>
                <w:szCs w:val="20"/>
                <w:color w:val="auto"/>
              </w:rPr>
            </w:pPr>
            <w:r>
              <w:rPr>
                <w:rFonts w:ascii="Arial" w:cs="Arial" w:eastAsia="Arial" w:hAnsi="Arial"/>
                <w:sz w:val="18"/>
                <w:szCs w:val="18"/>
                <w:color w:val="auto"/>
                <w:w w:val="91"/>
              </w:rPr>
              <w:t>10.1</w:t>
            </w:r>
          </w:p>
        </w:tc>
      </w:tr>
    </w:tbl>
    <w:p>
      <w:pPr>
        <w:spacing w:after="0" w:line="267" w:lineRule="exact"/>
        <w:rPr>
          <w:sz w:val="20"/>
          <w:szCs w:val="20"/>
          <w:color w:val="auto"/>
        </w:rPr>
      </w:pPr>
    </w:p>
    <w:p>
      <w:pPr>
        <w:sectPr>
          <w:pgSz w:w="11900" w:h="16838" w:orient="portrait"/>
          <w:cols w:equalWidth="0" w:num="2">
            <w:col w:w="7840" w:space="180"/>
            <w:col w:w="3220"/>
          </w:cols>
          <w:pgMar w:left="320" w:top="324" w:right="3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6700" w:type="dxa"/>
            <w:vAlign w:val="bottom"/>
            <w:gridSpan w:val="24"/>
          </w:tcPr>
          <w:p>
            <w:pPr>
              <w:spacing w:after="0"/>
              <w:rPr>
                <w:rFonts w:ascii="Arial" w:cs="Arial" w:eastAsia="Arial" w:hAnsi="Arial"/>
                <w:sz w:val="18"/>
                <w:szCs w:val="18"/>
                <w:color w:val="0000FF"/>
              </w:rPr>
            </w:pPr>
            <w:hyperlink r:id="rId343">
              <w:r>
                <w:rPr>
                  <w:rFonts w:ascii="Arial" w:cs="Arial" w:eastAsia="Arial" w:hAnsi="Arial"/>
                  <w:sz w:val="18"/>
                  <w:szCs w:val="18"/>
                  <w:color w:val="0000FF"/>
                </w:rPr>
                <w:t>Form of Stock Option Agreement under the 2019 Plan.</w:t>
              </w:r>
            </w:hyperlink>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6700" w:type="dxa"/>
            <w:vAlign w:val="bottom"/>
            <w:gridSpan w:val="24"/>
          </w:tcPr>
          <w:p>
            <w:pPr>
              <w:spacing w:after="0"/>
              <w:rPr>
                <w:rFonts w:ascii="Arial" w:cs="Arial" w:eastAsia="Arial" w:hAnsi="Arial"/>
                <w:sz w:val="18"/>
                <w:szCs w:val="18"/>
                <w:color w:val="0000FF"/>
              </w:rPr>
            </w:pPr>
            <w:hyperlink r:id="rId344">
              <w:r>
                <w:rPr>
                  <w:rFonts w:ascii="Arial" w:cs="Arial" w:eastAsia="Arial" w:hAnsi="Arial"/>
                  <w:sz w:val="18"/>
                  <w:szCs w:val="18"/>
                  <w:color w:val="0000FF"/>
                </w:rPr>
                <w:t>2015 CytomX Therapeutics, Inc. Employee Stock Purchase Plan.</w:t>
              </w:r>
            </w:hyperlink>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6700" w:type="dxa"/>
            <w:vAlign w:val="bottom"/>
            <w:tcBorders>
              <w:bottom w:val="single" w:sz="8" w:color="0000FF"/>
            </w:tcBorders>
            <w:gridSpan w:val="24"/>
          </w:tcPr>
          <w:p>
            <w:pPr>
              <w:spacing w:after="0"/>
              <w:rPr>
                <w:rFonts w:ascii="Arial" w:cs="Arial" w:eastAsia="Arial" w:hAnsi="Arial"/>
                <w:sz w:val="18"/>
                <w:szCs w:val="18"/>
                <w:color w:val="0000FF"/>
                <w:w w:val="91"/>
              </w:rPr>
            </w:pPr>
            <w:hyperlink r:id="rId345">
              <w:r>
                <w:rPr>
                  <w:rFonts w:ascii="Arial" w:cs="Arial" w:eastAsia="Arial" w:hAnsi="Arial"/>
                  <w:sz w:val="18"/>
                  <w:szCs w:val="18"/>
                  <w:color w:val="0000FF"/>
                  <w:w w:val="91"/>
                </w:rPr>
                <w:t>Form of Indemnification Agreement by and between CytomX Therapeutics, Inc. and each of</w:t>
              </w:r>
            </w:hyperlink>
          </w:p>
        </w:tc>
      </w:tr>
      <w:tr>
        <w:trPr>
          <w:trHeight w:val="155"/>
        </w:trPr>
        <w:tc>
          <w:tcPr>
            <w:tcW w:w="1120" w:type="dxa"/>
            <w:vAlign w:val="bottom"/>
          </w:tcPr>
          <w:p>
            <w:pPr>
              <w:spacing w:after="0"/>
              <w:rPr>
                <w:sz w:val="13"/>
                <w:szCs w:val="13"/>
                <w:color w:val="auto"/>
              </w:rPr>
            </w:pPr>
          </w:p>
        </w:tc>
        <w:tc>
          <w:tcPr>
            <w:tcW w:w="6700" w:type="dxa"/>
            <w:vAlign w:val="bottom"/>
            <w:gridSpan w:val="24"/>
          </w:tcPr>
          <w:p>
            <w:pPr>
              <w:spacing w:after="0" w:line="156" w:lineRule="exact"/>
              <w:rPr>
                <w:rFonts w:ascii="Arial" w:cs="Arial" w:eastAsia="Arial" w:hAnsi="Arial"/>
                <w:sz w:val="18"/>
                <w:szCs w:val="18"/>
                <w:color w:val="0000FF"/>
              </w:rPr>
            </w:pPr>
            <w:hyperlink r:id="rId345">
              <w:r>
                <w:rPr>
                  <w:rFonts w:ascii="Arial" w:cs="Arial" w:eastAsia="Arial" w:hAnsi="Arial"/>
                  <w:sz w:val="18"/>
                  <w:szCs w:val="18"/>
                  <w:color w:val="0000FF"/>
                </w:rPr>
                <w:t>its directors and each of its executive officers.</w:t>
              </w:r>
            </w:hyperlink>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6700" w:type="dxa"/>
            <w:vAlign w:val="bottom"/>
            <w:gridSpan w:val="24"/>
          </w:tcPr>
          <w:p>
            <w:pPr>
              <w:spacing w:after="0"/>
              <w:rPr>
                <w:rFonts w:ascii="Arial" w:cs="Arial" w:eastAsia="Arial" w:hAnsi="Arial"/>
                <w:sz w:val="18"/>
                <w:szCs w:val="18"/>
                <w:color w:val="0000FF"/>
                <w:w w:val="97"/>
              </w:rPr>
            </w:pPr>
            <w:hyperlink r:id="rId346">
              <w:r>
                <w:rPr>
                  <w:rFonts w:ascii="Arial" w:cs="Arial" w:eastAsia="Arial" w:hAnsi="Arial"/>
                  <w:sz w:val="18"/>
                  <w:szCs w:val="18"/>
                  <w:color w:val="0000FF"/>
                  <w:w w:val="97"/>
                </w:rPr>
                <w:t>Employment Offer Letter Agreement between CytomX Therapeutics, Inc. and Sean A.</w:t>
              </w:r>
            </w:hyperlink>
          </w:p>
        </w:tc>
      </w:tr>
      <w:tr>
        <w:trPr>
          <w:trHeight w:val="156"/>
        </w:trPr>
        <w:tc>
          <w:tcPr>
            <w:tcW w:w="11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346">
              <w:r>
                <w:rPr>
                  <w:rFonts w:ascii="Arial" w:cs="Arial" w:eastAsia="Arial" w:hAnsi="Arial"/>
                  <w:sz w:val="18"/>
                  <w:szCs w:val="18"/>
                  <w:color w:val="0000FF"/>
                  <w:w w:val="90"/>
                </w:rPr>
                <w:t>McCarthy, D. Phil, dated as of December 15, 2010.</w:t>
              </w:r>
            </w:hyperlink>
          </w:p>
        </w:tc>
        <w:tc>
          <w:tcPr>
            <w:tcW w:w="20" w:type="dxa"/>
            <w:vAlign w:val="bottom"/>
            <w:tcBorders>
              <w:top w:val="single" w:sz="8" w:color="0000FF"/>
              <w:bottom w:val="single" w:sz="8" w:color="0000EE"/>
            </w:tcBorders>
          </w:tcPr>
          <w:p>
            <w:pPr>
              <w:spacing w:after="0"/>
              <w:rPr>
                <w:sz w:val="13"/>
                <w:szCs w:val="13"/>
                <w:color w:val="auto"/>
              </w:rPr>
            </w:pPr>
          </w:p>
        </w:tc>
        <w:tc>
          <w:tcPr>
            <w:tcW w:w="25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6700" w:type="dxa"/>
            <w:vAlign w:val="bottom"/>
            <w:gridSpan w:val="24"/>
          </w:tcPr>
          <w:p>
            <w:pPr>
              <w:spacing w:after="0"/>
              <w:rPr>
                <w:rFonts w:ascii="Arial" w:cs="Arial" w:eastAsia="Arial" w:hAnsi="Arial"/>
                <w:sz w:val="18"/>
                <w:szCs w:val="18"/>
                <w:color w:val="0000FF"/>
                <w:w w:val="98"/>
              </w:rPr>
            </w:pPr>
            <w:hyperlink r:id="rId347">
              <w:r>
                <w:rPr>
                  <w:rFonts w:ascii="Arial" w:cs="Arial" w:eastAsia="Arial" w:hAnsi="Arial"/>
                  <w:sz w:val="18"/>
                  <w:szCs w:val="18"/>
                  <w:color w:val="0000FF"/>
                  <w:w w:val="98"/>
                </w:rPr>
                <w:t>Employment Offer Letter Agreement between CytomX Therapeutics, Inc. and Amy C.</w:t>
              </w:r>
            </w:hyperlink>
          </w:p>
        </w:tc>
      </w:tr>
      <w:tr>
        <w:trPr>
          <w:trHeight w:val="155"/>
        </w:trPr>
        <w:tc>
          <w:tcPr>
            <w:tcW w:w="1120" w:type="dxa"/>
            <w:vAlign w:val="bottom"/>
          </w:tcPr>
          <w:p>
            <w:pPr>
              <w:spacing w:after="0"/>
              <w:rPr>
                <w:sz w:val="13"/>
                <w:szCs w:val="13"/>
                <w:color w:val="auto"/>
              </w:rPr>
            </w:pPr>
          </w:p>
        </w:tc>
        <w:tc>
          <w:tcPr>
            <w:tcW w:w="6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47">
              <w:r>
                <w:rPr>
                  <w:rFonts w:ascii="Arial" w:cs="Arial" w:eastAsia="Arial" w:hAnsi="Arial"/>
                  <w:sz w:val="18"/>
                  <w:szCs w:val="18"/>
                  <w:color w:val="0000FF"/>
                </w:rPr>
                <w:t>Peterson, M.D. dated as of September 23, 2019.</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6700" w:type="dxa"/>
            <w:vAlign w:val="bottom"/>
            <w:gridSpan w:val="24"/>
          </w:tcPr>
          <w:p>
            <w:pPr>
              <w:spacing w:after="0"/>
              <w:rPr>
                <w:rFonts w:ascii="Arial" w:cs="Arial" w:eastAsia="Arial" w:hAnsi="Arial"/>
                <w:sz w:val="18"/>
                <w:szCs w:val="18"/>
                <w:color w:val="0000FF"/>
                <w:w w:val="99"/>
              </w:rPr>
            </w:pPr>
            <w:hyperlink r:id="rId348">
              <w:r>
                <w:rPr>
                  <w:rFonts w:ascii="Arial" w:cs="Arial" w:eastAsia="Arial" w:hAnsi="Arial"/>
                  <w:sz w:val="18"/>
                  <w:szCs w:val="18"/>
                  <w:color w:val="0000FF"/>
                  <w:w w:val="99"/>
                </w:rPr>
                <w:t>Employment Offer Letter Agreement between CytomX Therapeutics, Inc. and Carlos</w:t>
              </w:r>
            </w:hyperlink>
          </w:p>
        </w:tc>
      </w:tr>
      <w:tr>
        <w:trPr>
          <w:trHeight w:val="156"/>
        </w:trPr>
        <w:tc>
          <w:tcPr>
            <w:tcW w:w="1120" w:type="dxa"/>
            <w:vAlign w:val="bottom"/>
          </w:tcPr>
          <w:p>
            <w:pPr>
              <w:spacing w:after="0"/>
              <w:rPr>
                <w:sz w:val="13"/>
                <w:szCs w:val="13"/>
                <w:color w:val="auto"/>
              </w:rPr>
            </w:pPr>
          </w:p>
        </w:tc>
        <w:tc>
          <w:tcPr>
            <w:tcW w:w="6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48">
              <w:r>
                <w:rPr>
                  <w:rFonts w:ascii="Arial" w:cs="Arial" w:eastAsia="Arial" w:hAnsi="Arial"/>
                  <w:sz w:val="18"/>
                  <w:szCs w:val="18"/>
                  <w:color w:val="0000FF"/>
                </w:rPr>
                <w:t>Campoy dated as of March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6700" w:type="dxa"/>
            <w:vAlign w:val="bottom"/>
            <w:gridSpan w:val="24"/>
          </w:tcPr>
          <w:p>
            <w:pPr>
              <w:spacing w:after="0"/>
              <w:rPr>
                <w:rFonts w:ascii="Arial" w:cs="Arial" w:eastAsia="Arial" w:hAnsi="Arial"/>
                <w:sz w:val="18"/>
                <w:szCs w:val="18"/>
                <w:color w:val="0000FF"/>
                <w:w w:val="93"/>
              </w:rPr>
            </w:pPr>
            <w:hyperlink r:id="rId349">
              <w:r>
                <w:rPr>
                  <w:rFonts w:ascii="Arial" w:cs="Arial" w:eastAsia="Arial" w:hAnsi="Arial"/>
                  <w:sz w:val="18"/>
                  <w:szCs w:val="18"/>
                  <w:color w:val="0000FF"/>
                  <w:w w:val="93"/>
                </w:rPr>
                <w:t>Amended and Restated Severance and Change of Control Agreement dated February 27,</w:t>
              </w:r>
            </w:hyperlink>
          </w:p>
        </w:tc>
      </w:tr>
      <w:tr>
        <w:trPr>
          <w:trHeight w:val="155"/>
        </w:trPr>
        <w:tc>
          <w:tcPr>
            <w:tcW w:w="11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349">
              <w:r>
                <w:rPr>
                  <w:rFonts w:ascii="Arial" w:cs="Arial" w:eastAsia="Arial" w:hAnsi="Arial"/>
                  <w:sz w:val="18"/>
                  <w:szCs w:val="18"/>
                  <w:color w:val="0000FF"/>
                  <w:w w:val="90"/>
                </w:rPr>
                <w:t>2019, by and between CytomX Therapeutics, Inc. and Sean McCarthy. D. Phil.</w:t>
              </w:r>
            </w:hyperlink>
          </w:p>
        </w:tc>
        <w:tc>
          <w:tcPr>
            <w:tcW w:w="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6700" w:type="dxa"/>
            <w:vAlign w:val="bottom"/>
            <w:tcBorders>
              <w:bottom w:val="single" w:sz="8" w:color="0000FF"/>
            </w:tcBorders>
            <w:gridSpan w:val="24"/>
          </w:tcPr>
          <w:p>
            <w:pPr>
              <w:spacing w:after="0"/>
              <w:rPr>
                <w:rFonts w:ascii="Arial" w:cs="Arial" w:eastAsia="Arial" w:hAnsi="Arial"/>
                <w:sz w:val="18"/>
                <w:szCs w:val="18"/>
                <w:color w:val="0000FF"/>
                <w:w w:val="89"/>
              </w:rPr>
            </w:pPr>
            <w:hyperlink r:id="rId350">
              <w:r>
                <w:rPr>
                  <w:rFonts w:ascii="Arial" w:cs="Arial" w:eastAsia="Arial" w:hAnsi="Arial"/>
                  <w:sz w:val="18"/>
                  <w:szCs w:val="18"/>
                  <w:color w:val="0000FF"/>
                  <w:w w:val="89"/>
                </w:rPr>
                <w:t>Amended and Restated Severance and Change of Control Agreement effective as of October</w:t>
              </w:r>
            </w:hyperlink>
          </w:p>
        </w:tc>
      </w:tr>
      <w:tr>
        <w:trPr>
          <w:trHeight w:val="156"/>
        </w:trPr>
        <w:tc>
          <w:tcPr>
            <w:tcW w:w="1120" w:type="dxa"/>
            <w:vAlign w:val="bottom"/>
          </w:tcPr>
          <w:p>
            <w:pPr>
              <w:spacing w:after="0"/>
              <w:rPr>
                <w:sz w:val="13"/>
                <w:szCs w:val="13"/>
                <w:color w:val="auto"/>
              </w:rPr>
            </w:pPr>
          </w:p>
        </w:tc>
        <w:tc>
          <w:tcPr>
            <w:tcW w:w="6700" w:type="dxa"/>
            <w:vAlign w:val="bottom"/>
            <w:gridSpan w:val="24"/>
          </w:tcPr>
          <w:p>
            <w:pPr>
              <w:spacing w:after="0" w:line="156" w:lineRule="exact"/>
              <w:rPr>
                <w:rFonts w:ascii="Arial" w:cs="Arial" w:eastAsia="Arial" w:hAnsi="Arial"/>
                <w:sz w:val="18"/>
                <w:szCs w:val="18"/>
                <w:color w:val="0000FF"/>
              </w:rPr>
            </w:pPr>
            <w:hyperlink r:id="rId350">
              <w:r>
                <w:rPr>
                  <w:rFonts w:ascii="Arial" w:cs="Arial" w:eastAsia="Arial" w:hAnsi="Arial"/>
                  <w:sz w:val="18"/>
                  <w:szCs w:val="18"/>
                  <w:color w:val="0000FF"/>
                </w:rPr>
                <w:t>14, 2019, by and between CytomX Therapeutics, Inc. and Amy C. Peterson, M.D.</w:t>
              </w:r>
            </w:hyperlink>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6700" w:type="dxa"/>
            <w:vAlign w:val="bottom"/>
            <w:tcBorders>
              <w:bottom w:val="single" w:sz="8" w:color="0000FF"/>
            </w:tcBorders>
            <w:gridSpan w:val="24"/>
          </w:tcPr>
          <w:p>
            <w:pPr>
              <w:spacing w:after="0"/>
              <w:rPr>
                <w:rFonts w:ascii="Arial" w:cs="Arial" w:eastAsia="Arial" w:hAnsi="Arial"/>
                <w:sz w:val="18"/>
                <w:szCs w:val="18"/>
                <w:color w:val="0000FF"/>
                <w:w w:val="89"/>
              </w:rPr>
            </w:pPr>
            <w:hyperlink r:id="rId351">
              <w:r>
                <w:rPr>
                  <w:rFonts w:ascii="Arial" w:cs="Arial" w:eastAsia="Arial" w:hAnsi="Arial"/>
                  <w:sz w:val="18"/>
                  <w:szCs w:val="18"/>
                  <w:color w:val="0000FF"/>
                  <w:w w:val="89"/>
                </w:rPr>
                <w:t>Amended and Restated Severance and Change of Control Agreement dated March 25, 2019,</w:t>
              </w:r>
            </w:hyperlink>
          </w:p>
        </w:tc>
      </w:tr>
      <w:tr>
        <w:trPr>
          <w:trHeight w:val="155"/>
        </w:trPr>
        <w:tc>
          <w:tcPr>
            <w:tcW w:w="1120" w:type="dxa"/>
            <w:vAlign w:val="bottom"/>
          </w:tcPr>
          <w:p>
            <w:pPr>
              <w:spacing w:after="0"/>
              <w:rPr>
                <w:sz w:val="13"/>
                <w:szCs w:val="13"/>
                <w:color w:val="auto"/>
              </w:rPr>
            </w:pPr>
          </w:p>
        </w:tc>
        <w:tc>
          <w:tcPr>
            <w:tcW w:w="470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351">
              <w:r>
                <w:rPr>
                  <w:rFonts w:ascii="Arial" w:cs="Arial" w:eastAsia="Arial" w:hAnsi="Arial"/>
                  <w:sz w:val="18"/>
                  <w:szCs w:val="18"/>
                  <w:color w:val="0000FF"/>
                  <w:w w:val="91"/>
                </w:rPr>
                <w:t>by and between CytomX Therapeutics, Inc. and Lloyd Rowland.</w:t>
              </w:r>
            </w:hyperlink>
          </w:p>
        </w:tc>
        <w:tc>
          <w:tcPr>
            <w:tcW w:w="2000" w:type="dxa"/>
            <w:vAlign w:val="bottom"/>
            <w:gridSpan w:val="13"/>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6700" w:type="dxa"/>
            <w:vAlign w:val="bottom"/>
            <w:gridSpan w:val="24"/>
          </w:tcPr>
          <w:p>
            <w:pPr>
              <w:spacing w:after="0"/>
              <w:rPr>
                <w:rFonts w:ascii="Arial" w:cs="Arial" w:eastAsia="Arial" w:hAnsi="Arial"/>
                <w:sz w:val="18"/>
                <w:szCs w:val="18"/>
                <w:color w:val="0000FF"/>
                <w:w w:val="97"/>
              </w:rPr>
            </w:pPr>
            <w:hyperlink r:id="rId352">
              <w:r>
                <w:rPr>
                  <w:rFonts w:ascii="Arial" w:cs="Arial" w:eastAsia="Arial" w:hAnsi="Arial"/>
                  <w:sz w:val="18"/>
                  <w:szCs w:val="18"/>
                  <w:color w:val="0000FF"/>
                  <w:w w:val="97"/>
                </w:rPr>
                <w:t>Severance and Change of Control Agreement effective as of February 3, 2020, by and</w:t>
              </w:r>
            </w:hyperlink>
          </w:p>
        </w:tc>
      </w:tr>
      <w:tr>
        <w:trPr>
          <w:trHeight w:val="156"/>
        </w:trPr>
        <w:tc>
          <w:tcPr>
            <w:tcW w:w="1120" w:type="dxa"/>
            <w:vAlign w:val="bottom"/>
          </w:tcPr>
          <w:p>
            <w:pPr>
              <w:spacing w:after="0"/>
              <w:rPr>
                <w:sz w:val="13"/>
                <w:szCs w:val="13"/>
                <w:color w:val="auto"/>
              </w:rPr>
            </w:pPr>
          </w:p>
        </w:tc>
        <w:tc>
          <w:tcPr>
            <w:tcW w:w="62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52">
              <w:r>
                <w:rPr>
                  <w:rFonts w:ascii="Arial" w:cs="Arial" w:eastAsia="Arial" w:hAnsi="Arial"/>
                  <w:sz w:val="18"/>
                  <w:szCs w:val="18"/>
                  <w:color w:val="0000FF"/>
                </w:rPr>
                <w:t>between CytomX Therapeutics, Inc. and Alison Hannah, M.D.</w:t>
              </w:r>
            </w:hyperlink>
          </w:p>
        </w:tc>
        <w:tc>
          <w:tcPr>
            <w:tcW w:w="22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6700" w:type="dxa"/>
            <w:vAlign w:val="bottom"/>
            <w:gridSpan w:val="24"/>
          </w:tcPr>
          <w:p>
            <w:pPr>
              <w:spacing w:after="0"/>
              <w:rPr>
                <w:rFonts w:ascii="Arial" w:cs="Arial" w:eastAsia="Arial" w:hAnsi="Arial"/>
                <w:sz w:val="18"/>
                <w:szCs w:val="18"/>
                <w:color w:val="0000FF"/>
                <w:w w:val="97"/>
              </w:rPr>
            </w:pPr>
            <w:hyperlink r:id="rId353">
              <w:r>
                <w:rPr>
                  <w:rFonts w:ascii="Arial" w:cs="Arial" w:eastAsia="Arial" w:hAnsi="Arial"/>
                  <w:sz w:val="18"/>
                  <w:szCs w:val="18"/>
                  <w:color w:val="0000FF"/>
                  <w:w w:val="97"/>
                </w:rPr>
                <w:t>Severance and Change of Control Agreement dated March 23, 2020, by and between</w:t>
              </w:r>
            </w:hyperlink>
          </w:p>
        </w:tc>
      </w:tr>
      <w:tr>
        <w:trPr>
          <w:trHeight w:val="155"/>
        </w:trPr>
        <w:tc>
          <w:tcPr>
            <w:tcW w:w="1120" w:type="dxa"/>
            <w:vAlign w:val="bottom"/>
          </w:tcPr>
          <w:p>
            <w:pPr>
              <w:spacing w:after="0"/>
              <w:rPr>
                <w:sz w:val="13"/>
                <w:szCs w:val="13"/>
                <w:color w:val="auto"/>
              </w:rPr>
            </w:pPr>
          </w:p>
        </w:tc>
        <w:tc>
          <w:tcPr>
            <w:tcW w:w="61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53">
              <w:r>
                <w:rPr>
                  <w:rFonts w:ascii="Arial" w:cs="Arial" w:eastAsia="Arial" w:hAnsi="Arial"/>
                  <w:sz w:val="18"/>
                  <w:szCs w:val="18"/>
                  <w:color w:val="0000FF"/>
                </w:rPr>
                <w:t>CytomX Therapeutics, Inc. and Carlos Campoy.</w:t>
              </w:r>
            </w:hyperlink>
          </w:p>
        </w:tc>
        <w:tc>
          <w:tcPr>
            <w:tcW w:w="6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6700" w:type="dxa"/>
            <w:vAlign w:val="bottom"/>
            <w:gridSpan w:val="24"/>
          </w:tcPr>
          <w:p>
            <w:pPr>
              <w:spacing w:after="0"/>
              <w:rPr>
                <w:rFonts w:ascii="Arial" w:cs="Arial" w:eastAsia="Arial" w:hAnsi="Arial"/>
                <w:sz w:val="18"/>
                <w:szCs w:val="18"/>
                <w:color w:val="0000FF"/>
                <w:w w:val="90"/>
              </w:rPr>
            </w:pPr>
            <w:hyperlink r:id="rId354">
              <w:r>
                <w:rPr>
                  <w:rFonts w:ascii="Arial" w:cs="Arial" w:eastAsia="Arial" w:hAnsi="Arial"/>
                  <w:sz w:val="18"/>
                  <w:szCs w:val="18"/>
                  <w:color w:val="0000FF"/>
                  <w:w w:val="90"/>
                </w:rPr>
                <w:t>Lease dated as of December 10, 2015, by and between CytomX Therapeutics, Inc. and HCP</w:t>
              </w:r>
            </w:hyperlink>
          </w:p>
        </w:tc>
      </w:tr>
      <w:tr>
        <w:trPr>
          <w:trHeight w:val="155"/>
        </w:trPr>
        <w:tc>
          <w:tcPr>
            <w:tcW w:w="1120" w:type="dxa"/>
            <w:vAlign w:val="bottom"/>
          </w:tcPr>
          <w:p>
            <w:pPr>
              <w:spacing w:after="0"/>
              <w:rPr>
                <w:sz w:val="13"/>
                <w:szCs w:val="13"/>
                <w:color w:val="auto"/>
              </w:rPr>
            </w:pPr>
          </w:p>
        </w:tc>
        <w:tc>
          <w:tcPr>
            <w:tcW w:w="66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54">
              <w:r>
                <w:rPr>
                  <w:rFonts w:ascii="Arial" w:cs="Arial" w:eastAsia="Arial" w:hAnsi="Arial"/>
                  <w:sz w:val="18"/>
                  <w:szCs w:val="18"/>
                  <w:color w:val="0000FF"/>
                </w:rPr>
                <w:t>Oyster Point III LLC.</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10.16(a)</w:t>
            </w:r>
          </w:p>
        </w:tc>
        <w:tc>
          <w:tcPr>
            <w:tcW w:w="6700" w:type="dxa"/>
            <w:vAlign w:val="bottom"/>
            <w:gridSpan w:val="24"/>
          </w:tcPr>
          <w:p>
            <w:pPr>
              <w:spacing w:after="0"/>
              <w:rPr>
                <w:rFonts w:ascii="Arial" w:cs="Arial" w:eastAsia="Arial" w:hAnsi="Arial"/>
                <w:sz w:val="18"/>
                <w:szCs w:val="18"/>
                <w:color w:val="0000FF"/>
                <w:w w:val="91"/>
              </w:rPr>
            </w:pPr>
            <w:hyperlink r:id="rId355">
              <w:r>
                <w:rPr>
                  <w:rFonts w:ascii="Arial" w:cs="Arial" w:eastAsia="Arial" w:hAnsi="Arial"/>
                  <w:sz w:val="18"/>
                  <w:szCs w:val="18"/>
                  <w:color w:val="0000FF"/>
                  <w:w w:val="91"/>
                </w:rPr>
                <w:t>Exclusive License Agreement dated as of August 19, 2010, by and between The Regents of</w:t>
              </w:r>
            </w:hyperlink>
          </w:p>
        </w:tc>
      </w:tr>
      <w:tr>
        <w:trPr>
          <w:trHeight w:val="155"/>
        </w:trPr>
        <w:tc>
          <w:tcPr>
            <w:tcW w:w="1120" w:type="dxa"/>
            <w:vAlign w:val="bottom"/>
          </w:tcPr>
          <w:p>
            <w:pPr>
              <w:spacing w:after="0"/>
              <w:rPr>
                <w:sz w:val="13"/>
                <w:szCs w:val="13"/>
                <w:color w:val="auto"/>
              </w:rPr>
            </w:pPr>
          </w:p>
        </w:tc>
        <w:tc>
          <w:tcPr>
            <w:tcW w:w="664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r:id="rId355">
              <w:r>
                <w:rPr>
                  <w:rFonts w:ascii="Arial" w:cs="Arial" w:eastAsia="Arial" w:hAnsi="Arial"/>
                  <w:sz w:val="18"/>
                  <w:szCs w:val="18"/>
                  <w:color w:val="0000FF"/>
                  <w:w w:val="94"/>
                </w:rPr>
                <w:t>the University of California and CytomX Therapeutics, Inc., as amended by Amendment</w:t>
              </w:r>
            </w:hyperlink>
          </w:p>
        </w:tc>
        <w:tc>
          <w:tcPr>
            <w:tcW w:w="60" w:type="dxa"/>
            <w:vAlign w:val="bottom"/>
            <w:gridSpan w:val="2"/>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646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355">
              <w:r>
                <w:rPr>
                  <w:rFonts w:ascii="Arial" w:cs="Arial" w:eastAsia="Arial" w:hAnsi="Arial"/>
                  <w:sz w:val="18"/>
                  <w:szCs w:val="18"/>
                  <w:color w:val="0000FF"/>
                  <w:w w:val="95"/>
                </w:rPr>
                <w:t>No. 1 to Exclusive Agreement effective as of May 30, 2013 and Amendment No. 2 to</w:t>
              </w:r>
            </w:hyperlink>
          </w:p>
        </w:tc>
        <w:tc>
          <w:tcPr>
            <w:tcW w:w="240" w:type="dxa"/>
            <w:vAlign w:val="bottom"/>
            <w:gridSpan w:val="3"/>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355">
              <w:r>
                <w:rPr>
                  <w:rFonts w:ascii="Arial" w:cs="Arial" w:eastAsia="Arial" w:hAnsi="Arial"/>
                  <w:sz w:val="18"/>
                  <w:szCs w:val="18"/>
                  <w:color w:val="0000FF"/>
                  <w:w w:val="91"/>
                </w:rPr>
                <w:t>Exclusive Agreement effective as of November 8, 2013.</w:t>
              </w:r>
            </w:hyperlink>
          </w:p>
        </w:tc>
        <w:tc>
          <w:tcPr>
            <w:tcW w:w="20" w:type="dxa"/>
            <w:vAlign w:val="bottom"/>
            <w:tcBorders>
              <w:top w:val="single" w:sz="8" w:color="0000FF"/>
              <w:bottom w:val="single" w:sz="8" w:color="0000EE"/>
            </w:tcBorders>
          </w:tcPr>
          <w:p>
            <w:pPr>
              <w:spacing w:after="0"/>
              <w:rPr>
                <w:sz w:val="13"/>
                <w:szCs w:val="13"/>
                <w:color w:val="auto"/>
              </w:rPr>
            </w:pPr>
          </w:p>
        </w:tc>
        <w:tc>
          <w:tcPr>
            <w:tcW w:w="2140" w:type="dxa"/>
            <w:vAlign w:val="bottom"/>
            <w:tcBorders>
              <w:top w:val="single" w:sz="8" w:color="0000FF"/>
            </w:tcBorders>
            <w:gridSpan w:val="7"/>
          </w:tcPr>
          <w:p>
            <w:pPr>
              <w:spacing w:after="0"/>
              <w:rPr>
                <w:sz w:val="13"/>
                <w:szCs w:val="13"/>
                <w:color w:val="auto"/>
              </w:rPr>
            </w:pPr>
          </w:p>
        </w:tc>
        <w:tc>
          <w:tcPr>
            <w:tcW w:w="480" w:type="dxa"/>
            <w:vAlign w:val="bottom"/>
            <w:gridSpan w:val="8"/>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11/7/2019</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r>
      <w:tr>
        <w:trPr>
          <w:trHeight w:val="405"/>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9/28/2015</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10.6</w:t>
            </w:r>
          </w:p>
        </w:tc>
      </w:tr>
      <w:tr>
        <w:trPr>
          <w:trHeight w:val="48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88"/>
              </w:rPr>
              <w:t>10.16</w:t>
            </w:r>
          </w:p>
        </w:tc>
      </w:tr>
      <w:tr>
        <w:trPr>
          <w:trHeight w:val="58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8/28/2015</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10.7</w:t>
            </w:r>
          </w:p>
        </w:tc>
      </w:tr>
      <w:tr>
        <w:trPr>
          <w:trHeight w:val="581"/>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11/7/2019</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10.5</w:t>
            </w:r>
          </w:p>
        </w:tc>
      </w:tr>
      <w:tr>
        <w:trPr>
          <w:trHeight w:val="58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5/7/2020</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10.3</w:t>
            </w:r>
          </w:p>
        </w:tc>
      </w:tr>
      <w:tr>
        <w:trPr>
          <w:trHeight w:val="581"/>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r>
      <w:tr>
        <w:trPr>
          <w:trHeight w:val="58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11/7/2019</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10.6</w:t>
            </w:r>
          </w:p>
        </w:tc>
      </w:tr>
      <w:tr>
        <w:trPr>
          <w:trHeight w:val="581"/>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r>
      <w:tr>
        <w:trPr>
          <w:trHeight w:val="58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2/27/2020</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88"/>
              </w:rPr>
              <w:t>10.32</w:t>
            </w:r>
          </w:p>
        </w:tc>
      </w:tr>
      <w:tr>
        <w:trPr>
          <w:trHeight w:val="581"/>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5/7/2020</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r>
      <w:tr>
        <w:trPr>
          <w:trHeight w:val="580"/>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12/16/2015</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r>
      <w:tr>
        <w:trPr>
          <w:trHeight w:val="756"/>
        </w:trPr>
        <w:tc>
          <w:tcPr>
            <w:tcW w:w="560" w:type="dxa"/>
            <w:vAlign w:val="bottom"/>
          </w:tcPr>
          <w:p>
            <w:pPr>
              <w:jc w:val="center"/>
              <w:ind w:right="3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9/18/2015</w:t>
            </w:r>
          </w:p>
        </w:tc>
        <w:tc>
          <w:tcPr>
            <w:tcW w:w="560" w:type="dxa"/>
            <w:vAlign w:val="bottom"/>
          </w:tcPr>
          <w:p>
            <w:pPr>
              <w:jc w:val="center"/>
              <w:ind w:left="70"/>
              <w:spacing w:after="0"/>
              <w:rPr>
                <w:sz w:val="20"/>
                <w:szCs w:val="20"/>
                <w:color w:val="auto"/>
              </w:rPr>
            </w:pPr>
            <w:r>
              <w:rPr>
                <w:rFonts w:ascii="Arial" w:cs="Arial" w:eastAsia="Arial" w:hAnsi="Arial"/>
                <w:sz w:val="18"/>
                <w:szCs w:val="18"/>
                <w:color w:val="auto"/>
                <w:w w:val="88"/>
              </w:rPr>
              <w:t>10.21</w:t>
            </w:r>
          </w:p>
        </w:tc>
      </w:tr>
    </w:tbl>
    <w:p>
      <w:pPr>
        <w:spacing w:after="0" w:line="427" w:lineRule="exact"/>
        <w:rPr>
          <w:sz w:val="20"/>
          <w:szCs w:val="20"/>
          <w:color w:val="auto"/>
        </w:rPr>
      </w:pPr>
    </w:p>
    <w:p>
      <w:pPr>
        <w:sectPr>
          <w:pgSz w:w="11900" w:h="16838" w:orient="portrait"/>
          <w:cols w:equalWidth="0" w:num="2">
            <w:col w:w="7820" w:space="180"/>
            <w:col w:w="2220"/>
          </w:cols>
          <w:pgMar w:left="340" w:top="513" w:right="1339" w:bottom="1440" w:gutter="0" w:footer="0" w:header="0"/>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10.16(b)††</w:t>
            </w:r>
          </w:p>
        </w:tc>
        <w:tc>
          <w:tcPr>
            <w:tcW w:w="6540" w:type="dxa"/>
            <w:vAlign w:val="bottom"/>
            <w:gridSpan w:val="6"/>
          </w:tcPr>
          <w:p>
            <w:pPr>
              <w:spacing w:after="0"/>
              <w:rPr>
                <w:rFonts w:ascii="Arial" w:cs="Arial" w:eastAsia="Arial" w:hAnsi="Arial"/>
                <w:sz w:val="18"/>
                <w:szCs w:val="18"/>
                <w:color w:val="0000FF"/>
                <w:w w:val="94"/>
              </w:rPr>
            </w:pPr>
            <w:hyperlink r:id="rId356">
              <w:r>
                <w:rPr>
                  <w:rFonts w:ascii="Arial" w:cs="Arial" w:eastAsia="Arial" w:hAnsi="Arial"/>
                  <w:sz w:val="18"/>
                  <w:szCs w:val="18"/>
                  <w:color w:val="0000FF"/>
                  <w:w w:val="94"/>
                </w:rPr>
                <w:t>Amendment No.3 to Exclusive License Agreement effective as of April 2, 2019, by and</w:t>
              </w:r>
            </w:hyperlink>
          </w:p>
        </w:tc>
      </w:tr>
      <w:tr>
        <w:trPr>
          <w:trHeight w:val="156"/>
        </w:trPr>
        <w:tc>
          <w:tcPr>
            <w:tcW w:w="112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356">
              <w:r>
                <w:rPr>
                  <w:rFonts w:ascii="Arial" w:cs="Arial" w:eastAsia="Arial" w:hAnsi="Arial"/>
                  <w:sz w:val="18"/>
                  <w:szCs w:val="18"/>
                  <w:color w:val="0000FF"/>
                  <w:w w:val="91"/>
                </w:rPr>
                <w:t>between CytomX Therapeutics, Inc. and The Regents of the University of California.</w:t>
              </w:r>
            </w:hyperlink>
          </w:p>
        </w:tc>
        <w:tc>
          <w:tcPr>
            <w:tcW w:w="20" w:type="dxa"/>
            <w:vAlign w:val="bottom"/>
            <w:tcBorders>
              <w:top w:val="single" w:sz="8" w:color="0000FF"/>
              <w:bottom w:val="single" w:sz="8" w:color="0000EE"/>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6540" w:type="dxa"/>
            <w:vAlign w:val="bottom"/>
            <w:tcBorders>
              <w:bottom w:val="single" w:sz="8" w:color="0000FF"/>
            </w:tcBorders>
            <w:gridSpan w:val="6"/>
          </w:tcPr>
          <w:p>
            <w:pPr>
              <w:spacing w:after="0"/>
              <w:rPr>
                <w:rFonts w:ascii="Arial" w:cs="Arial" w:eastAsia="Arial" w:hAnsi="Arial"/>
                <w:sz w:val="18"/>
                <w:szCs w:val="18"/>
                <w:color w:val="0000FF"/>
                <w:w w:val="90"/>
              </w:rPr>
            </w:pPr>
            <w:hyperlink r:id="rId357">
              <w:r>
                <w:rPr>
                  <w:rFonts w:ascii="Arial" w:cs="Arial" w:eastAsia="Arial" w:hAnsi="Arial"/>
                  <w:sz w:val="18"/>
                  <w:szCs w:val="18"/>
                  <w:color w:val="0000FF"/>
                  <w:w w:val="90"/>
                </w:rPr>
                <w:t>Research Collaboration, Option and License Agreement dated as of May 30, 2013, by and</w:t>
              </w:r>
            </w:hyperlink>
          </w:p>
        </w:tc>
      </w:tr>
      <w:tr>
        <w:trPr>
          <w:trHeight w:val="156"/>
        </w:trPr>
        <w:tc>
          <w:tcPr>
            <w:tcW w:w="1120" w:type="dxa"/>
            <w:vAlign w:val="bottom"/>
          </w:tcPr>
          <w:p>
            <w:pPr>
              <w:spacing w:after="0"/>
              <w:rPr>
                <w:sz w:val="13"/>
                <w:szCs w:val="13"/>
                <w:color w:val="auto"/>
              </w:rPr>
            </w:pPr>
          </w:p>
        </w:tc>
        <w:tc>
          <w:tcPr>
            <w:tcW w:w="6540" w:type="dxa"/>
            <w:vAlign w:val="bottom"/>
            <w:gridSpan w:val="6"/>
          </w:tcPr>
          <w:p>
            <w:pPr>
              <w:spacing w:after="0" w:line="156" w:lineRule="exact"/>
              <w:rPr>
                <w:rFonts w:ascii="Arial" w:cs="Arial" w:eastAsia="Arial" w:hAnsi="Arial"/>
                <w:sz w:val="18"/>
                <w:szCs w:val="18"/>
                <w:color w:val="0000FF"/>
              </w:rPr>
            </w:pPr>
            <w:hyperlink r:id="rId357">
              <w:r>
                <w:rPr>
                  <w:rFonts w:ascii="Arial" w:cs="Arial" w:eastAsia="Arial" w:hAnsi="Arial"/>
                  <w:sz w:val="18"/>
                  <w:szCs w:val="18"/>
                  <w:color w:val="0000FF"/>
                </w:rPr>
                <w:t>between CytomX Therapeutics, Inc. and Pfizer, Inc.</w:t>
              </w:r>
            </w:hyperlink>
          </w:p>
        </w:tc>
      </w:tr>
      <w:tr>
        <w:trPr>
          <w:trHeight w:val="20"/>
        </w:trPr>
        <w:tc>
          <w:tcPr>
            <w:tcW w:w="1120" w:type="dxa"/>
            <w:vAlign w:val="bottom"/>
          </w:tcPr>
          <w:p>
            <w:pPr>
              <w:spacing w:after="0" w:line="20" w:lineRule="exact"/>
              <w:rPr>
                <w:sz w:val="1"/>
                <w:szCs w:val="1"/>
                <w:color w:val="auto"/>
              </w:rPr>
            </w:pPr>
          </w:p>
        </w:tc>
        <w:tc>
          <w:tcPr>
            <w:tcW w:w="37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10.18(a)†</w:t>
            </w:r>
          </w:p>
        </w:tc>
        <w:tc>
          <w:tcPr>
            <w:tcW w:w="6540" w:type="dxa"/>
            <w:vAlign w:val="bottom"/>
            <w:tcBorders>
              <w:bottom w:val="single" w:sz="8" w:color="0000FF"/>
            </w:tcBorders>
            <w:gridSpan w:val="6"/>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Collaboration and License Agreement dated as of May 23, 2014, by and between CytomX</w:t>
              </w:r>
            </w:hyperlink>
          </w:p>
        </w:tc>
      </w:tr>
      <w:tr>
        <w:trPr>
          <w:trHeight w:val="155"/>
        </w:trPr>
        <w:tc>
          <w:tcPr>
            <w:tcW w:w="1120" w:type="dxa"/>
            <w:vAlign w:val="bottom"/>
          </w:tcPr>
          <w:p>
            <w:pPr>
              <w:spacing w:after="0"/>
              <w:rPr>
                <w:sz w:val="13"/>
                <w:szCs w:val="13"/>
                <w:color w:val="auto"/>
              </w:rPr>
            </w:pPr>
          </w:p>
        </w:tc>
        <w:tc>
          <w:tcPr>
            <w:tcW w:w="39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358">
              <w:r>
                <w:rPr>
                  <w:rFonts w:ascii="Arial" w:cs="Arial" w:eastAsia="Arial" w:hAnsi="Arial"/>
                  <w:sz w:val="18"/>
                  <w:szCs w:val="18"/>
                  <w:color w:val="0000FF"/>
                  <w:w w:val="90"/>
                </w:rPr>
                <w:t>Therapeutics, Inc. and Bristol Myers Squibb Company.</w:t>
              </w:r>
            </w:hyperlink>
          </w:p>
        </w:tc>
        <w:tc>
          <w:tcPr>
            <w:tcW w:w="2560" w:type="dxa"/>
            <w:vAlign w:val="bottom"/>
            <w:gridSpan w:val="4"/>
          </w:tcPr>
          <w:p>
            <w:pPr>
              <w:spacing w:after="0"/>
              <w:rPr>
                <w:sz w:val="13"/>
                <w:szCs w:val="13"/>
                <w:color w:val="auto"/>
              </w:rPr>
            </w:pPr>
          </w:p>
        </w:tc>
      </w:tr>
      <w:tr>
        <w:trPr>
          <w:trHeight w:val="601"/>
        </w:trPr>
        <w:tc>
          <w:tcPr>
            <w:tcW w:w="1120" w:type="dxa"/>
            <w:vAlign w:val="bottom"/>
          </w:tcPr>
          <w:p>
            <w:pPr>
              <w:spacing w:after="0"/>
              <w:rPr>
                <w:sz w:val="24"/>
                <w:szCs w:val="24"/>
                <w:color w:val="auto"/>
              </w:rPr>
            </w:pPr>
          </w:p>
        </w:tc>
        <w:tc>
          <w:tcPr>
            <w:tcW w:w="6140" w:type="dxa"/>
            <w:vAlign w:val="bottom"/>
            <w:gridSpan w:val="3"/>
          </w:tcPr>
          <w:p>
            <w:pPr>
              <w:ind w:left="434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9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580"/>
        </w:trPr>
        <w:tc>
          <w:tcPr>
            <w:tcW w:w="540" w:type="dxa"/>
            <w:vAlign w:val="bottom"/>
          </w:tcPr>
          <w:p>
            <w:pPr>
              <w:jc w:val="center"/>
              <w:ind w:right="9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11/5/2020</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81"/>
        </w:trPr>
        <w:tc>
          <w:tcPr>
            <w:tcW w:w="540" w:type="dxa"/>
            <w:vAlign w:val="bottom"/>
          </w:tcPr>
          <w:p>
            <w:pPr>
              <w:jc w:val="center"/>
              <w:ind w:right="90"/>
              <w:spacing w:after="0"/>
              <w:rPr>
                <w:sz w:val="20"/>
                <w:szCs w:val="20"/>
                <w:color w:val="auto"/>
              </w:rPr>
            </w:pPr>
            <w:r>
              <w:rPr>
                <w:rFonts w:ascii="Arial" w:cs="Arial" w:eastAsia="Arial" w:hAnsi="Arial"/>
                <w:sz w:val="18"/>
                <w:szCs w:val="18"/>
                <w:color w:val="auto"/>
                <w:w w:val="93"/>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11/5/2020</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2">
            <w:col w:w="7660" w:space="380"/>
            <w:col w:w="2180"/>
          </w:cols>
          <w:pgMar w:left="340" w:top="513" w:right="1339" w:bottom="1440" w:gutter="0" w:footer="0" w:header="0"/>
          <w:type w:val="continuous"/>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10.18(b)†</w:t>
            </w:r>
          </w:p>
        </w:tc>
        <w:tc>
          <w:tcPr>
            <w:tcW w:w="6720" w:type="dxa"/>
            <w:vAlign w:val="bottom"/>
            <w:tcBorders>
              <w:bottom w:val="single" w:sz="8" w:color="0000FF"/>
            </w:tcBorders>
            <w:gridSpan w:val="41"/>
          </w:tcPr>
          <w:p>
            <w:pPr>
              <w:spacing w:after="0"/>
              <w:rPr>
                <w:rFonts w:ascii="Arial" w:cs="Arial" w:eastAsia="Arial" w:hAnsi="Arial"/>
                <w:sz w:val="18"/>
                <w:szCs w:val="18"/>
                <w:color w:val="0000FF"/>
                <w:w w:val="91"/>
              </w:rPr>
            </w:pPr>
            <w:hyperlink r:id="rId360">
              <w:r>
                <w:rPr>
                  <w:rFonts w:ascii="Arial" w:cs="Arial" w:eastAsia="Arial" w:hAnsi="Arial"/>
                  <w:sz w:val="18"/>
                  <w:szCs w:val="18"/>
                  <w:color w:val="0000FF"/>
                  <w:w w:val="91"/>
                </w:rPr>
                <w:t>Amendment to Extend Collaboration and License Agreement, dated March 17, 2017, by and</w:t>
              </w:r>
            </w:hyperlink>
          </w:p>
        </w:tc>
      </w:tr>
      <w:tr>
        <w:trPr>
          <w:trHeight w:val="155"/>
        </w:trPr>
        <w:tc>
          <w:tcPr>
            <w:tcW w:w="1120" w:type="dxa"/>
            <w:vAlign w:val="bottom"/>
          </w:tcPr>
          <w:p>
            <w:pPr>
              <w:spacing w:after="0"/>
              <w:rPr>
                <w:sz w:val="13"/>
                <w:szCs w:val="13"/>
                <w:color w:val="auto"/>
              </w:rPr>
            </w:pPr>
          </w:p>
        </w:tc>
        <w:tc>
          <w:tcPr>
            <w:tcW w:w="3560" w:type="dxa"/>
            <w:vAlign w:val="bottom"/>
            <w:tcBorders>
              <w:bottom w:val="single" w:sz="8" w:color="0000FF"/>
            </w:tcBorders>
            <w:gridSpan w:val="13"/>
          </w:tcPr>
          <w:p>
            <w:pPr>
              <w:spacing w:after="0" w:line="156" w:lineRule="exact"/>
              <w:rPr>
                <w:rFonts w:ascii="Arial" w:cs="Arial" w:eastAsia="Arial" w:hAnsi="Arial"/>
                <w:sz w:val="18"/>
                <w:szCs w:val="18"/>
                <w:color w:val="0000FF"/>
                <w:w w:val="90"/>
              </w:rPr>
            </w:pPr>
            <w:hyperlink r:id="rId360">
              <w:r>
                <w:rPr>
                  <w:rFonts w:ascii="Arial" w:cs="Arial" w:eastAsia="Arial" w:hAnsi="Arial"/>
                  <w:sz w:val="18"/>
                  <w:szCs w:val="18"/>
                  <w:color w:val="0000FF"/>
                  <w:w w:val="90"/>
                </w:rPr>
                <w:t>between the Company and Bristol Myers Squibb.</w:t>
              </w:r>
            </w:hyperlink>
          </w:p>
        </w:tc>
        <w:tc>
          <w:tcPr>
            <w:tcW w:w="20" w:type="dxa"/>
            <w:vAlign w:val="bottom"/>
            <w:tcBorders>
              <w:bottom w:val="single" w:sz="8" w:color="0000EE"/>
            </w:tcBorders>
          </w:tcPr>
          <w:p>
            <w:pPr>
              <w:spacing w:after="0"/>
              <w:rPr>
                <w:sz w:val="13"/>
                <w:szCs w:val="13"/>
                <w:color w:val="auto"/>
              </w:rPr>
            </w:pPr>
          </w:p>
        </w:tc>
        <w:tc>
          <w:tcPr>
            <w:tcW w:w="3140" w:type="dxa"/>
            <w:vAlign w:val="bottom"/>
            <w:gridSpan w:val="27"/>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10.18(c)†</w:t>
            </w:r>
          </w:p>
        </w:tc>
        <w:tc>
          <w:tcPr>
            <w:tcW w:w="6720" w:type="dxa"/>
            <w:vAlign w:val="bottom"/>
            <w:gridSpan w:val="41"/>
          </w:tcPr>
          <w:p>
            <w:pPr>
              <w:spacing w:after="0"/>
              <w:rPr>
                <w:rFonts w:ascii="Arial" w:cs="Arial" w:eastAsia="Arial" w:hAnsi="Arial"/>
                <w:sz w:val="18"/>
                <w:szCs w:val="18"/>
                <w:color w:val="0000FF"/>
                <w:w w:val="93"/>
              </w:rPr>
            </w:pPr>
            <w:hyperlink r:id="rId361">
              <w:r>
                <w:rPr>
                  <w:rFonts w:ascii="Arial" w:cs="Arial" w:eastAsia="Arial" w:hAnsi="Arial"/>
                  <w:sz w:val="18"/>
                  <w:szCs w:val="18"/>
                  <w:color w:val="0000FF"/>
                  <w:w w:val="93"/>
                </w:rPr>
                <w:t>Amendment No 2 to Collaboration and License Agreement, as amended, dated March 17,</w:t>
              </w:r>
            </w:hyperlink>
          </w:p>
        </w:tc>
      </w:tr>
      <w:tr>
        <w:trPr>
          <w:trHeight w:val="156"/>
        </w:trPr>
        <w:tc>
          <w:tcPr>
            <w:tcW w:w="11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89"/>
              </w:rPr>
            </w:pPr>
            <w:hyperlink r:id="rId361">
              <w:r>
                <w:rPr>
                  <w:rFonts w:ascii="Arial" w:cs="Arial" w:eastAsia="Arial" w:hAnsi="Arial"/>
                  <w:sz w:val="18"/>
                  <w:szCs w:val="18"/>
                  <w:color w:val="0000FF"/>
                  <w:w w:val="89"/>
                </w:rPr>
                <w:t>2017, by and between the Company and Bristol Myers Squibb, effective as of February 22,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361">
              <w:r>
                <w:rPr>
                  <w:rFonts w:ascii="Arial" w:cs="Arial" w:eastAsia="Arial" w:hAnsi="Arial"/>
                  <w:sz w:val="18"/>
                  <w:szCs w:val="18"/>
                  <w:color w:val="0000FF"/>
                  <w:w w:val="84"/>
                </w:rPr>
                <w:t>2021.</w:t>
              </w:r>
            </w:hyperlink>
          </w:p>
        </w:tc>
        <w:tc>
          <w:tcPr>
            <w:tcW w:w="20" w:type="dxa"/>
            <w:vAlign w:val="bottom"/>
            <w:tcBorders>
              <w:bottom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10.19(a)†</w:t>
            </w:r>
          </w:p>
        </w:tc>
        <w:tc>
          <w:tcPr>
            <w:tcW w:w="6720" w:type="dxa"/>
            <w:vAlign w:val="bottom"/>
            <w:gridSpan w:val="41"/>
          </w:tcPr>
          <w:p>
            <w:pPr>
              <w:spacing w:after="0"/>
              <w:rPr>
                <w:rFonts w:ascii="Arial" w:cs="Arial" w:eastAsia="Arial" w:hAnsi="Arial"/>
                <w:sz w:val="18"/>
                <w:szCs w:val="18"/>
                <w:color w:val="0000FF"/>
                <w:w w:val="94"/>
              </w:rPr>
            </w:pPr>
            <w:hyperlink r:id="rId362">
              <w:r>
                <w:rPr>
                  <w:rFonts w:ascii="Arial" w:cs="Arial" w:eastAsia="Arial" w:hAnsi="Arial"/>
                  <w:sz w:val="18"/>
                  <w:szCs w:val="18"/>
                  <w:color w:val="0000FF"/>
                  <w:w w:val="94"/>
                </w:rPr>
                <w:t>Co-Development and License Agreement, dated April 21, 2016, by and between CytomX</w:t>
              </w:r>
            </w:hyperlink>
          </w:p>
        </w:tc>
      </w:tr>
      <w:tr>
        <w:trPr>
          <w:trHeight w:val="156"/>
        </w:trPr>
        <w:tc>
          <w:tcPr>
            <w:tcW w:w="11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362">
              <w:r>
                <w:rPr>
                  <w:rFonts w:ascii="Arial" w:cs="Arial" w:eastAsia="Arial" w:hAnsi="Arial"/>
                  <w:sz w:val="18"/>
                  <w:szCs w:val="18"/>
                  <w:color w:val="0000FF"/>
                  <w:w w:val="91"/>
                </w:rPr>
                <w:t>Therapeutics, Inc. and AbbVie Ireland Unlimited Company.</w:t>
              </w:r>
            </w:hyperlink>
          </w:p>
        </w:tc>
        <w:tc>
          <w:tcPr>
            <w:tcW w:w="20" w:type="dxa"/>
            <w:vAlign w:val="bottom"/>
            <w:tcBorders>
              <w:top w:val="single" w:sz="8" w:color="0000FF"/>
              <w:bottom w:val="single" w:sz="8" w:color="0000EE"/>
            </w:tcBorders>
          </w:tcPr>
          <w:p>
            <w:pPr>
              <w:spacing w:after="0"/>
              <w:rPr>
                <w:sz w:val="13"/>
                <w:szCs w:val="13"/>
                <w:color w:val="auto"/>
              </w:rPr>
            </w:pPr>
          </w:p>
        </w:tc>
        <w:tc>
          <w:tcPr>
            <w:tcW w:w="21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10.19(b)†</w:t>
            </w:r>
          </w:p>
        </w:tc>
        <w:tc>
          <w:tcPr>
            <w:tcW w:w="6720" w:type="dxa"/>
            <w:vAlign w:val="bottom"/>
            <w:gridSpan w:val="41"/>
          </w:tcPr>
          <w:p>
            <w:pPr>
              <w:spacing w:after="0"/>
              <w:rPr>
                <w:rFonts w:ascii="Arial" w:cs="Arial" w:eastAsia="Arial" w:hAnsi="Arial"/>
                <w:sz w:val="18"/>
                <w:szCs w:val="18"/>
                <w:color w:val="0000FF"/>
                <w:w w:val="94"/>
              </w:rPr>
            </w:pPr>
            <w:hyperlink r:id="rId363">
              <w:r>
                <w:rPr>
                  <w:rFonts w:ascii="Arial" w:cs="Arial" w:eastAsia="Arial" w:hAnsi="Arial"/>
                  <w:sz w:val="18"/>
                  <w:szCs w:val="18"/>
                  <w:color w:val="0000FF"/>
                  <w:w w:val="94"/>
                </w:rPr>
                <w:t>First Amendment to the CD71 Co-Development and License Agreement by and between</w:t>
              </w:r>
            </w:hyperlink>
          </w:p>
        </w:tc>
      </w:tr>
      <w:tr>
        <w:trPr>
          <w:trHeight w:val="155"/>
        </w:trPr>
        <w:tc>
          <w:tcPr>
            <w:tcW w:w="11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363">
              <w:r>
                <w:rPr>
                  <w:rFonts w:ascii="Arial" w:cs="Arial" w:eastAsia="Arial" w:hAnsi="Arial"/>
                  <w:sz w:val="18"/>
                  <w:szCs w:val="18"/>
                  <w:color w:val="0000FF"/>
                  <w:w w:val="91"/>
                </w:rPr>
                <w:t>CytomX Therapeutics, Inc. and AbbVie Ireland Unlimited Company, dated as of October</w:t>
              </w:r>
            </w:hyperlink>
          </w:p>
        </w:tc>
        <w:tc>
          <w:tcPr>
            <w:tcW w:w="200" w:type="dxa"/>
            <w:vAlign w:val="bottom"/>
            <w:tcBorders>
              <w:bottom w:val="single" w:sz="8" w:color="0000FF"/>
            </w:tcBorders>
            <w:gridSpan w:val="8"/>
          </w:tcPr>
          <w:p>
            <w:pPr>
              <w:jc w:val="right"/>
              <w:ind w:right="40"/>
              <w:spacing w:after="0" w:line="156" w:lineRule="exact"/>
              <w:rPr>
                <w:rFonts w:ascii="Arial" w:cs="Arial" w:eastAsia="Arial" w:hAnsi="Arial"/>
                <w:sz w:val="18"/>
                <w:szCs w:val="18"/>
                <w:color w:val="0000FF"/>
                <w:w w:val="92"/>
              </w:rPr>
            </w:pPr>
            <w:hyperlink r:id="rId363">
              <w:r>
                <w:rPr>
                  <w:rFonts w:ascii="Arial" w:cs="Arial" w:eastAsia="Arial" w:hAnsi="Arial"/>
                  <w:sz w:val="18"/>
                  <w:szCs w:val="18"/>
                  <w:color w:val="0000FF"/>
                  <w:w w:val="92"/>
                </w:rPr>
                <w:t>5,</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363">
              <w:r>
                <w:rPr>
                  <w:rFonts w:ascii="Arial" w:cs="Arial" w:eastAsia="Arial" w:hAnsi="Arial"/>
                  <w:sz w:val="18"/>
                  <w:szCs w:val="18"/>
                  <w:color w:val="0000FF"/>
                  <w:w w:val="84"/>
                </w:rPr>
                <w:t>2016.</w:t>
              </w:r>
            </w:hyperlink>
          </w:p>
        </w:tc>
        <w:tc>
          <w:tcPr>
            <w:tcW w:w="20" w:type="dxa"/>
            <w:vAlign w:val="bottom"/>
            <w:tcBorders>
              <w:bottom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10.19(c)†</w:t>
            </w:r>
          </w:p>
        </w:tc>
        <w:tc>
          <w:tcPr>
            <w:tcW w:w="6720" w:type="dxa"/>
            <w:vAlign w:val="bottom"/>
            <w:gridSpan w:val="41"/>
          </w:tcPr>
          <w:p>
            <w:pPr>
              <w:spacing w:after="0"/>
              <w:rPr>
                <w:rFonts w:ascii="Arial" w:cs="Arial" w:eastAsia="Arial" w:hAnsi="Arial"/>
                <w:sz w:val="18"/>
                <w:szCs w:val="18"/>
                <w:color w:val="0000FF"/>
                <w:w w:val="91"/>
              </w:rPr>
            </w:pPr>
            <w:hyperlink r:id="rId364">
              <w:r>
                <w:rPr>
                  <w:rFonts w:ascii="Arial" w:cs="Arial" w:eastAsia="Arial" w:hAnsi="Arial"/>
                  <w:sz w:val="18"/>
                  <w:szCs w:val="18"/>
                  <w:color w:val="0000FF"/>
                  <w:w w:val="91"/>
                </w:rPr>
                <w:t>Second Amendment to the CD71 Co-Development and License Agreement by and between</w:t>
              </w:r>
            </w:hyperlink>
          </w:p>
        </w:tc>
      </w:tr>
      <w:tr>
        <w:trPr>
          <w:trHeight w:val="156"/>
        </w:trPr>
        <w:tc>
          <w:tcPr>
            <w:tcW w:w="1120" w:type="dxa"/>
            <w:vAlign w:val="bottom"/>
          </w:tcPr>
          <w:p>
            <w:pPr>
              <w:spacing w:after="0"/>
              <w:rPr>
                <w:sz w:val="13"/>
                <w:szCs w:val="13"/>
                <w:color w:val="auto"/>
              </w:rPr>
            </w:pPr>
          </w:p>
        </w:tc>
        <w:tc>
          <w:tcPr>
            <w:tcW w:w="6640" w:type="dxa"/>
            <w:vAlign w:val="bottom"/>
            <w:tcBorders>
              <w:top w:val="single" w:sz="8" w:color="0000FF"/>
            </w:tcBorders>
            <w:gridSpan w:val="37"/>
          </w:tcPr>
          <w:p>
            <w:pPr>
              <w:spacing w:after="0" w:line="156" w:lineRule="exact"/>
              <w:rPr>
                <w:rFonts w:ascii="Arial" w:cs="Arial" w:eastAsia="Arial" w:hAnsi="Arial"/>
                <w:sz w:val="18"/>
                <w:szCs w:val="18"/>
                <w:color w:val="0000FF"/>
                <w:w w:val="93"/>
              </w:rPr>
            </w:pPr>
            <w:hyperlink r:id="rId364">
              <w:r>
                <w:rPr>
                  <w:rFonts w:ascii="Arial" w:cs="Arial" w:eastAsia="Arial" w:hAnsi="Arial"/>
                  <w:sz w:val="18"/>
                  <w:szCs w:val="18"/>
                  <w:color w:val="0000FF"/>
                  <w:w w:val="93"/>
                </w:rPr>
                <w:t>CytomX Therapeutics, Inc. and AbbVie Ireland Unlimited Company, effective as of March</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7"/>
              </w:rPr>
            </w:pPr>
            <w:hyperlink r:id="rId364">
              <w:r>
                <w:rPr>
                  <w:rFonts w:ascii="Arial" w:cs="Arial" w:eastAsia="Arial" w:hAnsi="Arial"/>
                  <w:sz w:val="18"/>
                  <w:szCs w:val="18"/>
                  <w:color w:val="0000FF"/>
                  <w:w w:val="87"/>
                </w:rPr>
                <w:t>31, 2017.</w:t>
              </w:r>
            </w:hyperlink>
          </w:p>
        </w:tc>
        <w:tc>
          <w:tcPr>
            <w:tcW w:w="20" w:type="dxa"/>
            <w:vAlign w:val="bottom"/>
            <w:tcBorders>
              <w:top w:val="single" w:sz="8" w:color="0000FF"/>
              <w:bottom w:val="single" w:sz="8" w:color="0000EE"/>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10.19(d)†</w:t>
            </w:r>
          </w:p>
        </w:tc>
        <w:tc>
          <w:tcPr>
            <w:tcW w:w="6720" w:type="dxa"/>
            <w:vAlign w:val="bottom"/>
            <w:gridSpan w:val="41"/>
          </w:tcPr>
          <w:p>
            <w:pPr>
              <w:spacing w:after="0"/>
              <w:rPr>
                <w:rFonts w:ascii="Arial" w:cs="Arial" w:eastAsia="Arial" w:hAnsi="Arial"/>
                <w:sz w:val="18"/>
                <w:szCs w:val="18"/>
                <w:color w:val="0000FF"/>
                <w:w w:val="94"/>
              </w:rPr>
            </w:pPr>
            <w:hyperlink r:id="rId365">
              <w:r>
                <w:rPr>
                  <w:rFonts w:ascii="Arial" w:cs="Arial" w:eastAsia="Arial" w:hAnsi="Arial"/>
                  <w:sz w:val="18"/>
                  <w:szCs w:val="18"/>
                  <w:color w:val="0000FF"/>
                  <w:w w:val="94"/>
                </w:rPr>
                <w:t>Third Amendment to the CD71 Co-Development and License Agreement by and between</w:t>
              </w:r>
            </w:hyperlink>
          </w:p>
        </w:tc>
      </w:tr>
      <w:tr>
        <w:trPr>
          <w:trHeight w:val="156"/>
        </w:trPr>
        <w:tc>
          <w:tcPr>
            <w:tcW w:w="11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0"/>
              </w:rPr>
            </w:pPr>
            <w:hyperlink r:id="rId365">
              <w:r>
                <w:rPr>
                  <w:rFonts w:ascii="Arial" w:cs="Arial" w:eastAsia="Arial" w:hAnsi="Arial"/>
                  <w:sz w:val="18"/>
                  <w:szCs w:val="18"/>
                  <w:color w:val="0000FF"/>
                  <w:w w:val="90"/>
                </w:rPr>
                <w:t>CytomX Therapeutics, Inc. and AbbVie Ireland Unlimited Company, effective as of January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580" w:type="dxa"/>
            <w:vAlign w:val="bottom"/>
            <w:tcBorders>
              <w:bottom w:val="single" w:sz="8" w:color="0000FF"/>
            </w:tcBorders>
            <w:gridSpan w:val="3"/>
          </w:tcPr>
          <w:p>
            <w:pPr>
              <w:spacing w:after="0" w:line="156" w:lineRule="exact"/>
              <w:rPr>
                <w:rFonts w:ascii="Arial" w:cs="Arial" w:eastAsia="Arial" w:hAnsi="Arial"/>
                <w:sz w:val="18"/>
                <w:szCs w:val="18"/>
                <w:color w:val="0000FF"/>
                <w:w w:val="86"/>
              </w:rPr>
            </w:pPr>
            <w:hyperlink r:id="rId365">
              <w:r>
                <w:rPr>
                  <w:rFonts w:ascii="Arial" w:cs="Arial" w:eastAsia="Arial" w:hAnsi="Arial"/>
                  <w:sz w:val="18"/>
                  <w:szCs w:val="18"/>
                  <w:color w:val="0000FF"/>
                  <w:w w:val="86"/>
                </w:rPr>
                <w:t>3, 2018.</w:t>
              </w:r>
            </w:hyperlink>
          </w:p>
        </w:tc>
        <w:tc>
          <w:tcPr>
            <w:tcW w:w="20" w:type="dxa"/>
            <w:vAlign w:val="bottom"/>
            <w:tcBorders>
              <w:bottom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10.19(e)†</w:t>
            </w:r>
          </w:p>
        </w:tc>
        <w:tc>
          <w:tcPr>
            <w:tcW w:w="6720" w:type="dxa"/>
            <w:vAlign w:val="bottom"/>
            <w:gridSpan w:val="41"/>
          </w:tcPr>
          <w:p>
            <w:pPr>
              <w:spacing w:after="0"/>
              <w:rPr>
                <w:rFonts w:ascii="Arial" w:cs="Arial" w:eastAsia="Arial" w:hAnsi="Arial"/>
                <w:sz w:val="18"/>
                <w:szCs w:val="18"/>
                <w:color w:val="0000FF"/>
                <w:w w:val="92"/>
              </w:rPr>
            </w:pPr>
            <w:hyperlink r:id="rId366">
              <w:r>
                <w:rPr>
                  <w:rFonts w:ascii="Arial" w:cs="Arial" w:eastAsia="Arial" w:hAnsi="Arial"/>
                  <w:sz w:val="18"/>
                  <w:szCs w:val="18"/>
                  <w:color w:val="0000FF"/>
                  <w:w w:val="92"/>
                </w:rPr>
                <w:t>Amended and Restated Discovery Collaboration and License Agreement, dated as of June</w:t>
              </w:r>
            </w:hyperlink>
          </w:p>
        </w:tc>
      </w:tr>
      <w:tr>
        <w:trPr>
          <w:trHeight w:val="156"/>
        </w:trPr>
        <w:tc>
          <w:tcPr>
            <w:tcW w:w="1120" w:type="dxa"/>
            <w:vAlign w:val="bottom"/>
          </w:tcPr>
          <w:p>
            <w:pPr>
              <w:spacing w:after="0"/>
              <w:rPr>
                <w:sz w:val="13"/>
                <w:szCs w:val="13"/>
                <w:color w:val="auto"/>
              </w:rPr>
            </w:pPr>
          </w:p>
        </w:tc>
        <w:tc>
          <w:tcPr>
            <w:tcW w:w="656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366">
              <w:r>
                <w:rPr>
                  <w:rFonts w:ascii="Arial" w:cs="Arial" w:eastAsia="Arial" w:hAnsi="Arial"/>
                  <w:sz w:val="18"/>
                  <w:szCs w:val="18"/>
                  <w:color w:val="0000FF"/>
                  <w:w w:val="97"/>
                </w:rPr>
                <w:t>28, 2019, by and between CytomX Therapeutics, Inc., and AbbVie Ireland Unlimited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7"/>
              </w:rPr>
            </w:pPr>
            <w:hyperlink r:id="rId366">
              <w:r>
                <w:rPr>
                  <w:rFonts w:ascii="Arial" w:cs="Arial" w:eastAsia="Arial" w:hAnsi="Arial"/>
                  <w:sz w:val="18"/>
                  <w:szCs w:val="18"/>
                  <w:color w:val="0000FF"/>
                  <w:w w:val="87"/>
                </w:rPr>
                <w:t>Company.</w:t>
              </w:r>
            </w:hyperlink>
          </w:p>
        </w:tc>
        <w:tc>
          <w:tcPr>
            <w:tcW w:w="20" w:type="dxa"/>
            <w:vAlign w:val="bottom"/>
            <w:tcBorders>
              <w:top w:val="single" w:sz="8" w:color="0000FF"/>
              <w:bottom w:val="single" w:sz="8" w:color="0000EE"/>
            </w:tcBorders>
          </w:tcPr>
          <w:p>
            <w:pPr>
              <w:spacing w:after="0"/>
              <w:rPr>
                <w:sz w:val="13"/>
                <w:szCs w:val="13"/>
                <w:color w:val="auto"/>
              </w:rPr>
            </w:pPr>
          </w:p>
        </w:tc>
        <w:tc>
          <w:tcPr>
            <w:tcW w:w="542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10.20(a)††</w:t>
            </w:r>
          </w:p>
        </w:tc>
        <w:tc>
          <w:tcPr>
            <w:tcW w:w="6720" w:type="dxa"/>
            <w:vAlign w:val="bottom"/>
            <w:gridSpan w:val="41"/>
          </w:tcPr>
          <w:p>
            <w:pPr>
              <w:spacing w:after="0"/>
              <w:rPr>
                <w:rFonts w:ascii="Arial" w:cs="Arial" w:eastAsia="Arial" w:hAnsi="Arial"/>
                <w:sz w:val="18"/>
                <w:szCs w:val="18"/>
                <w:color w:val="0000FF"/>
                <w:w w:val="97"/>
              </w:rPr>
            </w:pPr>
            <w:hyperlink r:id="rId367">
              <w:r>
                <w:rPr>
                  <w:rFonts w:ascii="Arial" w:cs="Arial" w:eastAsia="Arial" w:hAnsi="Arial"/>
                  <w:sz w:val="18"/>
                  <w:szCs w:val="18"/>
                  <w:color w:val="0000FF"/>
                  <w:w w:val="97"/>
                </w:rPr>
                <w:t>Collaboration and License Agreement by and between CytomX Therapeutics, Inc. and</w:t>
              </w:r>
            </w:hyperlink>
          </w:p>
        </w:tc>
      </w:tr>
      <w:tr>
        <w:trPr>
          <w:trHeight w:val="156"/>
        </w:trPr>
        <w:tc>
          <w:tcPr>
            <w:tcW w:w="1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367">
              <w:r>
                <w:rPr>
                  <w:rFonts w:ascii="Arial" w:cs="Arial" w:eastAsia="Arial" w:hAnsi="Arial"/>
                  <w:sz w:val="18"/>
                  <w:szCs w:val="18"/>
                  <w:color w:val="0000FF"/>
                  <w:w w:val="89"/>
                </w:rPr>
                <w:t>Amgen, Inc. dated as of September 29, 2017.</w:t>
              </w:r>
            </w:hyperlink>
          </w:p>
        </w:tc>
        <w:tc>
          <w:tcPr>
            <w:tcW w:w="302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10.20(b)†</w:t>
            </w:r>
          </w:p>
        </w:tc>
        <w:tc>
          <w:tcPr>
            <w:tcW w:w="6720" w:type="dxa"/>
            <w:vAlign w:val="bottom"/>
            <w:gridSpan w:val="41"/>
          </w:tcPr>
          <w:p>
            <w:pPr>
              <w:spacing w:after="0"/>
              <w:rPr>
                <w:rFonts w:ascii="Arial" w:cs="Arial" w:eastAsia="Arial" w:hAnsi="Arial"/>
                <w:sz w:val="18"/>
                <w:szCs w:val="18"/>
                <w:color w:val="0000FF"/>
                <w:w w:val="92"/>
              </w:rPr>
            </w:pPr>
            <w:hyperlink r:id="rId368">
              <w:r>
                <w:rPr>
                  <w:rFonts w:ascii="Arial" w:cs="Arial" w:eastAsia="Arial" w:hAnsi="Arial"/>
                  <w:sz w:val="18"/>
                  <w:szCs w:val="18"/>
                  <w:color w:val="0000FF"/>
                  <w:w w:val="92"/>
                </w:rPr>
                <w:t>Amendment No. 1 to the Collaboration and License Agreement, dated as of September 29,</w:t>
              </w:r>
            </w:hyperlink>
          </w:p>
        </w:tc>
      </w:tr>
      <w:tr>
        <w:trPr>
          <w:trHeight w:val="155"/>
        </w:trPr>
        <w:tc>
          <w:tcPr>
            <w:tcW w:w="1120" w:type="dxa"/>
            <w:vAlign w:val="bottom"/>
          </w:tcPr>
          <w:p>
            <w:pPr>
              <w:spacing w:after="0"/>
              <w:rPr>
                <w:sz w:val="13"/>
                <w:szCs w:val="13"/>
                <w:color w:val="auto"/>
              </w:rPr>
            </w:pPr>
          </w:p>
        </w:tc>
        <w:tc>
          <w:tcPr>
            <w:tcW w:w="66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68">
              <w:r>
                <w:rPr>
                  <w:rFonts w:ascii="Arial" w:cs="Arial" w:eastAsia="Arial" w:hAnsi="Arial"/>
                  <w:sz w:val="18"/>
                  <w:szCs w:val="18"/>
                  <w:color w:val="0000FF"/>
                </w:rPr>
                <w:t>2020, by and between CytomX Therapeutics, Inc. and Amgen, Inc.</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10.20(c)††</w:t>
            </w:r>
          </w:p>
        </w:tc>
        <w:tc>
          <w:tcPr>
            <w:tcW w:w="6720" w:type="dxa"/>
            <w:vAlign w:val="bottom"/>
            <w:gridSpan w:val="41"/>
          </w:tcPr>
          <w:p>
            <w:pPr>
              <w:spacing w:after="0"/>
              <w:rPr>
                <w:rFonts w:ascii="Arial" w:cs="Arial" w:eastAsia="Arial" w:hAnsi="Arial"/>
                <w:sz w:val="18"/>
                <w:szCs w:val="18"/>
                <w:color w:val="0000FF"/>
                <w:w w:val="95"/>
              </w:rPr>
            </w:pPr>
            <w:hyperlink w:anchor="page138">
              <w:r>
                <w:rPr>
                  <w:rFonts w:ascii="Arial" w:cs="Arial" w:eastAsia="Arial" w:hAnsi="Arial"/>
                  <w:sz w:val="18"/>
                  <w:szCs w:val="18"/>
                  <w:color w:val="0000FF"/>
                  <w:w w:val="95"/>
                </w:rPr>
                <w:t>Amendment No. 2 to the Collaboration and License Agreement, dated as of October 27,</w:t>
              </w:r>
            </w:hyperlink>
          </w:p>
        </w:tc>
      </w:tr>
      <w:tr>
        <w:trPr>
          <w:trHeight w:val="155"/>
        </w:trPr>
        <w:tc>
          <w:tcPr>
            <w:tcW w:w="1120" w:type="dxa"/>
            <w:vAlign w:val="bottom"/>
          </w:tcPr>
          <w:p>
            <w:pPr>
              <w:spacing w:after="0"/>
              <w:rPr>
                <w:sz w:val="13"/>
                <w:szCs w:val="13"/>
                <w:color w:val="auto"/>
              </w:rPr>
            </w:pPr>
          </w:p>
        </w:tc>
        <w:tc>
          <w:tcPr>
            <w:tcW w:w="63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2021, by and between CytomX Therapeutics, Inc. and Amgen, Inc.</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6720" w:type="dxa"/>
            <w:vAlign w:val="bottom"/>
            <w:gridSpan w:val="41"/>
          </w:tcPr>
          <w:p>
            <w:pPr>
              <w:spacing w:after="0"/>
              <w:rPr>
                <w:rFonts w:ascii="Arial" w:cs="Arial" w:eastAsia="Arial" w:hAnsi="Arial"/>
                <w:sz w:val="18"/>
                <w:szCs w:val="18"/>
                <w:color w:val="0000FF"/>
                <w:w w:val="91"/>
              </w:rPr>
            </w:pPr>
            <w:hyperlink r:id="rId369">
              <w:r>
                <w:rPr>
                  <w:rFonts w:ascii="Arial" w:cs="Arial" w:eastAsia="Arial" w:hAnsi="Arial"/>
                  <w:sz w:val="18"/>
                  <w:szCs w:val="18"/>
                  <w:color w:val="0000FF"/>
                  <w:w w:val="91"/>
                </w:rPr>
                <w:t>Collaboration and License Agreement dated as of March 23, 2020, by and between CytomX</w:t>
              </w:r>
            </w:hyperlink>
          </w:p>
        </w:tc>
      </w:tr>
      <w:tr>
        <w:trPr>
          <w:trHeight w:val="155"/>
        </w:trPr>
        <w:tc>
          <w:tcPr>
            <w:tcW w:w="1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369">
              <w:r>
                <w:rPr>
                  <w:rFonts w:ascii="Arial" w:cs="Arial" w:eastAsia="Arial" w:hAnsi="Arial"/>
                  <w:sz w:val="18"/>
                  <w:szCs w:val="18"/>
                  <w:color w:val="0000FF"/>
                  <w:w w:val="89"/>
                </w:rPr>
                <w:t>Therapeutics, Inc. and Astellas Pharma Inc.</w:t>
              </w:r>
            </w:hyperlink>
          </w:p>
        </w:tc>
        <w:tc>
          <w:tcPr>
            <w:tcW w:w="20" w:type="dxa"/>
            <w:vAlign w:val="bottom"/>
            <w:tcBorders>
              <w:top w:val="single" w:sz="8" w:color="0000FF"/>
              <w:bottom w:val="single" w:sz="8" w:color="0000EE"/>
            </w:tcBorders>
          </w:tcPr>
          <w:p>
            <w:pPr>
              <w:spacing w:after="0"/>
              <w:rPr>
                <w:sz w:val="13"/>
                <w:szCs w:val="13"/>
                <w:color w:val="auto"/>
              </w:rPr>
            </w:pPr>
          </w:p>
        </w:tc>
        <w:tc>
          <w:tcPr>
            <w:tcW w:w="35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10.22(a)†</w:t>
            </w:r>
          </w:p>
        </w:tc>
        <w:tc>
          <w:tcPr>
            <w:tcW w:w="5820" w:type="dxa"/>
            <w:vAlign w:val="bottom"/>
            <w:tcBorders>
              <w:bottom w:val="single" w:sz="8" w:color="0000FF"/>
            </w:tcBorders>
            <w:gridSpan w:val="23"/>
          </w:tcPr>
          <w:p>
            <w:pPr>
              <w:spacing w:after="0"/>
              <w:rPr>
                <w:rFonts w:ascii="Arial" w:cs="Arial" w:eastAsia="Arial" w:hAnsi="Arial"/>
                <w:sz w:val="18"/>
                <w:szCs w:val="18"/>
                <w:color w:val="0000FF"/>
                <w:w w:val="89"/>
              </w:rPr>
            </w:pPr>
            <w:hyperlink r:id="rId370">
              <w:r>
                <w:rPr>
                  <w:rFonts w:ascii="Arial" w:cs="Arial" w:eastAsia="Arial" w:hAnsi="Arial"/>
                  <w:sz w:val="18"/>
                  <w:szCs w:val="18"/>
                  <w:color w:val="0000FF"/>
                  <w:w w:val="89"/>
                </w:rPr>
                <w:t>Research Collaboration Agreement dated as of January 8, 2014, by and between</w:t>
              </w:r>
            </w:hyperlink>
          </w:p>
        </w:tc>
        <w:tc>
          <w:tcPr>
            <w:tcW w:w="900" w:type="dxa"/>
            <w:vAlign w:val="bottom"/>
            <w:gridSpan w:val="18"/>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6720" w:type="dxa"/>
            <w:vAlign w:val="bottom"/>
            <w:gridSpan w:val="41"/>
          </w:tcPr>
          <w:p>
            <w:pPr>
              <w:spacing w:after="0" w:line="156" w:lineRule="exact"/>
              <w:rPr>
                <w:rFonts w:ascii="Arial" w:cs="Arial" w:eastAsia="Arial" w:hAnsi="Arial"/>
                <w:sz w:val="18"/>
                <w:szCs w:val="18"/>
                <w:color w:val="0000FF"/>
                <w:w w:val="93"/>
              </w:rPr>
            </w:pPr>
            <w:hyperlink r:id="rId370">
              <w:r>
                <w:rPr>
                  <w:rFonts w:ascii="Arial" w:cs="Arial" w:eastAsia="Arial" w:hAnsi="Arial"/>
                  <w:sz w:val="18"/>
                  <w:szCs w:val="18"/>
                  <w:color w:val="0000FF"/>
                  <w:w w:val="93"/>
                </w:rPr>
                <w:t>ImmunoGen, Inc. and CytomX Therapeutics, Inc., as amended by the First Amendment to</w:t>
              </w:r>
            </w:hyperlink>
          </w:p>
        </w:tc>
      </w:tr>
      <w:tr>
        <w:trPr>
          <w:trHeight w:val="155"/>
        </w:trPr>
        <w:tc>
          <w:tcPr>
            <w:tcW w:w="11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70">
              <w:r>
                <w:rPr>
                  <w:rFonts w:ascii="Arial" w:cs="Arial" w:eastAsia="Arial" w:hAnsi="Arial"/>
                  <w:sz w:val="18"/>
                  <w:szCs w:val="18"/>
                  <w:color w:val="0000FF"/>
                  <w:w w:val="91"/>
                </w:rPr>
                <w:t>Research Collaboration Agreement effective as of April 3, 2015.</w:t>
              </w:r>
            </w:hyperlink>
          </w:p>
        </w:tc>
        <w:tc>
          <w:tcPr>
            <w:tcW w:w="20" w:type="dxa"/>
            <w:vAlign w:val="bottom"/>
            <w:tcBorders>
              <w:top w:val="single" w:sz="8" w:color="0000FF"/>
              <w:bottom w:val="single" w:sz="8" w:color="0000EE"/>
            </w:tcBorders>
          </w:tcPr>
          <w:p>
            <w:pPr>
              <w:spacing w:after="0"/>
              <w:rPr>
                <w:sz w:val="13"/>
                <w:szCs w:val="13"/>
                <w:color w:val="auto"/>
              </w:rPr>
            </w:pPr>
          </w:p>
        </w:tc>
        <w:tc>
          <w:tcPr>
            <w:tcW w:w="190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10.22(b)†</w:t>
            </w:r>
          </w:p>
        </w:tc>
        <w:tc>
          <w:tcPr>
            <w:tcW w:w="6720" w:type="dxa"/>
            <w:vAlign w:val="bottom"/>
            <w:gridSpan w:val="41"/>
          </w:tcPr>
          <w:p>
            <w:pPr>
              <w:spacing w:after="0"/>
              <w:rPr>
                <w:rFonts w:ascii="Arial" w:cs="Arial" w:eastAsia="Arial" w:hAnsi="Arial"/>
                <w:sz w:val="18"/>
                <w:szCs w:val="18"/>
                <w:color w:val="0000FF"/>
                <w:w w:val="95"/>
              </w:rPr>
            </w:pPr>
            <w:hyperlink r:id="rId371">
              <w:r>
                <w:rPr>
                  <w:rFonts w:ascii="Arial" w:cs="Arial" w:eastAsia="Arial" w:hAnsi="Arial"/>
                  <w:sz w:val="18"/>
                  <w:szCs w:val="18"/>
                  <w:color w:val="0000FF"/>
                  <w:w w:val="95"/>
                </w:rPr>
                <w:t>Second Amendment to the Research Collaboration Agreement by and between CytomX</w:t>
              </w:r>
            </w:hyperlink>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371">
              <w:r>
                <w:rPr>
                  <w:rFonts w:ascii="Arial" w:cs="Arial" w:eastAsia="Arial" w:hAnsi="Arial"/>
                  <w:sz w:val="18"/>
                  <w:szCs w:val="18"/>
                  <w:color w:val="0000FF"/>
                  <w:w w:val="89"/>
                </w:rPr>
                <w:t>Therapeutics, Inc. and ImmunoGen Inc., dated as of February 12, 2016.</w:t>
              </w:r>
            </w:hyperlink>
          </w:p>
        </w:tc>
        <w:tc>
          <w:tcPr>
            <w:tcW w:w="20" w:type="dxa"/>
            <w:vAlign w:val="bottom"/>
            <w:tcBorders>
              <w:top w:val="single" w:sz="8" w:color="0000FF"/>
              <w:bottom w:val="single" w:sz="8" w:color="0000EE"/>
            </w:tcBorders>
          </w:tcPr>
          <w:p>
            <w:pPr>
              <w:spacing w:after="0"/>
              <w:rPr>
                <w:sz w:val="13"/>
                <w:szCs w:val="13"/>
                <w:color w:val="auto"/>
              </w:rPr>
            </w:pPr>
          </w:p>
        </w:tc>
        <w:tc>
          <w:tcPr>
            <w:tcW w:w="1220" w:type="dxa"/>
            <w:vAlign w:val="bottom"/>
            <w:tcBorders>
              <w:top w:val="single" w:sz="8" w:color="0000FF"/>
            </w:tcBorders>
            <w:gridSpan w:val="6"/>
          </w:tcPr>
          <w:p>
            <w:pPr>
              <w:spacing w:after="0"/>
              <w:rPr>
                <w:sz w:val="13"/>
                <w:szCs w:val="13"/>
                <w:color w:val="auto"/>
              </w:rPr>
            </w:pPr>
          </w:p>
        </w:tc>
        <w:tc>
          <w:tcPr>
            <w:tcW w:w="28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10.22(c)†</w:t>
            </w:r>
          </w:p>
        </w:tc>
        <w:tc>
          <w:tcPr>
            <w:tcW w:w="6720" w:type="dxa"/>
            <w:vAlign w:val="bottom"/>
            <w:gridSpan w:val="41"/>
          </w:tcPr>
          <w:p>
            <w:pPr>
              <w:spacing w:after="0"/>
              <w:rPr>
                <w:rFonts w:ascii="Arial" w:cs="Arial" w:eastAsia="Arial" w:hAnsi="Arial"/>
                <w:sz w:val="18"/>
                <w:szCs w:val="18"/>
                <w:color w:val="0000FF"/>
                <w:w w:val="98"/>
              </w:rPr>
            </w:pPr>
            <w:hyperlink r:id="rId372">
              <w:r>
                <w:rPr>
                  <w:rFonts w:ascii="Arial" w:cs="Arial" w:eastAsia="Arial" w:hAnsi="Arial"/>
                  <w:sz w:val="18"/>
                  <w:szCs w:val="18"/>
                  <w:color w:val="0000FF"/>
                  <w:w w:val="98"/>
                </w:rPr>
                <w:t>Third Amendment to the Research Collaboration Agreement by and between CytomX</w:t>
              </w:r>
            </w:hyperlink>
          </w:p>
        </w:tc>
      </w:tr>
      <w:tr>
        <w:trPr>
          <w:trHeight w:val="156"/>
        </w:trPr>
        <w:tc>
          <w:tcPr>
            <w:tcW w:w="1120" w:type="dxa"/>
            <w:vAlign w:val="bottom"/>
          </w:tcPr>
          <w:p>
            <w:pPr>
              <w:spacing w:after="0"/>
              <w:rPr>
                <w:sz w:val="13"/>
                <w:szCs w:val="13"/>
                <w:color w:val="auto"/>
              </w:rPr>
            </w:pPr>
          </w:p>
        </w:tc>
        <w:tc>
          <w:tcPr>
            <w:tcW w:w="62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72">
              <w:r>
                <w:rPr>
                  <w:rFonts w:ascii="Arial" w:cs="Arial" w:eastAsia="Arial" w:hAnsi="Arial"/>
                  <w:sz w:val="18"/>
                  <w:szCs w:val="18"/>
                  <w:color w:val="0000FF"/>
                </w:rPr>
                <w:t>Therapeutics, Inc. and ImmunoGen Inc., dated as of March 3, 2017.</w:t>
              </w:r>
            </w:hyperlink>
          </w:p>
        </w:tc>
        <w:tc>
          <w:tcPr>
            <w:tcW w:w="42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3140" w:type="dxa"/>
            <w:vAlign w:val="bottom"/>
            <w:tcBorders>
              <w:right w:val="single" w:sz="8" w:color="0000EE"/>
            </w:tcBorders>
            <w:gridSpan w:val="11"/>
            <w:shd w:val="clear" w:color="auto" w:fill="0000FF"/>
          </w:tcPr>
          <w:p>
            <w:pPr>
              <w:spacing w:after="0" w:line="20" w:lineRule="exact"/>
              <w:rPr>
                <w:sz w:val="1"/>
                <w:szCs w:val="1"/>
                <w:color w:val="auto"/>
              </w:rPr>
            </w:pPr>
          </w:p>
        </w:tc>
        <w:tc>
          <w:tcPr>
            <w:tcW w:w="178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6720" w:type="dxa"/>
            <w:vAlign w:val="bottom"/>
            <w:gridSpan w:val="41"/>
          </w:tcPr>
          <w:p>
            <w:pPr>
              <w:spacing w:after="0"/>
              <w:rPr>
                <w:rFonts w:ascii="Arial" w:cs="Arial" w:eastAsia="Arial" w:hAnsi="Arial"/>
                <w:sz w:val="18"/>
                <w:szCs w:val="18"/>
                <w:color w:val="0000FF"/>
                <w:w w:val="91"/>
              </w:rPr>
            </w:pPr>
            <w:hyperlink r:id="rId373">
              <w:r>
                <w:rPr>
                  <w:rFonts w:ascii="Arial" w:cs="Arial" w:eastAsia="Arial" w:hAnsi="Arial"/>
                  <w:sz w:val="18"/>
                  <w:szCs w:val="18"/>
                  <w:color w:val="0000FF"/>
                  <w:w w:val="91"/>
                </w:rPr>
                <w:t>License Agreement by and between CytomX Therapeutics, Inc. and ImmunoGen Inc., dated</w:t>
              </w:r>
            </w:hyperlink>
          </w:p>
        </w:tc>
      </w:tr>
      <w:tr>
        <w:trPr>
          <w:trHeight w:val="155"/>
        </w:trPr>
        <w:tc>
          <w:tcPr>
            <w:tcW w:w="1120" w:type="dxa"/>
            <w:vAlign w:val="bottom"/>
          </w:tcPr>
          <w:p>
            <w:pPr>
              <w:spacing w:after="0"/>
              <w:rPr>
                <w:sz w:val="13"/>
                <w:szCs w:val="13"/>
                <w:color w:val="auto"/>
              </w:rPr>
            </w:pPr>
          </w:p>
        </w:tc>
        <w:tc>
          <w:tcPr>
            <w:tcW w:w="66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373">
              <w:r>
                <w:rPr>
                  <w:rFonts w:ascii="Arial" w:cs="Arial" w:eastAsia="Arial" w:hAnsi="Arial"/>
                  <w:sz w:val="18"/>
                  <w:szCs w:val="18"/>
                  <w:color w:val="0000FF"/>
                </w:rPr>
                <w:t>as of February 12, 2016.</w:t>
              </w:r>
            </w:hyperlink>
          </w:p>
        </w:tc>
        <w:tc>
          <w:tcPr>
            <w:tcW w:w="40" w:type="dxa"/>
            <w:vAlign w:val="bottom"/>
            <w:gridSpan w:val="2"/>
          </w:tcPr>
          <w:p>
            <w:pPr>
              <w:spacing w:after="0"/>
              <w:rPr>
                <w:sz w:val="13"/>
                <w:szCs w:val="13"/>
                <w:color w:val="auto"/>
              </w:rPr>
            </w:pPr>
          </w:p>
        </w:tc>
      </w:tr>
      <w:tr>
        <w:trPr>
          <w:trHeight w:val="601"/>
        </w:trPr>
        <w:tc>
          <w:tcPr>
            <w:tcW w:w="1120" w:type="dxa"/>
            <w:vAlign w:val="bottom"/>
          </w:tcPr>
          <w:p>
            <w:pPr>
              <w:spacing w:after="0"/>
              <w:rPr>
                <w:sz w:val="24"/>
                <w:szCs w:val="24"/>
                <w:color w:val="auto"/>
              </w:rPr>
            </w:pPr>
          </w:p>
        </w:tc>
        <w:tc>
          <w:tcPr>
            <w:tcW w:w="1760" w:type="dxa"/>
            <w:vAlign w:val="bottom"/>
            <w:tcBorders>
              <w:top w:val="single" w:sz="8" w:color="0000FF"/>
            </w:tcBorders>
            <w:gridSpan w:val="9"/>
          </w:tcPr>
          <w:p>
            <w:pPr>
              <w:spacing w:after="0"/>
              <w:rPr>
                <w:sz w:val="24"/>
                <w:szCs w:val="24"/>
                <w:color w:val="auto"/>
              </w:rPr>
            </w:pPr>
          </w:p>
        </w:tc>
        <w:tc>
          <w:tcPr>
            <w:tcW w:w="2900" w:type="dxa"/>
            <w:vAlign w:val="bottom"/>
            <w:gridSpan w:val="8"/>
          </w:tcPr>
          <w:p>
            <w:pPr>
              <w:jc w:val="right"/>
              <w:ind w:right="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40"/>
        <w:spacing w:after="0"/>
        <w:tabs>
          <w:tab w:leader="none" w:pos="76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5/5/2017</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6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5/6/2021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76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8/3/2016</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2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2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20" w:val="left"/>
          <w:tab w:leader="none" w:pos="19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11/6/2018</w:t>
      </w:r>
      <w:r>
        <w:rPr>
          <w:sz w:val="20"/>
          <w:szCs w:val="20"/>
          <w:color w:val="auto"/>
        </w:rPr>
        <w:tab/>
      </w:r>
      <w:r>
        <w:rPr>
          <w:rFonts w:ascii="Arial" w:cs="Arial" w:eastAsia="Arial" w:hAnsi="Arial"/>
          <w:sz w:val="15"/>
          <w:szCs w:val="15"/>
          <w:color w:val="auto"/>
        </w:rPr>
        <w:t>10.3</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6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8/7/2019</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72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11/7/2017</w:t>
      </w:r>
      <w:r>
        <w:rPr>
          <w:sz w:val="20"/>
          <w:szCs w:val="20"/>
          <w:color w:val="auto"/>
        </w:rPr>
        <w:tab/>
      </w:r>
      <w:r>
        <w:rPr>
          <w:rFonts w:ascii="Arial" w:cs="Arial" w:eastAsia="Arial" w:hAnsi="Arial"/>
          <w:sz w:val="16"/>
          <w:szCs w:val="16"/>
          <w:color w:val="auto"/>
        </w:rPr>
        <w:t>10.1</w:t>
      </w:r>
    </w:p>
    <w:p>
      <w:pPr>
        <w:spacing w:after="0" w:line="374" w:lineRule="exact"/>
        <w:rPr>
          <w:sz w:val="20"/>
          <w:szCs w:val="20"/>
          <w:color w:val="auto"/>
        </w:rPr>
      </w:pPr>
    </w:p>
    <w:p>
      <w:pPr>
        <w:ind w:left="40"/>
        <w:spacing w:after="0"/>
        <w:tabs>
          <w:tab w:leader="none" w:pos="720" w:val="left"/>
          <w:tab w:leader="none" w:pos="1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11/5/2020</w:t>
      </w:r>
      <w:r>
        <w:rPr>
          <w:sz w:val="20"/>
          <w:szCs w:val="20"/>
          <w:color w:val="auto"/>
        </w:rPr>
        <w:tab/>
      </w:r>
      <w:r>
        <w:rPr>
          <w:rFonts w:ascii="Arial" w:cs="Arial" w:eastAsia="Arial" w:hAnsi="Arial"/>
          <w:sz w:val="16"/>
          <w:szCs w:val="16"/>
          <w:color w:val="auto"/>
        </w:rPr>
        <w:t>10.3</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5/7/2020</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10.4</w:t>
            </w:r>
          </w:p>
        </w:tc>
      </w:tr>
      <w:tr>
        <w:trPr>
          <w:trHeight w:val="675"/>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10/2/2015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10.17</w:t>
            </w:r>
          </w:p>
        </w:tc>
      </w:tr>
      <w:tr>
        <w:trPr>
          <w:trHeight w:val="661"/>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10.5</w:t>
            </w:r>
          </w:p>
        </w:tc>
      </w:tr>
      <w:tr>
        <w:trPr>
          <w:trHeight w:val="580"/>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10.6</w:t>
            </w:r>
          </w:p>
        </w:tc>
      </w:tr>
      <w:tr>
        <w:trPr>
          <w:trHeight w:val="581"/>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10.4</w:t>
            </w:r>
          </w:p>
        </w:tc>
      </w:tr>
    </w:tbl>
    <w:p>
      <w:pPr>
        <w:sectPr>
          <w:pgSz w:w="11900" w:h="16838" w:orient="portrait"/>
          <w:cols w:equalWidth="0" w:num="2">
            <w:col w:w="7820" w:space="180"/>
            <w:col w:w="2900"/>
          </w:cols>
          <w:pgMar w:left="340" w:top="513" w:right="659" w:bottom="1440" w:gutter="0" w:footer="0" w:header="0"/>
        </w:sectPr>
      </w:pPr>
    </w:p>
    <w:bookmarkStart w:id="126" w:name="page127"/>
    <w:bookmarkEnd w:id="12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6720" w:type="dxa"/>
            <w:vAlign w:val="bottom"/>
            <w:gridSpan w:val="20"/>
          </w:tcPr>
          <w:p>
            <w:pPr>
              <w:spacing w:after="0"/>
              <w:rPr>
                <w:rFonts w:ascii="Arial" w:cs="Arial" w:eastAsia="Arial" w:hAnsi="Arial"/>
                <w:sz w:val="18"/>
                <w:szCs w:val="18"/>
                <w:color w:val="0000FF"/>
              </w:rPr>
            </w:pPr>
            <w:hyperlink r:id="rId375">
              <w:r>
                <w:rPr>
                  <w:rFonts w:ascii="Arial" w:cs="Arial" w:eastAsia="Arial" w:hAnsi="Arial"/>
                  <w:sz w:val="18"/>
                  <w:szCs w:val="18"/>
                  <w:color w:val="0000FF"/>
                </w:rPr>
                <w:t>Consulting Agreement effective as of December 14, 2020, by and between CytomX</w:t>
              </w:r>
            </w:hyperlink>
          </w:p>
        </w:tc>
        <w:tc>
          <w:tcPr>
            <w:tcW w:w="720" w:type="dxa"/>
            <w:vAlign w:val="bottom"/>
            <w:vMerge w:val="restart"/>
          </w:tcPr>
          <w:p>
            <w:pPr>
              <w:ind w:left="200"/>
              <w:spacing w:after="0"/>
              <w:rPr>
                <w:sz w:val="20"/>
                <w:szCs w:val="20"/>
                <w:color w:val="auto"/>
              </w:rPr>
            </w:pPr>
            <w:r>
              <w:rPr>
                <w:rFonts w:ascii="Arial" w:cs="Arial" w:eastAsia="Arial" w:hAnsi="Arial"/>
                <w:sz w:val="18"/>
                <w:szCs w:val="18"/>
                <w:color w:val="auto"/>
              </w:rPr>
              <w:t>10-K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2"/>
              </w:rPr>
              <w:t>2/24/2021</w:t>
            </w:r>
          </w:p>
        </w:tc>
        <w:tc>
          <w:tcPr>
            <w:tcW w:w="1260" w:type="dxa"/>
            <w:vAlign w:val="bottom"/>
            <w:vMerge w:val="restart"/>
          </w:tcPr>
          <w:p>
            <w:pPr>
              <w:jc w:val="center"/>
              <w:ind w:right="410"/>
              <w:spacing w:after="0"/>
              <w:rPr>
                <w:sz w:val="20"/>
                <w:szCs w:val="20"/>
                <w:color w:val="auto"/>
              </w:rPr>
            </w:pPr>
            <w:r>
              <w:rPr>
                <w:rFonts w:ascii="Arial" w:cs="Arial" w:eastAsia="Arial" w:hAnsi="Arial"/>
                <w:sz w:val="18"/>
                <w:szCs w:val="18"/>
                <w:color w:val="auto"/>
                <w:w w:val="88"/>
              </w:rPr>
              <w:t>10.24</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375">
              <w:r>
                <w:rPr>
                  <w:rFonts w:ascii="Arial" w:cs="Arial" w:eastAsia="Arial" w:hAnsi="Arial"/>
                  <w:sz w:val="16"/>
                  <w:szCs w:val="16"/>
                  <w:color w:val="0000FF"/>
                </w:rPr>
                <w:t>Therapeutics, Inc and Dr. W. Michael Kavanaugh.</w:t>
              </w:r>
            </w:hyperlink>
          </w:p>
        </w:tc>
        <w:tc>
          <w:tcPr>
            <w:tcW w:w="2460" w:type="dxa"/>
            <w:vAlign w:val="bottom"/>
            <w:tcBorders>
              <w:top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6720" w:type="dxa"/>
            <w:vAlign w:val="bottom"/>
            <w:gridSpan w:val="20"/>
          </w:tcPr>
          <w:p>
            <w:pPr>
              <w:spacing w:after="0"/>
              <w:rPr>
                <w:rFonts w:ascii="Arial" w:cs="Arial" w:eastAsia="Arial" w:hAnsi="Arial"/>
                <w:sz w:val="18"/>
                <w:szCs w:val="18"/>
                <w:color w:val="0000FF"/>
                <w:w w:val="98"/>
              </w:rPr>
            </w:pPr>
            <w:hyperlink r:id="rId376">
              <w:r>
                <w:rPr>
                  <w:rFonts w:ascii="Arial" w:cs="Arial" w:eastAsia="Arial" w:hAnsi="Arial"/>
                  <w:sz w:val="18"/>
                  <w:szCs w:val="18"/>
                  <w:color w:val="0000FF"/>
                  <w:w w:val="98"/>
                </w:rPr>
                <w:t>Retirement Agreement by and between CytomX Therapeutics, Inc and Dr. W. Michael</w:t>
              </w:r>
            </w:hyperlink>
          </w:p>
        </w:tc>
        <w:tc>
          <w:tcPr>
            <w:tcW w:w="720" w:type="dxa"/>
            <w:vAlign w:val="bottom"/>
            <w:vMerge w:val="restart"/>
          </w:tcPr>
          <w:p>
            <w:pPr>
              <w:ind w:left="200"/>
              <w:spacing w:after="0"/>
              <w:rPr>
                <w:sz w:val="20"/>
                <w:szCs w:val="20"/>
                <w:color w:val="auto"/>
              </w:rPr>
            </w:pPr>
            <w:r>
              <w:rPr>
                <w:rFonts w:ascii="Arial" w:cs="Arial" w:eastAsia="Arial" w:hAnsi="Arial"/>
                <w:sz w:val="18"/>
                <w:szCs w:val="18"/>
                <w:color w:val="auto"/>
              </w:rPr>
              <w:t>10-K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2"/>
              </w:rPr>
              <w:t>2/24/2021</w:t>
            </w:r>
          </w:p>
        </w:tc>
        <w:tc>
          <w:tcPr>
            <w:tcW w:w="1260" w:type="dxa"/>
            <w:vAlign w:val="bottom"/>
            <w:vMerge w:val="restart"/>
          </w:tcPr>
          <w:p>
            <w:pPr>
              <w:jc w:val="center"/>
              <w:ind w:right="410"/>
              <w:spacing w:after="0"/>
              <w:rPr>
                <w:sz w:val="20"/>
                <w:szCs w:val="20"/>
                <w:color w:val="auto"/>
              </w:rPr>
            </w:pPr>
            <w:r>
              <w:rPr>
                <w:rFonts w:ascii="Arial" w:cs="Arial" w:eastAsia="Arial" w:hAnsi="Arial"/>
                <w:sz w:val="18"/>
                <w:szCs w:val="18"/>
                <w:color w:val="auto"/>
                <w:w w:val="88"/>
              </w:rPr>
              <w:t>10.25</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2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376">
              <w:r>
                <w:rPr>
                  <w:rFonts w:ascii="Arial" w:cs="Arial" w:eastAsia="Arial" w:hAnsi="Arial"/>
                  <w:sz w:val="16"/>
                  <w:szCs w:val="16"/>
                  <w:color w:val="0000FF"/>
                </w:rPr>
                <w:t>Kavanaugh, dated as of December 1,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6720" w:type="dxa"/>
            <w:vAlign w:val="bottom"/>
            <w:tcBorders>
              <w:bottom w:val="single" w:sz="8" w:color="0000FF"/>
            </w:tcBorders>
            <w:gridSpan w:val="20"/>
          </w:tcPr>
          <w:p>
            <w:pPr>
              <w:spacing w:after="0"/>
              <w:rPr>
                <w:rFonts w:ascii="Arial" w:cs="Arial" w:eastAsia="Arial" w:hAnsi="Arial"/>
                <w:sz w:val="18"/>
                <w:szCs w:val="18"/>
                <w:color w:val="0000FF"/>
                <w:w w:val="92"/>
              </w:rPr>
            </w:pPr>
            <w:hyperlink r:id="rId377">
              <w:r>
                <w:rPr>
                  <w:rFonts w:ascii="Arial" w:cs="Arial" w:eastAsia="Arial" w:hAnsi="Arial"/>
                  <w:sz w:val="18"/>
                  <w:szCs w:val="18"/>
                  <w:color w:val="0000FF"/>
                  <w:w w:val="92"/>
                </w:rPr>
                <w:t>Consulting Agreement, effective as of April 1, 2021, by and between CytomX Therapeutics,</w:t>
              </w:r>
            </w:hyperlink>
          </w:p>
        </w:tc>
        <w:tc>
          <w:tcPr>
            <w:tcW w:w="720" w:type="dxa"/>
            <w:vAlign w:val="bottom"/>
            <w:vMerge w:val="restart"/>
          </w:tcPr>
          <w:p>
            <w:pPr>
              <w:ind w:left="200"/>
              <w:spacing w:after="0"/>
              <w:rPr>
                <w:sz w:val="20"/>
                <w:szCs w:val="20"/>
                <w:color w:val="auto"/>
              </w:rPr>
            </w:pPr>
            <w:r>
              <w:rPr>
                <w:rFonts w:ascii="Arial" w:cs="Arial" w:eastAsia="Arial" w:hAnsi="Arial"/>
                <w:sz w:val="18"/>
                <w:szCs w:val="18"/>
                <w:color w:val="auto"/>
              </w:rPr>
              <w:t>10-Q</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5/6/2021</w:t>
            </w:r>
          </w:p>
        </w:tc>
        <w:tc>
          <w:tcPr>
            <w:tcW w:w="1260" w:type="dxa"/>
            <w:vAlign w:val="bottom"/>
            <w:vMerge w:val="restart"/>
          </w:tcPr>
          <w:p>
            <w:pPr>
              <w:jc w:val="center"/>
              <w:ind w:right="41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720" w:type="dxa"/>
            <w:vAlign w:val="bottom"/>
            <w:gridSpan w:val="20"/>
          </w:tcPr>
          <w:p>
            <w:pPr>
              <w:spacing w:after="0" w:line="142" w:lineRule="exact"/>
              <w:rPr>
                <w:rFonts w:ascii="Arial" w:cs="Arial" w:eastAsia="Arial" w:hAnsi="Arial"/>
                <w:sz w:val="16"/>
                <w:szCs w:val="16"/>
                <w:color w:val="0000FF"/>
              </w:rPr>
            </w:pPr>
            <w:hyperlink r:id="rId377">
              <w:r>
                <w:rPr>
                  <w:rFonts w:ascii="Arial" w:cs="Arial" w:eastAsia="Arial" w:hAnsi="Arial"/>
                  <w:sz w:val="16"/>
                  <w:szCs w:val="16"/>
                  <w:color w:val="0000FF"/>
                </w:rPr>
                <w:t>Inc. and Dr. Charles Fuchs.</w:t>
              </w:r>
            </w:hyperlink>
          </w:p>
        </w:tc>
        <w:tc>
          <w:tcPr>
            <w:tcW w:w="7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6720" w:type="dxa"/>
            <w:vAlign w:val="bottom"/>
            <w:gridSpan w:val="20"/>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Consent of Independent Registered Public Accounting Firm.</w:t>
              </w:r>
            </w:hyperlink>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24.1</w:t>
            </w:r>
          </w:p>
        </w:tc>
        <w:tc>
          <w:tcPr>
            <w:tcW w:w="34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129">
              <w:r>
                <w:rPr>
                  <w:rFonts w:ascii="Arial" w:cs="Arial" w:eastAsia="Arial" w:hAnsi="Arial"/>
                  <w:sz w:val="18"/>
                  <w:szCs w:val="18"/>
                  <w:color w:val="0000FF"/>
                  <w:w w:val="90"/>
                </w:rPr>
                <w:t>Power of Attorney (included on signature page)</w:t>
              </w:r>
            </w:hyperlink>
          </w:p>
        </w:tc>
        <w:tc>
          <w:tcPr>
            <w:tcW w:w="20" w:type="dxa"/>
            <w:vAlign w:val="bottom"/>
            <w:tcBorders>
              <w:top w:val="single" w:sz="8" w:color="0000FF"/>
              <w:bottom w:val="single" w:sz="8" w:color="0000EE"/>
            </w:tcBorders>
          </w:tcPr>
          <w:p>
            <w:pPr>
              <w:spacing w:after="0"/>
              <w:rPr>
                <w:sz w:val="24"/>
                <w:szCs w:val="24"/>
                <w:color w:val="auto"/>
              </w:rPr>
            </w:pPr>
          </w:p>
        </w:tc>
        <w:tc>
          <w:tcPr>
            <w:tcW w:w="900" w:type="dxa"/>
            <w:vAlign w:val="bottom"/>
            <w:tcBorders>
              <w:top w:val="single" w:sz="8" w:color="0000FF"/>
            </w:tcBorders>
            <w:gridSpan w:val="2"/>
          </w:tcPr>
          <w:p>
            <w:pPr>
              <w:spacing w:after="0"/>
              <w:rPr>
                <w:sz w:val="24"/>
                <w:szCs w:val="24"/>
                <w:color w:val="auto"/>
              </w:rPr>
            </w:pPr>
          </w:p>
        </w:tc>
        <w:tc>
          <w:tcPr>
            <w:tcW w:w="236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6720" w:type="dxa"/>
            <w:vAlign w:val="bottom"/>
            <w:gridSpan w:val="20"/>
          </w:tcPr>
          <w:p>
            <w:pPr>
              <w:spacing w:after="0"/>
              <w:rPr>
                <w:rFonts w:ascii="Arial" w:cs="Arial" w:eastAsia="Arial" w:hAnsi="Arial"/>
                <w:sz w:val="18"/>
                <w:szCs w:val="18"/>
                <w:color w:val="0000FF"/>
                <w:w w:val="98"/>
              </w:rPr>
            </w:pPr>
            <w:hyperlink w:anchor="page152">
              <w:r>
                <w:rPr>
                  <w:rFonts w:ascii="Arial" w:cs="Arial" w:eastAsia="Arial" w:hAnsi="Arial"/>
                  <w:sz w:val="18"/>
                  <w:szCs w:val="18"/>
                  <w:color w:val="0000FF"/>
                  <w:w w:val="98"/>
                </w:rPr>
                <w:t>Certification of Principal Executive Officer Pursuant to Rules 13a-14(a) and 15d-14(a)</w:t>
              </w:r>
            </w:hyperlink>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3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52">
              <w:r>
                <w:rPr>
                  <w:rFonts w:ascii="Arial" w:cs="Arial" w:eastAsia="Arial" w:hAnsi="Arial"/>
                  <w:sz w:val="16"/>
                  <w:szCs w:val="16"/>
                  <w:color w:val="0000FF"/>
                </w:rPr>
                <w:t>under the Securities Exchange Act of 1934, as Adopted Pursuant to Section 302 of the</w:t>
              </w:r>
            </w:hyperlink>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restart"/>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2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152">
              <w:r>
                <w:rPr>
                  <w:rFonts w:ascii="Arial" w:cs="Arial" w:eastAsia="Arial" w:hAnsi="Arial"/>
                  <w:sz w:val="16"/>
                  <w:szCs w:val="16"/>
                  <w:color w:val="0000FF"/>
                </w:rPr>
                <w:t>Sarbanes-Oxley Act of 2002.</w:t>
              </w:r>
            </w:hyperlink>
          </w:p>
        </w:tc>
        <w:tc>
          <w:tcPr>
            <w:tcW w:w="8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6720" w:type="dxa"/>
            <w:vAlign w:val="bottom"/>
            <w:gridSpan w:val="20"/>
          </w:tcPr>
          <w:p>
            <w:pPr>
              <w:spacing w:after="0"/>
              <w:rPr>
                <w:rFonts w:ascii="Arial" w:cs="Arial" w:eastAsia="Arial" w:hAnsi="Arial"/>
                <w:sz w:val="18"/>
                <w:szCs w:val="18"/>
                <w:color w:val="0000FF"/>
                <w:w w:val="92"/>
              </w:rPr>
            </w:pPr>
            <w:hyperlink w:anchor="page153">
              <w:r>
                <w:rPr>
                  <w:rFonts w:ascii="Arial" w:cs="Arial" w:eastAsia="Arial" w:hAnsi="Arial"/>
                  <w:sz w:val="18"/>
                  <w:szCs w:val="18"/>
                  <w:color w:val="0000FF"/>
                  <w:w w:val="92"/>
                </w:rPr>
                <w:t>Certification of Principal Financial Officer Pursuant to Rules 13a-14(a) and 15d-14(a) under</w:t>
              </w:r>
            </w:hyperlink>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7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w:anchor="page153">
              <w:r>
                <w:rPr>
                  <w:rFonts w:ascii="Arial" w:cs="Arial" w:eastAsia="Arial" w:hAnsi="Arial"/>
                  <w:sz w:val="16"/>
                  <w:szCs w:val="16"/>
                  <w:color w:val="0000FF"/>
                </w:rPr>
                <w:t>the Securities Exchange Act of 1934, as Adopted Pursuant to Section 302 of the Sarbanes-</w:t>
              </w:r>
            </w:hyperlink>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restart"/>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4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153">
              <w:r>
                <w:rPr>
                  <w:rFonts w:ascii="Arial" w:cs="Arial" w:eastAsia="Arial" w:hAnsi="Arial"/>
                  <w:sz w:val="16"/>
                  <w:szCs w:val="16"/>
                  <w:color w:val="0000FF"/>
                </w:rPr>
                <w:t>Oxley Act of 2002.</w:t>
              </w:r>
            </w:hyperlink>
          </w:p>
        </w:tc>
        <w:tc>
          <w:tcPr>
            <w:tcW w:w="20" w:type="dxa"/>
            <w:vAlign w:val="bottom"/>
            <w:tcBorders>
              <w:top w:val="single" w:sz="8" w:color="0000FF"/>
              <w:bottom w:val="single" w:sz="8" w:color="0000EE"/>
            </w:tcBorders>
          </w:tcPr>
          <w:p>
            <w:pPr>
              <w:spacing w:after="0"/>
              <w:rPr>
                <w:sz w:val="12"/>
                <w:szCs w:val="12"/>
                <w:color w:val="auto"/>
              </w:rPr>
            </w:pPr>
          </w:p>
        </w:tc>
        <w:tc>
          <w:tcPr>
            <w:tcW w:w="51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720" w:type="dxa"/>
            <w:vAlign w:val="bottom"/>
            <w:gridSpan w:val="20"/>
          </w:tcPr>
          <w:p>
            <w:pPr>
              <w:spacing w:after="0"/>
              <w:rPr>
                <w:rFonts w:ascii="Arial" w:cs="Arial" w:eastAsia="Arial" w:hAnsi="Arial"/>
                <w:sz w:val="18"/>
                <w:szCs w:val="18"/>
                <w:color w:val="0000FF"/>
                <w:w w:val="96"/>
              </w:rPr>
            </w:pPr>
            <w:hyperlink w:anchor="page154">
              <w:r>
                <w:rPr>
                  <w:rFonts w:ascii="Arial" w:cs="Arial" w:eastAsia="Arial" w:hAnsi="Arial"/>
                  <w:sz w:val="18"/>
                  <w:szCs w:val="18"/>
                  <w:color w:val="0000FF"/>
                  <w:w w:val="96"/>
                </w:rPr>
                <w:t>Certification of Principal Executive Officer and Principal Financial Officer Pursuant to 18</w:t>
              </w:r>
            </w:hyperlink>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5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154">
              <w:r>
                <w:rPr>
                  <w:rFonts w:ascii="Arial" w:cs="Arial" w:eastAsia="Arial" w:hAnsi="Arial"/>
                  <w:sz w:val="16"/>
                  <w:szCs w:val="16"/>
                  <w:color w:val="0000FF"/>
                </w:rPr>
                <w:t>U.S.C. Section 1350, as Adopted Pursuant to Section 906 of the Sarbanes-Oxley Act of</w:t>
              </w:r>
            </w:hyperlink>
          </w:p>
        </w:tc>
        <w:tc>
          <w:tcPr>
            <w:tcW w:w="1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restart"/>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w:anchor="page154">
              <w:r>
                <w:rPr>
                  <w:rFonts w:ascii="Arial" w:cs="Arial" w:eastAsia="Arial" w:hAnsi="Arial"/>
                  <w:sz w:val="16"/>
                  <w:szCs w:val="16"/>
                  <w:color w:val="0000FF"/>
                  <w:w w:val="94"/>
                </w:rPr>
                <w:t>2002.</w:t>
              </w:r>
            </w:hyperlink>
          </w:p>
        </w:tc>
        <w:tc>
          <w:tcPr>
            <w:tcW w:w="20" w:type="dxa"/>
            <w:vAlign w:val="bottom"/>
            <w:tcBorders>
              <w:top w:val="single" w:sz="8" w:color="0000FF"/>
              <w:bottom w:val="single" w:sz="8" w:color="0000EE"/>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720" w:type="dxa"/>
            <w:vAlign w:val="bottom"/>
            <w:gridSpan w:val="20"/>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vMerge w:val="restart"/>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720" w:type="dxa"/>
            <w:vAlign w:val="bottom"/>
            <w:gridSpan w:val="20"/>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72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72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72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72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72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6720" w:type="dxa"/>
            <w:vAlign w:val="bottom"/>
            <w:gridSpan w:val="20"/>
          </w:tcPr>
          <w:p>
            <w:pPr>
              <w:spacing w:after="0"/>
              <w:rPr>
                <w:sz w:val="20"/>
                <w:szCs w:val="20"/>
                <w:color w:val="auto"/>
              </w:rPr>
            </w:pPr>
            <w:r>
              <w:rPr>
                <w:rFonts w:ascii="Arial" w:cs="Arial" w:eastAsia="Arial" w:hAnsi="Arial"/>
                <w:sz w:val="18"/>
                <w:szCs w:val="18"/>
                <w:color w:val="auto"/>
                <w:w w:val="94"/>
              </w:rPr>
              <w:t>Cover Page Interactive Data File (formatted as inline XBRL and contained in Exhibit 101)</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8"/>
        <w:spacing w:after="0"/>
        <w:tabs>
          <w:tab w:leader="none" w:pos="1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information contained in this exhibit. Such information has been omitted and filed separately with the Securities and Exchange Commission.</w:t>
      </w:r>
    </w:p>
    <w:p>
      <w:pPr>
        <w:spacing w:after="0" w:line="185" w:lineRule="exact"/>
        <w:rPr>
          <w:sz w:val="20"/>
          <w:szCs w:val="20"/>
          <w:color w:val="auto"/>
        </w:rPr>
      </w:pPr>
    </w:p>
    <w:p>
      <w:pPr>
        <w:ind w:left="240" w:hanging="232"/>
        <w:spacing w:after="0"/>
        <w:tabs>
          <w:tab w:leader="none" w:pos="240" w:val="left"/>
        </w:tabs>
        <w:numPr>
          <w:ilvl w:val="0"/>
          <w:numId w:val="60"/>
        </w:numPr>
        <w:rPr>
          <w:rFonts w:ascii="Arial" w:cs="Arial" w:eastAsia="Arial" w:hAnsi="Arial"/>
          <w:sz w:val="18"/>
          <w:szCs w:val="18"/>
          <w:color w:val="auto"/>
        </w:rPr>
      </w:pPr>
      <w:r>
        <w:rPr>
          <w:rFonts w:ascii="Arial" w:cs="Arial" w:eastAsia="Arial" w:hAnsi="Arial"/>
          <w:sz w:val="16"/>
          <w:szCs w:val="16"/>
          <w:color w:val="auto"/>
        </w:rPr>
        <w:t>Certain confidential portions of this exhibit have been omitted from this exhibit.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management contract or compensatory plan.</w:t>
      </w:r>
    </w:p>
    <w:p>
      <w:pPr>
        <w:spacing w:after="0" w:line="194" w:lineRule="exact"/>
        <w:rPr>
          <w:sz w:val="20"/>
          <w:szCs w:val="20"/>
          <w:color w:val="auto"/>
        </w:rPr>
      </w:pPr>
    </w:p>
    <w:p>
      <w:pPr>
        <w:ind w:firstLine="8"/>
        <w:spacing w:after="0" w:line="275" w:lineRule="auto"/>
        <w:tabs>
          <w:tab w:leader="none" w:pos="20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Registrants may voluntarily include a summary of information required by Form 10-K under Item 16. We have elected not to include such summary.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CytomX Therapeutics, Inc.</w:t>
      </w:r>
    </w:p>
    <w:p>
      <w:pPr>
        <w:spacing w:after="0" w:line="202" w:lineRule="exact"/>
        <w:rPr>
          <w:sz w:val="20"/>
          <w:szCs w:val="20"/>
          <w:color w:val="auto"/>
        </w:rPr>
      </w:pPr>
    </w:p>
    <w:p>
      <w:pPr>
        <w:ind w:left="20"/>
        <w:spacing w:after="0"/>
        <w:tabs>
          <w:tab w:leader="none" w:pos="6780" w:val="left"/>
          <w:tab w:leader="none" w:pos="852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6350</wp:posOffset>
            </wp:positionV>
            <wp:extent cx="24345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 w:lineRule="exact"/>
        <w:rPr>
          <w:sz w:val="20"/>
          <w:szCs w:val="20"/>
          <w:color w:val="auto"/>
        </w:rPr>
      </w:pPr>
    </w:p>
    <w:p>
      <w:pPr>
        <w:ind w:left="6800"/>
        <w:spacing w:after="0"/>
        <w:tabs>
          <w:tab w:leader="none" w:pos="8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Sean A. McCarthy, D.Phil.</w:t>
      </w:r>
    </w:p>
    <w:p>
      <w:pPr>
        <w:ind w:left="6800"/>
        <w:spacing w:after="0" w:line="203" w:lineRule="auto"/>
        <w:tabs>
          <w:tab w:leader="none" w:pos="7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w:t>
      </w:r>
    </w:p>
    <w:p>
      <w:pPr>
        <w:ind w:left="828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680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6350</wp:posOffset>
            </wp:positionV>
            <wp:extent cx="24345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 w:lineRule="exact"/>
        <w:rPr>
          <w:sz w:val="20"/>
          <w:szCs w:val="20"/>
          <w:color w:val="auto"/>
        </w:rPr>
      </w:pPr>
    </w:p>
    <w:p>
      <w:pPr>
        <w:ind w:left="6800"/>
        <w:spacing w:after="0"/>
        <w:tabs>
          <w:tab w:leader="none" w:pos="8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Christopher W. Ogden</w:t>
      </w:r>
    </w:p>
    <w:p>
      <w:pPr>
        <w:ind w:left="6800"/>
        <w:spacing w:after="0" w:line="203" w:lineRule="auto"/>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Vice President, Finance and Accounting</w:t>
      </w:r>
    </w:p>
    <w:p>
      <w:pPr>
        <w:ind w:left="82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Each person whose individual signature appears below hereby authorizes and appoints Sean A. McCarthy, D. Phil.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26"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c>
          <w:tcPr>
            <w:tcW w:w="3980" w:type="dxa"/>
            <w:vAlign w:val="bottom"/>
          </w:tcPr>
          <w:p>
            <w:pPr>
              <w:jc w:val="center"/>
              <w:ind w:left="1230"/>
              <w:spacing w:after="0"/>
              <w:rPr>
                <w:sz w:val="20"/>
                <w:szCs w:val="20"/>
                <w:color w:val="auto"/>
              </w:rPr>
            </w:pPr>
            <w:r>
              <w:rPr>
                <w:rFonts w:ascii="Arial" w:cs="Arial" w:eastAsia="Arial" w:hAnsi="Arial"/>
                <w:sz w:val="18"/>
                <w:szCs w:val="18"/>
                <w:color w:val="auto"/>
                <w:w w:val="92"/>
              </w:rPr>
              <w:t>Chief Executive Officer and 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2"/>
              </w:rPr>
              <w:t>Sean A. McCarthy, D.Phil.</w:t>
            </w:r>
          </w:p>
        </w:tc>
        <w:tc>
          <w:tcPr>
            <w:tcW w:w="3980" w:type="dxa"/>
            <w:vAlign w:val="bottom"/>
          </w:tcPr>
          <w:p>
            <w:pPr>
              <w:jc w:val="center"/>
              <w:ind w:left="12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Matthew P. Young</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1"/>
              </w:rPr>
              <w:t>Matthew P. Young</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Alan Ashworth</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3"/>
              </w:rPr>
              <w:t>Alan Ashworth, Ph.D. FRS</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Frederick W. Gluck</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2"/>
              </w:rPr>
              <w:t>Frederick W. Gluck</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A. Scarlett</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2"/>
              </w:rPr>
              <w:t>John A. Scarlett, M.D.</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Elaine V. Jones</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88"/>
              </w:rPr>
              <w:t>Elaine V. Jones, Ph.D.</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R. Meyers</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87"/>
              </w:rPr>
              <w:t>James R. Meyers</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Mani Mohindru</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5"/>
              </w:rPr>
              <w:t>Mani Mohindru, Ph.D.</w:t>
            </w:r>
          </w:p>
        </w:tc>
        <w:tc>
          <w:tcPr>
            <w:tcW w:w="3980" w:type="dxa"/>
            <w:vAlign w:val="bottom"/>
          </w:tcPr>
          <w:p>
            <w:pPr>
              <w:spacing w:after="0"/>
              <w:rPr>
                <w:sz w:val="19"/>
                <w:szCs w:val="19"/>
                <w:color w:val="auto"/>
              </w:rPr>
            </w:pPr>
          </w:p>
        </w:tc>
      </w:tr>
      <w:tr>
        <w:trPr>
          <w:trHeight w:val="377"/>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Halley E. Gilbert</w:t>
            </w: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3"/>
              </w:rPr>
              <w:t>Halley E. Gilbert</w:t>
            </w:r>
          </w:p>
        </w:tc>
        <w:tc>
          <w:tcPr>
            <w:tcW w:w="3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pacing w:after="0" w:line="463" w:lineRule="exact"/>
        <w:rPr>
          <w:sz w:val="20"/>
          <w:szCs w:val="20"/>
          <w:color w:val="auto"/>
        </w:rPr>
      </w:pPr>
    </w:p>
    <w:p>
      <w:pPr>
        <w:sectPr>
          <w:pgSz w:w="11900" w:h="16838" w:orient="portrait"/>
          <w:cols w:equalWidth="0" w:num="2">
            <w:col w:w="8840" w:space="720"/>
            <w:col w:w="1680"/>
          </w:cols>
          <w:pgMar w:left="320" w:top="526" w:right="339"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10.3</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CYTOMX THERAPEUTICS, INC.</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2015 EQUITY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GRANT NOTICE</w:t>
      </w:r>
    </w:p>
    <w:p>
      <w:pPr>
        <w:spacing w:after="0" w:line="208"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CytomX Therapeutics,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its 2015 Equity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grants to the holder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an award of restricted share units (“</w:t>
      </w:r>
      <w:r>
        <w:rPr>
          <w:rFonts w:ascii="Arial" w:cs="Arial" w:eastAsia="Arial" w:hAnsi="Arial"/>
          <w:sz w:val="20"/>
          <w:szCs w:val="20"/>
          <w:b w:val="1"/>
          <w:bCs w:val="1"/>
          <w:i w:val="1"/>
          <w:iCs w:val="1"/>
          <w:color w:val="auto"/>
        </w:rPr>
        <w:t>Restricted Share Units</w:t>
      </w:r>
      <w:r>
        <w:rPr>
          <w:rFonts w:ascii="Arial" w:cs="Arial" w:eastAsia="Arial" w:hAnsi="Arial"/>
          <w:sz w:val="20"/>
          <w:szCs w:val="20"/>
          <w:color w:val="auto"/>
        </w:rPr>
        <w:t>” or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Each vested Restricted Share Unit represents the right to receive, in accordance with the Restricted Share Unit Award Agreement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one Share. This award of Restricted Share Units is subject to all of the terms and conditions set forth herein and in the Agreement and the Plan, each of which are incorporated herein by reference. Unless otherwise defined herein, the terms defined in the Plan shall have the same defined meanings in this Restricted Share Unit Award Grant Notice and the Agreement.</w:t>
      </w:r>
    </w:p>
    <w:p>
      <w:pPr>
        <w:sectPr>
          <w:pgSz w:w="11900" w:h="16838" w:orient="portrait"/>
          <w:cols w:equalWidth="0" w:num="1">
            <w:col w:w="11240"/>
          </w:cols>
          <w:pgMar w:left="320" w:top="333" w:right="339" w:bottom="1440" w:gutter="0" w:footer="0" w:header="0"/>
        </w:sect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Participant: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Grant Date: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Total Number of RSUs: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Vesting Commencement Date: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Termination: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the Plan, the RSUs shall vest [_____________], if, and</w:t>
      </w:r>
    </w:p>
    <w:p>
      <w:pPr>
        <w:spacing w:after="0" w:line="12" w:lineRule="exact"/>
        <w:rPr>
          <w:sz w:val="20"/>
          <w:szCs w:val="20"/>
          <w:color w:val="auto"/>
        </w:rPr>
      </w:pPr>
    </w:p>
    <w:p>
      <w:pPr>
        <w:jc w:val="both"/>
        <w:ind w:right="200"/>
        <w:spacing w:after="0" w:line="242" w:lineRule="auto"/>
        <w:rPr>
          <w:sz w:val="20"/>
          <w:szCs w:val="20"/>
          <w:color w:val="auto"/>
        </w:rPr>
      </w:pPr>
      <w:r>
        <w:rPr>
          <w:rFonts w:ascii="Arial" w:cs="Arial" w:eastAsia="Arial" w:hAnsi="Arial"/>
          <w:sz w:val="18"/>
          <w:szCs w:val="18"/>
          <w:color w:val="auto"/>
        </w:rPr>
        <w:t>only if, Participant is, and has been, continuously (except for any absence for vacation, leave, etc. in accordance with the Company’s or its Subsidiaries’ policies): (i) employed by the Company or any of its Subsidiaries, (ii) serving as a Non-Employee Director or (iii) providing services to the Company or any of its Subsidiaries as an advisor or consultant, in each case, from the Grant Date through and including such date.</w:t>
      </w:r>
    </w:p>
    <w:p>
      <w:pPr>
        <w:spacing w:after="0" w:line="88" w:lineRule="exact"/>
        <w:rPr>
          <w:sz w:val="20"/>
          <w:szCs w:val="20"/>
          <w:color w:val="auto"/>
        </w:rPr>
      </w:pPr>
    </w:p>
    <w:p>
      <w:pPr>
        <w:ind w:right="240"/>
        <w:spacing w:after="0" w:line="218" w:lineRule="auto"/>
        <w:rPr>
          <w:sz w:val="20"/>
          <w:szCs w:val="20"/>
          <w:color w:val="auto"/>
        </w:rPr>
      </w:pPr>
      <w:r>
        <w:rPr>
          <w:rFonts w:ascii="Arial" w:cs="Arial" w:eastAsia="Arial" w:hAnsi="Arial"/>
          <w:sz w:val="20"/>
          <w:szCs w:val="20"/>
          <w:color w:val="auto"/>
        </w:rPr>
        <w:t>In the event Participant ceases to continuously be (except for any absence for vacation, leave, etc. in accordance with the Company’s or its Subsidiaries’ policies): (i) employed by the Company or any of its Subsidiaries, (ii) serving as a Non-Employee Director or (iii) providing services to the Company or any of its Subsidiaries as an advisor or consultant, then all RSUs that have not become vested on or prior to the date of such termination will thereupon be automatically forfeited by Participant without payment of any consideration therefor.</w:t>
      </w:r>
    </w:p>
    <w:p>
      <w:pPr>
        <w:spacing w:after="0" w:line="198" w:lineRule="exact"/>
        <w:rPr>
          <w:sz w:val="20"/>
          <w:szCs w:val="20"/>
          <w:color w:val="auto"/>
        </w:rPr>
      </w:pPr>
    </w:p>
    <w:p>
      <w:pPr>
        <w:sectPr>
          <w:pgSz w:w="11900" w:h="16838" w:orient="portrait"/>
          <w:cols w:equalWidth="0" w:num="2">
            <w:col w:w="3120" w:space="720"/>
            <w:col w:w="7400"/>
          </w:cols>
          <w:pgMar w:left="320" w:top="333" w:right="339" w:bottom="1440" w:gutter="0" w:footer="0" w:header="0"/>
          <w:type w:val="continuous"/>
        </w:sectPr>
      </w:pPr>
    </w:p>
    <w:p>
      <w:pPr>
        <w:ind w:left="760"/>
        <w:spacing w:after="0"/>
        <w:rPr>
          <w:sz w:val="20"/>
          <w:szCs w:val="20"/>
          <w:color w:val="auto"/>
        </w:rPr>
      </w:pPr>
      <w:r>
        <w:rPr>
          <w:rFonts w:ascii="Arial" w:cs="Arial" w:eastAsia="Arial" w:hAnsi="Arial"/>
          <w:sz w:val="20"/>
          <w:szCs w:val="20"/>
          <w:color w:val="auto"/>
        </w:rPr>
        <w:t>Participant understands that the terms of this award of RSUs explicitly include the following (a “</w:t>
      </w:r>
      <w:r>
        <w:rPr>
          <w:rFonts w:ascii="Arial" w:cs="Arial" w:eastAsia="Arial" w:hAnsi="Arial"/>
          <w:sz w:val="20"/>
          <w:szCs w:val="20"/>
          <w:b w:val="1"/>
          <w:bCs w:val="1"/>
          <w:i w:val="1"/>
          <w:iCs w:val="1"/>
          <w:color w:val="auto"/>
        </w:rPr>
        <w:t>Sell to Cover</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Upon vesting of the RSUs and issuance of the resulting Shares, the Company, on Participant’s behalf, will instruct the Company’s transfer agent (together with any other party the Company determines necessary to execute the Sell to Cover,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to sell that number of Shares determined in accordance with Section 2.6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If the Company uses an electronic capitalization table system (such as Shareworks, Carta or Equity Edge) and the fields in this Grant Notice are blank or the information is otherwise provided in a different format</w:t>
      </w:r>
    </w:p>
    <w:p>
      <w:pPr>
        <w:spacing w:after="0" w:line="377"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electronically, the blank fields and other information will be deemed to come from the electronic capitalization system and is considered part of this Grant Notice.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auto"/>
        </w:rPr>
        <w:t>By his or her signature and the Company’s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Committee upon any questions arising under the Plan, the Agreement or this Grant Notice.</w:t>
      </w:r>
    </w:p>
    <w:p>
      <w:pPr>
        <w:sectPr>
          <w:pgSz w:w="11900" w:h="16838" w:orient="portrait"/>
          <w:cols w:equalWidth="0" w:num="1">
            <w:col w:w="11240"/>
          </w:cols>
          <w:pgMar w:left="320" w:top="339" w:right="339" w:bottom="1440" w:gutter="0" w:footer="0" w:header="0"/>
        </w:sectPr>
      </w:pPr>
    </w:p>
    <w:p>
      <w:pPr>
        <w:spacing w:after="0" w:line="17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CYTOMX THERAPEUTICS, INC</w:t>
      </w:r>
      <w:r>
        <w:rPr>
          <w:rFonts w:ascii="Arial" w:cs="Arial" w:eastAsia="Arial" w:hAnsi="Arial"/>
          <w:sz w:val="19"/>
          <w:szCs w:val="19"/>
          <w:b w:val="1"/>
          <w:bCs w:val="1"/>
          <w:color w:val="auto"/>
        </w:rPr>
        <w:t>.: P</w:t>
      </w:r>
      <w:r>
        <w:rPr>
          <w:rFonts w:ascii="Arial" w:cs="Arial" w:eastAsia="Arial" w:hAnsi="Arial"/>
          <w:sz w:val="12"/>
          <w:szCs w:val="12"/>
          <w:b w:val="1"/>
          <w:bCs w:val="1"/>
          <w:color w:val="auto"/>
        </w:rPr>
        <w:t>ARTICIPANT</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PARTICIPANT:</w:t>
      </w:r>
    </w:p>
    <w:p>
      <w:pPr>
        <w:spacing w:after="0" w:line="125" w:lineRule="exact"/>
        <w:rPr>
          <w:sz w:val="20"/>
          <w:szCs w:val="20"/>
          <w:color w:val="auto"/>
        </w:rPr>
      </w:pPr>
    </w:p>
    <w:p>
      <w:pPr>
        <w:sectPr>
          <w:pgSz w:w="11900" w:h="16838" w:orient="portrait"/>
          <w:cols w:equalWidth="0" w:num="2">
            <w:col w:w="4380" w:space="720"/>
            <w:col w:w="6140"/>
          </w:cols>
          <w:pgMar w:left="320" w:top="339" w:right="339" w:bottom="1440" w:gutter="0" w:footer="0" w:header="0"/>
          <w:type w:val="continuous"/>
        </w:sectPr>
      </w:pPr>
    </w:p>
    <w:p>
      <w:pPr>
        <w:ind w:left="10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7" w:lineRule="exact"/>
        <w:rPr>
          <w:sz w:val="20"/>
          <w:szCs w:val="20"/>
          <w:color w:val="auto"/>
        </w:rPr>
      </w:pPr>
    </w:p>
    <w:p>
      <w:pPr>
        <w:sectPr>
          <w:pgSz w:w="11900" w:h="16838" w:orient="portrait"/>
          <w:cols w:equalWidth="0" w:num="2">
            <w:col w:w="4380" w:space="720"/>
            <w:col w:w="6140"/>
          </w:cols>
          <w:pgMar w:left="320" w:top="339" w:right="339" w:bottom="1440" w:gutter="0" w:footer="0" w:header="0"/>
          <w:type w:val="continuous"/>
        </w:sectPr>
      </w:pPr>
    </w:p>
    <w:p>
      <w:pPr>
        <w:ind w:left="10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339" w:right="339" w:bottom="1440" w:gutter="0" w:footer="0" w:header="0"/>
          <w:type w:val="continuous"/>
        </w:sectPr>
      </w:pPr>
    </w:p>
    <w:p>
      <w:pPr>
        <w:spacing w:after="0" w:line="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4380" w:space="720"/>
            <w:col w:w="6140"/>
          </w:cols>
          <w:pgMar w:left="320" w:top="3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SHARE UNIT AWARD GRANT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AGREEMENT</w:t>
      </w:r>
    </w:p>
    <w:p>
      <w:pPr>
        <w:spacing w:after="0" w:line="208"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Pursuant to the Restricted Share Unit Award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to which this Restricted Share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attached, CytomX Therapeutics,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to Participant the number of restricted share units (“</w:t>
      </w:r>
      <w:r>
        <w:rPr>
          <w:rFonts w:ascii="Arial" w:cs="Arial" w:eastAsia="Arial" w:hAnsi="Arial"/>
          <w:sz w:val="20"/>
          <w:szCs w:val="20"/>
          <w:b w:val="1"/>
          <w:bCs w:val="1"/>
          <w:i w:val="1"/>
          <w:iCs w:val="1"/>
          <w:color w:val="auto"/>
        </w:rPr>
        <w:t>Restricted Share Units</w:t>
      </w:r>
      <w:r>
        <w:rPr>
          <w:rFonts w:ascii="Arial" w:cs="Arial" w:eastAsia="Arial" w:hAnsi="Arial"/>
          <w:sz w:val="20"/>
          <w:szCs w:val="20"/>
          <w:color w:val="auto"/>
        </w:rPr>
        <w:t>” or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set forth in the Grant Notice under the Company’s 2015 Equity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Each Restricted Share Unit represents the right to receive one Share upon vesting.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114"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 xml:space="preserve">I.1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and the Grant Notice.</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I.2 </w:t>
      </w:r>
      <w:r>
        <w:rPr>
          <w:rFonts w:ascii="Arial" w:cs="Arial" w:eastAsia="Arial" w:hAnsi="Arial"/>
          <w:sz w:val="19"/>
          <w:szCs w:val="19"/>
          <w:u w:val="single" w:color="auto"/>
          <w:color w:val="auto"/>
        </w:rPr>
        <w:t>Incorporation of Terms of Plan</w:t>
      </w:r>
      <w:r>
        <w:rPr>
          <w:rFonts w:ascii="Arial" w:cs="Arial" w:eastAsia="Arial" w:hAnsi="Arial"/>
          <w:sz w:val="19"/>
          <w:szCs w:val="19"/>
          <w:color w:val="auto"/>
        </w:rPr>
        <w:t>. The RSUs are subject to the terms and conditions of the Plan, which are incorporated herein by reference. In the event of any inconsistency between the Plan and this Agreement, the terms of the Plan shall control.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SHARE UNITS</w:t>
      </w:r>
    </w:p>
    <w:p>
      <w:pPr>
        <w:spacing w:after="0" w:line="11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II.1</w:t>
      </w:r>
      <w:r>
        <w:rPr>
          <w:sz w:val="20"/>
          <w:szCs w:val="20"/>
          <w:color w:val="auto"/>
        </w:rPr>
        <w:tab/>
      </w:r>
      <w:r>
        <w:rPr>
          <w:rFonts w:ascii="Arial" w:cs="Arial" w:eastAsia="Arial" w:hAnsi="Arial"/>
          <w:sz w:val="18"/>
          <w:szCs w:val="18"/>
          <w:u w:val="single" w:color="auto"/>
          <w:color w:val="auto"/>
        </w:rPr>
        <w:t>Grant of RSUs</w:t>
      </w:r>
      <w:r>
        <w:rPr>
          <w:rFonts w:ascii="Arial" w:cs="Arial" w:eastAsia="Arial" w:hAnsi="Arial"/>
          <w:sz w:val="18"/>
          <w:szCs w:val="18"/>
          <w:color w:val="auto"/>
        </w:rPr>
        <w:t>. Pursuant to the Grant Notice and upon the terms and conditions set forth in the Plan and this Agreement,</w:t>
      </w:r>
    </w:p>
    <w:p>
      <w:pPr>
        <w:spacing w:after="0" w:line="2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effective as of the Grant Date set forth in the Grant Notice, the Company hereby grants to Participant an award of RSUs under the Plan in consideration of Participant’s past and/or continued employment with or service to the Company or any Subsidiary and for other good and valuable consideration, subject to adjustments as provided in Sections 5.7 and 5.8 of the Plan.</w:t>
      </w:r>
    </w:p>
    <w:p>
      <w:pPr>
        <w:spacing w:after="0" w:line="18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 xml:space="preserve">II.2 </w:t>
      </w:r>
      <w:r>
        <w:rPr>
          <w:rFonts w:ascii="Arial" w:cs="Arial" w:eastAsia="Arial" w:hAnsi="Arial"/>
          <w:sz w:val="19"/>
          <w:szCs w:val="19"/>
          <w:u w:val="single" w:color="auto"/>
          <w:color w:val="auto"/>
        </w:rPr>
        <w:t>Unsecured Obligation to RSUs</w:t>
      </w:r>
      <w:r>
        <w:rPr>
          <w:rFonts w:ascii="Arial" w:cs="Arial" w:eastAsia="Arial" w:hAnsi="Arial"/>
          <w:sz w:val="19"/>
          <w:szCs w:val="19"/>
          <w:color w:val="auto"/>
        </w:rPr>
        <w:t>. Unless and until the RSUs have vested in the manner set forth in Article II hereof, Participant will have no right to receive a Share or other property under any such RSUs. Prior to actual payment of any vested RSUs, such RSUs will represent an unsecured obligation of the Company, payable (if at all) only from the general assets of the Company.</w:t>
      </w:r>
    </w:p>
    <w:p>
      <w:pPr>
        <w:spacing w:after="0" w:line="17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II.3 </w:t>
      </w: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Section 2.5 hereof, the RSUs shall vest and become nonforfeitable with respect to the applicable portion thereof according to the vesting schedule set forth in the Grant Notice (rounding down to the nearest whole Share). Notwithstanding the foregoing and the Grant Notice, but subject to Section 2.5 hereof, in the event of a Change in Control, the RSUs shall be treated pursuant to Section 5.8 of the Plan.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ind w:left="760"/>
              <w:spacing w:after="0"/>
              <w:rPr>
                <w:sz w:val="20"/>
                <w:szCs w:val="20"/>
                <w:color w:val="auto"/>
              </w:rPr>
            </w:pPr>
            <w:r>
              <w:rPr>
                <w:rFonts w:ascii="Arial" w:cs="Arial" w:eastAsia="Arial" w:hAnsi="Arial"/>
                <w:sz w:val="20"/>
                <w:szCs w:val="20"/>
                <w:color w:val="auto"/>
              </w:rPr>
              <w:t>II.4</w:t>
            </w:r>
          </w:p>
        </w:tc>
        <w:tc>
          <w:tcPr>
            <w:tcW w:w="9720" w:type="dxa"/>
            <w:vAlign w:val="bottom"/>
            <w:gridSpan w:val="3"/>
          </w:tcPr>
          <w:p>
            <w:pPr>
              <w:spacing w:after="0"/>
              <w:rPr>
                <w:sz w:val="20"/>
                <w:szCs w:val="20"/>
                <w:color w:val="auto"/>
              </w:rPr>
            </w:pPr>
            <w:r>
              <w:rPr>
                <w:rFonts w:ascii="Arial" w:cs="Arial" w:eastAsia="Arial" w:hAnsi="Arial"/>
                <w:sz w:val="20"/>
                <w:szCs w:val="20"/>
                <w:color w:val="auto"/>
                <w:w w:val="91"/>
              </w:rPr>
              <w:t>Consideration to the Company. In consideration of the grant of the award of RSUs pursuant hereto, Participant agrees to</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20"/>
                <w:szCs w:val="20"/>
                <w:color w:val="auto"/>
                <w:w w:val="91"/>
              </w:rPr>
              <w:t>render faithful and</w:t>
            </w:r>
          </w:p>
        </w:tc>
        <w:tc>
          <w:tcPr>
            <w:tcW w:w="24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520" w:type="dxa"/>
            <w:vAlign w:val="bottom"/>
            <w:vMerge w:val="continue"/>
          </w:tcPr>
          <w:p>
            <w:pPr>
              <w:spacing w:after="0"/>
              <w:rPr>
                <w:sz w:val="21"/>
                <w:szCs w:val="21"/>
                <w:color w:val="auto"/>
              </w:rPr>
            </w:pPr>
          </w:p>
        </w:tc>
        <w:tc>
          <w:tcPr>
            <w:tcW w:w="9720" w:type="dxa"/>
            <w:vAlign w:val="bottom"/>
            <w:gridSpan w:val="3"/>
          </w:tcPr>
          <w:p>
            <w:pPr>
              <w:spacing w:after="0"/>
              <w:rPr>
                <w:sz w:val="20"/>
                <w:szCs w:val="20"/>
                <w:color w:val="auto"/>
              </w:rPr>
            </w:pPr>
            <w:r>
              <w:rPr>
                <w:rFonts w:ascii="Arial" w:cs="Arial" w:eastAsia="Arial" w:hAnsi="Arial"/>
                <w:sz w:val="20"/>
                <w:szCs w:val="20"/>
                <w:color w:val="auto"/>
              </w:rPr>
              <w:t>efficient services to the Company and its Subsidiaries, as applicable.</w:t>
            </w:r>
          </w:p>
        </w:tc>
        <w:tc>
          <w:tcPr>
            <w:tcW w:w="0" w:type="dxa"/>
            <w:vAlign w:val="bottom"/>
          </w:tcPr>
          <w:p>
            <w:pPr>
              <w:spacing w:after="0"/>
              <w:rPr>
                <w:sz w:val="1"/>
                <w:szCs w:val="1"/>
                <w:color w:val="auto"/>
              </w:rPr>
            </w:pPr>
          </w:p>
        </w:tc>
      </w:tr>
      <w:tr>
        <w:trPr>
          <w:trHeight w:val="384"/>
        </w:trPr>
        <w:tc>
          <w:tcPr>
            <w:tcW w:w="1520" w:type="dxa"/>
            <w:vAlign w:val="bottom"/>
          </w:tcPr>
          <w:p>
            <w:pPr>
              <w:ind w:left="760"/>
              <w:spacing w:after="0"/>
              <w:rPr>
                <w:sz w:val="20"/>
                <w:szCs w:val="20"/>
                <w:color w:val="auto"/>
              </w:rPr>
            </w:pPr>
            <w:r>
              <w:rPr>
                <w:rFonts w:ascii="Arial" w:cs="Arial" w:eastAsia="Arial" w:hAnsi="Arial"/>
                <w:sz w:val="20"/>
                <w:szCs w:val="20"/>
                <w:color w:val="auto"/>
              </w:rPr>
              <w:t>II.5</w:t>
            </w:r>
          </w:p>
        </w:tc>
        <w:tc>
          <w:tcPr>
            <w:tcW w:w="9720" w:type="dxa"/>
            <w:vAlign w:val="bottom"/>
            <w:gridSpan w:val="3"/>
          </w:tcPr>
          <w:p>
            <w:pPr>
              <w:spacing w:after="0"/>
              <w:rPr>
                <w:sz w:val="20"/>
                <w:szCs w:val="20"/>
                <w:color w:val="auto"/>
              </w:rPr>
            </w:pPr>
            <w:r>
              <w:rPr>
                <w:rFonts w:ascii="Arial" w:cs="Arial" w:eastAsia="Arial" w:hAnsi="Arial"/>
                <w:sz w:val="20"/>
                <w:szCs w:val="20"/>
                <w:color w:val="auto"/>
                <w:w w:val="94"/>
              </w:rPr>
              <w:t>Forfeiture, Termination and Cancellation upon Termination of Service.  Notwithstanding any contrary provision of this</w:t>
            </w:r>
          </w:p>
        </w:tc>
        <w:tc>
          <w:tcPr>
            <w:tcW w:w="0" w:type="dxa"/>
            <w:vAlign w:val="bottom"/>
          </w:tcPr>
          <w:p>
            <w:pPr>
              <w:spacing w:after="0"/>
              <w:rPr>
                <w:sz w:val="1"/>
                <w:szCs w:val="1"/>
                <w:color w:val="auto"/>
              </w:rPr>
            </w:pPr>
          </w:p>
        </w:tc>
      </w:tr>
      <w:tr>
        <w:trPr>
          <w:trHeight w:val="20"/>
        </w:trPr>
        <w:tc>
          <w:tcPr>
            <w:tcW w:w="1520" w:type="dxa"/>
            <w:vAlign w:val="bottom"/>
            <w:tcBorders>
              <w:righ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3" w:lineRule="auto"/>
        <w:rPr>
          <w:sz w:val="20"/>
          <w:szCs w:val="20"/>
          <w:color w:val="auto"/>
        </w:rPr>
      </w:pPr>
      <w:r>
        <w:rPr>
          <w:rFonts w:ascii="Arial" w:cs="Arial" w:eastAsia="Arial" w:hAnsi="Arial"/>
          <w:sz w:val="20"/>
          <w:szCs w:val="20"/>
          <w:color w:val="auto"/>
        </w:rPr>
        <w:t>Agreement or the Plan, in the event Participant ceases to continuously be (except for any absence for vacation, leave, etc. in accordance with the Company’s or its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349"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both"/>
        <w:spacing w:after="0" w:line="241" w:lineRule="auto"/>
        <w:rPr>
          <w:sz w:val="20"/>
          <w:szCs w:val="20"/>
          <w:color w:val="auto"/>
        </w:rPr>
      </w:pPr>
      <w:r>
        <w:rPr>
          <w:rFonts w:ascii="Arial" w:cs="Arial" w:eastAsia="Arial" w:hAnsi="Arial"/>
          <w:sz w:val="19"/>
          <w:szCs w:val="19"/>
          <w:color w:val="auto"/>
        </w:rPr>
        <w:t>policies): (i) employed by the Company or any of its Subsidiaries, (ii) serving as a Non-Employee Director or (iii) providing services to the Company or any of its Subsidiaries as an advisor or consultant, then all RSUs that have not become vested on or prior to the date of such termination will thereupon be automatically forfeited by Participant without payment of any consideration therefor, and Participant, or Participant’s beneficiary or personal representative, as the case may be, shall have no further rights hereunder. No portion of the RSUs which has not become vested as of the date on which Participant ceases to continuously be (except for any absence for vacation, leave, etc. in accordance with the Company’s or its Subsidiaries’ policies): (i) employed by the Company or any of its Subsidiaries, (ii) serving as a Non-Employee Director or (iii) providing services to the Company or any of its Subsidiaries as an advisor or consultant shall thereafter become vested, except as may otherwise be provided by the Committee or as set forth in a written agreement between the Company (or any Subsidiary that is the employer of Participant) and Participant.</w:t>
      </w:r>
    </w:p>
    <w:p>
      <w:pPr>
        <w:spacing w:after="0" w:line="185"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II.6</w:t>
      </w:r>
      <w:r>
        <w:rPr>
          <w:sz w:val="20"/>
          <w:szCs w:val="20"/>
          <w:color w:val="auto"/>
        </w:rPr>
        <w:tab/>
      </w:r>
      <w:r>
        <w:rPr>
          <w:rFonts w:ascii="Arial" w:cs="Arial" w:eastAsia="Arial" w:hAnsi="Arial"/>
          <w:sz w:val="20"/>
          <w:szCs w:val="20"/>
          <w:u w:val="single" w:color="auto"/>
          <w:color w:val="auto"/>
        </w:rPr>
        <w:t>Issuance of Common Stock upon Vesting</w:t>
      </w:r>
      <w:r>
        <w:rPr>
          <w:rFonts w:ascii="Arial" w:cs="Arial" w:eastAsia="Arial" w:hAnsi="Arial"/>
          <w:sz w:val="20"/>
          <w:szCs w:val="20"/>
          <w:color w:val="auto"/>
        </w:rPr>
        <w:t>.</w:t>
      </w:r>
    </w:p>
    <w:p>
      <w:pPr>
        <w:spacing w:after="0" w:line="202" w:lineRule="exact"/>
        <w:rPr>
          <w:sz w:val="20"/>
          <w:szCs w:val="20"/>
          <w:color w:val="auto"/>
        </w:rPr>
      </w:pPr>
    </w:p>
    <w:p>
      <w:pPr>
        <w:jc w:val="both"/>
        <w:ind w:firstLine="1505"/>
        <w:spacing w:after="0" w:line="243" w:lineRule="auto"/>
        <w:tabs>
          <w:tab w:leader="none" w:pos="29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As soon as administratively practicable following the vesting of any Restricted Share Units pursuant to Section 2.3 hereof, but in no event later than 30 days after such vesting date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Restricted Share Unit Award that vest on the applicable vesting date. Notwithstanding the foregoing, in the event the issuance of Shares is deferred pursuant to Sections 5.6 and 5.9 of the Plan, the Shares shall be issued pursuant to the preceding sentence as soon as administratively practicable after the Committee determines that Shares can again be issued in accordance with such Section.</w:t>
      </w:r>
    </w:p>
    <w:p>
      <w:pPr>
        <w:spacing w:after="0" w:line="179" w:lineRule="exact"/>
        <w:rPr>
          <w:rFonts w:ascii="Arial" w:cs="Arial" w:eastAsia="Arial" w:hAnsi="Arial"/>
          <w:sz w:val="19"/>
          <w:szCs w:val="19"/>
          <w:color w:val="auto"/>
        </w:rPr>
      </w:pPr>
    </w:p>
    <w:p>
      <w:pPr>
        <w:jc w:val="both"/>
        <w:ind w:firstLine="1505"/>
        <w:spacing w:after="0" w:line="241" w:lineRule="auto"/>
        <w:tabs>
          <w:tab w:leader="none" w:pos="29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As set forth in Section 5.5 of the Plan, the Company shall have the authority and the right to deduct or withhold, or to require Participant to remit to the Company, an amount sufficient to satisfy all applicable federal, state, local or other taxes (the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required by law to be withheld with respect to any taxable event arising in connection with the Restricted Share Units. Such Tax-Related Items shall be satisfied by using a Sell to Cover pursuant to the Grant Notice.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Restricted Share Units or the issuance of Shares. By accepting this award of RSUs, Participant has agreed to a Sell to Cover to satisfy any Tax-Related Items calculated at up to the maximum statutory tax rate, as determined by the Company, and Participant hereby acknowledges and agrees:</w:t>
      </w:r>
    </w:p>
    <w:p>
      <w:pPr>
        <w:spacing w:after="0" w:line="185" w:lineRule="exact"/>
        <w:rPr>
          <w:sz w:val="20"/>
          <w:szCs w:val="20"/>
          <w:color w:val="auto"/>
        </w:rPr>
      </w:pPr>
    </w:p>
    <w:p>
      <w:pPr>
        <w:jc w:val="both"/>
        <w:ind w:firstLine="2246"/>
        <w:spacing w:after="0" w:line="230" w:lineRule="auto"/>
        <w:rPr>
          <w:sz w:val="20"/>
          <w:szCs w:val="20"/>
          <w:color w:val="auto"/>
        </w:rPr>
      </w:pPr>
      <w:r>
        <w:rPr>
          <w:rFonts w:ascii="Arial" w:cs="Arial" w:eastAsia="Arial" w:hAnsi="Arial"/>
          <w:sz w:val="20"/>
          <w:szCs w:val="20"/>
          <w:color w:val="auto"/>
        </w:rPr>
        <w:t>(i) Participant hereby appoints the Agent as Participant’s agent and authorizes the Agent to (1) sell on the open market at the then prevailing market price(s), on Participant’s behalf, as soon as practicable on or after the date the Shares are issued upon vesting of the Restricted Share Units, that number (rounded up to the next whole number) of the Shares so issued necessary to generate proceeds to cover (x) any Tax-Related Items incurred with respect to such vesting or issuance based on up to the maximum statutory tax rates, as determined by the Company, and (y) all applicable fees and commissions due to, or required to be collected by, the Agent with respect thereto and (2) in the Company’s discretion, apply any remaining funds to Participant’s federal tax withholding or remit such remaining funds to Participant.</w:t>
      </w:r>
    </w:p>
    <w:p>
      <w:pPr>
        <w:spacing w:after="0" w:line="185"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0"/>
          <w:szCs w:val="20"/>
          <w:color w:val="auto"/>
        </w:rPr>
        <w:t>(ii) Participant hereby authorizes the Company and the Agent to cooperate and communicate with one another to determine the number of Shares that must be sold pursuant to subsection (i)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349"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3" w:name="page134"/>
    <w:bookmarkEnd w:id="133"/>
    <w:p>
      <w:pPr>
        <w:jc w:val="both"/>
        <w:ind w:firstLine="2246"/>
        <w:spacing w:after="0" w:line="230" w:lineRule="auto"/>
        <w:rPr>
          <w:sz w:val="20"/>
          <w:szCs w:val="20"/>
          <w:color w:val="auto"/>
        </w:rPr>
      </w:pPr>
      <w:r>
        <w:rPr>
          <w:rFonts w:ascii="Arial" w:cs="Arial" w:eastAsia="Arial" w:hAnsi="Arial"/>
          <w:sz w:val="20"/>
          <w:szCs w:val="20"/>
          <w:color w:val="auto"/>
        </w:rPr>
        <w:t>(iii) 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in subsection (i) above due to (1) a legal or contractual restriction applicable to the Participant or the Agent, (2) a market disruption or (3) rules governing order execution priority on the national exchange where the Shares may be traded. In the event of the Agent’s inability to sell Shares, Participant will continue to be responsible for the timely payment to the Company and/or its affiliates of all Tax-Related Items that are required by applicable laws and regulations to be withheld.</w:t>
      </w:r>
    </w:p>
    <w:p>
      <w:pPr>
        <w:spacing w:after="0" w:line="185"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auto"/>
        </w:rPr>
        <w:t>(iv) Participant acknowledges that regardless of any other term or condition of this Section 2.6(b),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83"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auto"/>
        </w:rPr>
        <w:t>(v) Participant hereby agrees to execute and deliver to the Agent any other agreements or documents as the Agent reasonably deems necessary or appropriate to carry out the purposes and intent of this Section 2.6(b). The Agent is a third-party beneficiary of this Section 2.6(b).</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Section 2.6(b) shall terminate not later than the date on which all tax withholding and obligations arising in connection with the vesting and issuance of the RSUs have been satisfied.</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II.7 </w:t>
      </w:r>
      <w:r>
        <w:rPr>
          <w:rFonts w:ascii="Arial" w:cs="Arial" w:eastAsia="Arial" w:hAnsi="Arial"/>
          <w:sz w:val="20"/>
          <w:szCs w:val="20"/>
          <w:u w:val="single" w:color="auto"/>
          <w:color w:val="auto"/>
        </w:rPr>
        <w:t>Conditions to Delivery of Shares</w:t>
      </w:r>
      <w:r>
        <w:rPr>
          <w:rFonts w:ascii="Arial" w:cs="Arial" w:eastAsia="Arial" w:hAnsi="Arial"/>
          <w:sz w:val="20"/>
          <w:szCs w:val="20"/>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5.6 of the Plan.</w:t>
      </w:r>
    </w:p>
    <w:p>
      <w:pPr>
        <w:spacing w:after="0" w:line="183"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 xml:space="preserve">II.8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Sections 5.7 and 5.8 of the Plan.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1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III.1</w:t>
      </w:r>
      <w:r>
        <w:rPr>
          <w:sz w:val="20"/>
          <w:szCs w:val="20"/>
          <w:color w:val="auto"/>
        </w:rPr>
        <w:tab/>
      </w: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shall have the power to interpret the Plan and this Agreement and to adopt such rules for</w:t>
      </w:r>
    </w:p>
    <w:p>
      <w:pPr>
        <w:spacing w:after="0" w:line="2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RSUs.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III.2</w:t>
            </w:r>
          </w:p>
        </w:tc>
        <w:tc>
          <w:tcPr>
            <w:tcW w:w="9740" w:type="dxa"/>
            <w:vAlign w:val="bottom"/>
            <w:gridSpan w:val="2"/>
          </w:tcPr>
          <w:p>
            <w:pPr>
              <w:jc w:val="right"/>
              <w:ind w:right="601"/>
              <w:spacing w:after="0"/>
              <w:rPr>
                <w:sz w:val="20"/>
                <w:szCs w:val="20"/>
                <w:color w:val="auto"/>
              </w:rPr>
            </w:pPr>
            <w:r>
              <w:rPr>
                <w:rFonts w:ascii="Arial" w:cs="Arial" w:eastAsia="Arial" w:hAnsi="Arial"/>
                <w:sz w:val="20"/>
                <w:szCs w:val="20"/>
                <w:color w:val="auto"/>
                <w:w w:val="90"/>
              </w:rPr>
              <w:t>Transferability. The RSUs shall be subject to the restrictions on transferability set forth in Section 5.4 of the Plan.</w:t>
            </w:r>
          </w:p>
        </w:tc>
      </w:tr>
      <w:tr>
        <w:trPr>
          <w:trHeight w:val="456"/>
        </w:trPr>
        <w:tc>
          <w:tcPr>
            <w:tcW w:w="15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560" w:type="dxa"/>
            <w:vAlign w:val="bottom"/>
          </w:tcPr>
          <w:p>
            <w:pPr>
              <w:jc w:val="right"/>
              <w:ind w:right="5461"/>
              <w:spacing w:after="0"/>
              <w:rPr>
                <w:sz w:val="20"/>
                <w:szCs w:val="20"/>
                <w:color w:val="auto"/>
              </w:rPr>
            </w:pPr>
            <w:r>
              <w:rPr>
                <w:rFonts w:ascii="Arial" w:cs="Arial" w:eastAsia="Arial" w:hAnsi="Arial"/>
                <w:sz w:val="20"/>
                <w:szCs w:val="20"/>
                <w:color w:val="auto"/>
              </w:rPr>
              <w:t>3</w:t>
            </w:r>
          </w:p>
        </w:tc>
      </w:tr>
      <w:tr>
        <w:trPr>
          <w:trHeight w:val="510"/>
        </w:trPr>
        <w:tc>
          <w:tcPr>
            <w:tcW w:w="1500" w:type="dxa"/>
            <w:vAlign w:val="bottom"/>
          </w:tcPr>
          <w:p>
            <w:pPr>
              <w:spacing w:after="0"/>
              <w:rPr>
                <w:sz w:val="20"/>
                <w:szCs w:val="20"/>
                <w:color w:val="auto"/>
              </w:rPr>
            </w:pPr>
            <w:r>
              <w:rPr>
                <w:rFonts w:ascii="Arial" w:cs="Arial" w:eastAsia="Arial" w:hAnsi="Arial"/>
                <w:sz w:val="14"/>
                <w:szCs w:val="14"/>
                <w:color w:val="auto"/>
                <w:w w:val="91"/>
              </w:rPr>
              <w:t>|US-DOCS\127381020.1||</w:t>
            </w:r>
          </w:p>
        </w:tc>
        <w:tc>
          <w:tcPr>
            <w:tcW w:w="9740" w:type="dxa"/>
            <w:vAlign w:val="bottom"/>
            <w:gridSpan w:val="2"/>
          </w:tcPr>
          <w:p>
            <w:pPr>
              <w:jc w:val="right"/>
              <w:ind w:right="7061"/>
              <w:spacing w:after="0"/>
              <w:rPr>
                <w:sz w:val="20"/>
                <w:szCs w:val="20"/>
                <w:color w:val="auto"/>
              </w:rPr>
            </w:pPr>
            <w:r>
              <w:rPr>
                <w:rFonts w:ascii="Arial" w:cs="Arial" w:eastAsia="Arial" w:hAnsi="Arial"/>
                <w:sz w:val="14"/>
                <w:szCs w:val="14"/>
                <w:color w:val="auto"/>
              </w:rPr>
              <w:t>| DATE \@ "MM-dd-yyyy" 12-30-2021|</w:t>
            </w:r>
          </w:p>
        </w:tc>
      </w:tr>
      <w:tr>
        <w:trPr>
          <w:trHeight w:val="114"/>
        </w:trPr>
        <w:tc>
          <w:tcPr>
            <w:tcW w:w="1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4" w:name="page135"/>
    <w:bookmarkEnd w:id="134"/>
    <w:p>
      <w:pPr>
        <w:jc w:val="both"/>
        <w:ind w:firstLine="749"/>
        <w:spacing w:after="0" w:line="234" w:lineRule="auto"/>
        <w:rPr>
          <w:sz w:val="20"/>
          <w:szCs w:val="20"/>
          <w:color w:val="auto"/>
        </w:rPr>
      </w:pPr>
      <w:r>
        <w:rPr>
          <w:rFonts w:ascii="Arial" w:cs="Arial" w:eastAsia="Arial" w:hAnsi="Arial"/>
          <w:sz w:val="20"/>
          <w:szCs w:val="20"/>
          <w:color w:val="auto"/>
        </w:rPr>
        <w:t xml:space="preserve">III.3 </w:t>
      </w:r>
      <w:r>
        <w:rPr>
          <w:rFonts w:ascii="Arial" w:cs="Arial" w:eastAsia="Arial" w:hAnsi="Arial"/>
          <w:sz w:val="20"/>
          <w:szCs w:val="20"/>
          <w:u w:val="single" w:color="auto"/>
          <w:color w:val="auto"/>
        </w:rPr>
        <w:t>Tax Consultation</w:t>
      </w:r>
      <w:r>
        <w:rPr>
          <w:rFonts w:ascii="Arial" w:cs="Arial" w:eastAsia="Arial" w:hAnsi="Arial"/>
          <w:sz w:val="20"/>
          <w:szCs w:val="20"/>
          <w:color w:val="auto"/>
        </w:rPr>
        <w:t>. Participant understands that Participant may suffer adverse tax consequences in connection with the RSUs granted pursuant to this Agreement (and the Shares issuable with respect thereto). Participant represents that Participant has consulted with any tax consultants Participant deems advisable in connection with the RSUs and the issuance of Shares with respect thereto and that Participant is not relying on the Company for any tax advice.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III.4</w:t>
            </w:r>
          </w:p>
        </w:tc>
        <w:tc>
          <w:tcPr>
            <w:tcW w:w="9740" w:type="dxa"/>
            <w:vAlign w:val="bottom"/>
            <w:gridSpan w:val="3"/>
          </w:tcPr>
          <w:p>
            <w:pPr>
              <w:spacing w:after="0"/>
              <w:rPr>
                <w:sz w:val="20"/>
                <w:szCs w:val="20"/>
                <w:color w:val="auto"/>
              </w:rPr>
            </w:pPr>
            <w:r>
              <w:rPr>
                <w:rFonts w:ascii="Arial" w:cs="Arial" w:eastAsia="Arial" w:hAnsi="Arial"/>
                <w:sz w:val="20"/>
                <w:szCs w:val="20"/>
                <w:color w:val="auto"/>
                <w:w w:val="92"/>
              </w:rPr>
              <w:t>Binding Agreement. Subject to the limitation on the transferability of the RSUs contained herein, this Agreement will be</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20"/>
                <w:szCs w:val="20"/>
                <w:color w:val="auto"/>
                <w:w w:val="96"/>
              </w:rPr>
              <w:t>binding upon and</w:t>
            </w:r>
          </w:p>
        </w:tc>
        <w:tc>
          <w:tcPr>
            <w:tcW w:w="1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500" w:type="dxa"/>
            <w:vAlign w:val="bottom"/>
            <w:vMerge w:val="continue"/>
          </w:tcPr>
          <w:p>
            <w:pPr>
              <w:spacing w:after="0"/>
              <w:rPr>
                <w:sz w:val="21"/>
                <w:szCs w:val="21"/>
                <w:color w:val="auto"/>
              </w:rPr>
            </w:pPr>
          </w:p>
        </w:tc>
        <w:tc>
          <w:tcPr>
            <w:tcW w:w="9740" w:type="dxa"/>
            <w:vAlign w:val="bottom"/>
            <w:gridSpan w:val="3"/>
          </w:tcPr>
          <w:p>
            <w:pPr>
              <w:spacing w:after="0"/>
              <w:rPr>
                <w:sz w:val="20"/>
                <w:szCs w:val="20"/>
                <w:color w:val="auto"/>
              </w:rPr>
            </w:pPr>
            <w:r>
              <w:rPr>
                <w:rFonts w:ascii="Arial" w:cs="Arial" w:eastAsia="Arial" w:hAnsi="Arial"/>
                <w:sz w:val="20"/>
                <w:szCs w:val="20"/>
                <w:color w:val="auto"/>
              </w:rPr>
              <w:t>inure to the benefit of the heirs, legatees, legal representatives, successors and assigns of the parties hereto.</w:t>
            </w:r>
          </w:p>
        </w:tc>
        <w:tc>
          <w:tcPr>
            <w:tcW w:w="0" w:type="dxa"/>
            <w:vAlign w:val="bottom"/>
          </w:tcPr>
          <w:p>
            <w:pPr>
              <w:spacing w:after="0"/>
              <w:rPr>
                <w:sz w:val="1"/>
                <w:szCs w:val="1"/>
                <w:color w:val="auto"/>
              </w:rPr>
            </w:pPr>
          </w:p>
        </w:tc>
      </w:tr>
      <w:tr>
        <w:trPr>
          <w:trHeight w:val="384"/>
        </w:trPr>
        <w:tc>
          <w:tcPr>
            <w:tcW w:w="1500" w:type="dxa"/>
            <w:vAlign w:val="bottom"/>
          </w:tcPr>
          <w:p>
            <w:pPr>
              <w:ind w:left="760"/>
              <w:spacing w:after="0"/>
              <w:rPr>
                <w:sz w:val="20"/>
                <w:szCs w:val="20"/>
                <w:color w:val="auto"/>
              </w:rPr>
            </w:pPr>
            <w:r>
              <w:rPr>
                <w:rFonts w:ascii="Arial" w:cs="Arial" w:eastAsia="Arial" w:hAnsi="Arial"/>
                <w:sz w:val="20"/>
                <w:szCs w:val="20"/>
                <w:color w:val="auto"/>
              </w:rPr>
              <w:t>III.5</w:t>
            </w:r>
          </w:p>
        </w:tc>
        <w:tc>
          <w:tcPr>
            <w:tcW w:w="9740" w:type="dxa"/>
            <w:vAlign w:val="bottom"/>
            <w:gridSpan w:val="3"/>
          </w:tcPr>
          <w:p>
            <w:pPr>
              <w:spacing w:after="0"/>
              <w:rPr>
                <w:sz w:val="20"/>
                <w:szCs w:val="20"/>
                <w:color w:val="auto"/>
              </w:rPr>
            </w:pPr>
            <w:r>
              <w:rPr>
                <w:rFonts w:ascii="Arial" w:cs="Arial" w:eastAsia="Arial" w:hAnsi="Arial"/>
                <w:sz w:val="20"/>
                <w:szCs w:val="20"/>
                <w:color w:val="auto"/>
                <w:w w:val="90"/>
              </w:rPr>
              <w:t>Adjustments Upon Specified Events. The Committee may accelerate the vesting of the RSUs in such circumstances as it,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3" w:lineRule="auto"/>
        <w:rPr>
          <w:sz w:val="20"/>
          <w:szCs w:val="20"/>
          <w:color w:val="auto"/>
        </w:rPr>
      </w:pPr>
      <w:r>
        <w:rPr>
          <w:rFonts w:ascii="Arial" w:cs="Arial" w:eastAsia="Arial" w:hAnsi="Arial"/>
          <w:sz w:val="20"/>
          <w:szCs w:val="20"/>
          <w:color w:val="auto"/>
        </w:rPr>
        <w:t>in its sole discretion, may determine. Participant acknowledges that the RSUs are subject to adjustment, modification and termination in certain events as provided in this Agreement and Sections 5.7 and 5.8 of the Plan.</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color w:val="auto"/>
        </w:rPr>
        <w:t xml:space="preserve">III.6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non-U.S. entity).</w:t>
      </w:r>
    </w:p>
    <w:p>
      <w:pPr>
        <w:spacing w:after="0" w:line="17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III.7 </w:t>
      </w: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III.8</w:t>
            </w:r>
          </w:p>
        </w:tc>
        <w:tc>
          <w:tcPr>
            <w:tcW w:w="9740" w:type="dxa"/>
            <w:vAlign w:val="bottom"/>
            <w:gridSpan w:val="3"/>
          </w:tcPr>
          <w:p>
            <w:pPr>
              <w:spacing w:after="0"/>
              <w:rPr>
                <w:sz w:val="20"/>
                <w:szCs w:val="20"/>
                <w:color w:val="auto"/>
              </w:rPr>
            </w:pPr>
            <w:r>
              <w:rPr>
                <w:rFonts w:ascii="Arial" w:cs="Arial" w:eastAsia="Arial" w:hAnsi="Arial"/>
                <w:sz w:val="20"/>
                <w:szCs w:val="20"/>
                <w:color w:val="auto"/>
                <w:w w:val="91"/>
              </w:rPr>
              <w:t>Titles. Titles are provided herein for convenience only and are not to serve as a basis for interpretation or construction of</w:t>
            </w:r>
          </w:p>
        </w:tc>
      </w:tr>
      <w:tr>
        <w:trPr>
          <w:trHeight w:val="241"/>
        </w:trPr>
        <w:tc>
          <w:tcPr>
            <w:tcW w:w="1500" w:type="dxa"/>
            <w:vAlign w:val="bottom"/>
          </w:tcPr>
          <w:p>
            <w:pPr>
              <w:spacing w:after="0"/>
              <w:rPr>
                <w:sz w:val="20"/>
                <w:szCs w:val="20"/>
                <w:color w:val="auto"/>
              </w:rPr>
            </w:pPr>
            <w:r>
              <w:rPr>
                <w:rFonts w:ascii="Arial" w:cs="Arial" w:eastAsia="Arial" w:hAnsi="Arial"/>
                <w:sz w:val="20"/>
                <w:szCs w:val="20"/>
                <w:color w:val="auto"/>
              </w:rPr>
              <w:t>this Agreement.</w:t>
            </w:r>
          </w:p>
        </w:tc>
        <w:tc>
          <w:tcPr>
            <w:tcW w:w="44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8480" w:type="dxa"/>
            <w:vAlign w:val="bottom"/>
          </w:tcPr>
          <w:p>
            <w:pPr>
              <w:spacing w:after="0"/>
              <w:rPr>
                <w:sz w:val="20"/>
                <w:szCs w:val="20"/>
                <w:color w:val="auto"/>
              </w:rPr>
            </w:pPr>
          </w:p>
        </w:tc>
      </w:tr>
      <w:tr>
        <w:trPr>
          <w:trHeight w:val="388"/>
        </w:trPr>
        <w:tc>
          <w:tcPr>
            <w:tcW w:w="1500" w:type="dxa"/>
            <w:vAlign w:val="bottom"/>
          </w:tcPr>
          <w:p>
            <w:pPr>
              <w:ind w:left="760"/>
              <w:spacing w:after="0"/>
              <w:rPr>
                <w:sz w:val="20"/>
                <w:szCs w:val="20"/>
                <w:color w:val="auto"/>
              </w:rPr>
            </w:pPr>
            <w:r>
              <w:rPr>
                <w:rFonts w:ascii="Arial" w:cs="Arial" w:eastAsia="Arial" w:hAnsi="Arial"/>
                <w:sz w:val="20"/>
                <w:szCs w:val="20"/>
                <w:color w:val="auto"/>
              </w:rPr>
              <w:t>III.9</w:t>
            </w:r>
          </w:p>
        </w:tc>
        <w:tc>
          <w:tcPr>
            <w:tcW w:w="9740" w:type="dxa"/>
            <w:vAlign w:val="bottom"/>
            <w:gridSpan w:val="3"/>
          </w:tcPr>
          <w:p>
            <w:pPr>
              <w:spacing w:after="0"/>
              <w:rPr>
                <w:sz w:val="20"/>
                <w:szCs w:val="20"/>
                <w:color w:val="auto"/>
              </w:rPr>
            </w:pPr>
            <w:r>
              <w:rPr>
                <w:rFonts w:ascii="Arial" w:cs="Arial" w:eastAsia="Arial" w:hAnsi="Arial"/>
                <w:sz w:val="20"/>
                <w:szCs w:val="20"/>
                <w:color w:val="auto"/>
                <w:w w:val="93"/>
              </w:rPr>
              <w:t>Governing Law. The laws of the State of Delaware shall govern the interpretation, validity, administration, enforcement</w:t>
            </w: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bl>
    <w:p>
      <w:pPr>
        <w:jc w:val="both"/>
        <w:spacing w:after="0" w:line="255" w:lineRule="auto"/>
        <w:rPr>
          <w:sz w:val="20"/>
          <w:szCs w:val="20"/>
          <w:color w:val="auto"/>
        </w:rPr>
      </w:pPr>
      <w:r>
        <w:rPr>
          <w:rFonts w:ascii="Arial" w:cs="Arial" w:eastAsia="Arial" w:hAnsi="Arial"/>
          <w:sz w:val="18"/>
          <w:szCs w:val="18"/>
          <w:color w:val="auto"/>
        </w:rPr>
        <w:t>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760"/>
              <w:spacing w:after="0"/>
              <w:rPr>
                <w:sz w:val="20"/>
                <w:szCs w:val="20"/>
                <w:color w:val="auto"/>
              </w:rPr>
            </w:pPr>
            <w:r>
              <w:rPr>
                <w:rFonts w:ascii="Arial" w:cs="Arial" w:eastAsia="Arial" w:hAnsi="Arial"/>
                <w:sz w:val="20"/>
                <w:szCs w:val="20"/>
                <w:color w:val="auto"/>
              </w:rPr>
              <w:t>III.10</w:t>
            </w:r>
          </w:p>
        </w:tc>
        <w:tc>
          <w:tcPr>
            <w:tcW w:w="9740" w:type="dxa"/>
            <w:vAlign w:val="bottom"/>
            <w:gridSpan w:val="2"/>
          </w:tcPr>
          <w:p>
            <w:pPr>
              <w:jc w:val="right"/>
              <w:spacing w:after="0"/>
              <w:rPr>
                <w:sz w:val="20"/>
                <w:szCs w:val="20"/>
                <w:color w:val="auto"/>
              </w:rPr>
            </w:pPr>
            <w:r>
              <w:rPr>
                <w:rFonts w:ascii="Arial" w:cs="Arial" w:eastAsia="Arial" w:hAnsi="Arial"/>
                <w:sz w:val="20"/>
                <w:szCs w:val="20"/>
                <w:color w:val="auto"/>
                <w:w w:val="90"/>
              </w:rPr>
              <w:t>Conformity to Securities Laws. Participant acknowledges that the Plan and this Agreement are intended to conform to the</w:t>
            </w:r>
          </w:p>
        </w:tc>
      </w:tr>
      <w:tr>
        <w:trPr>
          <w:trHeight w:val="20"/>
        </w:trPr>
        <w:tc>
          <w:tcPr>
            <w:tcW w:w="15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44"/>
        </w:trPr>
        <w:tc>
          <w:tcPr>
            <w:tcW w:w="11240" w:type="dxa"/>
            <w:vAlign w:val="bottom"/>
            <w:gridSpan w:val="3"/>
          </w:tcPr>
          <w:p>
            <w:pPr>
              <w:spacing w:after="0"/>
              <w:rPr>
                <w:sz w:val="20"/>
                <w:szCs w:val="20"/>
                <w:color w:val="auto"/>
              </w:rPr>
            </w:pPr>
            <w:r>
              <w:rPr>
                <w:rFonts w:ascii="Arial" w:cs="Arial" w:eastAsia="Arial" w:hAnsi="Arial"/>
                <w:sz w:val="20"/>
                <w:szCs w:val="20"/>
                <w:color w:val="auto"/>
              </w:rPr>
              <w:t>extent necessary with all provisions of the Securities Act and the</w:t>
            </w:r>
          </w:p>
        </w:tc>
      </w:tr>
      <w:tr>
        <w:trPr>
          <w:trHeight w:val="429"/>
        </w:trPr>
        <w:tc>
          <w:tcPr>
            <w:tcW w:w="1500" w:type="dxa"/>
            <w:vAlign w:val="bottom"/>
          </w:tcPr>
          <w:p>
            <w:pPr>
              <w:spacing w:after="0"/>
              <w:rPr>
                <w:sz w:val="24"/>
                <w:szCs w:val="24"/>
                <w:color w:val="auto"/>
              </w:rPr>
            </w:pPr>
          </w:p>
        </w:tc>
        <w:tc>
          <w:tcPr>
            <w:tcW w:w="9740" w:type="dxa"/>
            <w:vAlign w:val="bottom"/>
            <w:gridSpan w:val="2"/>
          </w:tcPr>
          <w:p>
            <w:pPr>
              <w:jc w:val="right"/>
              <w:ind w:right="5560"/>
              <w:spacing w:after="0"/>
              <w:rPr>
                <w:sz w:val="20"/>
                <w:szCs w:val="20"/>
                <w:color w:val="auto"/>
              </w:rPr>
            </w:pPr>
            <w:r>
              <w:rPr>
                <w:rFonts w:ascii="Arial" w:cs="Arial" w:eastAsia="Arial" w:hAnsi="Arial"/>
                <w:sz w:val="20"/>
                <w:szCs w:val="20"/>
                <w:color w:val="auto"/>
              </w:rPr>
              <w:t>4</w:t>
            </w:r>
          </w:p>
        </w:tc>
      </w:tr>
      <w:tr>
        <w:trPr>
          <w:trHeight w:val="511"/>
        </w:trPr>
        <w:tc>
          <w:tcPr>
            <w:tcW w:w="1500" w:type="dxa"/>
            <w:vAlign w:val="bottom"/>
          </w:tcPr>
          <w:p>
            <w:pPr>
              <w:spacing w:after="0"/>
              <w:rPr>
                <w:sz w:val="20"/>
                <w:szCs w:val="20"/>
                <w:color w:val="auto"/>
              </w:rPr>
            </w:pPr>
            <w:r>
              <w:rPr>
                <w:rFonts w:ascii="Arial" w:cs="Arial" w:eastAsia="Arial" w:hAnsi="Arial"/>
                <w:sz w:val="14"/>
                <w:szCs w:val="14"/>
                <w:color w:val="auto"/>
                <w:w w:val="91"/>
              </w:rPr>
              <w:t>|US-DOCS\127381020.1||</w:t>
            </w:r>
          </w:p>
        </w:tc>
        <w:tc>
          <w:tcPr>
            <w:tcW w:w="9740" w:type="dxa"/>
            <w:vAlign w:val="bottom"/>
            <w:gridSpan w:val="2"/>
          </w:tcPr>
          <w:p>
            <w:pPr>
              <w:jc w:val="right"/>
              <w:ind w:right="7160"/>
              <w:spacing w:after="0"/>
              <w:rPr>
                <w:sz w:val="20"/>
                <w:szCs w:val="20"/>
                <w:color w:val="auto"/>
              </w:rPr>
            </w:pPr>
            <w:r>
              <w:rPr>
                <w:rFonts w:ascii="Arial" w:cs="Arial" w:eastAsia="Arial" w:hAnsi="Arial"/>
                <w:sz w:val="14"/>
                <w:szCs w:val="14"/>
                <w:color w:val="auto"/>
              </w:rPr>
              <w:t>| DATE \@ "MM-dd-yyyy" 12-30-2021|</w:t>
            </w:r>
          </w:p>
        </w:tc>
      </w:tr>
      <w:tr>
        <w:trPr>
          <w:trHeight w:val="113"/>
        </w:trPr>
        <w:tc>
          <w:tcPr>
            <w:tcW w:w="150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7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5" w:name="page136"/>
    <w:bookmarkEnd w:id="135"/>
    <w:p>
      <w:pPr>
        <w:jc w:val="both"/>
        <w:spacing w:after="0" w:line="237" w:lineRule="auto"/>
        <w:rPr>
          <w:sz w:val="20"/>
          <w:szCs w:val="20"/>
          <w:color w:val="auto"/>
        </w:rPr>
      </w:pPr>
      <w:r>
        <w:rPr>
          <w:rFonts w:ascii="Arial" w:cs="Arial" w:eastAsia="Arial" w:hAnsi="Arial"/>
          <w:sz w:val="20"/>
          <w:szCs w:val="20"/>
          <w:color w:val="auto"/>
        </w:rPr>
        <w:t>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 xml:space="preserve">III.11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xml:space="preserve">. To the extent permitted by the Plan, this Agreement may be wholly or partially amended or otherwise modified, suspended or terminated at any time or from time to time by the Committee or the Board;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 xml:space="preserve">III.12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 administrators, successors and assigns.</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auto"/>
        </w:rPr>
        <w:t xml:space="preserve">III.13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6"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 xml:space="preserve">III.14 </w:t>
      </w:r>
      <w:r>
        <w:rPr>
          <w:rFonts w:ascii="Arial" w:cs="Arial" w:eastAsia="Arial" w:hAnsi="Arial"/>
          <w:sz w:val="20"/>
          <w:szCs w:val="20"/>
          <w:u w:val="single" w:color="auto"/>
          <w:color w:val="auto"/>
        </w:rPr>
        <w:t>Not a Contract of Service Relationship</w:t>
      </w:r>
      <w:r>
        <w:rPr>
          <w:rFonts w:ascii="Arial" w:cs="Arial" w:eastAsia="Arial" w:hAnsi="Arial"/>
          <w:sz w:val="20"/>
          <w:szCs w:val="20"/>
          <w:color w:val="auto"/>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spacing w:after="0" w:line="184"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 xml:space="preserve">III.15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The Plan, the Grant Notice and this Agreement constitute the entire agreement of the parties and supersede in their entirety all prior undertakings and agreements of the Company and Participant with respect to the subject matter hereof,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RSUs shall be subject to any accelerated vesting provisions in any written agreement between Participant and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(or any Subsidiary who is the employer of Participant) or a Company plan pursuant to which Participant is eligible to participate, in each case, in accordance with the terms therein.</w:t>
      </w:r>
    </w:p>
    <w:p>
      <w:pPr>
        <w:spacing w:after="0" w:line="18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 xml:space="preserve">III.16 </w:t>
      </w:r>
      <w:r>
        <w:rPr>
          <w:rFonts w:ascii="Arial" w:cs="Arial" w:eastAsia="Arial" w:hAnsi="Arial"/>
          <w:sz w:val="18"/>
          <w:szCs w:val="18"/>
          <w:u w:val="single" w:color="auto"/>
          <w:color w:val="auto"/>
        </w:rPr>
        <w:t>Section 409A</w:t>
      </w:r>
      <w:r>
        <w:rPr>
          <w:rFonts w:ascii="Arial" w:cs="Arial" w:eastAsia="Arial" w:hAnsi="Arial"/>
          <w:sz w:val="18"/>
          <w:szCs w:val="18"/>
          <w:color w:val="auto"/>
        </w:rPr>
        <w:t>. This Restricted Share Unit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409A</w:t>
      </w:r>
      <w:r>
        <w:rPr>
          <w:rFonts w:ascii="Arial" w:cs="Arial" w:eastAsia="Arial" w:hAnsi="Arial"/>
          <w:sz w:val="18"/>
          <w:szCs w:val="18"/>
          <w:color w:val="auto"/>
        </w:rPr>
        <w:t>”). However, notwithstanding any other provision of the Plan, the Grant Notice or this Agreement, if at any time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this Restricted Share Unit Award (or any portion thereof) may be subject to Section 409A,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Restricted Share Unit Award either to be exempt from the application of Section 409A or to comply with the requirements of Section 409A.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349"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6" w:name="page137"/>
    <w:bookmarkEnd w:id="136"/>
    <w:p>
      <w:pPr>
        <w:jc w:val="both"/>
        <w:ind w:firstLine="749"/>
        <w:spacing w:after="0" w:line="231" w:lineRule="auto"/>
        <w:rPr>
          <w:sz w:val="20"/>
          <w:szCs w:val="20"/>
          <w:color w:val="auto"/>
        </w:rPr>
      </w:pPr>
      <w:r>
        <w:rPr>
          <w:rFonts w:ascii="Arial" w:cs="Arial" w:eastAsia="Arial" w:hAnsi="Arial"/>
          <w:sz w:val="20"/>
          <w:szCs w:val="20"/>
          <w:color w:val="auto"/>
        </w:rPr>
        <w:t xml:space="preserve">III.17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III.18</w:t>
            </w:r>
          </w:p>
        </w:tc>
        <w:tc>
          <w:tcPr>
            <w:tcW w:w="140" w:type="dxa"/>
            <w:vAlign w:val="bottom"/>
          </w:tcPr>
          <w:p>
            <w:pPr>
              <w:spacing w:after="0"/>
              <w:rPr>
                <w:sz w:val="19"/>
                <w:szCs w:val="19"/>
                <w:color w:val="auto"/>
              </w:rPr>
            </w:pPr>
          </w:p>
        </w:tc>
        <w:tc>
          <w:tcPr>
            <w:tcW w:w="9720" w:type="dxa"/>
            <w:vAlign w:val="bottom"/>
            <w:gridSpan w:val="3"/>
          </w:tcPr>
          <w:p>
            <w:pPr>
              <w:spacing w:after="0"/>
              <w:rPr>
                <w:sz w:val="20"/>
                <w:szCs w:val="20"/>
                <w:color w:val="auto"/>
              </w:rPr>
            </w:pPr>
            <w:r>
              <w:rPr>
                <w:rFonts w:ascii="Arial" w:cs="Arial" w:eastAsia="Arial" w:hAnsi="Arial"/>
                <w:sz w:val="20"/>
                <w:szCs w:val="20"/>
                <w:color w:val="auto"/>
              </w:rPr>
              <w:t>Rules Particular To Specific Countries.</w:t>
            </w: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438"/>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20"/>
                <w:szCs w:val="20"/>
                <w:color w:val="auto"/>
              </w:rPr>
              <w:t>(a)</w:t>
            </w:r>
          </w:p>
        </w:tc>
        <w:tc>
          <w:tcPr>
            <w:tcW w:w="8860" w:type="dxa"/>
            <w:vAlign w:val="bottom"/>
            <w:gridSpan w:val="2"/>
          </w:tcPr>
          <w:p>
            <w:pPr>
              <w:ind w:left="640"/>
              <w:spacing w:after="0"/>
              <w:rPr>
                <w:sz w:val="20"/>
                <w:szCs w:val="20"/>
                <w:color w:val="auto"/>
              </w:rPr>
            </w:pPr>
            <w:r>
              <w:rPr>
                <w:rFonts w:ascii="Arial" w:cs="Arial" w:eastAsia="Arial" w:hAnsi="Arial"/>
                <w:sz w:val="20"/>
                <w:szCs w:val="20"/>
                <w:i w:val="1"/>
                <w:iCs w:val="1"/>
                <w:color w:val="auto"/>
                <w:w w:val="92"/>
              </w:rPr>
              <w:t>Generally</w:t>
            </w:r>
            <w:r>
              <w:rPr>
                <w:rFonts w:ascii="Arial" w:cs="Arial" w:eastAsia="Arial" w:hAnsi="Arial"/>
                <w:sz w:val="20"/>
                <w:szCs w:val="20"/>
                <w:color w:val="auto"/>
                <w:w w:val="92"/>
              </w:rPr>
              <w:t>. Participant shall, if required by the Committee, enter into an election with the Company or</w:t>
            </w:r>
          </w:p>
        </w:tc>
      </w:tr>
    </w:tbl>
    <w:p>
      <w:pPr>
        <w:jc w:val="both"/>
        <w:spacing w:after="0" w:line="282" w:lineRule="auto"/>
        <w:rPr>
          <w:sz w:val="20"/>
          <w:szCs w:val="20"/>
          <w:color w:val="auto"/>
        </w:rPr>
      </w:pPr>
      <w:r>
        <w:rPr>
          <w:rFonts w:ascii="Arial" w:cs="Arial" w:eastAsia="Arial" w:hAnsi="Arial"/>
          <w:sz w:val="18"/>
          <w:szCs w:val="18"/>
          <w:color w:val="auto"/>
        </w:rPr>
        <w:t>a Subsidiary (in a form approved by the Company) under which any liability to the Company’s (or a Subsidiary’s) Tax-Related Items, including, but not limited to, National Insurance Contributions (“</w:t>
      </w:r>
      <w:r>
        <w:rPr>
          <w:rFonts w:ascii="Arial" w:cs="Arial" w:eastAsia="Arial" w:hAnsi="Arial"/>
          <w:sz w:val="18"/>
          <w:szCs w:val="18"/>
          <w:b w:val="1"/>
          <w:bCs w:val="1"/>
          <w:i w:val="1"/>
          <w:iCs w:val="1"/>
          <w:color w:val="auto"/>
        </w:rPr>
        <w:t>NICs</w:t>
      </w:r>
      <w:r>
        <w:rPr>
          <w:rFonts w:ascii="Arial" w:cs="Arial" w:eastAsia="Arial" w:hAnsi="Arial"/>
          <w:sz w:val="18"/>
          <w:szCs w:val="18"/>
          <w:color w:val="auto"/>
        </w:rPr>
        <w:t>”) and the Fringe Benefit Tax, is transferred to and met by Participant.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1500"/>
              <w:spacing w:after="0"/>
              <w:rPr>
                <w:sz w:val="20"/>
                <w:szCs w:val="20"/>
                <w:color w:val="auto"/>
              </w:rPr>
            </w:pPr>
            <w:r>
              <w:rPr>
                <w:rFonts w:ascii="Arial" w:cs="Arial" w:eastAsia="Arial" w:hAnsi="Arial"/>
                <w:sz w:val="20"/>
                <w:szCs w:val="20"/>
                <w:color w:val="auto"/>
              </w:rPr>
              <w:t>(b)</w:t>
            </w:r>
          </w:p>
        </w:tc>
        <w:tc>
          <w:tcPr>
            <w:tcW w:w="5260" w:type="dxa"/>
            <w:vAlign w:val="bottom"/>
            <w:gridSpan w:val="2"/>
          </w:tcPr>
          <w:p>
            <w:pPr>
              <w:ind w:left="1120"/>
              <w:spacing w:after="0"/>
              <w:rPr>
                <w:sz w:val="20"/>
                <w:szCs w:val="20"/>
                <w:color w:val="auto"/>
              </w:rPr>
            </w:pPr>
            <w:r>
              <w:rPr>
                <w:rFonts w:ascii="Arial" w:cs="Arial" w:eastAsia="Arial" w:hAnsi="Arial"/>
                <w:sz w:val="20"/>
                <w:szCs w:val="20"/>
                <w:i w:val="1"/>
                <w:iCs w:val="1"/>
                <w:color w:val="auto"/>
                <w:w w:val="99"/>
              </w:rPr>
              <w:t>Tax Indemnity</w:t>
            </w:r>
            <w:r>
              <w:rPr>
                <w:rFonts w:ascii="Arial" w:cs="Arial" w:eastAsia="Arial" w:hAnsi="Arial"/>
                <w:sz w:val="20"/>
                <w:szCs w:val="20"/>
                <w:color w:val="auto"/>
                <w:w w:val="99"/>
              </w:rPr>
              <w:t>.  Participant shall indemnify and</w:t>
            </w:r>
          </w:p>
        </w:tc>
        <w:tc>
          <w:tcPr>
            <w:tcW w:w="4100" w:type="dxa"/>
            <w:vAlign w:val="bottom"/>
          </w:tcPr>
          <w:p>
            <w:pPr>
              <w:ind w:left="60"/>
              <w:spacing w:after="0"/>
              <w:rPr>
                <w:sz w:val="20"/>
                <w:szCs w:val="20"/>
                <w:color w:val="auto"/>
              </w:rPr>
            </w:pPr>
            <w:r>
              <w:rPr>
                <w:rFonts w:ascii="Arial" w:cs="Arial" w:eastAsia="Arial" w:hAnsi="Arial"/>
                <w:sz w:val="20"/>
                <w:szCs w:val="20"/>
                <w:color w:val="auto"/>
              </w:rPr>
              <w:t>keep indemnified the Company and any of its</w:t>
            </w:r>
          </w:p>
        </w:tc>
      </w:tr>
      <w:tr>
        <w:trPr>
          <w:trHeight w:val="250"/>
        </w:trPr>
        <w:tc>
          <w:tcPr>
            <w:tcW w:w="7140" w:type="dxa"/>
            <w:vAlign w:val="bottom"/>
            <w:gridSpan w:val="3"/>
          </w:tcPr>
          <w:p>
            <w:pPr>
              <w:spacing w:after="0"/>
              <w:rPr>
                <w:sz w:val="20"/>
                <w:szCs w:val="20"/>
                <w:color w:val="auto"/>
              </w:rPr>
            </w:pPr>
            <w:r>
              <w:rPr>
                <w:rFonts w:ascii="Arial" w:cs="Arial" w:eastAsia="Arial" w:hAnsi="Arial"/>
                <w:sz w:val="20"/>
                <w:szCs w:val="20"/>
                <w:color w:val="auto"/>
              </w:rPr>
              <w:t>subsidiaries from and against any Tax-Related Items.</w:t>
            </w:r>
          </w:p>
        </w:tc>
        <w:tc>
          <w:tcPr>
            <w:tcW w:w="4100" w:type="dxa"/>
            <w:vAlign w:val="bottom"/>
          </w:tcPr>
          <w:p>
            <w:pPr>
              <w:spacing w:after="0"/>
              <w:rPr>
                <w:sz w:val="21"/>
                <w:szCs w:val="21"/>
                <w:color w:val="auto"/>
              </w:rPr>
            </w:pPr>
          </w:p>
        </w:tc>
      </w:tr>
      <w:tr>
        <w:trPr>
          <w:trHeight w:val="387"/>
        </w:trPr>
        <w:tc>
          <w:tcPr>
            <w:tcW w:w="1880" w:type="dxa"/>
            <w:vAlign w:val="bottom"/>
          </w:tcPr>
          <w:p>
            <w:pPr>
              <w:ind w:left="940"/>
              <w:spacing w:after="0"/>
              <w:rPr>
                <w:sz w:val="20"/>
                <w:szCs w:val="20"/>
                <w:color w:val="auto"/>
              </w:rPr>
            </w:pPr>
            <w:r>
              <w:rPr>
                <w:rFonts w:ascii="Arial" w:cs="Arial" w:eastAsia="Arial" w:hAnsi="Arial"/>
                <w:sz w:val="20"/>
                <w:szCs w:val="20"/>
                <w:color w:val="auto"/>
              </w:rPr>
              <w:t>III.19</w:t>
            </w:r>
          </w:p>
        </w:tc>
        <w:tc>
          <w:tcPr>
            <w:tcW w:w="5260" w:type="dxa"/>
            <w:vAlign w:val="bottom"/>
            <w:gridSpan w:val="2"/>
          </w:tcPr>
          <w:p>
            <w:pPr>
              <w:spacing w:after="0"/>
              <w:rPr>
                <w:sz w:val="20"/>
                <w:szCs w:val="20"/>
                <w:color w:val="auto"/>
              </w:rPr>
            </w:pPr>
            <w:r>
              <w:rPr>
                <w:rFonts w:ascii="Arial" w:cs="Arial" w:eastAsia="Arial" w:hAnsi="Arial"/>
                <w:sz w:val="20"/>
                <w:szCs w:val="20"/>
                <w:color w:val="auto"/>
                <w:w w:val="96"/>
              </w:rPr>
              <w:t>Special Country Provisions for RSUs Granted to Participants.</w:t>
            </w:r>
          </w:p>
        </w:tc>
        <w:tc>
          <w:tcPr>
            <w:tcW w:w="4100" w:type="dxa"/>
            <w:vAlign w:val="bottom"/>
          </w:tcPr>
          <w:p>
            <w:pPr>
              <w:ind w:left="60"/>
              <w:spacing w:after="0"/>
              <w:rPr>
                <w:sz w:val="20"/>
                <w:szCs w:val="20"/>
                <w:color w:val="auto"/>
              </w:rPr>
            </w:pPr>
            <w:r>
              <w:rPr>
                <w:rFonts w:ascii="Arial" w:cs="Arial" w:eastAsia="Arial" w:hAnsi="Arial"/>
                <w:sz w:val="20"/>
                <w:szCs w:val="20"/>
                <w:color w:val="auto"/>
                <w:w w:val="95"/>
              </w:rPr>
              <w:t>The RSUs shall be subject to additional country</w:t>
            </w:r>
          </w:p>
        </w:tc>
      </w:tr>
      <w:tr>
        <w:trPr>
          <w:trHeight w:val="20"/>
        </w:trPr>
        <w:tc>
          <w:tcPr>
            <w:tcW w:w="188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jc w:val="both"/>
        <w:spacing w:after="0" w:line="259" w:lineRule="auto"/>
        <w:rPr>
          <w:sz w:val="20"/>
          <w:szCs w:val="20"/>
          <w:color w:val="auto"/>
        </w:rPr>
      </w:pPr>
      <w:r>
        <w:rPr>
          <w:rFonts w:ascii="Arial" w:cs="Arial" w:eastAsia="Arial" w:hAnsi="Arial"/>
          <w:sz w:val="18"/>
          <w:szCs w:val="18"/>
          <w:color w:val="auto"/>
        </w:rPr>
        <w:t>provisions as set forth in Section 5.14 of the Plan, if any, for Participant’s country of residence. If Participant relocates to one of the countries outside of the US during the life of the RSUs, special provisions for such country may apply to Participant, to the extent the Company determines that the application of such provisions is necessary or advisable in order to comply with local law or facilitate the administration of the Plan. The Company reserves the right to impose other requirements on the RSUs and the Shares issuable upon settlement of the RSUs,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64" w:lineRule="exact"/>
        <w:rPr>
          <w:sz w:val="20"/>
          <w:szCs w:val="20"/>
          <w:color w:val="auto"/>
        </w:rPr>
      </w:pPr>
    </w:p>
    <w:p>
      <w:pPr>
        <w:jc w:val="center"/>
        <w:ind w:right="-19"/>
        <w:spacing w:after="0"/>
        <w:tabs>
          <w:tab w:leader="none" w:pos="260" w:val="left"/>
          <w:tab w:leader="none" w:pos="260" w:val="left"/>
          <w:tab w:leader="none" w:pos="240" w:val="left"/>
          <w:tab w:leader="none" w:pos="240" w:val="left"/>
        </w:tabs>
        <w:rPr>
          <w:sz w:val="20"/>
          <w:szCs w:val="20"/>
          <w:color w:val="auto"/>
        </w:rPr>
      </w:pPr>
      <w:r>
        <w:rPr>
          <w:rFonts w:ascii="Arial" w:cs="Arial" w:eastAsia="Arial" w:hAnsi="Arial"/>
          <w:sz w:val="22"/>
          <w:szCs w:val="22"/>
          <w:color w:val="auto"/>
        </w:rPr>
        <w:t>*</w:t>
        <w:tab/>
        <w:t>*</w:t>
        <w:tab/>
        <w:t>*</w:t>
        <w:tab/>
        <w:t>*</w:t>
        <w:tab/>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349"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|US-DOCS\127381020.1||</w:t>
      </w:r>
      <w:r>
        <w:rPr>
          <w:sz w:val="20"/>
          <w:szCs w:val="20"/>
          <w:color w:val="auto"/>
        </w:rPr>
        <w:tab/>
      </w:r>
      <w:r>
        <w:rPr>
          <w:rFonts w:ascii="Arial" w:cs="Arial" w:eastAsia="Arial" w:hAnsi="Arial"/>
          <w:sz w:val="13"/>
          <w:szCs w:val="13"/>
          <w:color w:val="auto"/>
        </w:rPr>
        <w:t>| DATE \@ "MM-dd-yyyy" 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10.20</w:t>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AMENDMENT NO. 2 TO</w:t>
      </w:r>
    </w:p>
    <w:p>
      <w:pPr>
        <w:spacing w:after="0" w:line="14"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THE</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COLLABORATION AND LICENSE AGREEMENT</w:t>
      </w:r>
    </w:p>
    <w:p>
      <w:pPr>
        <w:spacing w:after="0" w:line="223" w:lineRule="exact"/>
        <w:rPr>
          <w:sz w:val="20"/>
          <w:szCs w:val="20"/>
          <w:color w:val="auto"/>
        </w:rPr>
      </w:pPr>
    </w:p>
    <w:p>
      <w:pPr>
        <w:jc w:val="both"/>
        <w:ind w:left="960" w:right="580" w:firstLine="749"/>
        <w:spacing w:after="0" w:line="236" w:lineRule="auto"/>
        <w:rPr>
          <w:sz w:val="20"/>
          <w:szCs w:val="20"/>
          <w:color w:val="auto"/>
        </w:rPr>
      </w:pPr>
      <w:r>
        <w:rPr>
          <w:rFonts w:ascii="Arial" w:cs="Arial" w:eastAsia="Arial" w:hAnsi="Arial"/>
          <w:sz w:val="22"/>
          <w:szCs w:val="22"/>
          <w:color w:val="auto"/>
        </w:rPr>
        <w:t>This Amendment No. 2 to the Collaboration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effective as of the 27th day of October, 2021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Amgen Inc., a Delaware corporation having an address at One Amgen Center Drive, Thousand Oaks, California 91320 (“</w:t>
      </w:r>
      <w:r>
        <w:rPr>
          <w:rFonts w:ascii="Arial" w:cs="Arial" w:eastAsia="Arial" w:hAnsi="Arial"/>
          <w:sz w:val="22"/>
          <w:szCs w:val="22"/>
          <w:b w:val="1"/>
          <w:bCs w:val="1"/>
          <w:color w:val="auto"/>
        </w:rPr>
        <w:t>Amgen</w:t>
      </w:r>
      <w:r>
        <w:rPr>
          <w:rFonts w:ascii="Arial" w:cs="Arial" w:eastAsia="Arial" w:hAnsi="Arial"/>
          <w:sz w:val="22"/>
          <w:szCs w:val="22"/>
          <w:color w:val="auto"/>
        </w:rPr>
        <w:t>”) and CytomX Therapeutics, Inc., a Delaware corporation having an address at 151 Oyster Point Blvd., Suite 400, South San Francisco, California 94080 (“</w:t>
      </w:r>
      <w:r>
        <w:rPr>
          <w:rFonts w:ascii="Arial" w:cs="Arial" w:eastAsia="Arial" w:hAnsi="Arial"/>
          <w:sz w:val="22"/>
          <w:szCs w:val="22"/>
          <w:b w:val="1"/>
          <w:bCs w:val="1"/>
          <w:color w:val="auto"/>
        </w:rPr>
        <w:t>CytomX</w:t>
      </w:r>
      <w:r>
        <w:rPr>
          <w:rFonts w:ascii="Arial" w:cs="Arial" w:eastAsia="Arial" w:hAnsi="Arial"/>
          <w:sz w:val="22"/>
          <w:szCs w:val="22"/>
          <w:color w:val="auto"/>
        </w:rPr>
        <w:t>”). Amgen and CytomX are each hereafter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9" w:lineRule="exact"/>
        <w:rPr>
          <w:sz w:val="20"/>
          <w:szCs w:val="20"/>
          <w:color w:val="auto"/>
        </w:rPr>
      </w:pPr>
    </w:p>
    <w:p>
      <w:pPr>
        <w:jc w:val="both"/>
        <w:ind w:left="960" w:right="580"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and CytomX entered into that certain Collaboration and License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September 29, 2017, as amended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89" w:lineRule="exact"/>
        <w:rPr>
          <w:sz w:val="20"/>
          <w:szCs w:val="20"/>
          <w:color w:val="auto"/>
        </w:rPr>
      </w:pPr>
    </w:p>
    <w:p>
      <w:pPr>
        <w:jc w:val="both"/>
        <w:ind w:left="960" w:right="580"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and CytomX wish to amend certain additional terms of the Agreement as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herein; and</w:t>
      </w:r>
    </w:p>
    <w:p>
      <w:pPr>
        <w:spacing w:after="0" w:line="189" w:lineRule="exact"/>
        <w:rPr>
          <w:sz w:val="20"/>
          <w:szCs w:val="20"/>
          <w:color w:val="auto"/>
        </w:rPr>
      </w:pPr>
    </w:p>
    <w:p>
      <w:pPr>
        <w:jc w:val="both"/>
        <w:ind w:left="960" w:right="580" w:firstLine="749"/>
        <w:spacing w:after="0" w:line="26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promises and covenants hereinafter set forth,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agree to amend the Agreement as follows. Capitalized terms used in this Amendment and not otherwise defined herein shall have the meanings ascribed to such terms in the Agreement.</w:t>
      </w:r>
    </w:p>
    <w:p>
      <w:pPr>
        <w:spacing w:after="0" w:line="174"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PART 1 - AMENDMENTS TO CERTAIN TERMS</w:t>
      </w:r>
    </w:p>
    <w:p>
      <w:pPr>
        <w:spacing w:after="0" w:line="200" w:lineRule="exact"/>
        <w:rPr>
          <w:sz w:val="20"/>
          <w:szCs w:val="20"/>
          <w:color w:val="auto"/>
        </w:rPr>
      </w:pPr>
    </w:p>
    <w:p>
      <w:pPr>
        <w:spacing w:after="0" w:line="290" w:lineRule="exact"/>
        <w:rPr>
          <w:sz w:val="20"/>
          <w:szCs w:val="20"/>
          <w:color w:val="auto"/>
        </w:rPr>
      </w:pPr>
    </w:p>
    <w:p>
      <w:pPr>
        <w:ind w:left="1680" w:hanging="715"/>
        <w:spacing w:after="0"/>
        <w:tabs>
          <w:tab w:leader="none" w:pos="1680"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 to Section 2.1.5(c)(i).</w:t>
      </w:r>
      <w:r>
        <w:rPr>
          <w:rFonts w:ascii="Arial" w:cs="Arial" w:eastAsia="Arial" w:hAnsi="Arial"/>
          <w:sz w:val="21"/>
          <w:szCs w:val="21"/>
          <w:b w:val="1"/>
          <w:bCs w:val="1"/>
          <w:color w:val="auto"/>
        </w:rPr>
        <w:t xml:space="preserve">   </w:t>
      </w:r>
      <w:r>
        <w:rPr>
          <w:rFonts w:ascii="Arial" w:cs="Arial" w:eastAsia="Arial" w:hAnsi="Arial"/>
          <w:sz w:val="21"/>
          <w:szCs w:val="21"/>
          <w:color w:val="auto"/>
        </w:rPr>
        <w:t>From and after the Amendment Effective Date, Section 2.1.5(c)</w:t>
      </w:r>
    </w:p>
    <w:p>
      <w:pPr>
        <w:spacing w:after="0" w:line="25" w:lineRule="exact"/>
        <w:rPr>
          <w:rFonts w:ascii="Arial" w:cs="Arial" w:eastAsia="Arial" w:hAnsi="Arial"/>
          <w:sz w:val="21"/>
          <w:szCs w:val="21"/>
          <w:color w:val="auto"/>
        </w:rPr>
      </w:pPr>
    </w:p>
    <w:p>
      <w:pPr>
        <w:ind w:left="1680"/>
        <w:spacing w:after="0"/>
        <w:rPr>
          <w:rFonts w:ascii="Arial" w:cs="Arial" w:eastAsia="Arial" w:hAnsi="Arial"/>
          <w:sz w:val="21"/>
          <w:szCs w:val="21"/>
          <w:color w:val="auto"/>
        </w:rPr>
      </w:pPr>
      <w:r>
        <w:rPr>
          <w:rFonts w:ascii="Arial" w:cs="Arial" w:eastAsia="Arial" w:hAnsi="Arial"/>
          <w:sz w:val="22"/>
          <w:szCs w:val="22"/>
          <w:color w:val="auto"/>
        </w:rPr>
        <w:t>(i) is hereby deleted and replaced in its entirety as follows:</w:t>
      </w:r>
    </w:p>
    <w:p>
      <w:pPr>
        <w:spacing w:after="0" w:line="229" w:lineRule="exact"/>
        <w:rPr>
          <w:sz w:val="20"/>
          <w:szCs w:val="20"/>
          <w:color w:val="auto"/>
        </w:rPr>
      </w:pPr>
    </w:p>
    <w:p>
      <w:pPr>
        <w:jc w:val="both"/>
        <w:ind w:left="2460" w:right="580"/>
        <w:spacing w:after="0" w:line="274" w:lineRule="auto"/>
        <w:rPr>
          <w:sz w:val="20"/>
          <w:szCs w:val="20"/>
          <w:color w:val="auto"/>
        </w:rPr>
      </w:pPr>
      <w:r>
        <w:rPr>
          <w:rFonts w:ascii="Arial" w:cs="Arial" w:eastAsia="Arial" w:hAnsi="Arial"/>
          <w:sz w:val="21"/>
          <w:szCs w:val="21"/>
          <w:color w:val="auto"/>
        </w:rPr>
        <w:t>“(i) [***]shall decide matters with respect to [***] through the [***], other than [***], which shall be decided by [***]; provided that, notwithstanding anything to the contrary herein:</w:t>
      </w:r>
    </w:p>
    <w:p>
      <w:pPr>
        <w:spacing w:after="0" w:line="191" w:lineRule="exact"/>
        <w:rPr>
          <w:sz w:val="20"/>
          <w:szCs w:val="20"/>
          <w:color w:val="auto"/>
        </w:rPr>
      </w:pPr>
    </w:p>
    <w:p>
      <w:pPr>
        <w:jc w:val="both"/>
        <w:ind w:left="2460" w:right="580"/>
        <w:spacing w:after="0" w:line="238" w:lineRule="auto"/>
        <w:rPr>
          <w:sz w:val="20"/>
          <w:szCs w:val="20"/>
          <w:color w:val="auto"/>
        </w:rPr>
      </w:pPr>
      <w:r>
        <w:rPr>
          <w:rFonts w:ascii="Arial" w:cs="Arial" w:eastAsia="Arial" w:hAnsi="Arial"/>
          <w:sz w:val="22"/>
          <w:szCs w:val="22"/>
          <w:color w:val="auto"/>
        </w:rPr>
        <w:t xml:space="preserve">(A)no such exception for </w:t>
      </w:r>
      <w:r>
        <w:rPr>
          <w:rFonts w:ascii="Arial" w:cs="Arial" w:eastAsia="Arial" w:hAnsi="Arial"/>
          <w:sz w:val="19"/>
          <w:szCs w:val="19"/>
          <w:color w:val="auto"/>
        </w:rPr>
        <w:t>[***]</w:t>
      </w:r>
      <w:r>
        <w:rPr>
          <w:rFonts w:ascii="Arial" w:cs="Arial" w:eastAsia="Arial" w:hAnsi="Arial"/>
          <w:sz w:val="22"/>
          <w:szCs w:val="22"/>
          <w:color w:val="auto"/>
        </w:rPr>
        <w:t xml:space="preserve"> right to decide </w:t>
      </w:r>
      <w:r>
        <w:rPr>
          <w:rFonts w:ascii="Arial" w:cs="Arial" w:eastAsia="Arial" w:hAnsi="Arial"/>
          <w:sz w:val="19"/>
          <w:szCs w:val="19"/>
          <w:color w:val="auto"/>
        </w:rPr>
        <w:t>[***]</w:t>
      </w:r>
      <w:r>
        <w:rPr>
          <w:rFonts w:ascii="Arial" w:cs="Arial" w:eastAsia="Arial" w:hAnsi="Arial"/>
          <w:sz w:val="22"/>
          <w:szCs w:val="22"/>
          <w:color w:val="auto"/>
        </w:rPr>
        <w:t xml:space="preserve">shall apply, and instead </w:t>
      </w:r>
      <w:r>
        <w:rPr>
          <w:rFonts w:ascii="Arial" w:cs="Arial" w:eastAsia="Arial" w:hAnsi="Arial"/>
          <w:sz w:val="19"/>
          <w:szCs w:val="19"/>
          <w:color w:val="auto"/>
        </w:rPr>
        <w:t>[***]</w:t>
      </w:r>
      <w:r>
        <w:rPr>
          <w:rFonts w:ascii="Arial" w:cs="Arial" w:eastAsia="Arial" w:hAnsi="Arial"/>
          <w:sz w:val="22"/>
          <w:szCs w:val="22"/>
          <w:color w:val="auto"/>
        </w:rPr>
        <w:t xml:space="preserve">shall have the right to decide all matters, with respect to the decision to </w:t>
      </w:r>
      <w:r>
        <w:rPr>
          <w:rFonts w:ascii="Arial" w:cs="Arial" w:eastAsia="Arial" w:hAnsi="Arial"/>
          <w:sz w:val="19"/>
          <w:szCs w:val="19"/>
          <w:color w:val="auto"/>
        </w:rPr>
        <w:t>[***]</w:t>
      </w:r>
      <w:r>
        <w:rPr>
          <w:rFonts w:ascii="Arial" w:cs="Arial" w:eastAsia="Arial" w:hAnsi="Arial"/>
          <w:sz w:val="22"/>
          <w:szCs w:val="22"/>
          <w:color w:val="auto"/>
        </w:rPr>
        <w:t>, without needing first to escalate such matters to the Executive Officers for resolution if the JSC does not reach consensus after its discussion of such matters, and</w:t>
      </w:r>
    </w:p>
    <w:p>
      <w:pPr>
        <w:spacing w:after="0" w:line="212" w:lineRule="exact"/>
        <w:rPr>
          <w:sz w:val="20"/>
          <w:szCs w:val="20"/>
          <w:color w:val="auto"/>
        </w:rPr>
      </w:pPr>
    </w:p>
    <w:p>
      <w:pPr>
        <w:jc w:val="both"/>
        <w:ind w:left="2460" w:right="580"/>
        <w:spacing w:after="0" w:line="250" w:lineRule="auto"/>
        <w:rPr>
          <w:sz w:val="20"/>
          <w:szCs w:val="20"/>
          <w:color w:val="auto"/>
        </w:rPr>
      </w:pPr>
      <w:r>
        <w:rPr>
          <w:rFonts w:ascii="Arial" w:cs="Arial" w:eastAsia="Arial" w:hAnsi="Arial"/>
          <w:sz w:val="22"/>
          <w:szCs w:val="22"/>
          <w:color w:val="auto"/>
        </w:rPr>
        <w:t xml:space="preserve">(B)following expiration of the </w:t>
      </w:r>
      <w:r>
        <w:rPr>
          <w:rFonts w:ascii="Arial" w:cs="Arial" w:eastAsia="Arial" w:hAnsi="Arial"/>
          <w:sz w:val="19"/>
          <w:szCs w:val="19"/>
          <w:color w:val="auto"/>
        </w:rPr>
        <w:t>[***]</w:t>
      </w:r>
      <w:r>
        <w:rPr>
          <w:rFonts w:ascii="Arial" w:cs="Arial" w:eastAsia="Arial" w:hAnsi="Arial"/>
          <w:sz w:val="22"/>
          <w:szCs w:val="22"/>
          <w:color w:val="auto"/>
        </w:rPr>
        <w:t xml:space="preserve"> without </w:t>
      </w:r>
      <w:r>
        <w:rPr>
          <w:rFonts w:ascii="Arial" w:cs="Arial" w:eastAsia="Arial" w:hAnsi="Arial"/>
          <w:sz w:val="19"/>
          <w:szCs w:val="19"/>
          <w:color w:val="auto"/>
        </w:rPr>
        <w:t>[***]</w:t>
      </w:r>
      <w:r>
        <w:rPr>
          <w:rFonts w:ascii="Arial" w:cs="Arial" w:eastAsia="Arial" w:hAnsi="Arial"/>
          <w:sz w:val="22"/>
          <w:szCs w:val="22"/>
          <w:color w:val="auto"/>
        </w:rPr>
        <w:t xml:space="preserve">occurring prior thereto, </w:t>
      </w:r>
      <w:r>
        <w:rPr>
          <w:rFonts w:ascii="Arial" w:cs="Arial" w:eastAsia="Arial" w:hAnsi="Arial"/>
          <w:sz w:val="19"/>
          <w:szCs w:val="19"/>
          <w:color w:val="auto"/>
        </w:rPr>
        <w:t>[***]</w:t>
      </w:r>
      <w:r>
        <w:rPr>
          <w:rFonts w:ascii="Arial" w:cs="Arial" w:eastAsia="Arial" w:hAnsi="Arial"/>
          <w:sz w:val="22"/>
          <w:szCs w:val="22"/>
          <w:color w:val="auto"/>
        </w:rPr>
        <w:t>shall have the right</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460"/>
        <w:spacing w:after="0" w:line="287" w:lineRule="auto"/>
        <w:rPr>
          <w:sz w:val="20"/>
          <w:szCs w:val="20"/>
          <w:color w:val="auto"/>
        </w:rPr>
      </w:pPr>
      <w:r>
        <w:rPr>
          <w:rFonts w:ascii="Arial" w:cs="Arial" w:eastAsia="Arial" w:hAnsi="Arial"/>
          <w:sz w:val="19"/>
          <w:szCs w:val="19"/>
          <w:color w:val="auto"/>
        </w:rPr>
        <w:t>to decide any [***]with respect to the conduct of the [***] to be conducted for [***], provided that if such decision would result in [***]incurring costs beyond [***] of the costs set forth in the budget for such study set forth in the [***] approved by the JSC on [***], then [***] shall only have the right to decide such matter if [***]agrees to bear the excess costs; and”</w:t>
      </w:r>
    </w:p>
    <w:p>
      <w:pPr>
        <w:spacing w:after="0" w:line="177" w:lineRule="exact"/>
        <w:rPr>
          <w:sz w:val="20"/>
          <w:szCs w:val="20"/>
          <w:color w:val="auto"/>
        </w:rPr>
      </w:pPr>
    </w:p>
    <w:p>
      <w:pPr>
        <w:ind w:left="1680" w:right="120" w:hanging="715"/>
        <w:spacing w:after="0" w:line="256" w:lineRule="auto"/>
        <w:tabs>
          <w:tab w:leader="none" w:pos="168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4.4.1</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September 29, 2021, Section 4.4.1 is hereby deleted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in its entirety as follows:</w:t>
      </w:r>
    </w:p>
    <w:p>
      <w:pPr>
        <w:spacing w:after="0" w:line="203" w:lineRule="exact"/>
        <w:rPr>
          <w:sz w:val="20"/>
          <w:szCs w:val="20"/>
          <w:color w:val="auto"/>
        </w:rPr>
      </w:pPr>
    </w:p>
    <w:p>
      <w:pPr>
        <w:jc w:val="both"/>
        <w:ind w:left="2460" w:firstLine="63"/>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4.4.1</w:t>
      </w:r>
      <w:r>
        <w:rPr>
          <w:rFonts w:ascii="Arial" w:cs="Arial" w:eastAsia="Arial" w:hAnsi="Arial"/>
          <w:sz w:val="22"/>
          <w:szCs w:val="22"/>
          <w:color w:val="auto"/>
        </w:rPr>
        <w:t xml:space="preserve"> Amgen shall have the right to elect to select (a) one (1) additional Target (the “</w:t>
      </w:r>
      <w:r>
        <w:rPr>
          <w:rFonts w:ascii="Arial" w:cs="Arial" w:eastAsia="Arial" w:hAnsi="Arial"/>
          <w:sz w:val="22"/>
          <w:szCs w:val="22"/>
          <w:b w:val="1"/>
          <w:bCs w:val="1"/>
          <w:color w:val="auto"/>
        </w:rPr>
        <w:t>First</w:t>
      </w:r>
      <w:r>
        <w:rPr>
          <w:rFonts w:ascii="Arial" w:cs="Arial" w:eastAsia="Arial" w:hAnsi="Arial"/>
          <w:sz w:val="22"/>
          <w:szCs w:val="22"/>
          <w:color w:val="auto"/>
        </w:rPr>
        <w:t xml:space="preserve"> </w:t>
      </w:r>
      <w:r>
        <w:rPr>
          <w:rFonts w:ascii="Arial" w:cs="Arial" w:eastAsia="Arial" w:hAnsi="Arial"/>
          <w:sz w:val="22"/>
          <w:szCs w:val="22"/>
          <w:b w:val="1"/>
          <w:bCs w:val="1"/>
          <w:color w:val="auto"/>
        </w:rPr>
        <w:t>Additional Amgen Target</w:t>
      </w:r>
      <w:r>
        <w:rPr>
          <w:rFonts w:ascii="Arial" w:cs="Arial" w:eastAsia="Arial" w:hAnsi="Arial"/>
          <w:sz w:val="22"/>
          <w:szCs w:val="22"/>
          <w:color w:val="auto"/>
        </w:rPr>
        <w:t>”) by nominating such additional Target at any time prior to</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First Additional Amgen Target Selection Date</w:t>
      </w:r>
      <w:r>
        <w:rPr>
          <w:rFonts w:ascii="Arial" w:cs="Arial" w:eastAsia="Arial" w:hAnsi="Arial"/>
          <w:sz w:val="22"/>
          <w:szCs w:val="22"/>
          <w:color w:val="auto"/>
        </w:rPr>
        <w:t>”) for inclusion under this Agreement, subject to Section 4.4.2 and</w:t>
      </w:r>
    </w:p>
    <w:p>
      <w:pPr>
        <w:spacing w:after="0" w:line="1" w:lineRule="exact"/>
        <w:rPr>
          <w:sz w:val="20"/>
          <w:szCs w:val="20"/>
          <w:color w:val="auto"/>
        </w:rPr>
      </w:pPr>
    </w:p>
    <w:p>
      <w:pPr>
        <w:jc w:val="both"/>
        <w:ind w:left="2460" w:firstLine="2"/>
        <w:spacing w:after="0" w:line="253" w:lineRule="auto"/>
        <w:tabs>
          <w:tab w:leader="none" w:pos="2788"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second (2</w:t>
      </w:r>
      <w:r>
        <w:rPr>
          <w:rFonts w:ascii="Arial" w:cs="Arial" w:eastAsia="Arial" w:hAnsi="Arial"/>
          <w:sz w:val="13"/>
          <w:szCs w:val="13"/>
          <w:color w:val="auto"/>
        </w:rPr>
        <w:t>nd</w:t>
      </w:r>
      <w:r>
        <w:rPr>
          <w:rFonts w:ascii="Arial" w:cs="Arial" w:eastAsia="Arial" w:hAnsi="Arial"/>
          <w:sz w:val="20"/>
          <w:szCs w:val="20"/>
          <w:color w:val="auto"/>
        </w:rPr>
        <w:t>) additional Target (the “</w:t>
      </w:r>
      <w:r>
        <w:rPr>
          <w:rFonts w:ascii="Arial" w:cs="Arial" w:eastAsia="Arial" w:hAnsi="Arial"/>
          <w:sz w:val="20"/>
          <w:szCs w:val="20"/>
          <w:b w:val="1"/>
          <w:bCs w:val="1"/>
          <w:color w:val="auto"/>
        </w:rPr>
        <w:t>Second Additional Amgen Target</w:t>
      </w:r>
      <w:r>
        <w:rPr>
          <w:rFonts w:ascii="Arial" w:cs="Arial" w:eastAsia="Arial" w:hAnsi="Arial"/>
          <w:sz w:val="20"/>
          <w:szCs w:val="20"/>
          <w:color w:val="auto"/>
        </w:rPr>
        <w:t>” and, together with the First Additional Amgen Target, the “</w:t>
      </w:r>
      <w:r>
        <w:rPr>
          <w:rFonts w:ascii="Arial" w:cs="Arial" w:eastAsia="Arial" w:hAnsi="Arial"/>
          <w:sz w:val="20"/>
          <w:szCs w:val="20"/>
          <w:b w:val="1"/>
          <w:bCs w:val="1"/>
          <w:color w:val="auto"/>
        </w:rPr>
        <w:t>Additional Amgen Targets</w:t>
      </w:r>
      <w:r>
        <w:rPr>
          <w:rFonts w:ascii="Arial" w:cs="Arial" w:eastAsia="Arial" w:hAnsi="Arial"/>
          <w:sz w:val="20"/>
          <w:szCs w:val="20"/>
          <w:color w:val="auto"/>
        </w:rPr>
        <w:t xml:space="preserve">”) by nominating such additional Target at any time prior to </w:t>
      </w:r>
      <w:r>
        <w:rPr>
          <w:rFonts w:ascii="Arial" w:cs="Arial" w:eastAsia="Arial" w:hAnsi="Arial"/>
          <w:sz w:val="18"/>
          <w:szCs w:val="18"/>
          <w:color w:val="auto"/>
        </w:rPr>
        <w:t>[***]</w:t>
      </w:r>
      <w:r>
        <w:rPr>
          <w:rFonts w:ascii="Arial" w:cs="Arial" w:eastAsia="Arial" w:hAnsi="Arial"/>
          <w:sz w:val="20"/>
          <w:szCs w:val="20"/>
          <w:color w:val="auto"/>
        </w:rPr>
        <w:t xml:space="preserve"> (the “</w:t>
      </w:r>
      <w:r>
        <w:rPr>
          <w:rFonts w:ascii="Arial" w:cs="Arial" w:eastAsia="Arial" w:hAnsi="Arial"/>
          <w:sz w:val="20"/>
          <w:szCs w:val="20"/>
          <w:b w:val="1"/>
          <w:bCs w:val="1"/>
          <w:color w:val="auto"/>
        </w:rPr>
        <w:t>Second Additional Amgen Target</w:t>
      </w:r>
    </w:p>
    <w:p>
      <w:pPr>
        <w:spacing w:after="0" w:line="2" w:lineRule="exact"/>
        <w:rPr>
          <w:sz w:val="20"/>
          <w:szCs w:val="20"/>
          <w:color w:val="auto"/>
        </w:rPr>
      </w:pPr>
    </w:p>
    <w:p>
      <w:pPr>
        <w:jc w:val="both"/>
        <w:ind w:left="2460"/>
        <w:spacing w:after="0" w:line="234" w:lineRule="auto"/>
        <w:rPr>
          <w:sz w:val="20"/>
          <w:szCs w:val="20"/>
          <w:color w:val="auto"/>
        </w:rPr>
      </w:pPr>
      <w:r>
        <w:rPr>
          <w:rFonts w:ascii="Arial" w:cs="Arial" w:eastAsia="Arial" w:hAnsi="Arial"/>
          <w:sz w:val="22"/>
          <w:szCs w:val="22"/>
          <w:b w:val="1"/>
          <w:bCs w:val="1"/>
          <w:color w:val="auto"/>
        </w:rPr>
        <w:t>Selection Date</w:t>
      </w:r>
      <w:r>
        <w:rPr>
          <w:rFonts w:ascii="Arial" w:cs="Arial" w:eastAsia="Arial" w:hAnsi="Arial"/>
          <w:sz w:val="22"/>
          <w:szCs w:val="22"/>
          <w:color w:val="auto"/>
        </w:rPr>
        <w:t>” and, together with the First Additional Amgen Target Selection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Selection Dates</w:t>
      </w:r>
      <w:r>
        <w:rPr>
          <w:rFonts w:ascii="Arial" w:cs="Arial" w:eastAsia="Arial" w:hAnsi="Arial"/>
          <w:sz w:val="22"/>
          <w:szCs w:val="22"/>
          <w:color w:val="auto"/>
        </w:rPr>
        <w:t>”) for inclusion under this Agreement, subject to Section 4.4.2 (collectively, the “</w:t>
      </w:r>
      <w:r>
        <w:rPr>
          <w:rFonts w:ascii="Arial" w:cs="Arial" w:eastAsia="Arial" w:hAnsi="Arial"/>
          <w:sz w:val="22"/>
          <w:szCs w:val="22"/>
          <w:b w:val="1"/>
          <w:bCs w:val="1"/>
          <w:color w:val="auto"/>
        </w:rPr>
        <w:t>Amgen Expansion Option</w:t>
      </w:r>
      <w:r>
        <w:rPr>
          <w:rFonts w:ascii="Arial" w:cs="Arial" w:eastAsia="Arial" w:hAnsi="Arial"/>
          <w:sz w:val="22"/>
          <w:szCs w:val="22"/>
          <w:color w:val="auto"/>
        </w:rPr>
        <w:t>”).”</w:t>
      </w:r>
    </w:p>
    <w:p>
      <w:pPr>
        <w:spacing w:after="0" w:line="208" w:lineRule="exact"/>
        <w:rPr>
          <w:sz w:val="20"/>
          <w:szCs w:val="20"/>
          <w:color w:val="auto"/>
        </w:rPr>
      </w:pPr>
    </w:p>
    <w:p>
      <w:pPr>
        <w:ind w:left="1680" w:right="160" w:hanging="719"/>
        <w:spacing w:after="0" w:line="256" w:lineRule="auto"/>
        <w:tabs>
          <w:tab w:leader="none" w:pos="16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b w:val="1"/>
          <w:bCs w:val="1"/>
          <w:u w:val="single" w:color="auto"/>
          <w:color w:val="auto"/>
        </w:rPr>
        <w:t>Amendment to Section 6.1.3 (EGFR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6.1.3 (EGFR Products) is hereby amended as follows:</w:t>
      </w:r>
    </w:p>
    <w:p>
      <w:pPr>
        <w:spacing w:after="0" w:line="20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Section 6.1.3 is hereby deleted and replaced in its entirety as follows:</w:t>
      </w:r>
    </w:p>
    <w:p>
      <w:pPr>
        <w:spacing w:after="0" w:line="241" w:lineRule="exact"/>
        <w:rPr>
          <w:sz w:val="20"/>
          <w:szCs w:val="20"/>
          <w:color w:val="auto"/>
        </w:rPr>
      </w:pPr>
    </w:p>
    <w:p>
      <w:pPr>
        <w:jc w:val="both"/>
        <w:ind w:left="246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6.1.3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EGFR Products</w:t>
      </w:r>
      <w:r>
        <w:rPr>
          <w:rFonts w:ascii="Arial" w:cs="Arial" w:eastAsia="Arial" w:hAnsi="Arial"/>
          <w:sz w:val="19"/>
          <w:szCs w:val="19"/>
          <w:color w:val="auto"/>
        </w:rPr>
        <w:t>. Following the Effective Date and at all times during the Term (except with respect to Preclinical Development and clinical activities conducted by each Party pursuant to the Preclinical Development Plan and EGFR Initial Development Plan, and except as set forth in clauses (a) and (b) below), Amgen shall be responsible for, and shall bear all costs associated with, the development, manufacture and commercialization of EGFR Products, including development, distribution, marketing and sales activities. For clarity, after completion of the Preclinical Development Plan and [***], and notwithstanding any other activities conducted by CytomX pursuant to the EGFR Initial Development Plan, if [***], Amgen shall continue to have the right to conduct preclinical and clinical development with respect to all EGFR Products. Subject to the terms of this Agreement, [***]. After completion of CytomX’s activities as set forth in the Preclinical Development Plan and EGFR Initial Development Plan and [***] , CytomX will promptly transfer to Amgen all CytomX Licensed Know-How as is reasonably necessary or useful for Amgen to develop and seek Marketing Approval for the EGFR Products, including all materials for supporting regulatory filings consistent with Amgen’s obligations under Article 5. Notwithstanding the foregoing:”</w:t>
      </w: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150"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Section 6.1.3(a) is hereby deleted and replaced in its entirety as follows:</w:t>
      </w:r>
    </w:p>
    <w:p>
      <w:pPr>
        <w:spacing w:after="0" w:line="247" w:lineRule="exact"/>
        <w:rPr>
          <w:sz w:val="20"/>
          <w:szCs w:val="20"/>
          <w:color w:val="auto"/>
        </w:rPr>
      </w:pPr>
    </w:p>
    <w:p>
      <w:pPr>
        <w:jc w:val="both"/>
        <w:ind w:left="2460"/>
        <w:spacing w:after="0" w:line="238" w:lineRule="auto"/>
        <w:rPr>
          <w:sz w:val="20"/>
          <w:szCs w:val="20"/>
          <w:color w:val="auto"/>
        </w:rPr>
      </w:pPr>
      <w:r>
        <w:rPr>
          <w:rFonts w:ascii="Arial" w:cs="Arial" w:eastAsia="Arial" w:hAnsi="Arial"/>
          <w:sz w:val="22"/>
          <w:szCs w:val="22"/>
          <w:color w:val="auto"/>
        </w:rPr>
        <w:t>“(a) CytomX shall be responsible for conducting any EGFR Dose Escalation Study and any EGFR Cohort Expansion Study pursuant to the EGFR Initial Development Plan, with costs borne by [***]. With respect to the first EGFR Dose Escalation Study included in the EGFR Initial Development Plan approved by the [***]:</w:t>
      </w:r>
    </w:p>
    <w:p>
      <w:pPr>
        <w:spacing w:after="0" w:line="212" w:lineRule="exact"/>
        <w:rPr>
          <w:sz w:val="20"/>
          <w:szCs w:val="20"/>
          <w:color w:val="auto"/>
        </w:rPr>
      </w:pPr>
    </w:p>
    <w:p>
      <w:pPr>
        <w:jc w:val="both"/>
        <w:ind w:left="3220"/>
        <w:spacing w:after="0" w:line="252" w:lineRule="auto"/>
        <w:rPr>
          <w:sz w:val="20"/>
          <w:szCs w:val="20"/>
          <w:color w:val="auto"/>
        </w:rPr>
      </w:pPr>
      <w:r>
        <w:rPr>
          <w:rFonts w:ascii="Arial" w:cs="Arial" w:eastAsia="Arial" w:hAnsi="Arial"/>
          <w:sz w:val="21"/>
          <w:szCs w:val="21"/>
          <w:color w:val="auto"/>
        </w:rPr>
        <w:t>(i)CytomX shall provide the JSC updates on such EGFR Dose Escalation Study once per Calendar Quarter and, notwithstanding Section 3.3, provide data generated under such EGFR Dose Escalation Study only upon the completion thereof as part of the Data Package or upon Amgen’s written request.</w:t>
      </w:r>
    </w:p>
    <w:p>
      <w:pPr>
        <w:spacing w:after="0" w:line="214" w:lineRule="exact"/>
        <w:rPr>
          <w:sz w:val="20"/>
          <w:szCs w:val="20"/>
          <w:color w:val="auto"/>
        </w:rPr>
      </w:pPr>
    </w:p>
    <w:p>
      <w:pPr>
        <w:jc w:val="both"/>
        <w:ind w:left="3220"/>
        <w:spacing w:after="0" w:line="260" w:lineRule="auto"/>
        <w:rPr>
          <w:sz w:val="20"/>
          <w:szCs w:val="20"/>
          <w:color w:val="auto"/>
        </w:rPr>
      </w:pPr>
      <w:r>
        <w:rPr>
          <w:rFonts w:ascii="Arial" w:cs="Arial" w:eastAsia="Arial" w:hAnsi="Arial"/>
          <w:sz w:val="20"/>
          <w:szCs w:val="20"/>
          <w:color w:val="auto"/>
        </w:rPr>
        <w:t xml:space="preserve">(ii)No later than </w:t>
      </w:r>
      <w:r>
        <w:rPr>
          <w:rFonts w:ascii="Arial" w:cs="Arial" w:eastAsia="Arial" w:hAnsi="Arial"/>
          <w:sz w:val="17"/>
          <w:szCs w:val="17"/>
          <w:color w:val="auto"/>
        </w:rPr>
        <w:t>[***]</w:t>
      </w:r>
      <w:r>
        <w:rPr>
          <w:rFonts w:ascii="Arial" w:cs="Arial" w:eastAsia="Arial" w:hAnsi="Arial"/>
          <w:sz w:val="20"/>
          <w:szCs w:val="20"/>
          <w:color w:val="auto"/>
        </w:rPr>
        <w:t xml:space="preserve">days after the date that </w:t>
      </w:r>
      <w:r>
        <w:rPr>
          <w:rFonts w:ascii="Arial" w:cs="Arial" w:eastAsia="Arial" w:hAnsi="Arial"/>
          <w:sz w:val="17"/>
          <w:szCs w:val="17"/>
          <w:color w:val="auto"/>
        </w:rPr>
        <w:t>[***]</w:t>
      </w:r>
      <w:r>
        <w:rPr>
          <w:rFonts w:ascii="Arial" w:cs="Arial" w:eastAsia="Arial" w:hAnsi="Arial"/>
          <w:sz w:val="20"/>
          <w:szCs w:val="20"/>
          <w:color w:val="auto"/>
        </w:rPr>
        <w:t xml:space="preserve"> decides to progress to the EGFR Cohort Expansion Study for CX-904 with patient data that includes </w:t>
      </w:r>
      <w:r>
        <w:rPr>
          <w:rFonts w:ascii="Arial" w:cs="Arial" w:eastAsia="Arial" w:hAnsi="Arial"/>
          <w:sz w:val="17"/>
          <w:szCs w:val="17"/>
          <w:color w:val="auto"/>
        </w:rPr>
        <w:t>[***]</w:t>
      </w:r>
      <w:r>
        <w:rPr>
          <w:rFonts w:ascii="Arial" w:cs="Arial" w:eastAsia="Arial" w:hAnsi="Arial"/>
          <w:sz w:val="20"/>
          <w:szCs w:val="20"/>
          <w:color w:val="auto"/>
        </w:rPr>
        <w:t>, CytomX shall deliver to Amgen the data package containing the information set forth in Appendix A (“</w:t>
      </w:r>
      <w:r>
        <w:rPr>
          <w:rFonts w:ascii="Arial" w:cs="Arial" w:eastAsia="Arial" w:hAnsi="Arial"/>
          <w:sz w:val="20"/>
          <w:szCs w:val="20"/>
          <w:b w:val="1"/>
          <w:bCs w:val="1"/>
          <w:color w:val="auto"/>
        </w:rPr>
        <w:t>Data Package</w:t>
      </w:r>
      <w:r>
        <w:rPr>
          <w:rFonts w:ascii="Arial" w:cs="Arial" w:eastAsia="Arial" w:hAnsi="Arial"/>
          <w:sz w:val="20"/>
          <w:szCs w:val="20"/>
          <w:color w:val="auto"/>
        </w:rPr>
        <w:t xml:space="preserve">”). Amgen shall have </w:t>
      </w:r>
      <w:r>
        <w:rPr>
          <w:rFonts w:ascii="Arial" w:cs="Arial" w:eastAsia="Arial" w:hAnsi="Arial"/>
          <w:sz w:val="17"/>
          <w:szCs w:val="17"/>
          <w:color w:val="auto"/>
        </w:rPr>
        <w:t>[***]</w:t>
      </w:r>
      <w:r>
        <w:rPr>
          <w:rFonts w:ascii="Arial" w:cs="Arial" w:eastAsia="Arial" w:hAnsi="Arial"/>
          <w:sz w:val="20"/>
          <w:szCs w:val="20"/>
          <w:color w:val="auto"/>
        </w:rPr>
        <w:t>days after receipt of the Data Package (the “</w:t>
      </w:r>
      <w:r>
        <w:rPr>
          <w:rFonts w:ascii="Arial" w:cs="Arial" w:eastAsia="Arial" w:hAnsi="Arial"/>
          <w:sz w:val="20"/>
          <w:szCs w:val="20"/>
          <w:b w:val="1"/>
          <w:bCs w:val="1"/>
          <w:color w:val="auto"/>
        </w:rPr>
        <w:t>Review Period</w:t>
      </w:r>
      <w:r>
        <w:rPr>
          <w:rFonts w:ascii="Arial" w:cs="Arial" w:eastAsia="Arial" w:hAnsi="Arial"/>
          <w:sz w:val="20"/>
          <w:szCs w:val="20"/>
          <w:color w:val="auto"/>
        </w:rPr>
        <w:t xml:space="preserve">”) to review the Data Package and, if during the Review Period Amgen believes in good faith that any information required to be included in the Data Package is missing, then Amgen shall have the right to request in writing that CytomX update the Data Package to include any such missing information in the possession of CytomX and CytomX shall deliver a revised Data Package within </w:t>
      </w:r>
      <w:r>
        <w:rPr>
          <w:rFonts w:ascii="Arial" w:cs="Arial" w:eastAsia="Arial" w:hAnsi="Arial"/>
          <w:sz w:val="17"/>
          <w:szCs w:val="17"/>
          <w:color w:val="auto"/>
        </w:rPr>
        <w:t>[***]</w:t>
      </w:r>
      <w:r>
        <w:rPr>
          <w:rFonts w:ascii="Arial" w:cs="Arial" w:eastAsia="Arial" w:hAnsi="Arial"/>
          <w:sz w:val="19"/>
          <w:szCs w:val="19"/>
          <w:color w:val="auto"/>
        </w:rPr>
        <w:t>days after receipt of such request. The Review Period shall be extended by the</w:t>
      </w:r>
      <w:r>
        <w:rPr>
          <w:rFonts w:ascii="Arial" w:cs="Arial" w:eastAsia="Arial" w:hAnsi="Arial"/>
          <w:sz w:val="17"/>
          <w:szCs w:val="17"/>
          <w:color w:val="auto"/>
        </w:rPr>
        <w:t xml:space="preserve"> </w:t>
      </w:r>
      <w:r>
        <w:rPr>
          <w:rFonts w:ascii="Arial" w:cs="Arial" w:eastAsia="Arial" w:hAnsi="Arial"/>
          <w:sz w:val="19"/>
          <w:szCs w:val="19"/>
          <w:color w:val="auto"/>
        </w:rPr>
        <w:t xml:space="preserve">number of days between the date of Amgen’s request for such information and the date of receipt of the revised Data Package. </w:t>
      </w:r>
      <w:r>
        <w:rPr>
          <w:rFonts w:ascii="Arial" w:cs="Arial" w:eastAsia="Arial" w:hAnsi="Arial"/>
          <w:sz w:val="17"/>
          <w:szCs w:val="17"/>
          <w:color w:val="auto"/>
        </w:rPr>
        <w:t>[***]</w:t>
      </w:r>
    </w:p>
    <w:p>
      <w:pPr>
        <w:spacing w:after="0" w:line="289" w:lineRule="exact"/>
        <w:rPr>
          <w:sz w:val="20"/>
          <w:szCs w:val="20"/>
          <w:color w:val="auto"/>
        </w:rPr>
      </w:pPr>
    </w:p>
    <w:p>
      <w:pPr>
        <w:jc w:val="both"/>
        <w:ind w:left="3220"/>
        <w:spacing w:after="0"/>
        <w:rPr>
          <w:sz w:val="20"/>
          <w:szCs w:val="20"/>
          <w:color w:val="auto"/>
        </w:rPr>
      </w:pPr>
      <w:r>
        <w:rPr>
          <w:rFonts w:ascii="Arial" w:cs="Arial" w:eastAsia="Arial" w:hAnsi="Arial"/>
          <w:sz w:val="22"/>
          <w:szCs w:val="22"/>
          <w:color w:val="auto"/>
        </w:rPr>
        <w:t xml:space="preserve">(iii)On or prior to the expiration of the Review Period, Amgen shall </w:t>
      </w:r>
      <w:r>
        <w:rPr>
          <w:rFonts w:ascii="Arial" w:cs="Arial" w:eastAsia="Arial" w:hAnsi="Arial"/>
          <w:sz w:val="19"/>
          <w:szCs w:val="19"/>
          <w:color w:val="auto"/>
        </w:rPr>
        <w:t>[***]</w:t>
      </w:r>
      <w:r>
        <w:rPr>
          <w:rFonts w:ascii="Arial" w:cs="Arial" w:eastAsia="Arial" w:hAnsi="Arial"/>
          <w:sz w:val="22"/>
          <w:szCs w:val="22"/>
          <w:color w:val="auto"/>
        </w:rPr>
        <w:t xml:space="preserve">. If Amgen does not provide such notice on or prior to the expiration of the Review Period, then Amgen shall </w:t>
      </w:r>
      <w:r>
        <w:rPr>
          <w:rFonts w:ascii="Arial" w:cs="Arial" w:eastAsia="Arial" w:hAnsi="Arial"/>
          <w:sz w:val="19"/>
          <w:szCs w:val="19"/>
          <w:color w:val="auto"/>
        </w:rPr>
        <w:t>[***]</w:t>
      </w:r>
      <w:r>
        <w:rPr>
          <w:rFonts w:ascii="Arial" w:cs="Arial" w:eastAsia="Arial" w:hAnsi="Arial"/>
          <w:sz w:val="22"/>
          <w:szCs w:val="22"/>
          <w:color w:val="auto"/>
        </w:rPr>
        <w:t xml:space="preserve">. For clarity, if </w:t>
      </w:r>
      <w:r>
        <w:rPr>
          <w:rFonts w:ascii="Arial" w:cs="Arial" w:eastAsia="Arial" w:hAnsi="Arial"/>
          <w:sz w:val="19"/>
          <w:szCs w:val="19"/>
          <w:color w:val="auto"/>
        </w:rPr>
        <w:t>[***]</w:t>
      </w:r>
      <w:r>
        <w:rPr>
          <w:rFonts w:ascii="Arial" w:cs="Arial" w:eastAsia="Arial" w:hAnsi="Arial"/>
          <w:sz w:val="22"/>
          <w:szCs w:val="22"/>
          <w:color w:val="auto"/>
        </w:rPr>
        <w:t xml:space="preserve">, Amgen shall </w:t>
      </w:r>
      <w:r>
        <w:rPr>
          <w:rFonts w:ascii="Arial" w:cs="Arial" w:eastAsia="Arial" w:hAnsi="Arial"/>
          <w:sz w:val="19"/>
          <w:szCs w:val="19"/>
          <w:color w:val="auto"/>
        </w:rPr>
        <w:t>[***].”</w:t>
      </w:r>
    </w:p>
    <w:p>
      <w:pPr>
        <w:spacing w:after="0" w:line="207" w:lineRule="exact"/>
        <w:rPr>
          <w:sz w:val="20"/>
          <w:szCs w:val="20"/>
          <w:color w:val="auto"/>
        </w:rPr>
      </w:pPr>
    </w:p>
    <w:p>
      <w:pPr>
        <w:ind w:left="1720" w:hanging="755"/>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7.3.2.</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Section</w:t>
      </w:r>
    </w:p>
    <w:p>
      <w:pPr>
        <w:spacing w:after="0" w:line="14" w:lineRule="exact"/>
        <w:rPr>
          <w:rFonts w:ascii="Arial" w:cs="Arial" w:eastAsia="Arial" w:hAnsi="Arial"/>
          <w:sz w:val="22"/>
          <w:szCs w:val="22"/>
          <w:color w:val="auto"/>
        </w:rPr>
      </w:pPr>
    </w:p>
    <w:p>
      <w:pPr>
        <w:ind w:left="1720"/>
        <w:spacing w:after="0"/>
        <w:rPr>
          <w:rFonts w:ascii="Arial" w:cs="Arial" w:eastAsia="Arial" w:hAnsi="Arial"/>
          <w:sz w:val="22"/>
          <w:szCs w:val="22"/>
          <w:color w:val="auto"/>
        </w:rPr>
      </w:pPr>
      <w:r>
        <w:rPr>
          <w:rFonts w:ascii="Arial" w:cs="Arial" w:eastAsia="Arial" w:hAnsi="Arial"/>
          <w:sz w:val="21"/>
          <w:szCs w:val="21"/>
          <w:color w:val="auto"/>
        </w:rPr>
        <w:t>7.3.2 (Certain CytomX EGFR Costs) is hereby deleted and replaced in its entirety as follows:</w:t>
      </w:r>
    </w:p>
    <w:p>
      <w:pPr>
        <w:spacing w:after="0" w:line="234" w:lineRule="exact"/>
        <w:rPr>
          <w:sz w:val="20"/>
          <w:szCs w:val="20"/>
          <w:color w:val="auto"/>
        </w:rPr>
      </w:pPr>
    </w:p>
    <w:p>
      <w:pPr>
        <w:jc w:val="both"/>
        <w:ind w:left="24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7.3.2</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Certain CytomX EGFR Costs</w:t>
      </w:r>
      <w:r>
        <w:rPr>
          <w:rFonts w:ascii="Arial" w:cs="Arial" w:eastAsia="Arial" w:hAnsi="Arial"/>
          <w:sz w:val="22"/>
          <w:szCs w:val="22"/>
          <w:b w:val="1"/>
          <w:bCs w:val="1"/>
          <w:color w:val="auto"/>
        </w:rPr>
        <w:t>.</w:t>
      </w:r>
      <w:r>
        <w:rPr>
          <w:rFonts w:ascii="Arial" w:cs="Arial" w:eastAsia="Arial" w:hAnsi="Arial"/>
          <w:sz w:val="22"/>
          <w:szCs w:val="22"/>
          <w:color w:val="auto"/>
        </w:rPr>
        <w:t xml:space="preserve"> CytomX shall be responsible for [***] with respect to the first EGFR Dose Escalation Study and the first EGFR Cohort Expansion Study;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Amgen shall reasonably assist CytomX upon CytomX’s request [***], which</w:t>
      </w:r>
      <w:r>
        <w:rPr>
          <w:rFonts w:ascii="Arial" w:cs="Arial" w:eastAsia="Arial" w:hAnsi="Arial"/>
          <w:sz w:val="22"/>
          <w:szCs w:val="22"/>
          <w:i w:val="1"/>
          <w:iCs w:val="1"/>
          <w:color w:val="auto"/>
        </w:rPr>
        <w:t xml:space="preserve"> </w:t>
      </w:r>
      <w:r>
        <w:rPr>
          <w:rFonts w:ascii="Arial" w:cs="Arial" w:eastAsia="Arial" w:hAnsi="Arial"/>
          <w:sz w:val="22"/>
          <w:szCs w:val="22"/>
          <w:color w:val="auto"/>
        </w:rPr>
        <w:t>shall include reviewing [***].”</w:t>
      </w:r>
    </w:p>
    <w:p>
      <w:pPr>
        <w:spacing w:after="0" w:line="221" w:lineRule="exact"/>
        <w:rPr>
          <w:sz w:val="20"/>
          <w:szCs w:val="20"/>
          <w:color w:val="auto"/>
        </w:rPr>
      </w:pPr>
    </w:p>
    <w:p>
      <w:pPr>
        <w:jc w:val="both"/>
        <w:ind w:left="1680" w:hanging="715"/>
        <w:spacing w:after="0" w:line="243" w:lineRule="auto"/>
        <w:tabs>
          <w:tab w:leader="none" w:pos="1680"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7.4.3 (EGFR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and Regulatory Milestone Events” table in Section 7.4.3 (EGFR Products) is hereby deleted and replaced in its entirety as follows:</w:t>
      </w: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2"/>
        </w:trPr>
        <w:tc>
          <w:tcPr>
            <w:tcW w:w="4740" w:type="dxa"/>
            <w:vAlign w:val="bottom"/>
            <w:gridSpan w:val="4"/>
          </w:tcPr>
          <w:p>
            <w:pPr>
              <w:spacing w:after="0"/>
              <w:rPr>
                <w:sz w:val="20"/>
                <w:szCs w:val="20"/>
                <w:color w:val="auto"/>
              </w:rPr>
            </w:pPr>
            <w:r>
              <w:rPr>
                <w:rFonts w:ascii="Arial" w:cs="Arial" w:eastAsia="Arial" w:hAnsi="Arial"/>
                <w:sz w:val="14"/>
                <w:szCs w:val="14"/>
                <w:color w:val="auto"/>
              </w:rPr>
              <w:t>DocuSign Envelope ID: BC0B85A8-4C4E-49BF-9DC2-0D8965BBCF25</w:t>
            </w: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00" w:type="dxa"/>
            <w:vAlign w:val="bottom"/>
            <w:tcBorders>
              <w:right w:val="single" w:sz="8" w:color="auto"/>
            </w:tcBorders>
          </w:tcPr>
          <w:p>
            <w:pPr>
              <w:spacing w:after="0"/>
              <w:rPr>
                <w:sz w:val="15"/>
                <w:szCs w:val="15"/>
                <w:color w:val="auto"/>
              </w:rPr>
            </w:pPr>
          </w:p>
        </w:tc>
        <w:tc>
          <w:tcPr>
            <w:tcW w:w="1220" w:type="dxa"/>
            <w:vAlign w:val="bottom"/>
            <w:tcBorders>
              <w:top w:val="single" w:sz="8" w:color="auto"/>
            </w:tcBorders>
            <w:shd w:val="clear" w:color="auto" w:fill="D9D9D9"/>
          </w:tcPr>
          <w:p>
            <w:pPr>
              <w:spacing w:after="0"/>
              <w:rPr>
                <w:sz w:val="15"/>
                <w:szCs w:val="15"/>
                <w:color w:val="auto"/>
              </w:rPr>
            </w:pPr>
          </w:p>
        </w:tc>
        <w:tc>
          <w:tcPr>
            <w:tcW w:w="2820" w:type="dxa"/>
            <w:vAlign w:val="bottom"/>
            <w:tcBorders>
              <w:top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20"/>
                <w:szCs w:val="20"/>
                <w:b w:val="1"/>
                <w:bCs w:val="1"/>
                <w:color w:val="auto"/>
              </w:rPr>
              <w:t>Milestone Event</w:t>
            </w:r>
          </w:p>
        </w:tc>
        <w:tc>
          <w:tcPr>
            <w:tcW w:w="1780" w:type="dxa"/>
            <w:vAlign w:val="bottom"/>
            <w:tcBorders>
              <w:top w:val="single" w:sz="8" w:color="D9D9D9"/>
            </w:tcBorders>
            <w:shd w:val="clear" w:color="auto" w:fill="D9D9D9"/>
          </w:tcPr>
          <w:p>
            <w:pPr>
              <w:spacing w:after="0"/>
              <w:rPr>
                <w:sz w:val="15"/>
                <w:szCs w:val="15"/>
                <w:color w:val="auto"/>
              </w:rPr>
            </w:pPr>
          </w:p>
        </w:tc>
        <w:tc>
          <w:tcPr>
            <w:tcW w:w="2420" w:type="dxa"/>
            <w:vAlign w:val="bottom"/>
            <w:tcBorders>
              <w:top w:val="single" w:sz="8" w:color="D9D9D9"/>
            </w:tcBorders>
            <w:gridSpan w:val="3"/>
            <w:shd w:val="clear" w:color="auto" w:fill="D9D9D9"/>
          </w:tcPr>
          <w:p>
            <w:pPr>
              <w:jc w:val="center"/>
              <w:ind w:left="161"/>
              <w:spacing w:after="0" w:line="180" w:lineRule="exact"/>
              <w:rPr>
                <w:sz w:val="20"/>
                <w:szCs w:val="20"/>
                <w:color w:val="auto"/>
              </w:rPr>
            </w:pPr>
            <w:r>
              <w:rPr>
                <w:rFonts w:ascii="Arial" w:cs="Arial" w:eastAsia="Arial" w:hAnsi="Arial"/>
                <w:sz w:val="20"/>
                <w:szCs w:val="20"/>
                <w:b w:val="1"/>
                <w:bCs w:val="1"/>
                <w:color w:val="auto"/>
                <w:w w:val="90"/>
              </w:rPr>
              <w:t>Milestone Payment</w:t>
            </w:r>
          </w:p>
        </w:tc>
        <w:tc>
          <w:tcPr>
            <w:tcW w:w="2080" w:type="dxa"/>
            <w:vAlign w:val="bottom"/>
            <w:tcBorders>
              <w:top w:val="single" w:sz="8" w:color="D9D9D9"/>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1220" w:type="dxa"/>
            <w:vAlign w:val="bottom"/>
            <w:tcBorders>
              <w:top w:val="single" w:sz="8" w:color="D9D9D9"/>
              <w:bottom w:val="single" w:sz="8" w:color="D9D9D9"/>
            </w:tcBorders>
            <w:vMerge w:val="restart"/>
            <w:shd w:val="clear" w:color="auto" w:fill="D9D9D9"/>
          </w:tcPr>
          <w:p>
            <w:pPr>
              <w:spacing w:after="0"/>
              <w:rPr>
                <w:sz w:val="18"/>
                <w:szCs w:val="18"/>
                <w:color w:val="auto"/>
              </w:rPr>
            </w:pPr>
          </w:p>
        </w:tc>
        <w:tc>
          <w:tcPr>
            <w:tcW w:w="2820" w:type="dxa"/>
            <w:vAlign w:val="bottom"/>
            <w:tcBorders>
              <w:top w:val="single" w:sz="8" w:color="auto"/>
              <w:bottom w:val="single" w:sz="8" w:color="auto"/>
              <w:right w:val="single" w:sz="8" w:color="auto"/>
            </w:tcBorders>
            <w:gridSpan w:val="2"/>
            <w:vMerge w:val="continue"/>
            <w:shd w:val="clear" w:color="auto" w:fill="D9D9D9"/>
          </w:tcPr>
          <w:p>
            <w:pPr>
              <w:spacing w:after="0"/>
              <w:rPr>
                <w:sz w:val="18"/>
                <w:szCs w:val="18"/>
                <w:color w:val="auto"/>
              </w:rPr>
            </w:pPr>
          </w:p>
        </w:tc>
        <w:tc>
          <w:tcPr>
            <w:tcW w:w="1780" w:type="dxa"/>
            <w:vAlign w:val="bottom"/>
            <w:tcBorders>
              <w:top w:val="single" w:sz="8" w:color="D9D9D9"/>
              <w:bottom w:val="single" w:sz="8" w:color="auto"/>
            </w:tcBorders>
            <w:shd w:val="clear" w:color="auto" w:fill="D9D9D9"/>
          </w:tcPr>
          <w:p>
            <w:pPr>
              <w:spacing w:after="0"/>
              <w:rPr>
                <w:sz w:val="18"/>
                <w:szCs w:val="18"/>
                <w:color w:val="auto"/>
              </w:rPr>
            </w:pPr>
          </w:p>
        </w:tc>
        <w:tc>
          <w:tcPr>
            <w:tcW w:w="520" w:type="dxa"/>
            <w:vAlign w:val="bottom"/>
            <w:tcBorders>
              <w:top w:val="single" w:sz="8" w:color="D9D9D9"/>
              <w:bottom w:val="single" w:sz="8" w:color="auto"/>
            </w:tcBorders>
            <w:shd w:val="clear" w:color="auto" w:fill="D9D9D9"/>
          </w:tcPr>
          <w:p>
            <w:pPr>
              <w:spacing w:after="0"/>
              <w:rPr>
                <w:sz w:val="18"/>
                <w:szCs w:val="18"/>
                <w:color w:val="auto"/>
              </w:rPr>
            </w:pPr>
          </w:p>
        </w:tc>
        <w:tc>
          <w:tcPr>
            <w:tcW w:w="1620" w:type="dxa"/>
            <w:vAlign w:val="bottom"/>
            <w:tcBorders>
              <w:top w:val="single" w:sz="8" w:color="auto"/>
              <w:bottom w:val="single" w:sz="8" w:color="auto"/>
            </w:tcBorders>
            <w:shd w:val="clear" w:color="auto" w:fill="D9D9D9"/>
          </w:tcPr>
          <w:p>
            <w:pPr>
              <w:spacing w:after="0"/>
              <w:rPr>
                <w:sz w:val="18"/>
                <w:szCs w:val="18"/>
                <w:color w:val="auto"/>
              </w:rPr>
            </w:pPr>
          </w:p>
        </w:tc>
        <w:tc>
          <w:tcPr>
            <w:tcW w:w="280" w:type="dxa"/>
            <w:vAlign w:val="bottom"/>
            <w:tcBorders>
              <w:top w:val="single" w:sz="8" w:color="D9D9D9"/>
              <w:bottom w:val="single" w:sz="8" w:color="auto"/>
            </w:tcBorders>
            <w:shd w:val="clear" w:color="auto" w:fill="D9D9D9"/>
          </w:tcPr>
          <w:p>
            <w:pPr>
              <w:spacing w:after="0"/>
              <w:rPr>
                <w:sz w:val="18"/>
                <w:szCs w:val="18"/>
                <w:color w:val="auto"/>
              </w:rPr>
            </w:pPr>
          </w:p>
        </w:tc>
        <w:tc>
          <w:tcPr>
            <w:tcW w:w="2080" w:type="dxa"/>
            <w:vAlign w:val="bottom"/>
            <w:tcBorders>
              <w:top w:val="single" w:sz="8" w:color="D9D9D9"/>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700" w:type="dxa"/>
            <w:vAlign w:val="bottom"/>
            <w:tcBorders>
              <w:right w:val="single" w:sz="8" w:color="auto"/>
            </w:tcBorders>
          </w:tcPr>
          <w:p>
            <w:pPr>
              <w:spacing w:after="0"/>
              <w:rPr>
                <w:sz w:val="11"/>
                <w:szCs w:val="11"/>
                <w:color w:val="auto"/>
              </w:rPr>
            </w:pPr>
          </w:p>
        </w:tc>
        <w:tc>
          <w:tcPr>
            <w:tcW w:w="1220" w:type="dxa"/>
            <w:vAlign w:val="bottom"/>
            <w:vMerge w:val="continue"/>
            <w:shd w:val="clear" w:color="auto" w:fill="D9D9D9"/>
          </w:tcPr>
          <w:p>
            <w:pPr>
              <w:spacing w:after="0"/>
              <w:rPr>
                <w:sz w:val="11"/>
                <w:szCs w:val="11"/>
                <w:color w:val="auto"/>
              </w:rPr>
            </w:pPr>
          </w:p>
        </w:tc>
        <w:tc>
          <w:tcPr>
            <w:tcW w:w="2820" w:type="dxa"/>
            <w:vAlign w:val="bottom"/>
            <w:tcBorders>
              <w:right w:val="single" w:sz="8" w:color="auto"/>
            </w:tcBorders>
            <w:gridSpan w:val="2"/>
            <w:vMerge w:val="continue"/>
            <w:shd w:val="clear" w:color="auto" w:fill="D9D9D9"/>
          </w:tcPr>
          <w:p>
            <w:pPr>
              <w:spacing w:after="0"/>
              <w:rPr>
                <w:sz w:val="11"/>
                <w:szCs w:val="11"/>
                <w:color w:val="auto"/>
              </w:rPr>
            </w:pPr>
          </w:p>
        </w:tc>
        <w:tc>
          <w:tcPr>
            <w:tcW w:w="1780" w:type="dxa"/>
            <w:vAlign w:val="bottom"/>
            <w:vMerge w:val="restart"/>
            <w:shd w:val="clear" w:color="auto" w:fill="D9D9D9"/>
          </w:tcPr>
          <w:p>
            <w:pPr>
              <w:jc w:val="right"/>
              <w:ind w:right="421"/>
              <w:spacing w:after="0"/>
              <w:rPr>
                <w:sz w:val="20"/>
                <w:szCs w:val="20"/>
                <w:color w:val="auto"/>
              </w:rPr>
            </w:pPr>
            <w:r>
              <w:rPr>
                <w:rFonts w:ascii="Arial" w:cs="Arial" w:eastAsia="Arial" w:hAnsi="Arial"/>
                <w:sz w:val="20"/>
                <w:szCs w:val="20"/>
                <w:color w:val="auto"/>
              </w:rPr>
              <w:t>[***]</w:t>
            </w:r>
          </w:p>
        </w:tc>
        <w:tc>
          <w:tcPr>
            <w:tcW w:w="2140" w:type="dxa"/>
            <w:vAlign w:val="bottom"/>
            <w:gridSpan w:val="2"/>
            <w:vMerge w:val="restart"/>
            <w:shd w:val="clear" w:color="auto" w:fill="D9D9D9"/>
          </w:tcPr>
          <w:p>
            <w:pPr>
              <w:jc w:val="center"/>
              <w:ind w:left="461"/>
              <w:spacing w:after="0"/>
              <w:rPr>
                <w:sz w:val="20"/>
                <w:szCs w:val="20"/>
                <w:color w:val="auto"/>
              </w:rPr>
            </w:pPr>
            <w:r>
              <w:rPr>
                <w:rFonts w:ascii="Arial" w:cs="Arial" w:eastAsia="Arial" w:hAnsi="Arial"/>
                <w:sz w:val="20"/>
                <w:szCs w:val="20"/>
                <w:color w:val="auto"/>
              </w:rPr>
              <w:t>[***]</w:t>
            </w:r>
          </w:p>
        </w:tc>
        <w:tc>
          <w:tcPr>
            <w:tcW w:w="280" w:type="dxa"/>
            <w:vAlign w:val="bottom"/>
            <w:shd w:val="clear" w:color="auto" w:fill="D9D9D9"/>
          </w:tcPr>
          <w:p>
            <w:pPr>
              <w:spacing w:after="0"/>
              <w:rPr>
                <w:sz w:val="11"/>
                <w:szCs w:val="11"/>
                <w:color w:val="auto"/>
              </w:rPr>
            </w:pPr>
          </w:p>
        </w:tc>
        <w:tc>
          <w:tcPr>
            <w:tcW w:w="2080" w:type="dxa"/>
            <w:vAlign w:val="bottom"/>
            <w:vMerge w:val="restart"/>
            <w:shd w:val="clear" w:color="auto" w:fill="D9D9D9"/>
          </w:tcPr>
          <w:p>
            <w:pPr>
              <w:jc w:val="right"/>
              <w:ind w:right="7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7"/>
        </w:trPr>
        <w:tc>
          <w:tcPr>
            <w:tcW w:w="700" w:type="dxa"/>
            <w:vAlign w:val="bottom"/>
            <w:tcBorders>
              <w:right w:val="single" w:sz="8" w:color="auto"/>
            </w:tcBorders>
          </w:tcPr>
          <w:p>
            <w:pPr>
              <w:spacing w:after="0"/>
              <w:rPr>
                <w:sz w:val="16"/>
                <w:szCs w:val="16"/>
                <w:color w:val="auto"/>
              </w:rPr>
            </w:pPr>
          </w:p>
        </w:tc>
        <w:tc>
          <w:tcPr>
            <w:tcW w:w="1220" w:type="dxa"/>
            <w:vAlign w:val="bottom"/>
            <w:tcBorders>
              <w:top w:val="single" w:sz="8" w:color="D9D9D9"/>
            </w:tcBorders>
            <w:shd w:val="clear" w:color="auto" w:fill="D9D9D9"/>
          </w:tcPr>
          <w:p>
            <w:pPr>
              <w:spacing w:after="0"/>
              <w:rPr>
                <w:sz w:val="16"/>
                <w:szCs w:val="16"/>
                <w:color w:val="auto"/>
              </w:rPr>
            </w:pPr>
          </w:p>
        </w:tc>
        <w:tc>
          <w:tcPr>
            <w:tcW w:w="1360" w:type="dxa"/>
            <w:vAlign w:val="bottom"/>
            <w:tcBorders>
              <w:top w:val="single" w:sz="8" w:color="auto"/>
            </w:tcBorders>
            <w:shd w:val="clear" w:color="auto" w:fill="D9D9D9"/>
          </w:tcPr>
          <w:p>
            <w:pPr>
              <w:spacing w:after="0"/>
              <w:rPr>
                <w:sz w:val="16"/>
                <w:szCs w:val="16"/>
                <w:color w:val="auto"/>
              </w:rPr>
            </w:pPr>
          </w:p>
        </w:tc>
        <w:tc>
          <w:tcPr>
            <w:tcW w:w="1460" w:type="dxa"/>
            <w:vAlign w:val="bottom"/>
            <w:tcBorders>
              <w:top w:val="single" w:sz="8" w:color="D9D9D9"/>
              <w:right w:val="single" w:sz="8" w:color="auto"/>
            </w:tcBorders>
            <w:shd w:val="clear" w:color="auto" w:fill="D9D9D9"/>
          </w:tcPr>
          <w:p>
            <w:pPr>
              <w:spacing w:after="0"/>
              <w:rPr>
                <w:sz w:val="16"/>
                <w:szCs w:val="16"/>
                <w:color w:val="auto"/>
              </w:rPr>
            </w:pPr>
          </w:p>
        </w:tc>
        <w:tc>
          <w:tcPr>
            <w:tcW w:w="1780" w:type="dxa"/>
            <w:vAlign w:val="bottom"/>
            <w:tcBorders>
              <w:top w:val="single" w:sz="8" w:color="D9D9D9"/>
            </w:tcBorders>
            <w:vMerge w:val="continue"/>
            <w:shd w:val="clear" w:color="auto" w:fill="D9D9D9"/>
          </w:tcPr>
          <w:p>
            <w:pPr>
              <w:spacing w:after="0"/>
              <w:rPr>
                <w:sz w:val="16"/>
                <w:szCs w:val="16"/>
                <w:color w:val="auto"/>
              </w:rPr>
            </w:pPr>
          </w:p>
        </w:tc>
        <w:tc>
          <w:tcPr>
            <w:tcW w:w="2140" w:type="dxa"/>
            <w:vAlign w:val="bottom"/>
            <w:tcBorders>
              <w:top w:val="single" w:sz="8" w:color="D9D9D9"/>
            </w:tcBorders>
            <w:gridSpan w:val="2"/>
            <w:vMerge w:val="continue"/>
            <w:shd w:val="clear" w:color="auto" w:fill="D9D9D9"/>
          </w:tcPr>
          <w:p>
            <w:pPr>
              <w:spacing w:after="0"/>
              <w:rPr>
                <w:sz w:val="16"/>
                <w:szCs w:val="16"/>
                <w:color w:val="auto"/>
              </w:rPr>
            </w:pPr>
          </w:p>
        </w:tc>
        <w:tc>
          <w:tcPr>
            <w:tcW w:w="280" w:type="dxa"/>
            <w:vAlign w:val="bottom"/>
            <w:tcBorders>
              <w:top w:val="single" w:sz="8" w:color="D9D9D9"/>
            </w:tcBorders>
            <w:shd w:val="clear" w:color="auto" w:fill="D9D9D9"/>
          </w:tcPr>
          <w:p>
            <w:pPr>
              <w:spacing w:after="0"/>
              <w:rPr>
                <w:sz w:val="16"/>
                <w:szCs w:val="16"/>
                <w:color w:val="auto"/>
              </w:rPr>
            </w:pPr>
          </w:p>
        </w:tc>
        <w:tc>
          <w:tcPr>
            <w:tcW w:w="2080" w:type="dxa"/>
            <w:vAlign w:val="bottom"/>
            <w:tcBorders>
              <w:top w:val="single" w:sz="8" w:color="D9D9D9"/>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00" w:type="dxa"/>
            <w:vAlign w:val="bottom"/>
            <w:tcBorders>
              <w:right w:val="single" w:sz="8" w:color="auto"/>
            </w:tcBorders>
          </w:tcPr>
          <w:p>
            <w:pPr>
              <w:spacing w:after="0"/>
              <w:rPr>
                <w:sz w:val="24"/>
                <w:szCs w:val="24"/>
                <w:color w:val="auto"/>
              </w:rPr>
            </w:pPr>
          </w:p>
        </w:tc>
        <w:tc>
          <w:tcPr>
            <w:tcW w:w="1220" w:type="dxa"/>
            <w:vAlign w:val="bottom"/>
            <w:tcBorders>
              <w:bottom w:val="single" w:sz="8" w:color="auto"/>
            </w:tcBorders>
            <w:shd w:val="clear" w:color="auto" w:fill="D9D9D9"/>
          </w:tcPr>
          <w:p>
            <w:pPr>
              <w:spacing w:after="0"/>
              <w:rPr>
                <w:sz w:val="24"/>
                <w:szCs w:val="24"/>
                <w:color w:val="auto"/>
              </w:rPr>
            </w:pPr>
          </w:p>
        </w:tc>
        <w:tc>
          <w:tcPr>
            <w:tcW w:w="1360" w:type="dxa"/>
            <w:vAlign w:val="bottom"/>
            <w:tcBorders>
              <w:bottom w:val="single" w:sz="8" w:color="auto"/>
            </w:tcBorders>
            <w:shd w:val="clear" w:color="auto" w:fill="D9D9D9"/>
          </w:tcPr>
          <w:p>
            <w:pPr>
              <w:spacing w:after="0"/>
              <w:rPr>
                <w:sz w:val="24"/>
                <w:szCs w:val="24"/>
                <w:color w:val="auto"/>
              </w:rPr>
            </w:pPr>
          </w:p>
        </w:tc>
        <w:tc>
          <w:tcPr>
            <w:tcW w:w="1460" w:type="dxa"/>
            <w:vAlign w:val="bottom"/>
            <w:tcBorders>
              <w:bottom w:val="single" w:sz="8" w:color="auto"/>
              <w:right w:val="single" w:sz="8" w:color="auto"/>
            </w:tcBorders>
            <w:shd w:val="clear" w:color="auto" w:fill="D9D9D9"/>
          </w:tcPr>
          <w:p>
            <w:pPr>
              <w:spacing w:after="0"/>
              <w:rPr>
                <w:sz w:val="24"/>
                <w:szCs w:val="24"/>
                <w:color w:val="auto"/>
              </w:rPr>
            </w:pPr>
          </w:p>
        </w:tc>
        <w:tc>
          <w:tcPr>
            <w:tcW w:w="1780" w:type="dxa"/>
            <w:vAlign w:val="bottom"/>
            <w:tcBorders>
              <w:bottom w:val="single" w:sz="8" w:color="auto"/>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spacing w:after="0"/>
              <w:rPr>
                <w:sz w:val="24"/>
                <w:szCs w:val="24"/>
                <w:color w:val="auto"/>
              </w:rPr>
            </w:pPr>
          </w:p>
        </w:tc>
        <w:tc>
          <w:tcPr>
            <w:tcW w:w="1620" w:type="dxa"/>
            <w:vAlign w:val="bottom"/>
            <w:tcBorders>
              <w:bottom w:val="single" w:sz="8" w:color="auto"/>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spacing w:after="0"/>
              <w:rPr>
                <w:sz w:val="24"/>
                <w:szCs w:val="24"/>
                <w:color w:val="auto"/>
              </w:rPr>
            </w:pPr>
          </w:p>
        </w:tc>
        <w:tc>
          <w:tcPr>
            <w:tcW w:w="208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2580" w:type="dxa"/>
            <w:vAlign w:val="bottom"/>
            <w:gridSpan w:val="2"/>
          </w:tcPr>
          <w:p>
            <w:pPr>
              <w:jc w:val="right"/>
              <w:ind w:right="461"/>
              <w:spacing w:after="0"/>
              <w:rPr>
                <w:sz w:val="20"/>
                <w:szCs w:val="20"/>
                <w:color w:val="auto"/>
              </w:rPr>
            </w:pPr>
            <w:r>
              <w:rPr>
                <w:rFonts w:ascii="Arial" w:cs="Arial" w:eastAsia="Arial" w:hAnsi="Arial"/>
                <w:sz w:val="20"/>
                <w:szCs w:val="20"/>
                <w:color w:val="auto"/>
              </w:rPr>
              <w:t>[***]</w:t>
            </w:r>
          </w:p>
        </w:tc>
        <w:tc>
          <w:tcPr>
            <w:tcW w:w="1460" w:type="dxa"/>
            <w:vAlign w:val="bottom"/>
          </w:tcPr>
          <w:p>
            <w:pPr>
              <w:spacing w:after="0"/>
              <w:rPr>
                <w:sz w:val="22"/>
                <w:szCs w:val="22"/>
                <w:color w:val="auto"/>
              </w:rPr>
            </w:pPr>
          </w:p>
        </w:tc>
        <w:tc>
          <w:tcPr>
            <w:tcW w:w="178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2140" w:type="dxa"/>
            <w:vAlign w:val="bottom"/>
            <w:gridSpan w:val="2"/>
            <w:vMerge w:val="restart"/>
          </w:tcPr>
          <w:p>
            <w:pPr>
              <w:jc w:val="center"/>
              <w:ind w:left="4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208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1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-944880</wp:posOffset>
            </wp:positionV>
            <wp:extent cx="6558280" cy="3103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655828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80" w:type="dxa"/>
        <w:tblCellMar>
          <w:top w:w="0" w:type="dxa"/>
          <w:left w:w="0" w:type="dxa"/>
          <w:bottom w:w="0" w:type="dxa"/>
          <w:right w:w="0" w:type="dxa"/>
        </w:tblCellMar>
      </w:tblPr>
      <w:tr>
        <w:trPr>
          <w:trHeight w:val="264"/>
        </w:trPr>
        <w:tc>
          <w:tcPr>
            <w:tcW w:w="3540" w:type="dxa"/>
            <w:vAlign w:val="bottom"/>
            <w:tcBorders>
              <w:top w:val="single" w:sz="8" w:color="auto"/>
            </w:tcBorders>
          </w:tcPr>
          <w:p>
            <w:pPr>
              <w:jc w:val="right"/>
              <w:ind w:right="1321"/>
              <w:spacing w:after="0"/>
              <w:rPr>
                <w:sz w:val="20"/>
                <w:szCs w:val="20"/>
                <w:color w:val="auto"/>
              </w:rPr>
            </w:pPr>
            <w:r>
              <w:rPr>
                <w:rFonts w:ascii="Arial" w:cs="Arial" w:eastAsia="Arial" w:hAnsi="Arial"/>
                <w:sz w:val="20"/>
                <w:szCs w:val="20"/>
                <w:color w:val="auto"/>
              </w:rPr>
              <w:t>[***]</w:t>
            </w:r>
          </w:p>
        </w:tc>
        <w:tc>
          <w:tcPr>
            <w:tcW w:w="2580" w:type="dxa"/>
            <w:vAlign w:val="bottom"/>
            <w:tcBorders>
              <w:top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2100" w:type="dxa"/>
            <w:vAlign w:val="bottom"/>
            <w:tcBorders>
              <w:top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540" w:type="dxa"/>
            <w:vAlign w:val="bottom"/>
          </w:tcPr>
          <w:p>
            <w:pPr>
              <w:jc w:val="right"/>
              <w:ind w:right="1321"/>
              <w:spacing w:after="0"/>
              <w:rPr>
                <w:sz w:val="20"/>
                <w:szCs w:val="20"/>
                <w:color w:val="auto"/>
              </w:rPr>
            </w:pPr>
            <w:r>
              <w:rPr>
                <w:rFonts w:ascii="Arial" w:cs="Arial" w:eastAsia="Arial" w:hAnsi="Arial"/>
                <w:sz w:val="20"/>
                <w:szCs w:val="20"/>
                <w:color w:val="auto"/>
              </w:rPr>
              <w:t>[***]</w:t>
            </w:r>
          </w:p>
        </w:tc>
        <w:tc>
          <w:tcPr>
            <w:tcW w:w="258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0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5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540" w:type="dxa"/>
            <w:vAlign w:val="bottom"/>
          </w:tcPr>
          <w:p>
            <w:pPr>
              <w:jc w:val="right"/>
              <w:ind w:right="1201"/>
              <w:spacing w:after="0"/>
              <w:rPr>
                <w:sz w:val="20"/>
                <w:szCs w:val="20"/>
                <w:color w:val="auto"/>
              </w:rPr>
            </w:pPr>
            <w:r>
              <w:rPr>
                <w:rFonts w:ascii="Arial" w:cs="Arial" w:eastAsia="Arial" w:hAnsi="Arial"/>
                <w:sz w:val="20"/>
                <w:szCs w:val="20"/>
                <w:color w:val="auto"/>
              </w:rPr>
              <w:t>[***]</w:t>
            </w:r>
          </w:p>
        </w:tc>
        <w:tc>
          <w:tcPr>
            <w:tcW w:w="258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0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5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540" w:type="dxa"/>
            <w:vAlign w:val="bottom"/>
          </w:tcPr>
          <w:p>
            <w:pPr>
              <w:jc w:val="right"/>
              <w:ind w:right="1241"/>
              <w:spacing w:after="0"/>
              <w:rPr>
                <w:sz w:val="20"/>
                <w:szCs w:val="20"/>
                <w:color w:val="auto"/>
              </w:rPr>
            </w:pPr>
            <w:r>
              <w:rPr>
                <w:rFonts w:ascii="Arial" w:cs="Arial" w:eastAsia="Arial" w:hAnsi="Arial"/>
                <w:sz w:val="20"/>
                <w:szCs w:val="20"/>
                <w:color w:val="auto"/>
              </w:rPr>
              <w:t>[***]</w:t>
            </w:r>
          </w:p>
        </w:tc>
        <w:tc>
          <w:tcPr>
            <w:tcW w:w="258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0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5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540" w:type="dxa"/>
            <w:vAlign w:val="bottom"/>
          </w:tcPr>
          <w:p>
            <w:pPr>
              <w:jc w:val="right"/>
              <w:ind w:right="1241"/>
              <w:spacing w:after="0"/>
              <w:rPr>
                <w:sz w:val="20"/>
                <w:szCs w:val="20"/>
                <w:color w:val="auto"/>
              </w:rPr>
            </w:pPr>
            <w:r>
              <w:rPr>
                <w:rFonts w:ascii="Arial" w:cs="Arial" w:eastAsia="Arial" w:hAnsi="Arial"/>
                <w:sz w:val="20"/>
                <w:szCs w:val="20"/>
                <w:color w:val="auto"/>
              </w:rPr>
              <w:t>[***]</w:t>
            </w:r>
          </w:p>
        </w:tc>
        <w:tc>
          <w:tcPr>
            <w:tcW w:w="258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210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680" w:right="360" w:hanging="715"/>
        <w:spacing w:after="0" w:line="256" w:lineRule="auto"/>
        <w:tabs>
          <w:tab w:leader="none" w:pos="1680"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7.4.4.</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the following sentence</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7.4.4, “For EGFR Products, the maximum amount payable</w:t>
      </w: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12" w:right="55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20"/>
        <w:spacing w:after="0" w:line="250" w:lineRule="auto"/>
        <w:rPr>
          <w:sz w:val="20"/>
          <w:szCs w:val="20"/>
          <w:color w:val="auto"/>
        </w:rPr>
      </w:pPr>
      <w:r>
        <w:rPr>
          <w:rFonts w:ascii="Arial" w:cs="Arial" w:eastAsia="Arial" w:hAnsi="Arial"/>
          <w:sz w:val="22"/>
          <w:szCs w:val="22"/>
          <w:color w:val="auto"/>
        </w:rPr>
        <w:t>under this Section 7.4 is Four Hundred Fifty-Five Million Dollars ($455,000,000).” is hereby deleted and replaced in its entirety as follows:</w:t>
      </w:r>
    </w:p>
    <w:p>
      <w:pPr>
        <w:spacing w:after="0" w:line="215" w:lineRule="exact"/>
        <w:rPr>
          <w:sz w:val="20"/>
          <w:szCs w:val="20"/>
          <w:color w:val="auto"/>
        </w:rPr>
      </w:pPr>
    </w:p>
    <w:p>
      <w:pPr>
        <w:ind w:left="1720"/>
        <w:spacing w:after="0" w:line="250" w:lineRule="auto"/>
        <w:rPr>
          <w:sz w:val="20"/>
          <w:szCs w:val="20"/>
          <w:color w:val="auto"/>
        </w:rPr>
      </w:pPr>
      <w:r>
        <w:rPr>
          <w:rFonts w:ascii="Arial" w:cs="Arial" w:eastAsia="Arial" w:hAnsi="Arial"/>
          <w:sz w:val="22"/>
          <w:szCs w:val="22"/>
          <w:color w:val="auto"/>
        </w:rPr>
        <w:t>“For EGFR Products, the maximum amount payable under this Section 7.4 is Four Hundred Sixty Million Dollars ($460,000,000).”</w:t>
      </w:r>
    </w:p>
    <w:p>
      <w:pPr>
        <w:spacing w:after="0" w:line="209" w:lineRule="exact"/>
        <w:rPr>
          <w:sz w:val="20"/>
          <w:szCs w:val="20"/>
          <w:color w:val="auto"/>
        </w:rPr>
      </w:pPr>
    </w:p>
    <w:p>
      <w:pPr>
        <w:jc w:val="both"/>
        <w:ind w:left="1680" w:hanging="715"/>
        <w:spacing w:after="0" w:line="243" w:lineRule="auto"/>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8.2.3 (Collaboration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first, second and third sentences in Section 8.2.3 (Collaboration Patents) are hereby deleted and replaced in their entirety as follows:</w:t>
      </w:r>
    </w:p>
    <w:p>
      <w:pPr>
        <w:spacing w:after="0" w:line="210" w:lineRule="exact"/>
        <w:rPr>
          <w:sz w:val="20"/>
          <w:szCs w:val="20"/>
          <w:color w:val="auto"/>
        </w:rPr>
      </w:pPr>
    </w:p>
    <w:p>
      <w:pPr>
        <w:jc w:val="both"/>
        <w:ind w:left="1720"/>
        <w:spacing w:after="0" w:line="271" w:lineRule="auto"/>
        <w:rPr>
          <w:sz w:val="20"/>
          <w:szCs w:val="20"/>
          <w:color w:val="auto"/>
        </w:rPr>
      </w:pPr>
      <w:r>
        <w:rPr>
          <w:rFonts w:ascii="Arial" w:cs="Arial" w:eastAsia="Arial" w:hAnsi="Arial"/>
          <w:sz w:val="19"/>
          <w:szCs w:val="19"/>
          <w:color w:val="auto"/>
        </w:rPr>
        <w:t>“CytomX will have the first right, [***], but not the obligation, to assume responsibility for preparing, filing, prosecuting (including, but not limited to provisional, reissue, reexamination, continuing, divisional, continuation, continuation-in-part, and substitute applications and any foreign counterparts thereof), and maintaining [***] (a) [***] (i) [***] and (ii) [***], (b) [***], (c) [***] or</w:t>
      </w:r>
    </w:p>
    <w:p>
      <w:pPr>
        <w:spacing w:after="0" w:line="3" w:lineRule="exact"/>
        <w:rPr>
          <w:sz w:val="20"/>
          <w:szCs w:val="20"/>
          <w:color w:val="auto"/>
        </w:rPr>
      </w:pPr>
    </w:p>
    <w:p>
      <w:pPr>
        <w:jc w:val="both"/>
        <w:ind w:left="1720" w:hanging="6"/>
        <w:spacing w:after="0" w:line="266" w:lineRule="auto"/>
        <w:tabs>
          <w:tab w:leader="none" w:pos="2042" w:val="left"/>
        </w:tabs>
        <w:numPr>
          <w:ilvl w:val="0"/>
          <w:numId w:val="70"/>
        </w:numPr>
        <w:rPr>
          <w:rFonts w:ascii="Arial" w:cs="Arial" w:eastAsia="Arial" w:hAnsi="Arial"/>
          <w:sz w:val="19"/>
          <w:szCs w:val="19"/>
          <w:color w:val="auto"/>
        </w:rPr>
      </w:pPr>
      <w:r>
        <w:rPr>
          <w:rFonts w:ascii="Arial" w:cs="Arial" w:eastAsia="Arial" w:hAnsi="Arial"/>
          <w:sz w:val="19"/>
          <w:szCs w:val="19"/>
          <w:color w:val="auto"/>
        </w:rPr>
        <w:t>subject to the rest of this Section 8.2.3, [***], and in each case, conducting any interferences and oppositions or similar proceedings relating to such Patent Rights. [***]. Amgen will have the first right, but not the obligation, [***], for preparing, filing, prosecuting (including, but not limited to provisional, reissue, reexamination, continuing, divisional, continuation, continuation-in-part, and</w:t>
      </w:r>
    </w:p>
    <w:p>
      <w:pPr>
        <w:spacing w:after="0" w:line="3" w:lineRule="exact"/>
        <w:rPr>
          <w:sz w:val="20"/>
          <w:szCs w:val="20"/>
          <w:color w:val="auto"/>
        </w:rPr>
      </w:pPr>
    </w:p>
    <w:p>
      <w:pPr>
        <w:jc w:val="both"/>
        <w:ind w:left="1720"/>
        <w:spacing w:after="0" w:line="233" w:lineRule="auto"/>
        <w:rPr>
          <w:sz w:val="20"/>
          <w:szCs w:val="20"/>
          <w:color w:val="auto"/>
        </w:rPr>
      </w:pPr>
      <w:r>
        <w:rPr>
          <w:rFonts w:ascii="Arial" w:cs="Arial" w:eastAsia="Arial" w:hAnsi="Arial"/>
          <w:sz w:val="22"/>
          <w:szCs w:val="22"/>
          <w:color w:val="auto"/>
        </w:rPr>
        <w:t>substitute applications and any foreign counterparts thereof), and maintaining [***], and in each case, conducting any interferences and oppositions or similar proceedings relating to such Patent Rights. [***]. For clarity, following [***], if Amgen has not [***], and [***] has not occurred, prior to [***], Amgen shall [***].”</w:t>
      </w: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80" w:right="20" w:hanging="715"/>
        <w:spacing w:after="0" w:line="334" w:lineRule="auto"/>
        <w:tabs>
          <w:tab w:leader="none" w:pos="1680"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Section 12.2.2 (Review).</w:t>
      </w:r>
      <w:r>
        <w:rPr>
          <w:rFonts w:ascii="Arial" w:cs="Arial" w:eastAsia="Arial" w:hAnsi="Arial"/>
          <w:sz w:val="19"/>
          <w:szCs w:val="19"/>
          <w:b w:val="1"/>
          <w:bCs w:val="1"/>
          <w:color w:val="auto"/>
        </w:rPr>
        <w:t xml:space="preserve"> </w:t>
      </w:r>
      <w:r>
        <w:rPr>
          <w:rFonts w:ascii="Arial" w:cs="Arial" w:eastAsia="Arial" w:hAnsi="Arial"/>
          <w:sz w:val="19"/>
          <w:szCs w:val="19"/>
          <w:color w:val="auto"/>
        </w:rPr>
        <w:t>From and after the Amendment Effective Date, the last</w:t>
      </w:r>
      <w:r>
        <w:rPr>
          <w:rFonts w:ascii="Arial" w:cs="Arial" w:eastAsia="Arial" w:hAnsi="Arial"/>
          <w:sz w:val="19"/>
          <w:szCs w:val="19"/>
          <w:b w:val="1"/>
          <w:bCs w:val="1"/>
          <w:color w:val="auto"/>
        </w:rPr>
        <w:t xml:space="preserve"> </w:t>
      </w:r>
      <w:r>
        <w:rPr>
          <w:rFonts w:ascii="Arial" w:cs="Arial" w:eastAsia="Arial" w:hAnsi="Arial"/>
          <w:sz w:val="19"/>
          <w:szCs w:val="19"/>
          <w:color w:val="auto"/>
        </w:rPr>
        <w:t>sentence of Section 12.2.2 (Review) is hereby deleted and replaced in its entirety as follows:</w:t>
      </w:r>
    </w:p>
    <w:p>
      <w:pPr>
        <w:spacing w:after="0" w:line="140" w:lineRule="exact"/>
        <w:rPr>
          <w:sz w:val="20"/>
          <w:szCs w:val="20"/>
          <w:color w:val="auto"/>
        </w:rPr>
      </w:pPr>
    </w:p>
    <w:p>
      <w:pPr>
        <w:jc w:val="both"/>
        <w:ind w:left="1720"/>
        <w:spacing w:after="0" w:line="245" w:lineRule="auto"/>
        <w:rPr>
          <w:sz w:val="20"/>
          <w:szCs w:val="20"/>
          <w:color w:val="auto"/>
        </w:rPr>
      </w:pPr>
      <w:r>
        <w:rPr>
          <w:rFonts w:ascii="Arial" w:cs="Arial" w:eastAsia="Arial" w:hAnsi="Arial"/>
          <w:sz w:val="21"/>
          <w:szCs w:val="21"/>
          <w:color w:val="auto"/>
        </w:rPr>
        <w:t>“Either Party, subject to the other Party’s written consent, not to be unreasonably withheld, delayed or conditioned, may make disclosures relating to the development or commercialization of an EGFR Product, including the results of research and any clinical trial conducted by the Parties or any health or safety matter related to an EGFR Product, except that [***], [***], provided that at least [***] days in advance of any such disclosure, [***]shall provide [***]with a copy of and timing of such disclosure and [***]shall consider in good faith any comments on such disclosure provided by [***]; provided, however, that from and after the EGFR Cohort Expansion Study Completion Date, [***]shall be entitled to direct the disclosure strategy with respect to EGFR Products and may make any such disclosure prior to disclosure by [***].”</w:t>
      </w:r>
    </w:p>
    <w:p>
      <w:pPr>
        <w:spacing w:after="0" w:line="219" w:lineRule="exact"/>
        <w:rPr>
          <w:sz w:val="20"/>
          <w:szCs w:val="20"/>
          <w:color w:val="auto"/>
        </w:rPr>
      </w:pPr>
    </w:p>
    <w:p>
      <w:pPr>
        <w:jc w:val="both"/>
        <w:ind w:left="1680" w:hanging="715"/>
        <w:spacing w:after="0" w:line="243" w:lineRule="auto"/>
        <w:tabs>
          <w:tab w:leader="none" w:pos="168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12.3 (Publication).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and second sentences of Section 12.3 (Publication) are hereby deleted and replaced in their entirety as follows:</w:t>
      </w:r>
    </w:p>
    <w:p>
      <w:pPr>
        <w:spacing w:after="0" w:line="210" w:lineRule="exact"/>
        <w:rPr>
          <w:sz w:val="20"/>
          <w:szCs w:val="20"/>
          <w:color w:val="auto"/>
        </w:rPr>
      </w:pPr>
    </w:p>
    <w:p>
      <w:pPr>
        <w:jc w:val="both"/>
        <w:ind w:left="1720"/>
        <w:spacing w:after="0" w:line="271" w:lineRule="auto"/>
        <w:rPr>
          <w:sz w:val="20"/>
          <w:szCs w:val="20"/>
          <w:color w:val="auto"/>
        </w:rPr>
      </w:pPr>
      <w:r>
        <w:rPr>
          <w:rFonts w:ascii="Arial" w:cs="Arial" w:eastAsia="Arial" w:hAnsi="Arial"/>
          <w:sz w:val="19"/>
          <w:szCs w:val="19"/>
          <w:color w:val="auto"/>
        </w:rPr>
        <w:t xml:space="preserve">“CytomX will have the sole right to publish and make scientific presentations with respect to CytomX Platform Technology, CytomX Products and [***], any results of the first EGFR Dose Escalation Study, and to issue press releases (except with respect to the terms of this Agreement, which is governed by Section 12.2) or make other public disclosures regarding any such CytomX Platform Technology, CytomX Products and [***], any results of the first EGFR Dose Escalation Study, and Amgen will not do so without CytomX’s prior written consent, except as required by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any publication or presentation to be made by CytomX that names Amgen will require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prior written consent of Amgen. Amgen will have the sole right to publish and make scientific presentations with respect to Amgen Products or EGFR Products other than the results of the first EGFR Dose Escalation Study prior to [***], and to issue press releases (except with respect to the terms of this Agreement, which is governed by Section 12.2) or make other public disclosures regarding any such Amgen Products or such EGFR Products, and CytomX will not do so without Amgen’s prior written consent, except as required by Law or in connection with any research or clinical trial conducted by CytomX prior to the EGFR Cohort Expansion Study Completion Date;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any publication or presentation to be made by Amgen that names CytomX will</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the prior written consent of CytomX and vice versa.”</w:t>
      </w:r>
    </w:p>
    <w:p>
      <w:pPr>
        <w:spacing w:after="0" w:line="200" w:lineRule="exact"/>
        <w:rPr>
          <w:sz w:val="20"/>
          <w:szCs w:val="20"/>
          <w:color w:val="auto"/>
        </w:rPr>
      </w:pPr>
    </w:p>
    <w:p>
      <w:pPr>
        <w:spacing w:after="0" w:line="238" w:lineRule="exact"/>
        <w:rPr>
          <w:sz w:val="20"/>
          <w:szCs w:val="20"/>
          <w:color w:val="auto"/>
        </w:rPr>
      </w:pPr>
    </w:p>
    <w:p>
      <w:pPr>
        <w:ind w:left="1680" w:hanging="715"/>
        <w:spacing w:after="0" w:line="241" w:lineRule="auto"/>
        <w:tabs>
          <w:tab w:leader="none" w:pos="168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13.3.2 (Discretionary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the following sentence is hereby added at the end of Section</w:t>
      </w:r>
    </w:p>
    <w:p>
      <w:pPr>
        <w:spacing w:after="0" w:line="1" w:lineRule="exact"/>
        <w:rPr>
          <w:rFonts w:ascii="Arial" w:cs="Arial" w:eastAsia="Arial" w:hAnsi="Arial"/>
          <w:sz w:val="22"/>
          <w:szCs w:val="22"/>
          <w:color w:val="auto"/>
        </w:rPr>
      </w:pPr>
    </w:p>
    <w:p>
      <w:pPr>
        <w:ind w:left="1720"/>
        <w:spacing w:after="0"/>
        <w:rPr>
          <w:rFonts w:ascii="Arial" w:cs="Arial" w:eastAsia="Arial" w:hAnsi="Arial"/>
          <w:sz w:val="22"/>
          <w:szCs w:val="22"/>
          <w:color w:val="auto"/>
        </w:rPr>
      </w:pPr>
      <w:r>
        <w:rPr>
          <w:rFonts w:ascii="Arial" w:cs="Arial" w:eastAsia="Arial" w:hAnsi="Arial"/>
          <w:sz w:val="22"/>
          <w:szCs w:val="22"/>
          <w:color w:val="auto"/>
        </w:rPr>
        <w:t>13.3.2 (Discretionary Termination):</w:t>
      </w: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720"/>
        <w:spacing w:after="0" w:line="236" w:lineRule="auto"/>
        <w:rPr>
          <w:sz w:val="20"/>
          <w:szCs w:val="20"/>
          <w:color w:val="auto"/>
        </w:rPr>
      </w:pPr>
      <w:r>
        <w:rPr>
          <w:rFonts w:ascii="Arial" w:cs="Arial" w:eastAsia="Arial" w:hAnsi="Arial"/>
          <w:sz w:val="22"/>
          <w:szCs w:val="22"/>
          <w:color w:val="auto"/>
        </w:rPr>
        <w:t>“Notwithstanding the foregoing, if Amgen provides notice of termination of this Agreement with respect to the EGFR Target and EGFR Products and the rights and obligations thereunder during [***], then (a) such termination shall be effective [***]and (b) notwithstanding Section 13.6 or achievement of the Initiation of first EGFR Cohort Expansion Study Milestone Event, Amgen shall not be obligated to [***].”</w:t>
      </w:r>
    </w:p>
    <w:p>
      <w:pPr>
        <w:spacing w:after="0" w:line="222" w:lineRule="exact"/>
        <w:rPr>
          <w:sz w:val="20"/>
          <w:szCs w:val="20"/>
          <w:color w:val="auto"/>
        </w:rPr>
      </w:pPr>
    </w:p>
    <w:p>
      <w:pPr>
        <w:jc w:val="both"/>
        <w:ind w:left="1680" w:hanging="715"/>
        <w:spacing w:after="0" w:line="260" w:lineRule="auto"/>
        <w:tabs>
          <w:tab w:leader="none" w:pos="1680"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 to Section 13.5 (Effect of Termination With Respect to EGFR Target and EGFR Products).</w:t>
      </w:r>
      <w:r>
        <w:rPr>
          <w:rFonts w:ascii="Arial" w:cs="Arial" w:eastAsia="Arial" w:hAnsi="Arial"/>
          <w:sz w:val="21"/>
          <w:szCs w:val="21"/>
          <w:b w:val="1"/>
          <w:bCs w:val="1"/>
          <w:color w:val="auto"/>
        </w:rPr>
        <w:t xml:space="preserve"> </w:t>
      </w:r>
      <w:r>
        <w:rPr>
          <w:rFonts w:ascii="Arial" w:cs="Arial" w:eastAsia="Arial" w:hAnsi="Arial"/>
          <w:sz w:val="21"/>
          <w:szCs w:val="21"/>
          <w:color w:val="auto"/>
        </w:rPr>
        <w:t>From and after the Amendment Effective Date, Section 13.5 (Effect of Termination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EGFR Target and EGFR Products) is hereby amended as follows:</w:t>
      </w:r>
    </w:p>
    <w:p>
      <w:pPr>
        <w:spacing w:after="0" w:line="126"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The third sentence of Section 13.5(e) is hereby deleted and replaced in its entirety as follows:</w:t>
      </w:r>
    </w:p>
    <w:p>
      <w:pPr>
        <w:spacing w:after="0" w:line="191" w:lineRule="exact"/>
        <w:rPr>
          <w:sz w:val="20"/>
          <w:szCs w:val="20"/>
          <w:color w:val="auto"/>
        </w:rPr>
      </w:pPr>
    </w:p>
    <w:p>
      <w:pPr>
        <w:jc w:val="both"/>
        <w:ind w:left="2460"/>
        <w:spacing w:after="0" w:line="250" w:lineRule="auto"/>
        <w:rPr>
          <w:sz w:val="20"/>
          <w:szCs w:val="20"/>
          <w:color w:val="auto"/>
        </w:rPr>
      </w:pPr>
      <w:r>
        <w:rPr>
          <w:rFonts w:ascii="Arial" w:cs="Arial" w:eastAsia="Arial" w:hAnsi="Arial"/>
          <w:sz w:val="22"/>
          <w:szCs w:val="22"/>
          <w:color w:val="auto"/>
        </w:rPr>
        <w:t>“To the extent the foregoing license is [***], [***] shall [***] to [***]on [***]at [***]: (i) if [***], (ii) if [***] or (iii) if [***].”</w:t>
      </w:r>
    </w:p>
    <w:p>
      <w:pPr>
        <w:spacing w:after="0" w:line="20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The following Section 13.5(i) is hereby added to Section 13.5:</w:t>
      </w:r>
    </w:p>
    <w:p>
      <w:pPr>
        <w:spacing w:after="0" w:line="179" w:lineRule="exact"/>
        <w:rPr>
          <w:sz w:val="20"/>
          <w:szCs w:val="20"/>
          <w:color w:val="auto"/>
        </w:rPr>
      </w:pPr>
    </w:p>
    <w:p>
      <w:pPr>
        <w:jc w:val="both"/>
        <w:ind w:left="2460"/>
        <w:spacing w:after="0" w:line="233" w:lineRule="auto"/>
        <w:rPr>
          <w:sz w:val="20"/>
          <w:szCs w:val="20"/>
          <w:color w:val="auto"/>
        </w:rPr>
      </w:pPr>
      <w:r>
        <w:rPr>
          <w:rFonts w:ascii="Arial" w:cs="Arial" w:eastAsia="Arial" w:hAnsi="Arial"/>
          <w:sz w:val="22"/>
          <w:szCs w:val="22"/>
          <w:color w:val="auto"/>
        </w:rPr>
        <w:t>“(i) If [***], or [***], at [***] request, (A) [***]shall assign (or, if applicable, cause its Affiliate to assign) to [***]all of [***] (and such Affiliates’) right, title and interest in and to any [***], at [***] expense, and (B) with respect to all other [***] or its Affiliates that [***], if [***], then (1) [***]shall provide [***]with reasonable notice of such decision (which notice shall in any event be given no later than [***] days prior to the next deadline for any action that may be taken with respect to such [***] with the U.S. Patent &amp; Trademark Office or any foreign patent office), (2) [***]shall have the right to elect, by written notice to [***], to [***], and (3) [***]shall, at [***] reasonable request and expense, assist and cooperate in [***].”</w:t>
      </w:r>
    </w:p>
    <w:p>
      <w:pPr>
        <w:spacing w:after="0" w:line="281"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PART 2 – REFERENCE TO AND EFFECT ON THE AGREEMENT</w:t>
      </w:r>
    </w:p>
    <w:p>
      <w:pPr>
        <w:spacing w:after="0" w:line="233" w:lineRule="exact"/>
        <w:rPr>
          <w:sz w:val="20"/>
          <w:szCs w:val="20"/>
          <w:color w:val="auto"/>
        </w:rPr>
      </w:pPr>
    </w:p>
    <w:p>
      <w:pPr>
        <w:jc w:val="both"/>
        <w:ind w:left="1680" w:hanging="706"/>
        <w:spacing w:after="0" w:line="330" w:lineRule="auto"/>
        <w:tabs>
          <w:tab w:leader="none" w:pos="16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u w:val="single" w:color="auto"/>
          <w:color w:val="auto"/>
        </w:rPr>
        <w:t>Reference to Agreement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Upon and after the effectiveness of this Amendment, each reference in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Agreement to “this Agreement”, “hereunder”, “hereof” or words of like import referring to the Agreement shall mean and be a reference to the Agreement as modified and amended hereby.</w:t>
      </w:r>
    </w:p>
    <w:p>
      <w:pPr>
        <w:spacing w:after="0" w:line="165" w:lineRule="exact"/>
        <w:rPr>
          <w:sz w:val="20"/>
          <w:szCs w:val="20"/>
          <w:color w:val="auto"/>
        </w:rPr>
      </w:pPr>
    </w:p>
    <w:p>
      <w:pPr>
        <w:jc w:val="both"/>
        <w:ind w:left="1680" w:hanging="706"/>
        <w:spacing w:after="0" w:line="262" w:lineRule="auto"/>
        <w:tabs>
          <w:tab w:leader="none" w:pos="16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Effectiveness of Amendment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execution and delivery of this Amendment by the Parties,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amendments set forth above shall be effective as of the Amendment Effective Date.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PART 3 – MISCELLANEOUS</w:t>
      </w:r>
    </w:p>
    <w:p>
      <w:pPr>
        <w:spacing w:after="0" w:line="166" w:lineRule="exact"/>
        <w:rPr>
          <w:sz w:val="20"/>
          <w:szCs w:val="20"/>
          <w:color w:val="auto"/>
        </w:rPr>
      </w:pPr>
    </w:p>
    <w:p>
      <w:pPr>
        <w:ind w:left="960"/>
        <w:spacing w:after="0"/>
        <w:tabs>
          <w:tab w:leader="none" w:pos="16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u w:val="single" w:color="auto"/>
          <w:color w:val="auto"/>
        </w:rPr>
        <w:t>Choice of Law; Jurisdiction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This Amendment and its effect are subject to and shall be</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326" w:lineRule="exact"/>
        <w:rPr>
          <w:sz w:val="20"/>
          <w:szCs w:val="20"/>
          <w:color w:val="auto"/>
        </w:rPr>
      </w:pPr>
    </w:p>
    <w:p>
      <w:pPr>
        <w:jc w:val="both"/>
        <w:ind w:left="1680"/>
        <w:spacing w:after="0" w:line="271" w:lineRule="auto"/>
        <w:rPr>
          <w:sz w:val="20"/>
          <w:szCs w:val="20"/>
          <w:color w:val="auto"/>
        </w:rPr>
      </w:pPr>
      <w:r>
        <w:rPr>
          <w:rFonts w:ascii="Arial" w:cs="Arial" w:eastAsia="Arial" w:hAnsi="Arial"/>
          <w:sz w:val="19"/>
          <w:szCs w:val="19"/>
          <w:color w:val="auto"/>
        </w:rPr>
        <w:t>construed and enforced in accordance with the law of the State of New York, without regard to its conflicts of laws, except as to any issue which depends upon the validity, scope or enforceability of any Amgen Patent, CytomX Patent or Collaboration Patent, which issue shall be determined in accordance with the laws of the country in which such patent was issued. Each of the Parties hereby irrevocably and unconditionally consents to submit to the exclusive jurisdiction of the courts of the State of New York located in the City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courts of the State of New York located in the City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Amendment shall be exclusively conducted in the English language.</w:t>
      </w:r>
    </w:p>
    <w:p>
      <w:pPr>
        <w:spacing w:after="0" w:line="127" w:lineRule="exact"/>
        <w:rPr>
          <w:sz w:val="20"/>
          <w:szCs w:val="20"/>
          <w:color w:val="auto"/>
        </w:rPr>
      </w:pPr>
    </w:p>
    <w:p>
      <w:pPr>
        <w:jc w:val="both"/>
        <w:ind w:left="1680" w:hanging="705"/>
        <w:spacing w:after="0" w:line="256" w:lineRule="auto"/>
        <w:tabs>
          <w:tab w:leader="none" w:pos="16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Article and Section headings used herein are for convenient reference only, and are not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 of this Amendment.</w:t>
      </w:r>
    </w:p>
    <w:p>
      <w:pPr>
        <w:spacing w:after="0" w:line="122" w:lineRule="exact"/>
        <w:rPr>
          <w:sz w:val="20"/>
          <w:szCs w:val="20"/>
          <w:color w:val="auto"/>
        </w:rPr>
      </w:pPr>
    </w:p>
    <w:p>
      <w:pPr>
        <w:jc w:val="both"/>
        <w:ind w:left="1680" w:hanging="706"/>
        <w:spacing w:after="0" w:line="237" w:lineRule="auto"/>
        <w:tabs>
          <w:tab w:leader="none" w:pos="16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Amendment may be executed in any number of counterparts, each of which shall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 an original, 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12" w:right="9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60" w:firstLine="749"/>
        <w:spacing w:after="0" w:line="276" w:lineRule="auto"/>
        <w:rPr>
          <w:sz w:val="20"/>
          <w:szCs w:val="20"/>
          <w:color w:val="auto"/>
        </w:rPr>
      </w:pPr>
      <w:r>
        <w:rPr>
          <w:rFonts w:ascii="Arial" w:cs="Arial" w:eastAsia="Arial" w:hAnsi="Arial"/>
          <w:sz w:val="22"/>
          <w:szCs w:val="22"/>
          <w:color w:val="auto"/>
        </w:rPr>
        <w:t>IN WITNESS THEREOF, duly authorized representatives of the Parties hereto have executed this Amendment No. 2 as of the date first set forth above.</w:t>
      </w:r>
    </w:p>
    <w:p>
      <w:pPr>
        <w:spacing w:after="0" w:line="200" w:lineRule="exact"/>
        <w:rPr>
          <w:sz w:val="20"/>
          <w:szCs w:val="20"/>
          <w:color w:val="auto"/>
        </w:rPr>
      </w:pPr>
    </w:p>
    <w:p>
      <w:pPr>
        <w:spacing w:after="0" w:line="333"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color w:val="auto"/>
        </w:rPr>
        <w:t>DocuSign Envelope ID: BC0B85A8-4C4E-49BF-9DC2-0D8965BBCF25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auto"/>
        </w:rPr>
        <w:t>DocuSign Envelope ID: BC0B85A8-4C4E-49BF-9DC2-0D8965BBCF25</w:t>
      </w:r>
    </w:p>
    <w:p>
      <w:pPr>
        <w:sectPr>
          <w:pgSz w:w="11900" w:h="16838" w:orient="portrait"/>
          <w:cols w:equalWidth="0" w:num="1">
            <w:col w:w="10139"/>
          </w:cols>
          <w:pgMar w:left="320" w:top="131" w:right="1440" w:bottom="1440" w:gutter="0" w:footer="0" w:header="0"/>
        </w:sectPr>
      </w:pPr>
    </w:p>
    <w:p>
      <w:pPr>
        <w:spacing w:after="0" w:line="309"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0"/>
          <w:szCs w:val="20"/>
          <w:color w:val="auto"/>
        </w:rPr>
        <w:t>[***]</w:t>
      </w:r>
    </w:p>
    <w:p>
      <w:pPr>
        <w:spacing w:after="0" w:line="355"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By:</w:t>
      </w:r>
    </w:p>
    <w:p>
      <w:pPr>
        <w:spacing w:after="0" w:line="203"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0"/>
          <w:szCs w:val="20"/>
          <w:color w:val="auto"/>
        </w:rPr>
        <w:t>[***]</w:t>
      </w:r>
    </w:p>
    <w:p>
      <w:pPr>
        <w:spacing w:after="0" w:line="355"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9" w:name="page150"/>
    <w:bookmarkEnd w:id="149"/>
    <w:p>
      <w:pPr>
        <w:jc w:val="right"/>
        <w:ind w:right="3779"/>
        <w:spacing w:after="0"/>
        <w:rPr>
          <w:sz w:val="20"/>
          <w:szCs w:val="20"/>
          <w:color w:val="auto"/>
        </w:rPr>
      </w:pPr>
      <w:r>
        <w:rPr>
          <w:rFonts w:ascii="Arial" w:cs="Arial" w:eastAsia="Arial" w:hAnsi="Arial"/>
          <w:sz w:val="22"/>
          <w:szCs w:val="22"/>
          <w:b w:val="1"/>
          <w:bCs w:val="1"/>
          <w:color w:val="auto"/>
        </w:rPr>
        <w:t>Appendix A</w:t>
      </w:r>
    </w:p>
    <w:p>
      <w:pPr>
        <w:spacing w:after="0" w:line="31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14"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Registration Statements (Form S-3 No. 333-216567, 333-228203 and 333-258510) and related prospectuses of CytomX Therapeutics, Inc., and</w:t>
      </w:r>
    </w:p>
    <w:p>
      <w:pPr>
        <w:spacing w:after="0" w:line="23" w:lineRule="exact"/>
        <w:rPr>
          <w:rFonts w:ascii="Arial" w:cs="Arial" w:eastAsia="Arial" w:hAnsi="Arial"/>
          <w:sz w:val="17"/>
          <w:szCs w:val="17"/>
          <w:color w:val="auto"/>
        </w:rPr>
      </w:pPr>
    </w:p>
    <w:p>
      <w:pPr>
        <w:jc w:val="both"/>
        <w:ind w:left="380" w:hanging="372"/>
        <w:spacing w:after="0" w:line="239"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(Form S-8 No. 333-207694, 333-209992, 333-215795, 333-223491, 333-229916, 333-236711, 333-253452 and 333-255832) pertaining to the 2015 Equity Incentive Plan, the Employee Stock Purchase Plan and the 2019 Employment Inducement Incentive Plan, of CytomX Therapeutics, Inc.;</w:t>
      </w:r>
    </w:p>
    <w:p>
      <w:pPr>
        <w:spacing w:after="0" w:line="176" w:lineRule="exact"/>
        <w:rPr>
          <w:sz w:val="20"/>
          <w:szCs w:val="20"/>
          <w:color w:val="auto"/>
        </w:rPr>
      </w:pPr>
    </w:p>
    <w:p>
      <w:pPr>
        <w:jc w:val="both"/>
        <w:ind w:left="380"/>
        <w:spacing w:after="0" w:line="248" w:lineRule="auto"/>
        <w:rPr>
          <w:sz w:val="20"/>
          <w:szCs w:val="20"/>
          <w:color w:val="auto"/>
        </w:rPr>
      </w:pPr>
      <w:r>
        <w:rPr>
          <w:rFonts w:ascii="Arial" w:cs="Arial" w:eastAsia="Arial" w:hAnsi="Arial"/>
          <w:sz w:val="18"/>
          <w:szCs w:val="18"/>
          <w:color w:val="auto"/>
        </w:rPr>
        <w:t>of our reports dated March 1, 2022, with respect to the financial statements of CytomX Therapeutics, Inc., and the effectiveness of internal control over financial reporting of CytomX Therapeutics, Inc., included in this Annual Report (Form 10-K) of CytomX Therapeutics Inc., for the year ended December 31,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1" w:name="page152"/>
    <w:bookmarkEnd w:id="1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CERTIFICATION OF THE CHIEF EXECUTIVE OFFICER PURSUANT TO SECTION 302 OF THE SARBANES 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04" w:lineRule="exact"/>
        <w:rPr>
          <w:sz w:val="20"/>
          <w:szCs w:val="20"/>
          <w:color w:val="auto"/>
        </w:rPr>
      </w:pPr>
    </w:p>
    <w:p>
      <w:pPr>
        <w:ind w:left="760" w:hanging="363"/>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2021;</w:t>
      </w:r>
    </w:p>
    <w:p>
      <w:pPr>
        <w:spacing w:after="0" w:line="103" w:lineRule="exact"/>
        <w:rPr>
          <w:rFonts w:ascii="Arial" w:cs="Arial" w:eastAsia="Arial" w:hAnsi="Arial"/>
          <w:sz w:val="18"/>
          <w:szCs w:val="18"/>
          <w:color w:val="auto"/>
        </w:rPr>
      </w:pPr>
    </w:p>
    <w:p>
      <w:pPr>
        <w:jc w:val="both"/>
        <w:ind w:left="760" w:right="20" w:hanging="363"/>
        <w:spacing w:after="0" w:line="248"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60" w:right="240" w:hanging="363"/>
        <w:spacing w:after="0" w:line="291" w:lineRule="auto"/>
        <w:tabs>
          <w:tab w:leader="none" w:pos="7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60" w:right="20" w:hanging="363"/>
        <w:spacing w:after="0" w:line="248"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80" w:hanging="383"/>
        <w:spacing w:after="0" w:line="248"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20" w:hanging="383"/>
        <w:spacing w:after="0" w:line="248"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80" w:hanging="383"/>
        <w:spacing w:after="0" w:line="324" w:lineRule="auto"/>
        <w:tabs>
          <w:tab w:leader="none" w:pos="11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80" w:hanging="383"/>
        <w:spacing w:after="0" w:line="248"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60" w:right="160" w:hanging="363"/>
        <w:spacing w:after="0" w:line="324" w:lineRule="auto"/>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620" w:hanging="383"/>
        <w:spacing w:after="0" w:line="324" w:lineRule="auto"/>
        <w:tabs>
          <w:tab w:leader="none" w:pos="11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20" w:hanging="383"/>
        <w:spacing w:after="0" w:line="261"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6350</wp:posOffset>
            </wp:positionV>
            <wp:extent cx="24174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Sean A. McCarthy, D.Phil.</w:t>
      </w:r>
    </w:p>
    <w:p>
      <w:pPr>
        <w:jc w:val="center"/>
        <w:ind w:left="498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 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W. Ogden, Vice President, Finance and Accounting of CytomX Therapeutics, Inc., certify that:</w:t>
      </w:r>
    </w:p>
    <w:p>
      <w:pPr>
        <w:spacing w:after="0" w:line="104" w:lineRule="exact"/>
        <w:rPr>
          <w:sz w:val="20"/>
          <w:szCs w:val="20"/>
          <w:color w:val="auto"/>
        </w:rPr>
      </w:pPr>
    </w:p>
    <w:p>
      <w:pPr>
        <w:ind w:left="760" w:hanging="363"/>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2021;</w:t>
      </w:r>
    </w:p>
    <w:p>
      <w:pPr>
        <w:spacing w:after="0" w:line="103" w:lineRule="exact"/>
        <w:rPr>
          <w:rFonts w:ascii="Arial" w:cs="Arial" w:eastAsia="Arial" w:hAnsi="Arial"/>
          <w:sz w:val="18"/>
          <w:szCs w:val="18"/>
          <w:color w:val="auto"/>
        </w:rPr>
      </w:pPr>
    </w:p>
    <w:p>
      <w:pPr>
        <w:jc w:val="both"/>
        <w:ind w:left="760" w:right="20" w:hanging="363"/>
        <w:spacing w:after="0" w:line="248"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60" w:right="240" w:hanging="363"/>
        <w:spacing w:after="0" w:line="291"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60" w:right="20" w:hanging="363"/>
        <w:spacing w:after="0" w:line="248"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80" w:hanging="383"/>
        <w:spacing w:after="0" w:line="248"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20" w:hanging="383"/>
        <w:spacing w:after="0" w:line="248"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80" w:hanging="383"/>
        <w:spacing w:after="0" w:line="324" w:lineRule="auto"/>
        <w:tabs>
          <w:tab w:leader="none" w:pos="11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80" w:hanging="383"/>
        <w:spacing w:after="0" w:line="248"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60" w:right="160" w:hanging="363"/>
        <w:spacing w:after="0" w:line="324" w:lineRule="auto"/>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140" w:right="620" w:hanging="383"/>
        <w:spacing w:after="0" w:line="324" w:lineRule="auto"/>
        <w:tabs>
          <w:tab w:leader="none" w:pos="11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20" w:hanging="383"/>
        <w:spacing w:after="0" w:line="261"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9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6350</wp:posOffset>
            </wp:positionV>
            <wp:extent cx="24174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Christopher W. Ogden</w:t>
      </w:r>
    </w:p>
    <w:p>
      <w:pPr>
        <w:jc w:val="center"/>
        <w:ind w:left="4980"/>
        <w:spacing w:after="0" w:line="234" w:lineRule="auto"/>
        <w:rPr>
          <w:sz w:val="20"/>
          <w:szCs w:val="20"/>
          <w:color w:val="auto"/>
        </w:rPr>
      </w:pPr>
      <w:r>
        <w:rPr>
          <w:rFonts w:ascii="Arial" w:cs="Arial" w:eastAsia="Arial" w:hAnsi="Arial"/>
          <w:sz w:val="18"/>
          <w:szCs w:val="18"/>
          <w:b w:val="1"/>
          <w:bCs w:val="1"/>
          <w:color w:val="auto"/>
        </w:rPr>
        <w:t>Vice President, Finance and Accounting</w:t>
      </w:r>
    </w:p>
    <w:p>
      <w:pPr>
        <w:spacing w:after="0" w:line="1"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6" w:lineRule="exact"/>
        <w:rPr>
          <w:sz w:val="20"/>
          <w:szCs w:val="20"/>
          <w:color w:val="auto"/>
        </w:rPr>
      </w:pPr>
    </w:p>
    <w:p>
      <w:pPr>
        <w:ind w:right="40" w:firstLine="478"/>
        <w:spacing w:after="0" w:line="24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Sean A. McCarthy, D.Phil., Chief Executive Officer of CytomX Therapeutics, Inc. (the “Company”) and Christopher W. Ogden, Vice President, Finance and Accounting of the Company, each hereby certify that, to the best of his knowledge:</w:t>
      </w:r>
    </w:p>
    <w:p>
      <w:pPr>
        <w:spacing w:after="0" w:line="80" w:lineRule="exact"/>
        <w:rPr>
          <w:sz w:val="20"/>
          <w:szCs w:val="20"/>
          <w:color w:val="auto"/>
        </w:rPr>
      </w:pPr>
    </w:p>
    <w:p>
      <w:pPr>
        <w:ind w:right="240" w:firstLine="486"/>
        <w:spacing w:after="0" w:line="261"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2021 to which this Certification is attached as Exhibit 32.1 (the “Annual Report”), fully complies with the requirements of Section 13(a) or 15(d) of the Exchange Act; and</w:t>
      </w:r>
    </w:p>
    <w:p>
      <w:pPr>
        <w:spacing w:after="0" w:line="62" w:lineRule="exact"/>
        <w:rPr>
          <w:rFonts w:ascii="Arial" w:cs="Arial" w:eastAsia="Arial" w:hAnsi="Arial"/>
          <w:sz w:val="18"/>
          <w:szCs w:val="18"/>
          <w:color w:val="auto"/>
        </w:rPr>
      </w:pPr>
    </w:p>
    <w:p>
      <w:pPr>
        <w:ind w:right="340" w:firstLine="486"/>
        <w:spacing w:after="0" w:line="261"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2022</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 Sean A. McCarthy</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/s/ Christopher W. Ogden</w:t>
            </w:r>
          </w:p>
        </w:tc>
        <w:tc>
          <w:tcPr>
            <w:tcW w:w="0" w:type="dxa"/>
            <w:vAlign w:val="bottom"/>
          </w:tcPr>
          <w:p>
            <w:pPr>
              <w:spacing w:after="0"/>
              <w:rPr>
                <w:sz w:val="1"/>
                <w:szCs w:val="1"/>
                <w:color w:val="auto"/>
              </w:rPr>
            </w:pPr>
          </w:p>
        </w:tc>
      </w:tr>
      <w:tr>
        <w:trPr>
          <w:trHeight w:val="108"/>
        </w:trPr>
        <w:tc>
          <w:tcPr>
            <w:tcW w:w="5460" w:type="dxa"/>
            <w:vAlign w:val="bottom"/>
            <w:tcBorders>
              <w:bottom w:val="single" w:sz="8" w:color="auto"/>
            </w:tcBorders>
          </w:tcPr>
          <w:p>
            <w:pPr>
              <w:spacing w:after="0"/>
              <w:rPr>
                <w:sz w:val="9"/>
                <w:szCs w:val="9"/>
                <w:color w:val="auto"/>
              </w:rPr>
            </w:pPr>
          </w:p>
        </w:tc>
        <w:tc>
          <w:tcPr>
            <w:tcW w:w="360" w:type="dxa"/>
            <w:vAlign w:val="bottom"/>
            <w:vMerge w:val="restart"/>
          </w:tcPr>
          <w:p>
            <w:pPr>
              <w:spacing w:after="0"/>
              <w:rPr>
                <w:sz w:val="9"/>
                <w:szCs w:val="9"/>
                <w:color w:val="auto"/>
              </w:rPr>
            </w:pPr>
          </w:p>
        </w:tc>
        <w:tc>
          <w:tcPr>
            <w:tcW w:w="5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Sean A. McCarthy, D.Phil.</w:t>
            </w:r>
          </w:p>
        </w:tc>
        <w:tc>
          <w:tcPr>
            <w:tcW w:w="360" w:type="dxa"/>
            <w:vAlign w:val="bottom"/>
            <w:vMerge w:val="continue"/>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Christopher W. Ogden</w:t>
            </w:r>
          </w:p>
        </w:tc>
        <w:tc>
          <w:tcPr>
            <w:tcW w:w="0" w:type="dxa"/>
            <w:vAlign w:val="bottom"/>
          </w:tcPr>
          <w:p>
            <w:pPr>
              <w:spacing w:after="0"/>
              <w:rPr>
                <w:sz w:val="1"/>
                <w:szCs w:val="1"/>
                <w:color w:val="auto"/>
              </w:rPr>
            </w:pPr>
          </w:p>
        </w:tc>
      </w:tr>
      <w:tr>
        <w:trPr>
          <w:trHeight w:val="252"/>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c>
          <w:tcPr>
            <w:tcW w:w="360" w:type="dxa"/>
            <w:vAlign w:val="bottom"/>
          </w:tcPr>
          <w:p>
            <w:pPr>
              <w:spacing w:after="0"/>
              <w:rPr>
                <w:sz w:val="21"/>
                <w:szCs w:val="21"/>
                <w:color w:val="auto"/>
              </w:rPr>
            </w:pPr>
          </w:p>
        </w:tc>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Vice President, Finance and Accounting</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6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914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62" w:lineRule="exact"/>
        <w:rPr>
          <w:sz w:val="20"/>
          <w:szCs w:val="20"/>
          <w:color w:val="auto"/>
        </w:rPr>
      </w:pPr>
    </w:p>
    <w:p>
      <w:pPr>
        <w:jc w:val="both"/>
        <w:ind w:right="140" w:firstLine="8"/>
        <w:spacing w:after="0" w:line="294" w:lineRule="auto"/>
        <w:tabs>
          <w:tab w:leader="none" w:pos="1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2"/>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9"/>
    </w:lvl>
    <w:lvl w:ilvl="1">
      <w:lvlJc w:val="left"/>
      <w:lvlText w:val="•"/>
      <w:numFmt w:val="bullet"/>
      <w:start w:val="1"/>
    </w:lvl>
  </w:abstractNum>
  <w:abstractNum w:abstractNumId="53">
    <w:nsid w:val="4AD084E9"/>
    <w:multiLevelType w:val="hybridMultilevel"/>
    <w:lvl w:ilvl="0">
      <w:lvlJc w:val="left"/>
      <w:lvlText w:val="%1."/>
      <w:numFmt w:val="decimal"/>
      <w:start w:val="11"/>
    </w:lvl>
  </w:abstractNum>
  <w:abstractNum w:abstractNumId="54">
    <w:nsid w:val="1F48EAA1"/>
    <w:multiLevelType w:val="hybridMultilevel"/>
    <w:lvl w:ilvl="0">
      <w:lvlJc w:val="left"/>
      <w:lvlText w:val="%1."/>
      <w:numFmt w:val="decimal"/>
      <w:start w:val="12"/>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2"/>
    </w:lvl>
  </w:abstractNum>
  <w:abstractNum w:abstractNumId="57">
    <w:nsid w:val="100F8FCA"/>
    <w:multiLevelType w:val="hybridMultilevel"/>
    <w:lvl w:ilvl="0">
      <w:lvlJc w:val="left"/>
      <w:lvlText w:val="(%1)"/>
      <w:numFmt w:val="decimal"/>
      <w:start w:val="3"/>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2"/>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decimal"/>
      <w:start w:val="4"/>
    </w:lvl>
  </w:abstractNum>
  <w:abstractNum w:abstractNumId="66">
    <w:nsid w:val="1EBA5D23"/>
    <w:multiLevelType w:val="hybridMultilevel"/>
    <w:lvl w:ilvl="0">
      <w:lvlJc w:val="left"/>
      <w:lvlText w:val="%1."/>
      <w:numFmt w:val="decimal"/>
      <w:start w:val="5"/>
    </w:lvl>
  </w:abstractNum>
  <w:abstractNum w:abstractNumId="67">
    <w:nsid w:val="661E3F1E"/>
    <w:multiLevelType w:val="hybridMultilevel"/>
    <w:lvl w:ilvl="0">
      <w:lvlJc w:val="left"/>
      <w:lvlText w:val="%1."/>
      <w:numFmt w:val="decimal"/>
      <w:start w:val="6"/>
    </w:lvl>
  </w:abstractNum>
  <w:abstractNum w:abstractNumId="68">
    <w:nsid w:val="5DC79EA8"/>
    <w:multiLevelType w:val="hybridMultilevel"/>
    <w:lvl w:ilvl="0">
      <w:lvlJc w:val="left"/>
      <w:lvlText w:val="%1."/>
      <w:numFmt w:val="decimal"/>
      <w:start w:val="7"/>
    </w:lvl>
  </w:abstractNum>
  <w:abstractNum w:abstractNumId="69">
    <w:nsid w:val="540A471C"/>
    <w:multiLevelType w:val="hybridMultilevel"/>
    <w:lvl w:ilvl="0">
      <w:lvlJc w:val="left"/>
      <w:lvlText w:val="(%1)"/>
      <w:numFmt w:val="lowerLetter"/>
      <w:start w:val="4"/>
    </w:lvl>
  </w:abstractNum>
  <w:abstractNum w:abstractNumId="70">
    <w:nsid w:val="7BD3EE7B"/>
    <w:multiLevelType w:val="hybridMultilevel"/>
    <w:lvl w:ilvl="0">
      <w:lvlJc w:val="left"/>
      <w:lvlText w:val="%1."/>
      <w:numFmt w:val="decimal"/>
      <w:start w:val="8"/>
    </w:lvl>
  </w:abstractNum>
  <w:abstractNum w:abstractNumId="71">
    <w:nsid w:val="51D9C564"/>
    <w:multiLevelType w:val="hybridMultilevel"/>
    <w:lvl w:ilvl="0">
      <w:lvlJc w:val="left"/>
      <w:lvlText w:val="%1."/>
      <w:numFmt w:val="decimal"/>
      <w:start w:val="9"/>
    </w:lvl>
  </w:abstractNum>
  <w:abstractNum w:abstractNumId="72">
    <w:nsid w:val="613EFDC5"/>
    <w:multiLevelType w:val="hybridMultilevel"/>
    <w:lvl w:ilvl="0">
      <w:lvlJc w:val="left"/>
      <w:lvlText w:val="%1."/>
      <w:numFmt w:val="decimal"/>
      <w:start w:val="10"/>
    </w:lvl>
  </w:abstractNum>
  <w:abstractNum w:abstractNumId="73">
    <w:nsid w:val="BF72B14"/>
    <w:multiLevelType w:val="hybridMultilevel"/>
    <w:lvl w:ilvl="0">
      <w:lvlJc w:val="left"/>
      <w:lvlText w:val="%1."/>
      <w:numFmt w:val="decimal"/>
      <w:start w:val="1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42" Type="http://schemas.openxmlformats.org/officeDocument/2006/relationships/image" Target="media/image320.png"/><Relationship Id="rId359" Type="http://schemas.openxmlformats.org/officeDocument/2006/relationships/image" Target="media/image321.png"/><Relationship Id="rId374"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327" Type="http://schemas.openxmlformats.org/officeDocument/2006/relationships/hyperlink" Target="https://www.sec.gov/Archives/edgar/data/1501989/000156459020007395/ctmx-ex11_1755.htm" TargetMode="External"/><Relationship Id="rId328" Type="http://schemas.openxmlformats.org/officeDocument/2006/relationships/hyperlink" Target="https://www.sec.gov/Archives/edgar/data/0001501989/000119312515347080/d78795dex31.htm" TargetMode="External"/><Relationship Id="rId329" Type="http://schemas.openxmlformats.org/officeDocument/2006/relationships/hyperlink" Target="https://www.sec.gov/Archives/edgar/data/1501989/000119312520176532/d920733dex31.htm" TargetMode="External"/><Relationship Id="rId330" Type="http://schemas.openxmlformats.org/officeDocument/2006/relationships/hyperlink" Target="https://www.sec.gov/Archives/edgar/data/0001501989/000119312515347080/d78795dex32.htm" TargetMode="External"/><Relationship Id="rId331" Type="http://schemas.openxmlformats.org/officeDocument/2006/relationships/hyperlink" Target="https://www.sec.gov/Archives/edgar/data/0001501989/000119312515329662/d948537dex41.htm" TargetMode="External"/><Relationship Id="rId332" Type="http://schemas.openxmlformats.org/officeDocument/2006/relationships/hyperlink" Target="https://www.sec.gov/Archives/edgar/data/0001501989/000156459017022252/ctmx-ex44_91.htm" TargetMode="External"/><Relationship Id="rId333" Type="http://schemas.openxmlformats.org/officeDocument/2006/relationships/hyperlink" Target="https://www.sec.gov/Archives/edgar/data/1501989/000156459020037722/ctmx-ex44_216.htm" TargetMode="External"/><Relationship Id="rId334" Type="http://schemas.openxmlformats.org/officeDocument/2006/relationships/hyperlink" Target="https://www.sec.gov/Archives/edgar/data/0001501989/000119312515307013/d948537dex103.htm" TargetMode="External"/><Relationship Id="rId335" Type="http://schemas.openxmlformats.org/officeDocument/2006/relationships/hyperlink" Target="https://www.sec.gov/Archives/edgar/data/0001501989/000119312515307013/d948537dex104.htm" TargetMode="External"/><Relationship Id="rId336" Type="http://schemas.openxmlformats.org/officeDocument/2006/relationships/hyperlink" Target="https://www.sec.gov/Archives/edgar/data/0001501989/000119312515307013/d948537dex101.htm" TargetMode="External"/><Relationship Id="rId337" Type="http://schemas.openxmlformats.org/officeDocument/2006/relationships/hyperlink" Target="https://www.sec.gov/Archives/edgar/data/0001501989/000119312515307013/d948537dex102.htm" TargetMode="External"/><Relationship Id="rId338" Type="http://schemas.openxmlformats.org/officeDocument/2006/relationships/hyperlink" Target="https://www.sec.gov/Archives/edgar/data/0001501989/000119312515338434/d948537dex105.htm" TargetMode="External"/><Relationship Id="rId339" Type="http://schemas.openxmlformats.org/officeDocument/2006/relationships/hyperlink" Target="https://www.sec.gov/Archives/edgar/data/0001501989/000156459015010977/ctmx-ex104_591.htm" TargetMode="External"/><Relationship Id="rId340" Type="http://schemas.openxmlformats.org/officeDocument/2006/relationships/hyperlink" Target="https://www.sec.gov/Archives/edgar/data/0001501989/000156459015010977/ctmx-ex105_592.htm" TargetMode="External"/><Relationship Id="rId341" Type="http://schemas.openxmlformats.org/officeDocument/2006/relationships/hyperlink" Target="https://www.sec.gov/Archives/edgar/data/1501989/000156459019041726/ctmx-ex101_559.htm" TargetMode="External"/><Relationship Id="rId343" Type="http://schemas.openxmlformats.org/officeDocument/2006/relationships/hyperlink" Target="https://www.sec.gov/Archives/edgar/data/1501989/000156459019041726/ctmx-ex102_564.htm" TargetMode="External"/><Relationship Id="rId344" Type="http://schemas.openxmlformats.org/officeDocument/2006/relationships/hyperlink" Target="https://www.sec.gov/Archives/edgar/data/0001501989/000119312515329662/d948537dex106.htm" TargetMode="External"/><Relationship Id="rId345" Type="http://schemas.openxmlformats.org/officeDocument/2006/relationships/hyperlink" Target="https://www.sec.gov/Archives/edgar/data/0001501989/000119312515307013/d948537dex1016.htm" TargetMode="External"/><Relationship Id="rId346" Type="http://schemas.openxmlformats.org/officeDocument/2006/relationships/hyperlink" Target="https://www.sec.gov/Archives/edgar/data/0001501989/000119312515307013/d948537dex107.htm" TargetMode="External"/><Relationship Id="rId347" Type="http://schemas.openxmlformats.org/officeDocument/2006/relationships/hyperlink" Target="https://www.sec.gov/Archives/edgar/data/1501989/000156459019041726/ctmx-ex105_561.htm" TargetMode="External"/><Relationship Id="rId348" Type="http://schemas.openxmlformats.org/officeDocument/2006/relationships/hyperlink" Target="https://www.sec.gov/Archives/edgar/data/1501989/000156459020022844/ctmx-ex103_199.htm" TargetMode="External"/><Relationship Id="rId349" Type="http://schemas.openxmlformats.org/officeDocument/2006/relationships/hyperlink" Target="https://www.sec.gov/Archives/edgar/data/1501989/000156459019017968/ctmx-ex101_193.htm" TargetMode="External"/><Relationship Id="rId350" Type="http://schemas.openxmlformats.org/officeDocument/2006/relationships/hyperlink" Target="https://www.sec.gov/Archives/edgar/data/1501989/000156459019041726/ctmx-ex106_560.htm" TargetMode="External"/><Relationship Id="rId351" Type="http://schemas.openxmlformats.org/officeDocument/2006/relationships/hyperlink" Target="https://www.sec.gov/Archives/edgar/data/1501989/000156459019017968/ctmx-ex102_194.htm" TargetMode="External"/><Relationship Id="rId352" Type="http://schemas.openxmlformats.org/officeDocument/2006/relationships/hyperlink" Target="https://www.sec.gov/Archives/edgar/data/1501989/000156459020007395/ctmx-ex1032_1585.htm" TargetMode="External"/><Relationship Id="rId353" Type="http://schemas.openxmlformats.org/officeDocument/2006/relationships/hyperlink" Target="https://www.sec.gov/Archives/edgar/data/1501989/000156459020022844/ctmx-ex101_328.htm" TargetMode="External"/><Relationship Id="rId354" Type="http://schemas.openxmlformats.org/officeDocument/2006/relationships/hyperlink" Target="https://www.sec.gov/Archives/edgar/data/0001501989/000156459015011520/ctmx-ex101_6.htm" TargetMode="External"/><Relationship Id="rId355" Type="http://schemas.openxmlformats.org/officeDocument/2006/relationships/hyperlink" Target="https://www.sec.gov/Archives/edgar/data/0001501989/000119312515322694/d948537dex1021.htm" TargetMode="External"/><Relationship Id="rId356" Type="http://schemas.openxmlformats.org/officeDocument/2006/relationships/hyperlink" Target="https://www.sec.gov/Archives/edgar/data/1501989/000156459019017968/ctmx-ex106_447.htm" TargetMode="External"/><Relationship Id="rId357" Type="http://schemas.openxmlformats.org/officeDocument/2006/relationships/hyperlink" Target="https://www.sec.gov/Archives/edgar/data/1501989/000156459020051302/ctmx-ex101_357.htm" TargetMode="External"/><Relationship Id="rId358" Type="http://schemas.openxmlformats.org/officeDocument/2006/relationships/hyperlink" Target="https://www.sec.gov/Archives/edgar/data/1501989/000156459020051302/ctmx-ex102_356.htm" TargetMode="External"/><Relationship Id="rId360" Type="http://schemas.openxmlformats.org/officeDocument/2006/relationships/hyperlink" Target="https://www.sec.gov/Archives/edgar/data/0001501989/000156459017008943/ctmx-ex101_883.htm" TargetMode="External"/><Relationship Id="rId361" Type="http://schemas.openxmlformats.org/officeDocument/2006/relationships/hyperlink" Target="https://www.sec.gov/Archives/edgar/data/0001501989/000156459021024969/ctmx-ex102_137.htm" TargetMode="External"/><Relationship Id="rId362" Type="http://schemas.openxmlformats.org/officeDocument/2006/relationships/hyperlink" Target="https://www.sec.gov/Archives/edgar/data/0001501989/000156459016022364/ctmx-ex101_550.htm" TargetMode="External"/><Relationship Id="rId363" Type="http://schemas.openxmlformats.org/officeDocument/2006/relationships/hyperlink" Target="https://www.sec.gov/Archives/edgar/data/1501989/000156459018027387/ctmx-ex101_175.htm" TargetMode="External"/><Relationship Id="rId364" Type="http://schemas.openxmlformats.org/officeDocument/2006/relationships/hyperlink" Target="https://www.sec.gov/Archives/edgar/data/1501989/000156459018027387/ctmx-ex102_176.htm" TargetMode="External"/><Relationship Id="rId365" Type="http://schemas.openxmlformats.org/officeDocument/2006/relationships/hyperlink" Target="https://www.sec.gov/Archives/edgar/data/1501989/000156459018027387/ctmx-ex103_177.htm" TargetMode="External"/><Relationship Id="rId366" Type="http://schemas.openxmlformats.org/officeDocument/2006/relationships/hyperlink" Target="https://www.sec.gov/Archives/edgar/data/1501989/000156459019030054/ctmx-ex101_505.htm" TargetMode="External"/><Relationship Id="rId367" Type="http://schemas.openxmlformats.org/officeDocument/2006/relationships/hyperlink" Target="https://www.sec.gov/Archives/edgar/data/0001501989/000156459017022252/ctmx-ex101_92.htm" TargetMode="External"/><Relationship Id="rId368" Type="http://schemas.openxmlformats.org/officeDocument/2006/relationships/hyperlink" Target="https://www.sec.gov/Archives/edgar/data/1501989/000156459020051302/ctmx-ex103_355.htm" TargetMode="External"/><Relationship Id="rId369" Type="http://schemas.openxmlformats.org/officeDocument/2006/relationships/hyperlink" Target="https://www.sec.gov/Archives/edgar/data/1501989/000156459020022844/ctmx-ex104_330.htm" TargetMode="External"/><Relationship Id="rId370" Type="http://schemas.openxmlformats.org/officeDocument/2006/relationships/hyperlink" Target="https://www.sec.gov/Archives/edgar/data/0001501989/000119312515336443/d948537dex1017.htm" TargetMode="External"/><Relationship Id="rId371" Type="http://schemas.openxmlformats.org/officeDocument/2006/relationships/hyperlink" Target="https://www.sec.gov/Archives/edgar/data/1501989/000156459018027387/ctmx-ex105_179.htm" TargetMode="External"/><Relationship Id="rId372" Type="http://schemas.openxmlformats.org/officeDocument/2006/relationships/hyperlink" Target="https://www.sec.gov/Archives/edgar/data/1501989/000156459018027387/ctmx-ex106_180.htm" TargetMode="External"/><Relationship Id="rId373" Type="http://schemas.openxmlformats.org/officeDocument/2006/relationships/hyperlink" Target="https://www.sec.gov/Archives/edgar/data/1501989/000156459018027387/ctmx-ex104_178.htm" TargetMode="External"/><Relationship Id="rId375" Type="http://schemas.openxmlformats.org/officeDocument/2006/relationships/hyperlink" Target="https://www.sec.gov/Archives/edgar/data/1501989/000156459021008081/ctmx-ex1024_991.htm" TargetMode="External"/><Relationship Id="rId376" Type="http://schemas.openxmlformats.org/officeDocument/2006/relationships/hyperlink" Target="https://www.sec.gov/Archives/edgar/data/1501989/000156459021008081/ctmx-ex1025_992.htm" TargetMode="External"/><Relationship Id="rId377" Type="http://schemas.openxmlformats.org/officeDocument/2006/relationships/hyperlink" Target="https://www.sec.gov/Archives/edgar/data/1501989/000156459021024969/ctmx-ex103_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2022-03-01T17:07:14Z</dcterms:created>
  <dcterms:modified xsi:type="dcterms:W3CDTF">2022-03-01T17:07:14Z</dcterms:modified>
</cp:coreProperties>
</file>