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280" w:hanging="452"/>
        <w:spacing w:after="0" w:line="23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460" w:right="2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001-37587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CytomX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800" w:type="dxa"/>
            <w:vAlign w:val="bottom"/>
          </w:tcPr>
          <w:p>
            <w:pPr>
              <w:jc w:val="center"/>
              <w:ind w:left="1759"/>
              <w:spacing w:after="0"/>
              <w:rPr>
                <w:sz w:val="20"/>
                <w:szCs w:val="20"/>
                <w:color w:val="auto"/>
              </w:rPr>
            </w:pPr>
            <w:r>
              <w:rPr>
                <w:rFonts w:ascii="Arial" w:cs="Arial" w:eastAsia="Arial" w:hAnsi="Arial"/>
                <w:sz w:val="18"/>
                <w:szCs w:val="18"/>
                <w:b w:val="1"/>
                <w:bCs w:val="1"/>
                <w:color w:val="auto"/>
                <w:w w:val="91"/>
              </w:rPr>
              <w:t>Delaware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740" w:type="dxa"/>
            <w:vAlign w:val="bottom"/>
          </w:tcPr>
          <w:p>
            <w:pPr>
              <w:jc w:val="center"/>
              <w:ind w:right="1701"/>
              <w:spacing w:after="0"/>
              <w:rPr>
                <w:sz w:val="20"/>
                <w:szCs w:val="20"/>
                <w:color w:val="auto"/>
              </w:rPr>
            </w:pPr>
            <w:r>
              <w:rPr>
                <w:rFonts w:ascii="Arial" w:cs="Arial" w:eastAsia="Arial" w:hAnsi="Arial"/>
                <w:sz w:val="18"/>
                <w:szCs w:val="18"/>
                <w:b w:val="1"/>
                <w:bCs w:val="1"/>
                <w:color w:val="auto"/>
                <w:w w:val="91"/>
              </w:rPr>
              <w:t>27-3521219</w:t>
            </w:r>
          </w:p>
        </w:tc>
      </w:tr>
      <w:tr>
        <w:trPr>
          <w:trHeight w:val="148"/>
        </w:trPr>
        <w:tc>
          <w:tcPr>
            <w:tcW w:w="3800" w:type="dxa"/>
            <w:vAlign w:val="bottom"/>
          </w:tcPr>
          <w:p>
            <w:pPr>
              <w:jc w:val="center"/>
              <w:ind w:left="17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740" w:type="dxa"/>
            <w:vAlign w:val="bottom"/>
          </w:tcPr>
          <w:p>
            <w:pPr>
              <w:jc w:val="center"/>
              <w:ind w:right="17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00" w:type="dxa"/>
            <w:vAlign w:val="bottom"/>
          </w:tcPr>
          <w:p>
            <w:pPr>
              <w:jc w:val="center"/>
              <w:ind w:left="1759"/>
              <w:spacing w:after="0"/>
              <w:rPr>
                <w:sz w:val="20"/>
                <w:szCs w:val="20"/>
                <w:color w:val="auto"/>
              </w:rPr>
            </w:pPr>
            <w:r>
              <w:rPr>
                <w:rFonts w:ascii="Arial" w:cs="Arial" w:eastAsia="Arial" w:hAnsi="Arial"/>
                <w:sz w:val="14"/>
                <w:szCs w:val="14"/>
                <w:b w:val="1"/>
                <w:bCs w:val="1"/>
                <w:color w:val="auto"/>
                <w:w w:val="94"/>
              </w:rPr>
              <w:t>incorporation or organization)</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740" w:type="dxa"/>
            <w:vAlign w:val="bottom"/>
          </w:tcPr>
          <w:p>
            <w:pPr>
              <w:jc w:val="center"/>
              <w:ind w:right="1701"/>
              <w:spacing w:after="0"/>
              <w:rPr>
                <w:sz w:val="20"/>
                <w:szCs w:val="20"/>
                <w:color w:val="auto"/>
              </w:rPr>
            </w:pPr>
            <w:r>
              <w:rPr>
                <w:rFonts w:ascii="Arial" w:cs="Arial" w:eastAsia="Arial" w:hAnsi="Arial"/>
                <w:sz w:val="14"/>
                <w:szCs w:val="14"/>
                <w:b w:val="1"/>
                <w:bCs w:val="1"/>
                <w:color w:val="auto"/>
                <w:w w:val="94"/>
              </w:rPr>
              <w:t>Identification No.)</w:t>
            </w:r>
          </w:p>
        </w:tc>
      </w:tr>
      <w:tr>
        <w:trPr>
          <w:trHeight w:val="304"/>
        </w:trPr>
        <w:tc>
          <w:tcPr>
            <w:tcW w:w="3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20" w:type="dxa"/>
            <w:vAlign w:val="bottom"/>
            <w:gridSpan w:val="6"/>
          </w:tcPr>
          <w:p>
            <w:pPr>
              <w:jc w:val="center"/>
              <w:ind w:right="540"/>
              <w:spacing w:after="0"/>
              <w:rPr>
                <w:sz w:val="20"/>
                <w:szCs w:val="20"/>
                <w:color w:val="auto"/>
              </w:rPr>
            </w:pPr>
            <w:r>
              <w:rPr>
                <w:rFonts w:ascii="Arial" w:cs="Arial" w:eastAsia="Arial" w:hAnsi="Arial"/>
                <w:sz w:val="18"/>
                <w:szCs w:val="18"/>
                <w:b w:val="1"/>
                <w:bCs w:val="1"/>
                <w:color w:val="auto"/>
                <w:w w:val="89"/>
              </w:rPr>
              <w:t>151 Oyster Point Blvd., Suite 400</w:t>
            </w:r>
          </w:p>
        </w:tc>
        <w:tc>
          <w:tcPr>
            <w:tcW w:w="3740" w:type="dxa"/>
            <w:vAlign w:val="bottom"/>
          </w:tcPr>
          <w:p>
            <w:pPr>
              <w:spacing w:after="0"/>
              <w:rPr>
                <w:sz w:val="24"/>
                <w:szCs w:val="24"/>
                <w:color w:val="auto"/>
              </w:rPr>
            </w:pPr>
          </w:p>
        </w:tc>
      </w:tr>
      <w:tr>
        <w:trPr>
          <w:trHeight w:val="212"/>
        </w:trPr>
        <w:tc>
          <w:tcPr>
            <w:tcW w:w="3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gridSpan w:val="5"/>
          </w:tcPr>
          <w:p>
            <w:pPr>
              <w:jc w:val="center"/>
              <w:ind w:right="680"/>
              <w:spacing w:after="0"/>
              <w:rPr>
                <w:sz w:val="20"/>
                <w:szCs w:val="20"/>
                <w:color w:val="auto"/>
              </w:rPr>
            </w:pPr>
            <w:r>
              <w:rPr>
                <w:rFonts w:ascii="Arial" w:cs="Arial" w:eastAsia="Arial" w:hAnsi="Arial"/>
                <w:sz w:val="18"/>
                <w:szCs w:val="18"/>
                <w:b w:val="1"/>
                <w:bCs w:val="1"/>
                <w:color w:val="auto"/>
                <w:w w:val="89"/>
              </w:rPr>
              <w:t>South San Francisco, CA 94080</w:t>
            </w:r>
          </w:p>
        </w:tc>
        <w:tc>
          <w:tcPr>
            <w:tcW w:w="3740" w:type="dxa"/>
            <w:vAlign w:val="bottom"/>
          </w:tcPr>
          <w:p>
            <w:pPr>
              <w:spacing w:after="0"/>
              <w:rPr>
                <w:sz w:val="18"/>
                <w:szCs w:val="18"/>
                <w:color w:val="auto"/>
              </w:rPr>
            </w:pPr>
          </w:p>
        </w:tc>
      </w:tr>
      <w:tr>
        <w:trPr>
          <w:trHeight w:val="153"/>
        </w:trPr>
        <w:tc>
          <w:tcPr>
            <w:tcW w:w="3800" w:type="dxa"/>
            <w:vAlign w:val="bottom"/>
          </w:tcPr>
          <w:p>
            <w:pPr>
              <w:spacing w:after="0"/>
              <w:rPr>
                <w:sz w:val="13"/>
                <w:szCs w:val="13"/>
                <w:color w:val="auto"/>
              </w:rPr>
            </w:pPr>
          </w:p>
        </w:tc>
        <w:tc>
          <w:tcPr>
            <w:tcW w:w="3700" w:type="dxa"/>
            <w:vAlign w:val="bottom"/>
            <w:gridSpan w:val="7"/>
          </w:tcPr>
          <w:p>
            <w:pPr>
              <w:jc w:val="center"/>
              <w:ind w:right="60"/>
              <w:spacing w:after="0" w:line="153" w:lineRule="exact"/>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3740" w:type="dxa"/>
            <w:vAlign w:val="bottom"/>
          </w:tcPr>
          <w:p>
            <w:pPr>
              <w:spacing w:after="0"/>
              <w:rPr>
                <w:sz w:val="13"/>
                <w:szCs w:val="13"/>
                <w:color w:val="auto"/>
              </w:rPr>
            </w:pPr>
          </w:p>
        </w:tc>
      </w:tr>
      <w:tr>
        <w:trPr>
          <w:trHeight w:val="212"/>
        </w:trPr>
        <w:tc>
          <w:tcPr>
            <w:tcW w:w="3800" w:type="dxa"/>
            <w:vAlign w:val="bottom"/>
          </w:tcPr>
          <w:p>
            <w:pPr>
              <w:spacing w:after="0"/>
              <w:rPr>
                <w:sz w:val="18"/>
                <w:szCs w:val="18"/>
                <w:color w:val="auto"/>
              </w:rPr>
            </w:pPr>
          </w:p>
        </w:tc>
        <w:tc>
          <w:tcPr>
            <w:tcW w:w="2940" w:type="dxa"/>
            <w:vAlign w:val="bottom"/>
            <w:gridSpan w:val="4"/>
          </w:tcPr>
          <w:p>
            <w:pPr>
              <w:jc w:val="right"/>
              <w:ind w:right="499"/>
              <w:spacing w:after="0"/>
              <w:rPr>
                <w:sz w:val="20"/>
                <w:szCs w:val="20"/>
                <w:color w:val="auto"/>
              </w:rPr>
            </w:pPr>
            <w:r>
              <w:rPr>
                <w:rFonts w:ascii="Arial" w:cs="Arial" w:eastAsia="Arial" w:hAnsi="Arial"/>
                <w:sz w:val="18"/>
                <w:szCs w:val="18"/>
                <w:b w:val="1"/>
                <w:bCs w:val="1"/>
                <w:color w:val="auto"/>
              </w:rPr>
              <w:t>(650) 515-3185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186"/>
        </w:trPr>
        <w:tc>
          <w:tcPr>
            <w:tcW w:w="3800" w:type="dxa"/>
            <w:vAlign w:val="bottom"/>
          </w:tcPr>
          <w:p>
            <w:pPr>
              <w:spacing w:after="0"/>
              <w:rPr>
                <w:sz w:val="16"/>
                <w:szCs w:val="16"/>
                <w:color w:val="auto"/>
              </w:rPr>
            </w:pPr>
          </w:p>
        </w:tc>
        <w:tc>
          <w:tcPr>
            <w:tcW w:w="370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740" w:type="dxa"/>
            <w:vAlign w:val="bottom"/>
          </w:tcPr>
          <w:p>
            <w:pPr>
              <w:spacing w:after="0"/>
              <w:rPr>
                <w:sz w:val="16"/>
                <w:szCs w:val="16"/>
                <w:color w:val="auto"/>
              </w:rPr>
            </w:pPr>
          </w:p>
        </w:tc>
      </w:tr>
      <w:tr>
        <w:trPr>
          <w:trHeight w:val="133"/>
        </w:trPr>
        <w:tc>
          <w:tcPr>
            <w:tcW w:w="428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740" w:type="dxa"/>
            <w:vAlign w:val="bottom"/>
          </w:tcPr>
          <w:p>
            <w:pPr>
              <w:spacing w:after="0"/>
              <w:rPr>
                <w:sz w:val="11"/>
                <w:szCs w:val="11"/>
                <w:color w:val="auto"/>
              </w:rPr>
            </w:pPr>
          </w:p>
        </w:tc>
      </w:tr>
      <w:tr>
        <w:trPr>
          <w:trHeight w:val="304"/>
        </w:trPr>
        <w:tc>
          <w:tcPr>
            <w:tcW w:w="7500" w:type="dxa"/>
            <w:vAlign w:val="bottom"/>
            <w:gridSpan w:val="8"/>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740" w:type="dxa"/>
            <w:vAlign w:val="bottom"/>
          </w:tcPr>
          <w:p>
            <w:pPr>
              <w:spacing w:after="0"/>
              <w:rPr>
                <w:sz w:val="24"/>
                <w:szCs w:val="24"/>
                <w:color w:val="auto"/>
              </w:rPr>
            </w:pPr>
          </w:p>
        </w:tc>
      </w:tr>
      <w:tr>
        <w:trPr>
          <w:trHeight w:val="213"/>
        </w:trPr>
        <w:tc>
          <w:tcPr>
            <w:tcW w:w="3800" w:type="dxa"/>
            <w:vAlign w:val="bottom"/>
          </w:tcPr>
          <w:p>
            <w:pPr>
              <w:jc w:val="center"/>
              <w:ind w:left="419"/>
              <w:spacing w:after="0"/>
              <w:rPr>
                <w:sz w:val="20"/>
                <w:szCs w:val="20"/>
                <w:color w:val="auto"/>
              </w:rPr>
            </w:pPr>
            <w:r>
              <w:rPr>
                <w:rFonts w:ascii="Arial" w:cs="Arial" w:eastAsia="Arial" w:hAnsi="Arial"/>
                <w:sz w:val="16"/>
                <w:szCs w:val="16"/>
                <w:b w:val="1"/>
                <w:bCs w:val="1"/>
                <w:color w:val="auto"/>
                <w:w w:val="88"/>
              </w:rPr>
              <w:t>Title of each class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gridSpan w:val="4"/>
          </w:tcPr>
          <w:p>
            <w:pPr>
              <w:jc w:val="center"/>
              <w:ind w:right="720"/>
              <w:spacing w:after="0"/>
              <w:rPr>
                <w:sz w:val="20"/>
                <w:szCs w:val="20"/>
                <w:color w:val="auto"/>
              </w:rPr>
            </w:pPr>
            <w:r>
              <w:rPr>
                <w:rFonts w:ascii="Arial" w:cs="Arial" w:eastAsia="Arial" w:hAnsi="Arial"/>
                <w:sz w:val="16"/>
                <w:szCs w:val="16"/>
                <w:b w:val="1"/>
                <w:bCs w:val="1"/>
                <w:color w:val="auto"/>
                <w:w w:val="91"/>
              </w:rPr>
              <w:t>Trading Symbol(s)</w:t>
            </w:r>
          </w:p>
        </w:tc>
        <w:tc>
          <w:tcPr>
            <w:tcW w:w="3740" w:type="dxa"/>
            <w:vAlign w:val="bottom"/>
          </w:tcPr>
          <w:p>
            <w:pPr>
              <w:jc w:val="center"/>
              <w:ind w:right="421"/>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3"/>
        </w:trPr>
        <w:tc>
          <w:tcPr>
            <w:tcW w:w="3800" w:type="dxa"/>
            <w:vAlign w:val="bottom"/>
            <w:tcBorders>
              <w:top w:val="single" w:sz="8" w:color="auto"/>
            </w:tcBorders>
          </w:tcPr>
          <w:p>
            <w:pPr>
              <w:jc w:val="center"/>
              <w:ind w:left="419"/>
              <w:spacing w:after="0"/>
              <w:rPr>
                <w:sz w:val="20"/>
                <w:szCs w:val="20"/>
                <w:color w:val="auto"/>
              </w:rPr>
            </w:pPr>
            <w:r>
              <w:rPr>
                <w:rFonts w:ascii="Arial" w:cs="Arial" w:eastAsia="Arial" w:hAnsi="Arial"/>
                <w:sz w:val="16"/>
                <w:szCs w:val="16"/>
                <w:color w:val="auto"/>
                <w:w w:val="91"/>
              </w:rPr>
              <w:t>Common Stock, $0.00001 par value per share</w:t>
            </w:r>
          </w:p>
        </w:tc>
        <w:tc>
          <w:tcPr>
            <w:tcW w:w="4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38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color w:val="auto"/>
              </w:rPr>
              <w:t>CTMX</w:t>
            </w: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740" w:type="dxa"/>
            <w:vAlign w:val="bottom"/>
            <w:tcBorders>
              <w:top w:val="single" w:sz="8" w:color="auto"/>
            </w:tcBorders>
          </w:tcPr>
          <w:p>
            <w:pPr>
              <w:jc w:val="center"/>
              <w:ind w:right="421"/>
              <w:spacing w:after="0"/>
              <w:rPr>
                <w:sz w:val="20"/>
                <w:szCs w:val="20"/>
                <w:color w:val="auto"/>
              </w:rPr>
            </w:pPr>
            <w:r>
              <w:rPr>
                <w:rFonts w:ascii="Arial" w:cs="Arial" w:eastAsia="Arial" w:hAnsi="Arial"/>
                <w:sz w:val="16"/>
                <w:szCs w:val="16"/>
                <w:color w:val="auto"/>
                <w:w w:val="92"/>
              </w:rPr>
              <w:t>Nasdaq Global Select Market</w:t>
            </w:r>
          </w:p>
        </w:tc>
      </w:tr>
    </w:tbl>
    <w:p>
      <w:pPr>
        <w:spacing w:after="0" w:line="90" w:lineRule="exact"/>
        <w:rPr>
          <w:sz w:val="24"/>
          <w:szCs w:val="24"/>
          <w:color w:val="auto"/>
        </w:rPr>
      </w:pPr>
    </w:p>
    <w:p>
      <w:pPr>
        <w:ind w:right="40"/>
        <w:spacing w:after="0" w:line="227" w:lineRule="exact"/>
        <w:rPr>
          <w:sz w:val="20"/>
          <w:szCs w:val="20"/>
          <w:color w:val="auto"/>
        </w:rPr>
      </w:pPr>
      <w:r>
        <w:rPr>
          <w:rFonts w:ascii="Arial" w:cs="Arial" w:eastAsia="Arial" w:hAnsi="Arial"/>
          <w:sz w:val="18"/>
          <w:szCs w:val="18"/>
          <w:color w:val="auto"/>
        </w:rPr>
        <w:t xml:space="preserve">Indicate by check mark whether the issuer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3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0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4020" w:type="dxa"/>
            <w:vAlign w:val="bottom"/>
          </w:tcPr>
          <w:p>
            <w:pPr>
              <w:ind w:left="320"/>
              <w:spacing w:after="0"/>
              <w:rPr>
                <w:sz w:val="20"/>
                <w:szCs w:val="20"/>
                <w:color w:val="auto"/>
              </w:rPr>
            </w:pPr>
            <w:r>
              <w:rPr>
                <w:rFonts w:ascii="Arial" w:cs="Arial" w:eastAsia="Arial" w:hAnsi="Arial"/>
                <w:sz w:val="18"/>
                <w:szCs w:val="18"/>
                <w:color w:val="auto"/>
              </w:rPr>
              <w:t>Accelerated filer</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3020" w:type="dxa"/>
            <w:vAlign w:val="bottom"/>
          </w:tcPr>
          <w:p>
            <w:pPr>
              <w:spacing w:after="0"/>
              <w:rPr>
                <w:sz w:val="20"/>
                <w:szCs w:val="20"/>
                <w:color w:val="auto"/>
              </w:rPr>
            </w:pPr>
            <w:r>
              <w:rPr>
                <w:rFonts w:ascii="Arial" w:cs="Arial" w:eastAsia="Arial" w:hAnsi="Arial"/>
                <w:sz w:val="18"/>
                <w:szCs w:val="18"/>
                <w:color w:val="auto"/>
              </w:rPr>
              <w:t>Non-accelerated filer</w:t>
            </w:r>
          </w:p>
        </w:tc>
        <w:tc>
          <w:tcPr>
            <w:tcW w:w="190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4020" w:type="dxa"/>
            <w:vAlign w:val="bottom"/>
          </w:tcPr>
          <w:p>
            <w:pPr>
              <w:ind w:left="320"/>
              <w:spacing w:after="0"/>
              <w:rPr>
                <w:sz w:val="20"/>
                <w:szCs w:val="20"/>
                <w:color w:val="auto"/>
              </w:rPr>
            </w:pPr>
            <w:r>
              <w:rPr>
                <w:rFonts w:ascii="Arial" w:cs="Arial" w:eastAsia="Arial" w:hAnsi="Arial"/>
                <w:sz w:val="18"/>
                <w:szCs w:val="18"/>
                <w:color w:val="auto"/>
              </w:rPr>
              <w:t>Smaller reporting company</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30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Emerging growth company</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72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July 31, 2020, the registrant had 46,192,226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532130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8380" w:type="dxa"/>
            <w:vAlign w:val="bottom"/>
          </w:tcPr>
          <w:p>
            <w:pPr>
              <w:ind w:left="2680"/>
              <w:spacing w:after="0"/>
              <w:rPr>
                <w:sz w:val="20"/>
                <w:szCs w:val="20"/>
                <w:color w:val="auto"/>
              </w:rPr>
            </w:pPr>
            <w:r>
              <w:rPr>
                <w:rFonts w:ascii="Arial" w:cs="Arial" w:eastAsia="Arial" w:hAnsi="Arial"/>
                <w:sz w:val="18"/>
                <w:szCs w:val="18"/>
                <w:b w:val="1"/>
                <w:bCs w:val="1"/>
                <w:color w:val="auto"/>
              </w:rPr>
              <w:t>PART I – FINANCIAL INFORMATION</w:t>
            </w:r>
          </w:p>
        </w:tc>
        <w:tc>
          <w:tcPr>
            <w:tcW w:w="2000" w:type="dxa"/>
            <w:vAlign w:val="bottom"/>
          </w:tcPr>
          <w:p>
            <w:pPr>
              <w:spacing w:after="0"/>
              <w:rPr>
                <w:sz w:val="20"/>
                <w:szCs w:val="20"/>
                <w:color w:val="auto"/>
              </w:rPr>
            </w:pPr>
          </w:p>
        </w:tc>
      </w:tr>
      <w:tr>
        <w:trPr>
          <w:trHeight w:val="323"/>
        </w:trPr>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8380" w:type="dxa"/>
            <w:vAlign w:val="bottom"/>
          </w:tcPr>
          <w:p>
            <w:pPr>
              <w:ind w:left="1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Financial Statements (Unaudited)</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60" w:type="dxa"/>
            <w:vAlign w:val="bottom"/>
          </w:tcPr>
          <w:p>
            <w:pPr>
              <w:spacing w:after="0"/>
              <w:rPr>
                <w:sz w:val="18"/>
                <w:szCs w:val="18"/>
                <w:color w:val="auto"/>
              </w:rPr>
            </w:pPr>
          </w:p>
        </w:tc>
        <w:tc>
          <w:tcPr>
            <w:tcW w:w="8380" w:type="dxa"/>
            <w:vAlign w:val="bottom"/>
          </w:tcPr>
          <w:p>
            <w:pPr>
              <w:ind w:left="1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Balance Sheets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60" w:type="dxa"/>
            <w:vAlign w:val="bottom"/>
          </w:tcPr>
          <w:p>
            <w:pPr>
              <w:spacing w:after="0"/>
              <w:rPr>
                <w:sz w:val="18"/>
                <w:szCs w:val="18"/>
                <w:color w:val="auto"/>
              </w:rPr>
            </w:pPr>
          </w:p>
        </w:tc>
        <w:tc>
          <w:tcPr>
            <w:tcW w:w="8380" w:type="dxa"/>
            <w:vAlign w:val="bottom"/>
          </w:tcPr>
          <w:p>
            <w:pPr>
              <w:ind w:left="10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Statements of Operations and Comprehensive Loss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60" w:type="dxa"/>
            <w:vAlign w:val="bottom"/>
          </w:tcPr>
          <w:p>
            <w:pPr>
              <w:spacing w:after="0"/>
              <w:rPr>
                <w:sz w:val="18"/>
                <w:szCs w:val="18"/>
                <w:color w:val="auto"/>
              </w:rPr>
            </w:pPr>
          </w:p>
        </w:tc>
        <w:tc>
          <w:tcPr>
            <w:tcW w:w="8380" w:type="dxa"/>
            <w:vAlign w:val="bottom"/>
          </w:tcPr>
          <w:p>
            <w:pPr>
              <w:ind w:left="10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Statements of Stockholders’ Equity</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60" w:type="dxa"/>
            <w:vAlign w:val="bottom"/>
          </w:tcPr>
          <w:p>
            <w:pPr>
              <w:spacing w:after="0"/>
              <w:rPr>
                <w:sz w:val="18"/>
                <w:szCs w:val="18"/>
                <w:color w:val="auto"/>
              </w:rPr>
            </w:pPr>
          </w:p>
        </w:tc>
        <w:tc>
          <w:tcPr>
            <w:tcW w:w="8380" w:type="dxa"/>
            <w:vAlign w:val="bottom"/>
          </w:tcPr>
          <w:p>
            <w:pPr>
              <w:ind w:left="10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Statements of Cash Flows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60" w:type="dxa"/>
            <w:vAlign w:val="bottom"/>
          </w:tcPr>
          <w:p>
            <w:pPr>
              <w:spacing w:after="0"/>
              <w:rPr>
                <w:sz w:val="18"/>
                <w:szCs w:val="18"/>
                <w:color w:val="auto"/>
              </w:rPr>
            </w:pPr>
          </w:p>
        </w:tc>
        <w:tc>
          <w:tcPr>
            <w:tcW w:w="8380" w:type="dxa"/>
            <w:vAlign w:val="bottom"/>
          </w:tcPr>
          <w:p>
            <w:pPr>
              <w:ind w:left="10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Condensed Financial Statements (Unaudited)</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2.</w:t>
            </w:r>
          </w:p>
        </w:tc>
        <w:tc>
          <w:tcPr>
            <w:tcW w:w="8380" w:type="dxa"/>
            <w:vAlign w:val="bottom"/>
          </w:tcPr>
          <w:p>
            <w:pPr>
              <w:ind w:left="10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Management’s Discussion and Analysis of Financial Condition and Results of Operations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3.</w:t>
            </w:r>
          </w:p>
        </w:tc>
        <w:tc>
          <w:tcPr>
            <w:tcW w:w="8380" w:type="dxa"/>
            <w:vAlign w:val="bottom"/>
          </w:tcPr>
          <w:p>
            <w:pPr>
              <w:ind w:left="10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Quantitative and Qualitative Disclosures About Market Risk</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Item 4</w:t>
            </w:r>
          </w:p>
        </w:tc>
        <w:tc>
          <w:tcPr>
            <w:tcW w:w="8380" w:type="dxa"/>
            <w:vAlign w:val="bottom"/>
          </w:tcPr>
          <w:p>
            <w:pPr>
              <w:ind w:left="10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Controls and Procedures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38"/>
        </w:trPr>
        <w:tc>
          <w:tcPr>
            <w:tcW w:w="860" w:type="dxa"/>
            <w:vAlign w:val="bottom"/>
          </w:tcPr>
          <w:p>
            <w:pPr>
              <w:spacing w:after="0"/>
              <w:rPr>
                <w:sz w:val="24"/>
                <w:szCs w:val="24"/>
                <w:color w:val="auto"/>
              </w:rPr>
            </w:pPr>
          </w:p>
        </w:tc>
        <w:tc>
          <w:tcPr>
            <w:tcW w:w="8380" w:type="dxa"/>
            <w:vAlign w:val="bottom"/>
          </w:tcPr>
          <w:p>
            <w:pPr>
              <w:ind w:left="2820"/>
              <w:spacing w:after="0"/>
              <w:rPr>
                <w:sz w:val="20"/>
                <w:szCs w:val="20"/>
                <w:color w:val="auto"/>
              </w:rPr>
            </w:pPr>
            <w:r>
              <w:rPr>
                <w:rFonts w:ascii="Arial" w:cs="Arial" w:eastAsia="Arial" w:hAnsi="Arial"/>
                <w:sz w:val="18"/>
                <w:szCs w:val="18"/>
                <w:b w:val="1"/>
                <w:bCs w:val="1"/>
                <w:color w:val="auto"/>
              </w:rPr>
              <w:t>PART II – OTHER INFORMATION</w:t>
            </w:r>
          </w:p>
        </w:tc>
        <w:tc>
          <w:tcPr>
            <w:tcW w:w="2000" w:type="dxa"/>
            <w:vAlign w:val="bottom"/>
          </w:tcPr>
          <w:p>
            <w:pPr>
              <w:spacing w:after="0"/>
              <w:rPr>
                <w:sz w:val="24"/>
                <w:szCs w:val="24"/>
                <w:color w:val="auto"/>
              </w:rPr>
            </w:pPr>
          </w:p>
        </w:tc>
      </w:tr>
      <w:tr>
        <w:trPr>
          <w:trHeight w:val="323"/>
        </w:trPr>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8380" w:type="dxa"/>
            <w:vAlign w:val="bottom"/>
          </w:tcPr>
          <w:p>
            <w:pPr>
              <w:ind w:left="10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Legal Proceedings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1A.</w:t>
            </w:r>
          </w:p>
        </w:tc>
        <w:tc>
          <w:tcPr>
            <w:tcW w:w="8380" w:type="dxa"/>
            <w:vAlign w:val="bottom"/>
          </w:tcPr>
          <w:p>
            <w:pPr>
              <w:ind w:left="10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Risk Factors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2.</w:t>
            </w:r>
          </w:p>
        </w:tc>
        <w:tc>
          <w:tcPr>
            <w:tcW w:w="8380" w:type="dxa"/>
            <w:vAlign w:val="bottom"/>
          </w:tcPr>
          <w:p>
            <w:pPr>
              <w:ind w:left="100"/>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Unregistered Sales of Equity Securities and Use of Proceeds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3.</w:t>
            </w:r>
          </w:p>
        </w:tc>
        <w:tc>
          <w:tcPr>
            <w:tcW w:w="8380" w:type="dxa"/>
            <w:vAlign w:val="bottom"/>
          </w:tcPr>
          <w:p>
            <w:pPr>
              <w:ind w:left="100"/>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Defaults Upon Senior Securities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4.</w:t>
            </w:r>
          </w:p>
        </w:tc>
        <w:tc>
          <w:tcPr>
            <w:tcW w:w="8380" w:type="dxa"/>
            <w:vAlign w:val="bottom"/>
          </w:tcPr>
          <w:p>
            <w:pPr>
              <w:ind w:left="100"/>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Mine Safety Disclosures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5.</w:t>
            </w:r>
          </w:p>
        </w:tc>
        <w:tc>
          <w:tcPr>
            <w:tcW w:w="8380" w:type="dxa"/>
            <w:vAlign w:val="bottom"/>
          </w:tcPr>
          <w:p>
            <w:pPr>
              <w:ind w:left="100"/>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Other Information</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6.</w:t>
            </w:r>
          </w:p>
        </w:tc>
        <w:tc>
          <w:tcPr>
            <w:tcW w:w="8380" w:type="dxa"/>
            <w:vAlign w:val="bottom"/>
          </w:tcPr>
          <w:p>
            <w:pPr>
              <w:ind w:left="10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Exhibits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860" w:type="dxa"/>
            <w:vAlign w:val="bottom"/>
          </w:tcPr>
          <w:p>
            <w:pPr>
              <w:spacing w:after="0"/>
              <w:rPr>
                <w:rFonts w:ascii="Arial" w:cs="Arial" w:eastAsia="Arial" w:hAnsi="Arial"/>
                <w:sz w:val="18"/>
                <w:szCs w:val="18"/>
                <w:u w:val="single" w:color="auto"/>
                <w:color w:val="0000EE"/>
                <w:w w:val="97"/>
              </w:rPr>
            </w:pPr>
            <w:hyperlink w:anchor="page80">
              <w:r>
                <w:rPr>
                  <w:rFonts w:ascii="Arial" w:cs="Arial" w:eastAsia="Arial" w:hAnsi="Arial"/>
                  <w:sz w:val="18"/>
                  <w:szCs w:val="18"/>
                  <w:u w:val="single" w:color="auto"/>
                  <w:color w:val="0000EE"/>
                  <w:w w:val="97"/>
                </w:rPr>
                <w:t>Signatures</w:t>
              </w:r>
            </w:hyperlink>
          </w:p>
        </w:tc>
        <w:tc>
          <w:tcPr>
            <w:tcW w:w="838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864"/>
        </w:trPr>
        <w:tc>
          <w:tcPr>
            <w:tcW w:w="860" w:type="dxa"/>
            <w:vAlign w:val="bottom"/>
          </w:tcPr>
          <w:p>
            <w:pPr>
              <w:spacing w:after="0"/>
              <w:rPr>
                <w:sz w:val="24"/>
                <w:szCs w:val="24"/>
                <w:color w:val="auto"/>
              </w:rPr>
            </w:pPr>
          </w:p>
        </w:tc>
        <w:tc>
          <w:tcPr>
            <w:tcW w:w="8380" w:type="dxa"/>
            <w:vAlign w:val="bottom"/>
          </w:tcPr>
          <w:p>
            <w:pPr>
              <w:ind w:left="4720"/>
              <w:spacing w:after="0"/>
              <w:rPr>
                <w:sz w:val="20"/>
                <w:szCs w:val="20"/>
                <w:color w:val="auto"/>
              </w:rPr>
            </w:pPr>
            <w:r>
              <w:rPr>
                <w:rFonts w:ascii="Arial" w:cs="Arial" w:eastAsia="Arial" w:hAnsi="Arial"/>
                <w:sz w:val="18"/>
                <w:szCs w:val="18"/>
                <w:color w:val="auto"/>
              </w:rPr>
              <w:t>2</w:t>
            </w:r>
          </w:p>
        </w:tc>
        <w:tc>
          <w:tcPr>
            <w:tcW w:w="2000" w:type="dxa"/>
            <w:vAlign w:val="bottom"/>
          </w:tcPr>
          <w:p>
            <w:pPr>
              <w:spacing w:after="0"/>
              <w:rPr>
                <w:sz w:val="24"/>
                <w:szCs w:val="24"/>
                <w:color w:val="auto"/>
              </w:rPr>
            </w:pPr>
          </w:p>
        </w:tc>
      </w:tr>
      <w:tr>
        <w:trPr>
          <w:trHeight w:val="115"/>
        </w:trPr>
        <w:tc>
          <w:tcPr>
            <w:tcW w:w="860" w:type="dxa"/>
            <w:vAlign w:val="bottom"/>
            <w:tcBorders>
              <w:bottom w:val="single" w:sz="8" w:color="9A9A9A"/>
            </w:tcBorders>
          </w:tcPr>
          <w:p>
            <w:pPr>
              <w:spacing w:after="0"/>
              <w:rPr>
                <w:sz w:val="10"/>
                <w:szCs w:val="10"/>
                <w:color w:val="auto"/>
              </w:rPr>
            </w:pPr>
          </w:p>
        </w:tc>
        <w:tc>
          <w:tcPr>
            <w:tcW w:w="838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Quarterly Report on Form 10-Q contains certain forward-looking statements that involve risks and uncertainties.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“projection,”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8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 number of important factors could cause our actual results to differ materially from those indicated in these forward-looking statements, including those factors identified in “Risk Factors” or “Management’s Discussion and Analysis of Financial Condition and Results of Operations” or the following:</w:t>
      </w:r>
    </w:p>
    <w:p>
      <w:pPr>
        <w:spacing w:after="0" w:line="29" w:lineRule="exact"/>
        <w:rPr>
          <w:sz w:val="20"/>
          <w:szCs w:val="20"/>
          <w:color w:val="auto"/>
        </w:rPr>
      </w:pPr>
    </w:p>
    <w:p>
      <w:pPr>
        <w:ind w:left="880" w:right="200" w:hanging="508"/>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extent to which the COVID-19 coronavirus and related governmental regulations and restrictions may impact our business, including our research, clinical trials, manufacturing and financial condition;</w:t>
      </w:r>
    </w:p>
    <w:p>
      <w:pPr>
        <w:spacing w:after="0" w:line="75" w:lineRule="exact"/>
        <w:rPr>
          <w:rFonts w:ascii="Arial" w:cs="Arial" w:eastAsia="Arial" w:hAnsi="Arial"/>
          <w:sz w:val="18"/>
          <w:szCs w:val="18"/>
          <w:color w:val="auto"/>
        </w:rPr>
      </w:pPr>
    </w:p>
    <w:p>
      <w:pPr>
        <w:ind w:left="880" w:right="580" w:hanging="508"/>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benefits, activity, effectiveness and safety of our product candidates and therapeutics developed utilizing our Probody® platform technology;</w:t>
      </w:r>
    </w:p>
    <w:p>
      <w:pPr>
        <w:spacing w:after="0" w:line="75" w:lineRule="exact"/>
        <w:rPr>
          <w:rFonts w:ascii="Arial" w:cs="Arial" w:eastAsia="Arial" w:hAnsi="Arial"/>
          <w:sz w:val="18"/>
          <w:szCs w:val="18"/>
          <w:color w:val="auto"/>
        </w:rPr>
      </w:pPr>
    </w:p>
    <w:p>
      <w:pPr>
        <w:ind w:left="880" w:right="40" w:hanging="508"/>
        <w:spacing w:after="0" w:line="263"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ongoing clinical trials, research and development programs, preclinical studies, and regulatory submissions, including Investigational New Drug (“IND”) applications, Clinical Trial Applications, New Drug Applications (“NDA”) and, Biologics License Applications (“BLA”);</w:t>
      </w:r>
    </w:p>
    <w:p>
      <w:pPr>
        <w:spacing w:after="0" w:line="89" w:lineRule="exact"/>
        <w:rPr>
          <w:rFonts w:ascii="Arial" w:cs="Arial" w:eastAsia="Arial" w:hAnsi="Arial"/>
          <w:sz w:val="18"/>
          <w:szCs w:val="18"/>
          <w:color w:val="auto"/>
        </w:rPr>
      </w:pPr>
    </w:p>
    <w:p>
      <w:pPr>
        <w:ind w:left="880" w:hanging="508"/>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completion of our ongoing clinical trials and the timing and availability of clinical data from such clinical trials;</w:t>
      </w:r>
    </w:p>
    <w:p>
      <w:pPr>
        <w:spacing w:after="0" w:line="130" w:lineRule="exact"/>
        <w:rPr>
          <w:rFonts w:ascii="Arial" w:cs="Arial" w:eastAsia="Arial" w:hAnsi="Arial"/>
          <w:sz w:val="18"/>
          <w:szCs w:val="18"/>
          <w:color w:val="auto"/>
        </w:rPr>
      </w:pPr>
    </w:p>
    <w:p>
      <w:pPr>
        <w:ind w:left="880" w:hanging="508"/>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develop additional product candidates;</w:t>
      </w:r>
    </w:p>
    <w:p>
      <w:pPr>
        <w:spacing w:after="0" w:line="130" w:lineRule="exact"/>
        <w:rPr>
          <w:rFonts w:ascii="Arial" w:cs="Arial" w:eastAsia="Arial" w:hAnsi="Arial"/>
          <w:sz w:val="18"/>
          <w:szCs w:val="18"/>
          <w:color w:val="auto"/>
        </w:rPr>
      </w:pPr>
    </w:p>
    <w:p>
      <w:pPr>
        <w:ind w:left="880" w:right="1020" w:hanging="508"/>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collaborators for developing, obtaining regulatory approval for and commercializing product candidates in the collaboration;</w:t>
      </w:r>
    </w:p>
    <w:p>
      <w:pPr>
        <w:spacing w:after="0" w:line="75" w:lineRule="exact"/>
        <w:rPr>
          <w:rFonts w:ascii="Arial" w:cs="Arial" w:eastAsia="Arial" w:hAnsi="Arial"/>
          <w:sz w:val="18"/>
          <w:szCs w:val="18"/>
          <w:color w:val="auto"/>
        </w:rPr>
      </w:pPr>
    </w:p>
    <w:p>
      <w:pPr>
        <w:ind w:left="880" w:hanging="508"/>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or a collaborator’s ability to obtain and maintain regulatory approval of any of our product candidates;</w:t>
      </w:r>
    </w:p>
    <w:p>
      <w:pPr>
        <w:spacing w:after="0" w:line="130" w:lineRule="exact"/>
        <w:rPr>
          <w:rFonts w:ascii="Arial" w:cs="Arial" w:eastAsia="Arial" w:hAnsi="Arial"/>
          <w:sz w:val="18"/>
          <w:szCs w:val="18"/>
          <w:color w:val="auto"/>
        </w:rPr>
      </w:pPr>
    </w:p>
    <w:p>
      <w:pPr>
        <w:ind w:left="880" w:hanging="508"/>
        <w:spacing w:after="0"/>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receipt and timing of any milestone payments or royalties under any research collaboration and license agreements or arrangements;</w:t>
      </w:r>
    </w:p>
    <w:p>
      <w:pPr>
        <w:spacing w:after="0" w:line="142" w:lineRule="exact"/>
        <w:rPr>
          <w:rFonts w:ascii="Arial" w:cs="Arial" w:eastAsia="Arial" w:hAnsi="Arial"/>
          <w:sz w:val="17"/>
          <w:szCs w:val="17"/>
          <w:color w:val="auto"/>
        </w:rPr>
      </w:pPr>
    </w:p>
    <w:p>
      <w:pPr>
        <w:ind w:left="880" w:hanging="508"/>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and beliefs regarding the evolution of the market for cancer therapies and development of the oncology industry;</w:t>
      </w:r>
    </w:p>
    <w:p>
      <w:pPr>
        <w:spacing w:after="0" w:line="130" w:lineRule="exact"/>
        <w:rPr>
          <w:rFonts w:ascii="Arial" w:cs="Arial" w:eastAsia="Arial" w:hAnsi="Arial"/>
          <w:sz w:val="18"/>
          <w:szCs w:val="18"/>
          <w:color w:val="auto"/>
        </w:rPr>
      </w:pPr>
    </w:p>
    <w:p>
      <w:pPr>
        <w:ind w:left="880" w:hanging="508"/>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any approved product candidates;</w:t>
      </w:r>
    </w:p>
    <w:p>
      <w:pPr>
        <w:spacing w:after="0" w:line="130" w:lineRule="exact"/>
        <w:rPr>
          <w:rFonts w:ascii="Arial" w:cs="Arial" w:eastAsia="Arial" w:hAnsi="Arial"/>
          <w:sz w:val="18"/>
          <w:szCs w:val="18"/>
          <w:color w:val="auto"/>
        </w:rPr>
      </w:pPr>
    </w:p>
    <w:p>
      <w:pPr>
        <w:ind w:left="880" w:hanging="508"/>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of any approved product candidates;</w:t>
      </w:r>
    </w:p>
    <w:p>
      <w:pPr>
        <w:spacing w:after="0" w:line="130" w:lineRule="exact"/>
        <w:rPr>
          <w:rFonts w:ascii="Arial" w:cs="Arial" w:eastAsia="Arial" w:hAnsi="Arial"/>
          <w:sz w:val="18"/>
          <w:szCs w:val="18"/>
          <w:color w:val="auto"/>
        </w:rPr>
      </w:pPr>
    </w:p>
    <w:p>
      <w:pPr>
        <w:ind w:left="880" w:hanging="508"/>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and retain commercial rights for our product candidates in such collaborations;</w:t>
      </w:r>
    </w:p>
    <w:p>
      <w:pPr>
        <w:spacing w:after="0" w:line="130" w:lineRule="exact"/>
        <w:rPr>
          <w:rFonts w:ascii="Arial" w:cs="Arial" w:eastAsia="Arial" w:hAnsi="Arial"/>
          <w:sz w:val="18"/>
          <w:szCs w:val="18"/>
          <w:color w:val="auto"/>
        </w:rPr>
      </w:pPr>
    </w:p>
    <w:p>
      <w:pPr>
        <w:ind w:left="880" w:hanging="508"/>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technologies and product candidates;</w:t>
      </w:r>
    </w:p>
    <w:p>
      <w:pPr>
        <w:spacing w:after="0" w:line="130" w:lineRule="exact"/>
        <w:rPr>
          <w:rFonts w:ascii="Arial" w:cs="Arial" w:eastAsia="Arial" w:hAnsi="Arial"/>
          <w:sz w:val="18"/>
          <w:szCs w:val="18"/>
          <w:color w:val="auto"/>
        </w:rPr>
      </w:pPr>
    </w:p>
    <w:p>
      <w:pPr>
        <w:ind w:left="880" w:hanging="508"/>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our expenses, ongoing losses, future revenue and capital requirements;</w:t>
      </w:r>
    </w:p>
    <w:p>
      <w:pPr>
        <w:spacing w:after="0" w:line="130" w:lineRule="exact"/>
        <w:rPr>
          <w:rFonts w:ascii="Arial" w:cs="Arial" w:eastAsia="Arial" w:hAnsi="Arial"/>
          <w:sz w:val="18"/>
          <w:szCs w:val="18"/>
          <w:color w:val="auto"/>
        </w:rPr>
      </w:pPr>
    </w:p>
    <w:p>
      <w:pPr>
        <w:ind w:left="880" w:hanging="508"/>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funds for our operations;</w:t>
      </w:r>
    </w:p>
    <w:p>
      <w:pPr>
        <w:spacing w:after="0" w:line="130" w:lineRule="exact"/>
        <w:rPr>
          <w:rFonts w:ascii="Arial" w:cs="Arial" w:eastAsia="Arial" w:hAnsi="Arial"/>
          <w:sz w:val="18"/>
          <w:szCs w:val="18"/>
          <w:color w:val="auto"/>
        </w:rPr>
      </w:pPr>
    </w:p>
    <w:p>
      <w:pPr>
        <w:ind w:left="880" w:right="340" w:hanging="508"/>
        <w:spacing w:after="0" w:line="342" w:lineRule="auto"/>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or any collaborator’s ability to obtain and maintain intellectual property protection for our technologies and product candidates and our ability to operate our business without infringing, misappropriating or otherwise violating the intellectual property rights of others;</w:t>
      </w:r>
    </w:p>
    <w:p>
      <w:pPr>
        <w:spacing w:after="0" w:line="29" w:lineRule="exact"/>
        <w:rPr>
          <w:rFonts w:ascii="Arial" w:cs="Arial" w:eastAsia="Arial" w:hAnsi="Arial"/>
          <w:sz w:val="16"/>
          <w:szCs w:val="16"/>
          <w:color w:val="auto"/>
        </w:rPr>
      </w:pPr>
    </w:p>
    <w:p>
      <w:pPr>
        <w:ind w:left="880" w:hanging="508"/>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conduct our preclinical studies or any future clinical trials;</w:t>
      </w:r>
    </w:p>
    <w:p>
      <w:pPr>
        <w:spacing w:after="0" w:line="130" w:lineRule="exact"/>
        <w:rPr>
          <w:rFonts w:ascii="Arial" w:cs="Arial" w:eastAsia="Arial" w:hAnsi="Arial"/>
          <w:sz w:val="18"/>
          <w:szCs w:val="18"/>
          <w:color w:val="auto"/>
        </w:rPr>
      </w:pPr>
    </w:p>
    <w:p>
      <w:pPr>
        <w:ind w:left="880" w:right="180" w:hanging="508"/>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third-party supply and manufacturing partners to supply the materials and components for, and manufacture, our research and development, preclinical and clinical trial product supplies;</w:t>
      </w:r>
    </w:p>
    <w:p>
      <w:pPr>
        <w:spacing w:after="0" w:line="75" w:lineRule="exact"/>
        <w:rPr>
          <w:rFonts w:ascii="Arial" w:cs="Arial" w:eastAsia="Arial" w:hAnsi="Arial"/>
          <w:sz w:val="18"/>
          <w:szCs w:val="18"/>
          <w:color w:val="auto"/>
        </w:rPr>
      </w:pPr>
    </w:p>
    <w:p>
      <w:pPr>
        <w:ind w:left="880" w:hanging="508"/>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key management and technical personnel;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 w:name="page4"/>
    <w:bookmarkEnd w:id="3"/>
    <w:p>
      <w:pPr>
        <w:ind w:left="880" w:hanging="508"/>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secure and maintain licenses of intellectual property to protect our technologies and product candidates;</w:t>
      </w:r>
    </w:p>
    <w:p>
      <w:pPr>
        <w:spacing w:after="0" w:line="130" w:lineRule="exact"/>
        <w:rPr>
          <w:rFonts w:ascii="Arial" w:cs="Arial" w:eastAsia="Arial" w:hAnsi="Arial"/>
          <w:sz w:val="18"/>
          <w:szCs w:val="18"/>
          <w:color w:val="auto"/>
        </w:rPr>
      </w:pPr>
    </w:p>
    <w:p>
      <w:pPr>
        <w:ind w:left="880" w:hanging="508"/>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30" w:lineRule="exact"/>
        <w:rPr>
          <w:rFonts w:ascii="Arial" w:cs="Arial" w:eastAsia="Arial" w:hAnsi="Arial"/>
          <w:sz w:val="18"/>
          <w:szCs w:val="18"/>
          <w:color w:val="auto"/>
        </w:rPr>
      </w:pPr>
    </w:p>
    <w:p>
      <w:pPr>
        <w:ind w:left="880" w:hanging="508"/>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or our industry.</w:t>
      </w:r>
    </w:p>
    <w:p>
      <w:pPr>
        <w:spacing w:after="0" w:line="22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discussed elsewhere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9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This Quarterly Report on Form 10-Q also contains estimates, projections and other information concerning our industry, our business and the markets for certain drugs and therapeutic biologics,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In some cases, we do not expressly refer to the sources from which these data are derived.</w:t>
      </w:r>
    </w:p>
    <w:p>
      <w:pPr>
        <w:spacing w:after="0" w:line="1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Except where the context otherwise requires, in this Quarterly Report on Form 10-Q, “we,” “us,” “our” and the “Company” refer to CytomX Therapeutics, Inc.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This Quarterly Report on Form 10-Q includes trademarks, service marks and trade names owned by us or other companies. All trademarks, service marks and trade names included in this Quarterly Report on Form 10-Q are the property of their respective owners.</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6600" w:type="dxa"/>
            <w:vAlign w:val="bottom"/>
          </w:tcPr>
          <w:p>
            <w:pPr>
              <w:jc w:val="center"/>
              <w:ind w:left="2310"/>
              <w:spacing w:after="0"/>
              <w:rPr>
                <w:sz w:val="20"/>
                <w:szCs w:val="20"/>
                <w:color w:val="auto"/>
              </w:rPr>
            </w:pPr>
            <w:r>
              <w:rPr>
                <w:rFonts w:ascii="Arial" w:cs="Arial" w:eastAsia="Arial" w:hAnsi="Arial"/>
                <w:sz w:val="18"/>
                <w:szCs w:val="18"/>
                <w:b w:val="1"/>
                <w:bCs w:val="1"/>
                <w:color w:val="auto"/>
              </w:rPr>
              <w:t>PART I – FINANCIAL INFORMATION</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600" w:type="dxa"/>
            <w:vAlign w:val="bottom"/>
          </w:tcPr>
          <w:p>
            <w:pPr>
              <w:ind w:left="40"/>
              <w:spacing w:after="0"/>
              <w:rPr>
                <w:sz w:val="20"/>
                <w:szCs w:val="20"/>
                <w:color w:val="auto"/>
              </w:rPr>
            </w:pPr>
            <w:r>
              <w:rPr>
                <w:rFonts w:ascii="Arial" w:cs="Arial" w:eastAsia="Arial" w:hAnsi="Arial"/>
                <w:sz w:val="18"/>
                <w:szCs w:val="18"/>
                <w:b w:val="1"/>
                <w:bCs w:val="1"/>
                <w:color w:val="auto"/>
              </w:rPr>
              <w:t>Condensed Financial Statements (Unaudited)</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20" w:type="dxa"/>
            <w:vAlign w:val="bottom"/>
          </w:tcPr>
          <w:p>
            <w:pPr>
              <w:spacing w:after="0"/>
              <w:rPr>
                <w:sz w:val="24"/>
                <w:szCs w:val="24"/>
                <w:color w:val="auto"/>
              </w:rPr>
            </w:pPr>
          </w:p>
        </w:tc>
        <w:tc>
          <w:tcPr>
            <w:tcW w:w="6600" w:type="dxa"/>
            <w:vAlign w:val="bottom"/>
          </w:tcPr>
          <w:p>
            <w:pPr>
              <w:jc w:val="center"/>
              <w:ind w:left="2330"/>
              <w:spacing w:after="0"/>
              <w:rPr>
                <w:sz w:val="20"/>
                <w:szCs w:val="20"/>
                <w:color w:val="auto"/>
              </w:rPr>
            </w:pPr>
            <w:r>
              <w:rPr>
                <w:rFonts w:ascii="Arial" w:cs="Arial" w:eastAsia="Arial" w:hAnsi="Arial"/>
                <w:sz w:val="18"/>
                <w:szCs w:val="18"/>
                <w:b w:val="1"/>
                <w:bCs w:val="1"/>
                <w:color w:val="auto"/>
              </w:rPr>
              <w:t>CYTOMX THERAPEUTICS, INC.</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600" w:type="dxa"/>
            <w:vAlign w:val="bottom"/>
          </w:tcPr>
          <w:p>
            <w:pPr>
              <w:jc w:val="center"/>
              <w:ind w:left="2310"/>
              <w:spacing w:after="0"/>
              <w:rPr>
                <w:sz w:val="20"/>
                <w:szCs w:val="20"/>
                <w:color w:val="auto"/>
              </w:rPr>
            </w:pPr>
            <w:r>
              <w:rPr>
                <w:rFonts w:ascii="Arial" w:cs="Arial" w:eastAsia="Arial" w:hAnsi="Arial"/>
                <w:sz w:val="18"/>
                <w:szCs w:val="18"/>
                <w:b w:val="1"/>
                <w:bCs w:val="1"/>
                <w:color w:val="auto"/>
                <w:w w:val="98"/>
              </w:rPr>
              <w:t>CONDENSED BALANCE SHEETS</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6600" w:type="dxa"/>
            <w:vAlign w:val="bottom"/>
          </w:tcPr>
          <w:p>
            <w:pPr>
              <w:jc w:val="center"/>
              <w:ind w:left="233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6"/>
        </w:trPr>
        <w:tc>
          <w:tcPr>
            <w:tcW w:w="11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June 30,</w:t>
            </w:r>
          </w:p>
        </w:tc>
        <w:tc>
          <w:tcPr>
            <w:tcW w:w="240" w:type="dxa"/>
            <w:vAlign w:val="bottom"/>
          </w:tcPr>
          <w:p>
            <w:pPr>
              <w:spacing w:after="0"/>
              <w:rPr>
                <w:sz w:val="24"/>
                <w:szCs w:val="2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1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center"/>
              <w:ind w:right="172"/>
              <w:spacing w:after="0" w:line="155" w:lineRule="exact"/>
              <w:rPr>
                <w:sz w:val="20"/>
                <w:szCs w:val="20"/>
                <w:color w:val="auto"/>
              </w:rPr>
            </w:pPr>
            <w:r>
              <w:rPr>
                <w:rFonts w:ascii="Arial" w:cs="Arial" w:eastAsia="Arial" w:hAnsi="Arial"/>
                <w:sz w:val="14"/>
                <w:szCs w:val="14"/>
                <w:b w:val="1"/>
                <w:bCs w:val="1"/>
                <w:color w:val="auto"/>
                <w:w w:val="97"/>
              </w:rPr>
              <w:t>(Unaudited)</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ind w:right="632"/>
              <w:spacing w:after="0" w:line="155" w:lineRule="exact"/>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20"/>
                <w:szCs w:val="20"/>
                <w:color w:val="auto"/>
              </w:rPr>
            </w:pPr>
            <w:r>
              <w:rPr>
                <w:rFonts w:ascii="Arial" w:cs="Arial" w:eastAsia="Arial" w:hAnsi="Arial"/>
                <w:sz w:val="18"/>
                <w:szCs w:val="18"/>
                <w:color w:val="auto"/>
                <w:w w:val="90"/>
              </w:rPr>
              <w:t>Current assets:</w:t>
            </w:r>
          </w:p>
        </w:tc>
        <w:tc>
          <w:tcPr>
            <w:tcW w:w="6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291,388</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188,425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55,013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107,720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Income tax receivable</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13,061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6,898</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366,566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303,335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7,461</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1,240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6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20"/>
                <w:szCs w:val="20"/>
                <w:color w:val="auto"/>
              </w:rPr>
            </w:pPr>
            <w:r>
              <w:rPr>
                <w:rFonts w:ascii="Arial" w:cs="Arial" w:eastAsia="Arial" w:hAnsi="Arial"/>
                <w:sz w:val="18"/>
                <w:szCs w:val="18"/>
                <w:color w:val="auto"/>
                <w:w w:val="88"/>
              </w:rPr>
              <w:t>Restricted cash</w:t>
            </w:r>
          </w:p>
        </w:tc>
        <w:tc>
          <w:tcPr>
            <w:tcW w:w="6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right-of-use asset</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23,967</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66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66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402,479</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341,282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4,927</w:t>
            </w:r>
          </w:p>
        </w:tc>
        <w:tc>
          <w:tcPr>
            <w:tcW w:w="2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21,147</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Deferred revenue, current portion</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72,711</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51,381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98,785</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Deferred revenue, net of current portion</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221,542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178,858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liabilities - long term</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23,323</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spacing w:after="0"/>
              <w:rPr>
                <w:sz w:val="19"/>
                <w:szCs w:val="19"/>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7"/>
              </w:rPr>
              <w:t>Total liabilities</w:t>
            </w:r>
          </w:p>
        </w:tc>
        <w:tc>
          <w:tcPr>
            <w:tcW w:w="66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343,650</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290,169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Commitments and contingencies (Note 11)</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gridSpan w:val="2"/>
          </w:tcPr>
          <w:p>
            <w:pPr>
              <w:spacing w:after="0"/>
              <w:rPr>
                <w:sz w:val="20"/>
                <w:szCs w:val="20"/>
                <w:color w:val="auto"/>
              </w:rPr>
            </w:pPr>
            <w:r>
              <w:rPr>
                <w:rFonts w:ascii="Arial" w:cs="Arial" w:eastAsia="Arial" w:hAnsi="Arial"/>
                <w:sz w:val="18"/>
                <w:szCs w:val="18"/>
                <w:color w:val="auto"/>
                <w:w w:val="91"/>
              </w:rPr>
              <w:t>Convertible preferred stock, $0.00001 par value; 10,000,000 shares authorized; and no shares issued and</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outstanding at June 30, 2020 and December 31, 2019.</w:t>
            </w:r>
          </w:p>
        </w:tc>
        <w:tc>
          <w:tcPr>
            <w:tcW w:w="260" w:type="dxa"/>
            <w:vAlign w:val="bottom"/>
          </w:tcPr>
          <w:p>
            <w:pPr>
              <w:spacing w:after="0"/>
              <w:rPr>
                <w:sz w:val="20"/>
                <w:szCs w:val="20"/>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4"/>
              </w:rPr>
              <w:t>Common stock, $0.00001 par value; 150,000,000 and 75,000,000 shares authorized at June 30, 2020</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1"/>
              </w:rPr>
              <w:t>and December 31, 2019, respectively; 46,190,070 and 45,523,088 shares issued and outstanding at June</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30, 2020 and December 31, 2019, respectively</w:t>
            </w: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479,516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468,285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(420,704)</w:t>
            </w:r>
          </w:p>
        </w:tc>
        <w:tc>
          <w:tcPr>
            <w:tcW w:w="24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(417,230)</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58,829</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51,113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402,479</w:t>
            </w:r>
          </w:p>
        </w:tc>
        <w:tc>
          <w:tcPr>
            <w:tcW w:w="2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341,282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color w:val="auto"/>
              </w:rPr>
              <w:t>__________________</w:t>
            </w: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2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00" w:right="100" w:hanging="492"/>
        <w:spacing w:after="0" w:line="277" w:lineRule="auto"/>
        <w:tabs>
          <w:tab w:leader="none" w:pos="500" w:val="left"/>
        </w:tabs>
        <w:numPr>
          <w:ilvl w:val="0"/>
          <w:numId w:val="5"/>
        </w:numPr>
        <w:rPr>
          <w:rFonts w:ascii="Arial" w:cs="Arial" w:eastAsia="Arial" w:hAnsi="Arial"/>
          <w:sz w:val="15"/>
          <w:szCs w:val="15"/>
          <w:color w:val="auto"/>
        </w:rPr>
      </w:pPr>
      <w:r>
        <w:rPr>
          <w:rFonts w:ascii="Arial" w:cs="Arial" w:eastAsia="Arial" w:hAnsi="Arial"/>
          <w:sz w:val="18"/>
          <w:szCs w:val="18"/>
          <w:color w:val="auto"/>
        </w:rPr>
        <w:t>The condensed balance sheet as of December 31, 2019 was derived from the audited financial statements included in the Company's Annual Report on Form 10-K for the year ended December 31, 2019.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4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16,608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66,201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24,066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30,835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66,880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8,680</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9,411</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18,252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32,746</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40,246</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85,132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(16,138)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(31,233)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(18,931)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(47,798)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(15,679)</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(28,960)</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(17,385)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(43,091)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Benefit from income taxes</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(13,911)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(15,679)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(28,960)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(43,085)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2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Borders>
              <w:bottom w:val="single" w:sz="8" w:color="CFF0FC"/>
            </w:tcBorders>
            <w:vMerge w:val="continue"/>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24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24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Shares used to compute net loss per share, basic and diluted</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46,057,063</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45,340,023</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45,890,510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45,231,239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 (loss) on short-term investments, net of tax</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(320)</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Impact of adoption of new accounting pronouncement</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(15,999)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(28,824)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(42,783)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3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r>
      <w:tr>
        <w:trPr>
          <w:trHeight w:val="171"/>
        </w:trPr>
        <w:tc>
          <w:tcPr>
            <w:tcW w:w="3200" w:type="dxa"/>
            <w:vAlign w:val="bottom"/>
          </w:tcPr>
          <w:p>
            <w:pPr>
              <w:spacing w:after="0"/>
              <w:rPr>
                <w:sz w:val="14"/>
                <w:szCs w:val="14"/>
                <w:color w:val="auto"/>
              </w:rPr>
            </w:pPr>
          </w:p>
        </w:tc>
        <w:tc>
          <w:tcPr>
            <w:tcW w:w="2280" w:type="dxa"/>
            <w:vAlign w:val="bottom"/>
            <w:tcBorders>
              <w:bottom w:val="single" w:sz="8" w:color="auto"/>
            </w:tcBorders>
            <w:gridSpan w:val="3"/>
          </w:tcPr>
          <w:p>
            <w:pPr>
              <w:jc w:val="right"/>
              <w:ind w:right="507"/>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Paid-in</w:t>
            </w:r>
          </w:p>
        </w:tc>
        <w:tc>
          <w:tcPr>
            <w:tcW w:w="14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1160" w:type="dxa"/>
            <w:vAlign w:val="bottom"/>
            <w:gridSpan w:val="2"/>
          </w:tcPr>
          <w:p>
            <w:pPr>
              <w:jc w:val="center"/>
              <w:ind w:right="241"/>
              <w:spacing w:after="0"/>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9"/>
              </w:rPr>
              <w:t>Stockholders'</w:t>
            </w:r>
          </w:p>
        </w:tc>
      </w:tr>
      <w:tr>
        <w:trPr>
          <w:trHeight w:val="156"/>
        </w:trPr>
        <w:tc>
          <w:tcPr>
            <w:tcW w:w="3200" w:type="dxa"/>
            <w:vAlign w:val="bottom"/>
          </w:tcPr>
          <w:p>
            <w:pPr>
              <w:spacing w:after="0"/>
              <w:rPr>
                <w:sz w:val="13"/>
                <w:szCs w:val="13"/>
                <w:color w:val="auto"/>
              </w:rPr>
            </w:pPr>
          </w:p>
        </w:tc>
        <w:tc>
          <w:tcPr>
            <w:tcW w:w="1480" w:type="dxa"/>
            <w:vAlign w:val="bottom"/>
            <w:gridSpan w:val="2"/>
          </w:tcPr>
          <w:p>
            <w:pPr>
              <w:ind w:left="300"/>
              <w:spacing w:after="0" w:line="155" w:lineRule="exact"/>
              <w:rPr>
                <w:sz w:val="20"/>
                <w:szCs w:val="20"/>
                <w:color w:val="auto"/>
              </w:rPr>
            </w:pPr>
            <w:r>
              <w:rPr>
                <w:rFonts w:ascii="Arial" w:cs="Arial" w:eastAsia="Arial" w:hAnsi="Arial"/>
                <w:sz w:val="14"/>
                <w:szCs w:val="14"/>
                <w:b w:val="1"/>
                <w:bCs w:val="1"/>
                <w:color w:val="auto"/>
              </w:rPr>
              <w:t>Shares</w:t>
            </w:r>
          </w:p>
        </w:tc>
        <w:tc>
          <w:tcPr>
            <w:tcW w:w="8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580"/>
              <w:spacing w:after="0" w:line="155" w:lineRule="exact"/>
              <w:rPr>
                <w:sz w:val="20"/>
                <w:szCs w:val="20"/>
                <w:color w:val="auto"/>
              </w:rPr>
            </w:pPr>
            <w:r>
              <w:rPr>
                <w:rFonts w:ascii="Arial" w:cs="Arial" w:eastAsia="Arial" w:hAnsi="Arial"/>
                <w:sz w:val="14"/>
                <w:szCs w:val="14"/>
                <w:b w:val="1"/>
                <w:bCs w:val="1"/>
                <w:color w:val="auto"/>
                <w:w w:val="98"/>
              </w:rPr>
              <w:t>Capital</w:t>
            </w:r>
          </w:p>
        </w:tc>
        <w:tc>
          <w:tcPr>
            <w:tcW w:w="1480" w:type="dxa"/>
            <w:vAlign w:val="bottom"/>
            <w:gridSpan w:val="3"/>
          </w:tcPr>
          <w:p>
            <w:pPr>
              <w:jc w:val="center"/>
              <w:ind w:right="440"/>
              <w:spacing w:after="0" w:line="155" w:lineRule="exact"/>
              <w:rPr>
                <w:sz w:val="20"/>
                <w:szCs w:val="20"/>
                <w:color w:val="auto"/>
              </w:rPr>
            </w:pPr>
            <w:r>
              <w:rPr>
                <w:rFonts w:ascii="Arial" w:cs="Arial" w:eastAsia="Arial" w:hAnsi="Arial"/>
                <w:sz w:val="14"/>
                <w:szCs w:val="14"/>
                <w:b w:val="1"/>
                <w:bCs w:val="1"/>
                <w:color w:val="auto"/>
                <w:w w:val="92"/>
              </w:rPr>
              <w:t>Income/(Loss)</w:t>
            </w:r>
          </w:p>
        </w:tc>
        <w:tc>
          <w:tcPr>
            <w:tcW w:w="100" w:type="dxa"/>
            <w:vAlign w:val="bottom"/>
          </w:tcPr>
          <w:p>
            <w:pPr>
              <w:spacing w:after="0"/>
              <w:rPr>
                <w:sz w:val="13"/>
                <w:szCs w:val="13"/>
                <w:color w:val="auto"/>
              </w:rPr>
            </w:pPr>
          </w:p>
        </w:tc>
        <w:tc>
          <w:tcPr>
            <w:tcW w:w="1160" w:type="dxa"/>
            <w:vAlign w:val="bottom"/>
            <w:gridSpan w:val="2"/>
          </w:tcPr>
          <w:p>
            <w:pPr>
              <w:jc w:val="center"/>
              <w:ind w:right="241"/>
              <w:spacing w:after="0" w:line="155" w:lineRule="exact"/>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8"/>
              </w:rPr>
              <w:t>Equity</w:t>
            </w:r>
          </w:p>
        </w:tc>
      </w:tr>
      <w:tr>
        <w:trPr>
          <w:trHeight w:val="223"/>
        </w:trPr>
        <w:tc>
          <w:tcPr>
            <w:tcW w:w="3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2019</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45,523,088</w:t>
            </w:r>
          </w:p>
        </w:tc>
        <w:tc>
          <w:tcPr>
            <w:tcW w:w="4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4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468,285</w:t>
            </w:r>
          </w:p>
        </w:tc>
        <w:tc>
          <w:tcPr>
            <w:tcW w:w="4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4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(417,230)</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51,113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040" w:type="dxa"/>
            <w:vAlign w:val="bottom"/>
          </w:tcPr>
          <w:p>
            <w:pPr>
              <w:jc w:val="right"/>
              <w:spacing w:after="0"/>
              <w:rPr>
                <w:sz w:val="20"/>
                <w:szCs w:val="20"/>
                <w:color w:val="auto"/>
              </w:rPr>
            </w:pPr>
            <w:r>
              <w:rPr>
                <w:rFonts w:ascii="Arial" w:cs="Arial" w:eastAsia="Arial" w:hAnsi="Arial"/>
                <w:sz w:val="18"/>
                <w:szCs w:val="18"/>
                <w:color w:val="auto"/>
              </w:rPr>
              <w:t>395,528</w:t>
            </w: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2,157</w:t>
            </w:r>
          </w:p>
        </w:tc>
        <w:tc>
          <w:tcPr>
            <w:tcW w:w="80" w:type="dxa"/>
            <w:vAlign w:val="bottom"/>
          </w:tcPr>
          <w:p>
            <w:pPr>
              <w:spacing w:after="0"/>
              <w:rPr>
                <w:sz w:val="19"/>
                <w:szCs w:val="19"/>
                <w:color w:val="auto"/>
              </w:rPr>
            </w:pPr>
          </w:p>
        </w:tc>
      </w:tr>
      <w:tr>
        <w:trPr>
          <w:trHeight w:val="229"/>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4,013</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4,013</w:t>
            </w:r>
          </w:p>
        </w:tc>
        <w:tc>
          <w:tcPr>
            <w:tcW w:w="80" w:type="dxa"/>
            <w:vAlign w:val="bottom"/>
            <w:shd w:val="clear" w:color="auto" w:fill="CFF0FC"/>
          </w:tcPr>
          <w:p>
            <w:pPr>
              <w:spacing w:after="0"/>
              <w:rPr>
                <w:sz w:val="19"/>
                <w:szCs w:val="19"/>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279</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279</w:t>
            </w:r>
          </w:p>
        </w:tc>
        <w:tc>
          <w:tcPr>
            <w:tcW w:w="80" w:type="dxa"/>
            <w:vAlign w:val="bottom"/>
          </w:tcPr>
          <w:p>
            <w:pPr>
              <w:spacing w:after="0"/>
              <w:rPr>
                <w:sz w:val="19"/>
                <w:szCs w:val="19"/>
                <w:color w:val="auto"/>
              </w:rPr>
            </w:pPr>
          </w:p>
        </w:tc>
      </w:tr>
      <w:tr>
        <w:trPr>
          <w:trHeight w:val="229"/>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12,205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12,205</w:t>
            </w:r>
          </w:p>
        </w:tc>
        <w:tc>
          <w:tcPr>
            <w:tcW w:w="80" w:type="dxa"/>
            <w:vAlign w:val="bottom"/>
            <w:shd w:val="clear" w:color="auto" w:fill="CFF0FC"/>
          </w:tcPr>
          <w:p>
            <w:pPr>
              <w:spacing w:after="0"/>
              <w:rPr>
                <w:sz w:val="19"/>
                <w:szCs w:val="19"/>
                <w:color w:val="auto"/>
              </w:rPr>
            </w:pPr>
          </w:p>
        </w:tc>
      </w:tr>
      <w:tr>
        <w:trPr>
          <w:trHeight w:val="223"/>
        </w:trPr>
        <w:tc>
          <w:tcPr>
            <w:tcW w:w="3200" w:type="dxa"/>
            <w:vAlign w:val="bottom"/>
          </w:tcPr>
          <w:p>
            <w:pPr>
              <w:spacing w:after="0"/>
              <w:rPr>
                <w:sz w:val="20"/>
                <w:szCs w:val="20"/>
                <w:color w:val="auto"/>
              </w:rPr>
            </w:pPr>
            <w:r>
              <w:rPr>
                <w:rFonts w:ascii="Arial" w:cs="Arial" w:eastAsia="Arial" w:hAnsi="Arial"/>
                <w:sz w:val="18"/>
                <w:szCs w:val="18"/>
                <w:b w:val="1"/>
                <w:bCs w:val="1"/>
                <w:color w:val="auto"/>
              </w:rPr>
              <w:t>Balance at March 31, 2020</w:t>
            </w:r>
          </w:p>
        </w:tc>
        <w:tc>
          <w:tcPr>
            <w:tcW w:w="1040" w:type="dxa"/>
            <w:vAlign w:val="bottom"/>
          </w:tcPr>
          <w:p>
            <w:pPr>
              <w:jc w:val="right"/>
              <w:spacing w:after="0"/>
              <w:rPr>
                <w:sz w:val="20"/>
                <w:szCs w:val="20"/>
                <w:color w:val="auto"/>
              </w:rPr>
            </w:pPr>
            <w:r>
              <w:rPr>
                <w:rFonts w:ascii="Arial" w:cs="Arial" w:eastAsia="Arial" w:hAnsi="Arial"/>
                <w:sz w:val="18"/>
                <w:szCs w:val="18"/>
                <w:color w:val="auto"/>
              </w:rPr>
              <w:t>45,918,616</w:t>
            </w:r>
          </w:p>
        </w:tc>
        <w:tc>
          <w:tcPr>
            <w:tcW w:w="440" w:type="dxa"/>
            <w:vAlign w:val="bottom"/>
          </w:tcPr>
          <w:p>
            <w:pPr>
              <w:spacing w:after="0"/>
              <w:rPr>
                <w:sz w:val="19"/>
                <w:szCs w:val="19"/>
                <w:color w:val="auto"/>
              </w:rPr>
            </w:pPr>
          </w:p>
        </w:tc>
        <w:tc>
          <w:tcPr>
            <w:tcW w:w="800" w:type="dxa"/>
            <w:vAlign w:val="bottom"/>
          </w:tcPr>
          <w:p>
            <w:pPr>
              <w:jc w:val="right"/>
              <w:ind w:right="647"/>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474,455</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336</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(405,025)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69,767</w:t>
            </w:r>
          </w:p>
        </w:tc>
        <w:tc>
          <w:tcPr>
            <w:tcW w:w="80" w:type="dxa"/>
            <w:vAlign w:val="bottom"/>
          </w:tcPr>
          <w:p>
            <w:pPr>
              <w:spacing w:after="0"/>
              <w:rPr>
                <w:sz w:val="19"/>
                <w:szCs w:val="19"/>
                <w:color w:val="auto"/>
              </w:rPr>
            </w:pPr>
          </w:p>
        </w:tc>
      </w:tr>
      <w:tr>
        <w:trPr>
          <w:trHeight w:val="229"/>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Exercise of stock options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199,139</w:t>
            </w: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1,179</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1,179</w:t>
            </w:r>
          </w:p>
        </w:tc>
        <w:tc>
          <w:tcPr>
            <w:tcW w:w="80" w:type="dxa"/>
            <w:vAlign w:val="bottom"/>
            <w:shd w:val="clear" w:color="auto" w:fill="CFF0FC"/>
          </w:tcPr>
          <w:p>
            <w:pPr>
              <w:spacing w:after="0"/>
              <w:rPr>
                <w:sz w:val="19"/>
                <w:szCs w:val="19"/>
                <w:color w:val="auto"/>
              </w:rPr>
            </w:pPr>
          </w:p>
        </w:tc>
      </w:tr>
      <w:tr>
        <w:trPr>
          <w:trHeight w:val="215"/>
        </w:trPr>
        <w:tc>
          <w:tcPr>
            <w:tcW w:w="3200" w:type="dxa"/>
            <w:vAlign w:val="bottom"/>
          </w:tcPr>
          <w:p>
            <w:pPr>
              <w:spacing w:after="0"/>
              <w:rPr>
                <w:sz w:val="20"/>
                <w:szCs w:val="20"/>
                <w:color w:val="auto"/>
              </w:rPr>
            </w:pPr>
            <w:r>
              <w:rPr>
                <w:rFonts w:ascii="Arial" w:cs="Arial" w:eastAsia="Arial" w:hAnsi="Arial"/>
                <w:sz w:val="18"/>
                <w:szCs w:val="18"/>
                <w:color w:val="auto"/>
              </w:rPr>
              <w:t>Issuance of common stock under the</w:t>
            </w: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ESPP</w:t>
            </w:r>
          </w:p>
        </w:tc>
        <w:tc>
          <w:tcPr>
            <w:tcW w:w="1040" w:type="dxa"/>
            <w:vAlign w:val="bottom"/>
          </w:tcPr>
          <w:p>
            <w:pPr>
              <w:jc w:val="right"/>
              <w:spacing w:after="0"/>
              <w:rPr>
                <w:sz w:val="20"/>
                <w:szCs w:val="20"/>
                <w:color w:val="auto"/>
              </w:rPr>
            </w:pPr>
            <w:r>
              <w:rPr>
                <w:rFonts w:ascii="Arial" w:cs="Arial" w:eastAsia="Arial" w:hAnsi="Arial"/>
                <w:sz w:val="18"/>
                <w:szCs w:val="18"/>
                <w:color w:val="auto"/>
              </w:rPr>
              <w:t>72,315</w:t>
            </w: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369</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369</w:t>
            </w:r>
          </w:p>
        </w:tc>
        <w:tc>
          <w:tcPr>
            <w:tcW w:w="80" w:type="dxa"/>
            <w:vAlign w:val="bottom"/>
          </w:tcPr>
          <w:p>
            <w:pPr>
              <w:spacing w:after="0"/>
              <w:rPr>
                <w:sz w:val="20"/>
                <w:szCs w:val="20"/>
                <w:color w:val="auto"/>
              </w:rPr>
            </w:pPr>
          </w:p>
        </w:tc>
      </w:tr>
      <w:tr>
        <w:trPr>
          <w:trHeight w:val="229"/>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3,513</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3,513</w:t>
            </w:r>
          </w:p>
        </w:tc>
        <w:tc>
          <w:tcPr>
            <w:tcW w:w="80" w:type="dxa"/>
            <w:vAlign w:val="bottom"/>
            <w:shd w:val="clear" w:color="auto" w:fill="CFF0FC"/>
          </w:tcPr>
          <w:p>
            <w:pPr>
              <w:spacing w:after="0"/>
              <w:rPr>
                <w:sz w:val="19"/>
                <w:szCs w:val="19"/>
                <w:color w:val="auto"/>
              </w:rPr>
            </w:pPr>
          </w:p>
        </w:tc>
      </w:tr>
      <w:tr>
        <w:trPr>
          <w:trHeight w:val="229"/>
        </w:trPr>
        <w:tc>
          <w:tcPr>
            <w:tcW w:w="32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(320)</w:t>
            </w: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(15,679)</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(15,679)</w:t>
            </w:r>
          </w:p>
        </w:tc>
      </w:tr>
      <w:tr>
        <w:trPr>
          <w:trHeight w:val="223"/>
        </w:trPr>
        <w:tc>
          <w:tcPr>
            <w:tcW w:w="3200" w:type="dxa"/>
            <w:vAlign w:val="bottom"/>
          </w:tcPr>
          <w:p>
            <w:pPr>
              <w:spacing w:after="0"/>
              <w:rPr>
                <w:sz w:val="20"/>
                <w:szCs w:val="20"/>
                <w:color w:val="auto"/>
              </w:rPr>
            </w:pPr>
            <w:r>
              <w:rPr>
                <w:rFonts w:ascii="Arial" w:cs="Arial" w:eastAsia="Arial" w:hAnsi="Arial"/>
                <w:sz w:val="18"/>
                <w:szCs w:val="18"/>
                <w:b w:val="1"/>
                <w:bCs w:val="1"/>
                <w:color w:val="auto"/>
              </w:rPr>
              <w:t>Balance at June 30, 2020</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46,190,070</w:t>
            </w:r>
          </w:p>
        </w:tc>
        <w:tc>
          <w:tcPr>
            <w:tcW w:w="4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4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479,516</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(420,704</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58,829</w:t>
            </w:r>
          </w:p>
        </w:tc>
        <w:tc>
          <w:tcPr>
            <w:tcW w:w="80" w:type="dxa"/>
            <w:vAlign w:val="bottom"/>
          </w:tcPr>
          <w:p>
            <w:pPr>
              <w:spacing w:after="0"/>
              <w:rPr>
                <w:sz w:val="19"/>
                <w:szCs w:val="19"/>
                <w:color w:val="auto"/>
              </w:rPr>
            </w:pPr>
          </w:p>
        </w:tc>
      </w:tr>
      <w:tr>
        <w:trPr>
          <w:trHeight w:val="20"/>
        </w:trPr>
        <w:tc>
          <w:tcPr>
            <w:tcW w:w="3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6"/>
        </w:trPr>
        <w:tc>
          <w:tcPr>
            <w:tcW w:w="3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2"/>
        </w:trPr>
        <w:tc>
          <w:tcPr>
            <w:tcW w:w="3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r>
      <w:tr>
        <w:trPr>
          <w:trHeight w:val="171"/>
        </w:trPr>
        <w:tc>
          <w:tcPr>
            <w:tcW w:w="3200" w:type="dxa"/>
            <w:vAlign w:val="bottom"/>
          </w:tcPr>
          <w:p>
            <w:pPr>
              <w:spacing w:after="0"/>
              <w:rPr>
                <w:sz w:val="14"/>
                <w:szCs w:val="14"/>
                <w:color w:val="auto"/>
              </w:rPr>
            </w:pPr>
          </w:p>
        </w:tc>
        <w:tc>
          <w:tcPr>
            <w:tcW w:w="2280" w:type="dxa"/>
            <w:vAlign w:val="bottom"/>
            <w:tcBorders>
              <w:bottom w:val="single" w:sz="8" w:color="auto"/>
            </w:tcBorders>
            <w:gridSpan w:val="3"/>
          </w:tcPr>
          <w:p>
            <w:pPr>
              <w:jc w:val="right"/>
              <w:ind w:right="507"/>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Paid-in</w:t>
            </w:r>
          </w:p>
        </w:tc>
        <w:tc>
          <w:tcPr>
            <w:tcW w:w="14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1160" w:type="dxa"/>
            <w:vAlign w:val="bottom"/>
            <w:gridSpan w:val="2"/>
          </w:tcPr>
          <w:p>
            <w:pPr>
              <w:jc w:val="center"/>
              <w:ind w:right="241"/>
              <w:spacing w:after="0"/>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9"/>
              </w:rPr>
              <w:t>Stockholders'</w:t>
            </w:r>
          </w:p>
        </w:tc>
      </w:tr>
      <w:tr>
        <w:trPr>
          <w:trHeight w:val="155"/>
        </w:trPr>
        <w:tc>
          <w:tcPr>
            <w:tcW w:w="3200" w:type="dxa"/>
            <w:vAlign w:val="bottom"/>
          </w:tcPr>
          <w:p>
            <w:pPr>
              <w:spacing w:after="0"/>
              <w:rPr>
                <w:sz w:val="13"/>
                <w:szCs w:val="13"/>
                <w:color w:val="auto"/>
              </w:rPr>
            </w:pPr>
          </w:p>
        </w:tc>
        <w:tc>
          <w:tcPr>
            <w:tcW w:w="1480" w:type="dxa"/>
            <w:vAlign w:val="bottom"/>
            <w:gridSpan w:val="2"/>
          </w:tcPr>
          <w:p>
            <w:pPr>
              <w:ind w:left="300"/>
              <w:spacing w:after="0" w:line="155" w:lineRule="exact"/>
              <w:rPr>
                <w:sz w:val="20"/>
                <w:szCs w:val="20"/>
                <w:color w:val="auto"/>
              </w:rPr>
            </w:pPr>
            <w:r>
              <w:rPr>
                <w:rFonts w:ascii="Arial" w:cs="Arial" w:eastAsia="Arial" w:hAnsi="Arial"/>
                <w:sz w:val="14"/>
                <w:szCs w:val="14"/>
                <w:b w:val="1"/>
                <w:bCs w:val="1"/>
                <w:color w:val="auto"/>
              </w:rPr>
              <w:t>Shares</w:t>
            </w:r>
          </w:p>
        </w:tc>
        <w:tc>
          <w:tcPr>
            <w:tcW w:w="8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580"/>
              <w:spacing w:after="0" w:line="155" w:lineRule="exact"/>
              <w:rPr>
                <w:sz w:val="20"/>
                <w:szCs w:val="20"/>
                <w:color w:val="auto"/>
              </w:rPr>
            </w:pPr>
            <w:r>
              <w:rPr>
                <w:rFonts w:ascii="Arial" w:cs="Arial" w:eastAsia="Arial" w:hAnsi="Arial"/>
                <w:sz w:val="14"/>
                <w:szCs w:val="14"/>
                <w:b w:val="1"/>
                <w:bCs w:val="1"/>
                <w:color w:val="auto"/>
                <w:w w:val="98"/>
              </w:rPr>
              <w:t>Capital</w:t>
            </w:r>
          </w:p>
        </w:tc>
        <w:tc>
          <w:tcPr>
            <w:tcW w:w="1480" w:type="dxa"/>
            <w:vAlign w:val="bottom"/>
            <w:gridSpan w:val="3"/>
          </w:tcPr>
          <w:p>
            <w:pPr>
              <w:jc w:val="center"/>
              <w:ind w:right="440"/>
              <w:spacing w:after="0" w:line="155" w:lineRule="exact"/>
              <w:rPr>
                <w:sz w:val="20"/>
                <w:szCs w:val="20"/>
                <w:color w:val="auto"/>
              </w:rPr>
            </w:pPr>
            <w:r>
              <w:rPr>
                <w:rFonts w:ascii="Arial" w:cs="Arial" w:eastAsia="Arial" w:hAnsi="Arial"/>
                <w:sz w:val="14"/>
                <w:szCs w:val="14"/>
                <w:b w:val="1"/>
                <w:bCs w:val="1"/>
                <w:color w:val="auto"/>
                <w:w w:val="92"/>
              </w:rPr>
              <w:t>Income/(Loss)</w:t>
            </w:r>
          </w:p>
        </w:tc>
        <w:tc>
          <w:tcPr>
            <w:tcW w:w="100" w:type="dxa"/>
            <w:vAlign w:val="bottom"/>
          </w:tcPr>
          <w:p>
            <w:pPr>
              <w:spacing w:after="0"/>
              <w:rPr>
                <w:sz w:val="13"/>
                <w:szCs w:val="13"/>
                <w:color w:val="auto"/>
              </w:rPr>
            </w:pPr>
          </w:p>
        </w:tc>
        <w:tc>
          <w:tcPr>
            <w:tcW w:w="1160" w:type="dxa"/>
            <w:vAlign w:val="bottom"/>
            <w:gridSpan w:val="2"/>
          </w:tcPr>
          <w:p>
            <w:pPr>
              <w:jc w:val="center"/>
              <w:ind w:right="241"/>
              <w:spacing w:after="0" w:line="155" w:lineRule="exact"/>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8"/>
              </w:rPr>
              <w:t>Equity</w:t>
            </w:r>
          </w:p>
        </w:tc>
      </w:tr>
      <w:tr>
        <w:trPr>
          <w:trHeight w:val="223"/>
        </w:trPr>
        <w:tc>
          <w:tcPr>
            <w:tcW w:w="3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2018</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45,083,209</w:t>
            </w:r>
          </w:p>
        </w:tc>
        <w:tc>
          <w:tcPr>
            <w:tcW w:w="4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4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445,956</w:t>
            </w:r>
          </w:p>
        </w:tc>
        <w:tc>
          <w:tcPr>
            <w:tcW w:w="4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4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(314,981)</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130,883</w:t>
            </w:r>
          </w:p>
        </w:tc>
        <w:tc>
          <w:tcPr>
            <w:tcW w:w="80" w:type="dxa"/>
            <w:vAlign w:val="bottom"/>
            <w:tcBorders>
              <w:top w:val="single" w:sz="8" w:color="CFF0FC"/>
            </w:tcBorders>
            <w:shd w:val="clear" w:color="auto" w:fill="CFF0FC"/>
          </w:tcPr>
          <w:p>
            <w:pPr>
              <w:spacing w:after="0"/>
              <w:rPr>
                <w:sz w:val="19"/>
                <w:szCs w:val="19"/>
                <w:color w:val="auto"/>
              </w:rPr>
            </w:pPr>
          </w:p>
        </w:tc>
      </w:tr>
      <w:tr>
        <w:trPr>
          <w:trHeight w:val="215"/>
        </w:trPr>
        <w:tc>
          <w:tcPr>
            <w:tcW w:w="3200" w:type="dxa"/>
            <w:vAlign w:val="bottom"/>
          </w:tcPr>
          <w:p>
            <w:pPr>
              <w:spacing w:after="0"/>
              <w:rPr>
                <w:sz w:val="20"/>
                <w:szCs w:val="20"/>
                <w:color w:val="auto"/>
              </w:rPr>
            </w:pPr>
            <w:r>
              <w:rPr>
                <w:rFonts w:ascii="Arial" w:cs="Arial" w:eastAsia="Arial" w:hAnsi="Arial"/>
                <w:sz w:val="18"/>
                <w:szCs w:val="18"/>
                <w:color w:val="auto"/>
              </w:rPr>
              <w:t>Impact of adoption of new accounting</w:t>
            </w: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pronouncement - ASU 2018-02</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29"/>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Exercise of stock options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74,443</w:t>
            </w: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80" w:type="dxa"/>
            <w:vAlign w:val="bottom"/>
            <w:shd w:val="clear" w:color="auto" w:fill="CFF0FC"/>
          </w:tcPr>
          <w:p>
            <w:pPr>
              <w:spacing w:after="0"/>
              <w:rPr>
                <w:sz w:val="19"/>
                <w:szCs w:val="19"/>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5,192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5,192</w:t>
            </w:r>
          </w:p>
        </w:tc>
        <w:tc>
          <w:tcPr>
            <w:tcW w:w="80" w:type="dxa"/>
            <w:vAlign w:val="bottom"/>
          </w:tcPr>
          <w:p>
            <w:pPr>
              <w:spacing w:after="0"/>
              <w:rPr>
                <w:sz w:val="19"/>
                <w:szCs w:val="19"/>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FF0FC"/>
          </w:tcPr>
          <w:p>
            <w:pPr>
              <w:spacing w:after="0"/>
              <w:rPr>
                <w:sz w:val="19"/>
                <w:szCs w:val="19"/>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Net loss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(14,124)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(14,124)</w:t>
            </w:r>
          </w:p>
        </w:tc>
      </w:tr>
      <w:tr>
        <w:trPr>
          <w:trHeight w:val="223"/>
        </w:trPr>
        <w:tc>
          <w:tcPr>
            <w:tcW w:w="3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March 31, 2019</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45,157,652</w:t>
            </w:r>
          </w:p>
        </w:tc>
        <w:tc>
          <w:tcPr>
            <w:tcW w:w="4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4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451,613</w:t>
            </w:r>
          </w:p>
        </w:tc>
        <w:tc>
          <w:tcPr>
            <w:tcW w:w="4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4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(329,116)</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122,571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040" w:type="dxa"/>
            <w:vAlign w:val="bottom"/>
          </w:tcPr>
          <w:p>
            <w:pPr>
              <w:jc w:val="right"/>
              <w:spacing w:after="0"/>
              <w:rPr>
                <w:sz w:val="20"/>
                <w:szCs w:val="20"/>
                <w:color w:val="auto"/>
              </w:rPr>
            </w:pPr>
            <w:r>
              <w:rPr>
                <w:rFonts w:ascii="Arial" w:cs="Arial" w:eastAsia="Arial" w:hAnsi="Arial"/>
                <w:sz w:val="18"/>
                <w:szCs w:val="18"/>
                <w:color w:val="auto"/>
              </w:rPr>
              <w:t>15,124</w:t>
            </w: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r>
      <w:tr>
        <w:trPr>
          <w:trHeight w:val="215"/>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under the</w:t>
            </w:r>
          </w:p>
        </w:tc>
        <w:tc>
          <w:tcPr>
            <w:tcW w:w="10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ESPP</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81,062</w:t>
            </w:r>
          </w:p>
        </w:tc>
        <w:tc>
          <w:tcPr>
            <w:tcW w:w="4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w:t>
            </w:r>
          </w:p>
        </w:tc>
        <w:tc>
          <w:tcPr>
            <w:tcW w:w="4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w:t>
            </w:r>
          </w:p>
        </w:tc>
        <w:tc>
          <w:tcPr>
            <w:tcW w:w="80" w:type="dxa"/>
            <w:vAlign w:val="bottom"/>
            <w:shd w:val="clear" w:color="auto" w:fill="CFF0FC"/>
          </w:tcPr>
          <w:p>
            <w:pPr>
              <w:spacing w:after="0"/>
              <w:rPr>
                <w:sz w:val="20"/>
                <w:szCs w:val="20"/>
                <w:color w:val="auto"/>
              </w:rPr>
            </w:pPr>
          </w:p>
        </w:tc>
      </w:tr>
      <w:tr>
        <w:trPr>
          <w:trHeight w:val="215"/>
        </w:trPr>
        <w:tc>
          <w:tcPr>
            <w:tcW w:w="3200" w:type="dxa"/>
            <w:vAlign w:val="bottom"/>
          </w:tcPr>
          <w:p>
            <w:pPr>
              <w:spacing w:after="0"/>
              <w:rPr>
                <w:sz w:val="20"/>
                <w:szCs w:val="20"/>
                <w:color w:val="auto"/>
              </w:rPr>
            </w:pPr>
            <w:r>
              <w:rPr>
                <w:rFonts w:ascii="Arial" w:cs="Arial" w:eastAsia="Arial" w:hAnsi="Arial"/>
                <w:sz w:val="18"/>
                <w:szCs w:val="18"/>
                <w:color w:val="auto"/>
              </w:rPr>
              <w:t>Issuance of common stock pursuant to</w:t>
            </w: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license agreement</w:t>
            </w:r>
          </w:p>
        </w:tc>
        <w:tc>
          <w:tcPr>
            <w:tcW w:w="1040" w:type="dxa"/>
            <w:vAlign w:val="bottom"/>
          </w:tcPr>
          <w:p>
            <w:pPr>
              <w:jc w:val="right"/>
              <w:spacing w:after="0"/>
              <w:rPr>
                <w:sz w:val="20"/>
                <w:szCs w:val="20"/>
                <w:color w:val="auto"/>
              </w:rPr>
            </w:pPr>
            <w:r>
              <w:rPr>
                <w:rFonts w:ascii="Arial" w:cs="Arial" w:eastAsia="Arial" w:hAnsi="Arial"/>
                <w:sz w:val="18"/>
                <w:szCs w:val="18"/>
                <w:color w:val="auto"/>
              </w:rPr>
              <w:t>150,000</w:t>
            </w: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1,602</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1,602</w:t>
            </w:r>
          </w:p>
        </w:tc>
        <w:tc>
          <w:tcPr>
            <w:tcW w:w="80" w:type="dxa"/>
            <w:vAlign w:val="bottom"/>
          </w:tcPr>
          <w:p>
            <w:pPr>
              <w:spacing w:after="0"/>
              <w:rPr>
                <w:sz w:val="20"/>
                <w:szCs w:val="20"/>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5,454</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5,454</w:t>
            </w:r>
          </w:p>
        </w:tc>
        <w:tc>
          <w:tcPr>
            <w:tcW w:w="80" w:type="dxa"/>
            <w:vAlign w:val="bottom"/>
            <w:shd w:val="clear" w:color="auto" w:fill="CFF0FC"/>
          </w:tcPr>
          <w:p>
            <w:pPr>
              <w:spacing w:after="0"/>
              <w:rPr>
                <w:sz w:val="19"/>
                <w:szCs w:val="19"/>
                <w:color w:val="auto"/>
              </w:rPr>
            </w:pPr>
          </w:p>
        </w:tc>
      </w:tr>
      <w:tr>
        <w:trPr>
          <w:trHeight w:val="229"/>
        </w:trPr>
        <w:tc>
          <w:tcPr>
            <w:tcW w:w="32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9"/>
                <w:szCs w:val="19"/>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(28,960)</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(28,960)</w:t>
            </w:r>
          </w:p>
        </w:tc>
      </w:tr>
      <w:tr>
        <w:trPr>
          <w:trHeight w:val="223"/>
        </w:trPr>
        <w:tc>
          <w:tcPr>
            <w:tcW w:w="3200" w:type="dxa"/>
            <w:vAlign w:val="bottom"/>
          </w:tcPr>
          <w:p>
            <w:pPr>
              <w:spacing w:after="0"/>
              <w:rPr>
                <w:sz w:val="20"/>
                <w:szCs w:val="20"/>
                <w:color w:val="auto"/>
              </w:rPr>
            </w:pPr>
            <w:r>
              <w:rPr>
                <w:rFonts w:ascii="Arial" w:cs="Arial" w:eastAsia="Arial" w:hAnsi="Arial"/>
                <w:sz w:val="18"/>
                <w:szCs w:val="18"/>
                <w:b w:val="1"/>
                <w:bCs w:val="1"/>
                <w:color w:val="auto"/>
              </w:rPr>
              <w:t>Balance at June 30, 2019</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45,403,838</w:t>
            </w:r>
          </w:p>
        </w:tc>
        <w:tc>
          <w:tcPr>
            <w:tcW w:w="4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4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459,367</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(358,076</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101,501</w:t>
            </w:r>
          </w:p>
        </w:tc>
        <w:tc>
          <w:tcPr>
            <w:tcW w:w="80" w:type="dxa"/>
            <w:vAlign w:val="bottom"/>
          </w:tcPr>
          <w:p>
            <w:pPr>
              <w:spacing w:after="0"/>
              <w:rPr>
                <w:sz w:val="19"/>
                <w:szCs w:val="19"/>
                <w:color w:val="auto"/>
              </w:rPr>
            </w:pPr>
          </w:p>
        </w:tc>
      </w:tr>
      <w:tr>
        <w:trPr>
          <w:trHeight w:val="20"/>
        </w:trPr>
        <w:tc>
          <w:tcPr>
            <w:tcW w:w="3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8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Six Months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7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180" w:type="dxa"/>
            <w:vAlign w:val="bottom"/>
            <w:tcBorders>
              <w:bottom w:val="single" w:sz="8" w:color="CFF0FC"/>
            </w:tcBorders>
          </w:tcPr>
          <w:p>
            <w:pPr>
              <w:spacing w:after="0"/>
              <w:rPr>
                <w:sz w:val="13"/>
                <w:szCs w:val="13"/>
                <w:color w:val="auto"/>
              </w:rPr>
            </w:pPr>
          </w:p>
        </w:tc>
        <w:tc>
          <w:tcPr>
            <w:tcW w:w="6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1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7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1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9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(3,474)</w:t>
            </w:r>
          </w:p>
        </w:tc>
        <w:tc>
          <w:tcPr>
            <w:tcW w:w="6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(43,085)</w:t>
            </w:r>
          </w:p>
        </w:tc>
      </w:tr>
      <w:tr>
        <w:trPr>
          <w:trHeight w:val="229"/>
        </w:trPr>
        <w:tc>
          <w:tcPr>
            <w:tcW w:w="7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180" w:type="dxa"/>
            <w:vAlign w:val="bottom"/>
          </w:tcPr>
          <w:p>
            <w:pPr>
              <w:ind w:left="500"/>
              <w:spacing w:after="0"/>
              <w:rPr>
                <w:sz w:val="20"/>
                <w:szCs w:val="20"/>
                <w:color w:val="auto"/>
              </w:rPr>
            </w:pPr>
            <w:r>
              <w:rPr>
                <w:rFonts w:ascii="Arial" w:cs="Arial" w:eastAsia="Arial" w:hAnsi="Arial"/>
                <w:sz w:val="18"/>
                <w:szCs w:val="18"/>
                <w:color w:val="auto"/>
              </w:rPr>
              <w:t>Amortization of intangible assets</w:t>
            </w: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r>
      <w:tr>
        <w:trPr>
          <w:trHeight w:val="230"/>
        </w:trPr>
        <w:tc>
          <w:tcPr>
            <w:tcW w:w="7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Depreciation and amortization</w:t>
            </w: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w:t>
            </w:r>
          </w:p>
        </w:tc>
        <w:tc>
          <w:tcPr>
            <w:tcW w:w="100" w:type="dxa"/>
            <w:vAlign w:val="bottom"/>
            <w:shd w:val="clear" w:color="auto" w:fill="CFF0FC"/>
          </w:tcPr>
          <w:p>
            <w:pPr>
              <w:spacing w:after="0"/>
              <w:rPr>
                <w:sz w:val="19"/>
                <w:szCs w:val="19"/>
                <w:color w:val="auto"/>
              </w:rPr>
            </w:pPr>
          </w:p>
        </w:tc>
      </w:tr>
      <w:tr>
        <w:trPr>
          <w:trHeight w:val="229"/>
        </w:trPr>
        <w:tc>
          <w:tcPr>
            <w:tcW w:w="7180" w:type="dxa"/>
            <w:vAlign w:val="bottom"/>
          </w:tcPr>
          <w:p>
            <w:pPr>
              <w:ind w:left="500"/>
              <w:spacing w:after="0"/>
              <w:rPr>
                <w:sz w:val="20"/>
                <w:szCs w:val="20"/>
                <w:color w:val="auto"/>
              </w:rPr>
            </w:pPr>
            <w:r>
              <w:rPr>
                <w:rFonts w:ascii="Arial" w:cs="Arial" w:eastAsia="Arial" w:hAnsi="Arial"/>
                <w:sz w:val="18"/>
                <w:szCs w:val="18"/>
                <w:color w:val="auto"/>
              </w:rPr>
              <w:t>Accretion of discounts on investments</w:t>
            </w: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(314)</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(1,407)</w:t>
            </w:r>
          </w:p>
        </w:tc>
      </w:tr>
      <w:tr>
        <w:trPr>
          <w:trHeight w:val="230"/>
        </w:trPr>
        <w:tc>
          <w:tcPr>
            <w:tcW w:w="7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 expense</w:t>
            </w: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10,646</w:t>
            </w:r>
          </w:p>
        </w:tc>
        <w:tc>
          <w:tcPr>
            <w:tcW w:w="100" w:type="dxa"/>
            <w:vAlign w:val="bottom"/>
            <w:shd w:val="clear" w:color="auto" w:fill="CFF0FC"/>
          </w:tcPr>
          <w:p>
            <w:pPr>
              <w:spacing w:after="0"/>
              <w:rPr>
                <w:sz w:val="19"/>
                <w:szCs w:val="19"/>
                <w:color w:val="auto"/>
              </w:rPr>
            </w:pPr>
          </w:p>
        </w:tc>
      </w:tr>
      <w:tr>
        <w:trPr>
          <w:trHeight w:val="229"/>
        </w:trPr>
        <w:tc>
          <w:tcPr>
            <w:tcW w:w="7180" w:type="dxa"/>
            <w:vAlign w:val="bottom"/>
          </w:tcPr>
          <w:p>
            <w:pPr>
              <w:ind w:left="500"/>
              <w:spacing w:after="0"/>
              <w:rPr>
                <w:sz w:val="20"/>
                <w:szCs w:val="20"/>
                <w:color w:val="auto"/>
              </w:rPr>
            </w:pPr>
            <w:r>
              <w:rPr>
                <w:rFonts w:ascii="Arial" w:cs="Arial" w:eastAsia="Arial" w:hAnsi="Arial"/>
                <w:sz w:val="18"/>
                <w:szCs w:val="18"/>
                <w:color w:val="auto"/>
              </w:rPr>
              <w:t>Issuance of stock in connection with UCSB sublicense fee</w:t>
            </w: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19"/>
                <w:szCs w:val="19"/>
                <w:color w:val="auto"/>
              </w:rPr>
            </w:pPr>
          </w:p>
        </w:tc>
      </w:tr>
      <w:tr>
        <w:trPr>
          <w:trHeight w:val="229"/>
        </w:trPr>
        <w:tc>
          <w:tcPr>
            <w:tcW w:w="7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180" w:type="dxa"/>
            <w:vAlign w:val="bottom"/>
          </w:tcPr>
          <w:p>
            <w:pPr>
              <w:ind w:left="740"/>
              <w:spacing w:after="0"/>
              <w:rPr>
                <w:sz w:val="20"/>
                <w:szCs w:val="20"/>
                <w:color w:val="auto"/>
              </w:rPr>
            </w:pPr>
            <w:r>
              <w:rPr>
                <w:rFonts w:ascii="Arial" w:cs="Arial" w:eastAsia="Arial" w:hAnsi="Arial"/>
                <w:sz w:val="18"/>
                <w:szCs w:val="18"/>
                <w:color w:val="auto"/>
              </w:rPr>
              <w:t>Accounts receivable</w:t>
            </w: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(193)</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(9,907)</w:t>
            </w:r>
          </w:p>
        </w:tc>
      </w:tr>
      <w:tr>
        <w:trPr>
          <w:trHeight w:val="229"/>
        </w:trPr>
        <w:tc>
          <w:tcPr>
            <w:tcW w:w="71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(12,782)</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1,720</w:t>
            </w:r>
          </w:p>
        </w:tc>
        <w:tc>
          <w:tcPr>
            <w:tcW w:w="100" w:type="dxa"/>
            <w:vAlign w:val="bottom"/>
            <w:shd w:val="clear" w:color="auto" w:fill="CFF0FC"/>
          </w:tcPr>
          <w:p>
            <w:pPr>
              <w:spacing w:after="0"/>
              <w:rPr>
                <w:sz w:val="19"/>
                <w:szCs w:val="19"/>
                <w:color w:val="auto"/>
              </w:rPr>
            </w:pPr>
          </w:p>
        </w:tc>
      </w:tr>
      <w:tr>
        <w:trPr>
          <w:trHeight w:val="229"/>
        </w:trPr>
        <w:tc>
          <w:tcPr>
            <w:tcW w:w="7180" w:type="dxa"/>
            <w:vAlign w:val="bottom"/>
          </w:tcPr>
          <w:p>
            <w:pPr>
              <w:ind w:left="740"/>
              <w:spacing w:after="0"/>
              <w:rPr>
                <w:sz w:val="20"/>
                <w:szCs w:val="20"/>
                <w:color w:val="auto"/>
              </w:rPr>
            </w:pPr>
            <w:r>
              <w:rPr>
                <w:rFonts w:ascii="Arial" w:cs="Arial" w:eastAsia="Arial" w:hAnsi="Arial"/>
                <w:sz w:val="18"/>
                <w:szCs w:val="18"/>
                <w:color w:val="auto"/>
              </w:rPr>
              <w:t>Other assets</w:t>
            </w: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1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payable</w:t>
            </w: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r>
      <w:tr>
        <w:trPr>
          <w:trHeight w:val="229"/>
        </w:trPr>
        <w:tc>
          <w:tcPr>
            <w:tcW w:w="7180" w:type="dxa"/>
            <w:vAlign w:val="bottom"/>
          </w:tcPr>
          <w:p>
            <w:pPr>
              <w:ind w:left="740"/>
              <w:spacing w:after="0"/>
              <w:rPr>
                <w:sz w:val="20"/>
                <w:szCs w:val="20"/>
                <w:color w:val="auto"/>
              </w:rPr>
            </w:pPr>
            <w:r>
              <w:rPr>
                <w:rFonts w:ascii="Arial" w:cs="Arial" w:eastAsia="Arial" w:hAnsi="Arial"/>
                <w:sz w:val="18"/>
                <w:szCs w:val="18"/>
                <w:color w:val="auto"/>
              </w:rPr>
              <w:t>Accrued liabilities, income tax payable and other long-term liabilities</w:t>
            </w: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(9,887)</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(20,104)</w:t>
            </w:r>
          </w:p>
        </w:tc>
      </w:tr>
      <w:tr>
        <w:trPr>
          <w:trHeight w:val="230"/>
        </w:trPr>
        <w:tc>
          <w:tcPr>
            <w:tcW w:w="71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Deferred revenue</w:t>
            </w: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64,014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(28,470)</w:t>
            </w:r>
          </w:p>
        </w:tc>
      </w:tr>
      <w:tr>
        <w:trPr>
          <w:trHeight w:val="223"/>
        </w:trPr>
        <w:tc>
          <w:tcPr>
            <w:tcW w:w="718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provided by (used in) operating activities</w:t>
            </w:r>
          </w:p>
        </w:tc>
        <w:tc>
          <w:tcPr>
            <w:tcW w:w="64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47,364</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(87,682)</w:t>
            </w:r>
          </w:p>
        </w:tc>
        <w:tc>
          <w:tcPr>
            <w:tcW w:w="100" w:type="dxa"/>
            <w:vAlign w:val="bottom"/>
            <w:tcBorders>
              <w:bottom w:val="single" w:sz="8" w:color="CFF0FC"/>
            </w:tcBorders>
          </w:tcPr>
          <w:p>
            <w:pPr>
              <w:spacing w:after="0"/>
              <w:rPr>
                <w:sz w:val="19"/>
                <w:szCs w:val="19"/>
                <w:color w:val="auto"/>
              </w:rPr>
            </w:pPr>
          </w:p>
        </w:tc>
      </w:tr>
      <w:tr>
        <w:trPr>
          <w:trHeight w:val="223"/>
        </w:trPr>
        <w:tc>
          <w:tcPr>
            <w:tcW w:w="7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18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(1,086)</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(2,166)</w:t>
            </w:r>
          </w:p>
        </w:tc>
      </w:tr>
      <w:tr>
        <w:trPr>
          <w:trHeight w:val="230"/>
        </w:trPr>
        <w:tc>
          <w:tcPr>
            <w:tcW w:w="7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short-term investments</w:t>
            </w: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(44,707)</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(101,643)</w:t>
            </w:r>
          </w:p>
        </w:tc>
      </w:tr>
      <w:tr>
        <w:trPr>
          <w:trHeight w:val="229"/>
        </w:trPr>
        <w:tc>
          <w:tcPr>
            <w:tcW w:w="71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Maturities of short-term investments</w:t>
            </w:r>
          </w:p>
        </w:tc>
        <w:tc>
          <w:tcPr>
            <w:tcW w:w="6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97,687</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92,143</w:t>
            </w:r>
          </w:p>
        </w:tc>
        <w:tc>
          <w:tcPr>
            <w:tcW w:w="100" w:type="dxa"/>
            <w:vAlign w:val="bottom"/>
            <w:tcBorders>
              <w:bottom w:val="single" w:sz="8" w:color="CFF0FC"/>
            </w:tcBorders>
          </w:tcPr>
          <w:p>
            <w:pPr>
              <w:spacing w:after="0"/>
              <w:rPr>
                <w:sz w:val="19"/>
                <w:szCs w:val="19"/>
                <w:color w:val="auto"/>
              </w:rPr>
            </w:pPr>
          </w:p>
        </w:tc>
      </w:tr>
      <w:tr>
        <w:trPr>
          <w:trHeight w:val="223"/>
        </w:trPr>
        <w:tc>
          <w:tcPr>
            <w:tcW w:w="71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Net cash provided by (used in) investing activities</w:t>
            </w:r>
          </w:p>
        </w:tc>
        <w:tc>
          <w:tcPr>
            <w:tcW w:w="6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51,894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(11,666)</w:t>
            </w:r>
          </w:p>
        </w:tc>
        <w:tc>
          <w:tcPr>
            <w:tcW w:w="100" w:type="dxa"/>
            <w:vAlign w:val="bottom"/>
            <w:shd w:val="clear" w:color="auto" w:fill="CFF0FC"/>
          </w:tcPr>
          <w:p>
            <w:pPr>
              <w:spacing w:after="0"/>
              <w:rPr>
                <w:sz w:val="19"/>
                <w:szCs w:val="19"/>
                <w:color w:val="auto"/>
              </w:rPr>
            </w:pPr>
          </w:p>
        </w:tc>
      </w:tr>
      <w:tr>
        <w:trPr>
          <w:trHeight w:val="223"/>
        </w:trPr>
        <w:tc>
          <w:tcPr>
            <w:tcW w:w="71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employee stock purchase plan and exercise of stock options</w:t>
            </w:r>
          </w:p>
        </w:tc>
        <w:tc>
          <w:tcPr>
            <w:tcW w:w="6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1,163</w:t>
            </w:r>
          </w:p>
        </w:tc>
        <w:tc>
          <w:tcPr>
            <w:tcW w:w="100" w:type="dxa"/>
            <w:vAlign w:val="bottom"/>
            <w:shd w:val="clear" w:color="auto" w:fill="CFF0FC"/>
          </w:tcPr>
          <w:p>
            <w:pPr>
              <w:spacing w:after="0"/>
              <w:rPr>
                <w:sz w:val="19"/>
                <w:szCs w:val="19"/>
                <w:color w:val="auto"/>
              </w:rPr>
            </w:pPr>
          </w:p>
        </w:tc>
      </w:tr>
      <w:tr>
        <w:trPr>
          <w:trHeight w:val="223"/>
        </w:trPr>
        <w:tc>
          <w:tcPr>
            <w:tcW w:w="718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provided by financing activities</w:t>
            </w:r>
          </w:p>
        </w:tc>
        <w:tc>
          <w:tcPr>
            <w:tcW w:w="6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3,705</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CFF0FC"/>
            </w:tcBorders>
          </w:tcPr>
          <w:p>
            <w:pPr>
              <w:spacing w:after="0"/>
              <w:rPr>
                <w:sz w:val="19"/>
                <w:szCs w:val="19"/>
                <w:color w:val="auto"/>
              </w:rPr>
            </w:pPr>
          </w:p>
        </w:tc>
      </w:tr>
      <w:tr>
        <w:trPr>
          <w:trHeight w:val="223"/>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102,963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(98,185)</w:t>
            </w:r>
          </w:p>
        </w:tc>
        <w:tc>
          <w:tcPr>
            <w:tcW w:w="100" w:type="dxa"/>
            <w:vAlign w:val="bottom"/>
            <w:shd w:val="clear" w:color="auto" w:fill="CFF0FC"/>
          </w:tcPr>
          <w:p>
            <w:pPr>
              <w:spacing w:after="0"/>
              <w:rPr>
                <w:sz w:val="19"/>
                <w:szCs w:val="19"/>
                <w:color w:val="auto"/>
              </w:rPr>
            </w:pPr>
          </w:p>
        </w:tc>
      </w:tr>
      <w:tr>
        <w:trPr>
          <w:trHeight w:val="230"/>
        </w:trPr>
        <w:tc>
          <w:tcPr>
            <w:tcW w:w="7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6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189,342</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248,494</w:t>
            </w:r>
          </w:p>
        </w:tc>
        <w:tc>
          <w:tcPr>
            <w:tcW w:w="100" w:type="dxa"/>
            <w:vAlign w:val="bottom"/>
            <w:tcBorders>
              <w:bottom w:val="single" w:sz="8" w:color="CFF0FC"/>
            </w:tcBorders>
          </w:tcPr>
          <w:p>
            <w:pPr>
              <w:spacing w:after="0"/>
              <w:rPr>
                <w:sz w:val="19"/>
                <w:szCs w:val="19"/>
                <w:color w:val="auto"/>
              </w:rPr>
            </w:pPr>
          </w:p>
        </w:tc>
      </w:tr>
      <w:tr>
        <w:trPr>
          <w:trHeight w:val="223"/>
        </w:trPr>
        <w:tc>
          <w:tcPr>
            <w:tcW w:w="7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6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292,305</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150,309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disclosures of noncash investing items:</w:t>
            </w: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180" w:type="dxa"/>
            <w:vAlign w:val="bottom"/>
          </w:tcPr>
          <w:p>
            <w:pPr>
              <w:ind w:left="260"/>
              <w:spacing w:after="0"/>
              <w:rPr>
                <w:sz w:val="20"/>
                <w:szCs w:val="20"/>
                <w:color w:val="auto"/>
              </w:rPr>
            </w:pPr>
            <w:r>
              <w:rPr>
                <w:rFonts w:ascii="Arial" w:cs="Arial" w:eastAsia="Arial" w:hAnsi="Arial"/>
                <w:sz w:val="18"/>
                <w:szCs w:val="18"/>
                <w:color w:val="auto"/>
              </w:rPr>
              <w:t>Purchases of property and equipment in accounts payable and accrued liabilities</w:t>
            </w:r>
          </w:p>
        </w:tc>
        <w:tc>
          <w:tcPr>
            <w:tcW w:w="9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618</w:t>
            </w:r>
          </w:p>
        </w:tc>
        <w:tc>
          <w:tcPr>
            <w:tcW w:w="240" w:type="dxa"/>
            <w:vAlign w:val="bottom"/>
          </w:tcPr>
          <w:p>
            <w:pPr>
              <w:spacing w:after="0"/>
              <w:rPr>
                <w:sz w:val="19"/>
                <w:szCs w:val="19"/>
                <w:color w:val="auto"/>
              </w:rPr>
            </w:pPr>
          </w:p>
        </w:tc>
        <w:tc>
          <w:tcPr>
            <w:tcW w:w="6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9"/>
                <w:szCs w:val="19"/>
                <w:color w:val="auto"/>
              </w:rPr>
            </w:pPr>
          </w:p>
        </w:tc>
      </w:tr>
      <w:tr>
        <w:trPr>
          <w:trHeight w:val="229"/>
        </w:trPr>
        <w:tc>
          <w:tcPr>
            <w:tcW w:w="7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Right of use assets obtained in exchange for operating lease obligations</w:t>
            </w:r>
          </w:p>
        </w:tc>
        <w:tc>
          <w:tcPr>
            <w:tcW w:w="98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28,054</w:t>
            </w:r>
          </w:p>
        </w:tc>
        <w:tc>
          <w:tcPr>
            <w:tcW w:w="10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2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CytomX Therapeutics, Inc. (the “Company”) is a clinical-stage, oncology-focused biopharmaceutical company with a vision of transforming lives with safer, more effective therapeutics. The Company is pioneering a novel class of investigational antibody therapeutics, based on its Probody® therapeutic technology platform, for the treatment of cancer. The Probody therapeutic approach is designed to more specifically target antibody therapeutics to the tumor microenvironment and minimize drug activity in healthy tissue and in circulation. The Company is located in South San Francisco, California and was incorporated in the state of Delaware in September 2010.</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accompanying interim condensed financial statements have been prepared in conformity with accounting principles generally accepted in the United States of America (“U.S. GAAP”) and applicable rules and regulations of the U.S. Securities and Exchange Commission (“SEC”) regarding interim financial reporting.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The accompanying interim condensed financial statements and related disclosures are unaudited, have been prepared on the same basis as the annual financial statements and, in the opinion of management, reflect all adjustments, which include only normal recurring adjustments, necessary for a fair statement of the results of operations for the periods presented.</w:t>
      </w:r>
    </w:p>
    <w:p>
      <w:pPr>
        <w:spacing w:after="0" w:line="18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condensed balance sheet data as of December 31, 2019 was derived from audited financial statements, but does not include all disclosures required by U.S. GAAP. The condensed results of operations for the three and six months ended June 30, 2020 are not necessarily indicative of the results to be expected for the full year or for any other future year or interim period. The accompanying condensed financial statements should be read in conjunction with the audited financial statements and the related notes thereto included in the Company’s Annual Report on Form 10-K for the year ended December 31, 2019 filed with the SEC.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preparation of the financial statements in conformity with U.S. GAAP requires management to make estimates and assumptions that affect the reported amounts of assets and liabilities, disclosure of contingent assets and liabilities at the date of the financial statements and reported amounts of revenues and expenses during the reporting periods. Actual results could differ from those estimates.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Company considers all highly liquid investments purchased with original maturities of three months or less at the date of purchase to be cash equivalents.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represents a standby letter of credit issued pursuant to an office lease entered in December 2015.</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balance sheets that sum to the total of the amounts shown in the condensed statements of cash flows.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37"/>
              <w:spacing w:after="0"/>
              <w:rPr>
                <w:sz w:val="20"/>
                <w:szCs w:val="20"/>
                <w:color w:val="auto"/>
              </w:rPr>
            </w:pPr>
            <w:r>
              <w:rPr>
                <w:rFonts w:ascii="Arial" w:cs="Arial" w:eastAsia="Arial" w:hAnsi="Arial"/>
                <w:sz w:val="14"/>
                <w:szCs w:val="14"/>
                <w:b w:val="1"/>
                <w:bCs w:val="1"/>
                <w:color w:val="auto"/>
                <w:w w:val="96"/>
              </w:rPr>
              <w:t>June 30,</w:t>
            </w:r>
          </w:p>
        </w:tc>
        <w:tc>
          <w:tcPr>
            <w:tcW w:w="260" w:type="dxa"/>
            <w:vAlign w:val="bottom"/>
          </w:tcPr>
          <w:p>
            <w:pPr>
              <w:spacing w:after="0"/>
              <w:rPr>
                <w:sz w:val="14"/>
                <w:szCs w:val="14"/>
                <w:color w:val="auto"/>
              </w:rPr>
            </w:pPr>
          </w:p>
        </w:tc>
        <w:tc>
          <w:tcPr>
            <w:tcW w:w="102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w w:val="98"/>
              </w:rPr>
              <w:t>December 31,</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114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20" w:type="dxa"/>
            <w:vAlign w:val="bottom"/>
            <w:gridSpan w:val="5"/>
          </w:tcPr>
          <w:p>
            <w:pPr>
              <w:ind w:left="540"/>
              <w:spacing w:after="0"/>
              <w:rPr>
                <w:sz w:val="20"/>
                <w:szCs w:val="20"/>
                <w:color w:val="auto"/>
              </w:rPr>
            </w:pPr>
            <w:r>
              <w:rPr>
                <w:rFonts w:ascii="Arial" w:cs="Arial" w:eastAsia="Arial" w:hAnsi="Arial"/>
                <w:sz w:val="13"/>
                <w:szCs w:val="13"/>
                <w:b w:val="1"/>
                <w:bCs w:val="1"/>
                <w:color w:val="auto"/>
              </w:rPr>
              <w:t>(in thousands)</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291,388</w:t>
            </w:r>
          </w:p>
        </w:tc>
        <w:tc>
          <w:tcPr>
            <w:tcW w:w="48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188,425</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149,392</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247,577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 - non-current assets</w:t>
            </w:r>
          </w:p>
        </w:tc>
        <w:tc>
          <w:tcPr>
            <w:tcW w:w="24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4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292,305</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189,342</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150,309</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248,494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420" w:type="dxa"/>
            <w:vAlign w:val="bottom"/>
            <w:vMerge w:val="restart"/>
          </w:tcPr>
          <w:p>
            <w:pPr>
              <w:jc w:val="right"/>
              <w:ind w:right="730"/>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06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6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All investments have been classified as available-for-sale (“AFS”) and are carried at fair value as determined based upon quoted market prices or pricing models for similar securities at period end. Generally, those investments with contractual maturities less than 12 months are considered short-term investments. The amortized cost of securities is adjusted for amortization of premiums and accretion of discounts to maturity. Dividend and interest income are recognized when earned. Realized gains and losses are included in earnings and are derived using the specific identification method for determining the cost of securities sold.</w:t>
      </w:r>
    </w:p>
    <w:p>
      <w:pPr>
        <w:spacing w:after="0" w:line="188"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Company assesses impairment of its AFS debt securities investments at each reporting period. Unrealized gains resulting from the excess of the fair value over the amortized cost basis of an investment are reported as a component of accumulated other comprehensive income (loss), net of</w:t>
      </w:r>
    </w:p>
    <w:p>
      <w:pPr>
        <w:spacing w:after="0" w:line="252" w:lineRule="auto"/>
        <w:rPr>
          <w:sz w:val="20"/>
          <w:szCs w:val="20"/>
          <w:color w:val="auto"/>
        </w:rPr>
      </w:pPr>
      <w:r>
        <w:rPr>
          <w:rFonts w:ascii="Arial" w:cs="Arial" w:eastAsia="Arial" w:hAnsi="Arial"/>
          <w:sz w:val="18"/>
          <w:szCs w:val="18"/>
          <w:color w:val="auto"/>
        </w:rPr>
        <w:t>tax. Unrealized losses or impairments resulting from the fair value of the AFS debt security being below the amortized cost basis are evaluated, using the discounted cash flow model, for identification of credit losses and non-credit related losses. Any credit losses are charged to earnings against the allowance for credit losses of the security, limited to the difference between the fair value and the amortized cost basis of the security. Any difference between the fair value of the security and the amortized cost basis, less the allowance for credit losses, are reported in other comprehensive income (loss). Expected cash inflows due to improvements in credit are recognized through a reversal of the allowance for credit losses subject to the total allowance previously recognized.</w:t>
      </w:r>
    </w:p>
    <w:p>
      <w:pPr>
        <w:spacing w:after="0" w:line="153"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In the event of impairment of any security, if management (i) has the intent to sell such security or (ii) will more-likely-than-not be required to sell such security before recovery of its amortized cost basis, such AFS debt security’s amortized cost basis will be written down to its fair value through earnings along with any existing allowance for credit losses.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Comprehensive loss represents all changes in stockholders’ equity except those resulting from distributions to stockholders. The Company’s non-credit related unrealized gains and losses on short-term investments and impact of adoption of new accounting pronouncements during the period represent the components of other comprehensive income (loss) that are excluded from the reported net loss.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Company’s revenues are primarily derived through its license, research, development and commercialization agreements. The terms of these types of agreements may include (i) licenses for the Company’s technology or programs, (ii) research and development services, and (iii) services or obligations in connection with participation in research or steering committees. Payments to the Company under these arrangements typically include one or more of the following: nonrefundable upfront and license fees, research funding, milestone and other contingent payments to the Company for the achievement of defined collaboration objectives and certain preclinical, clinical, regulatory and sales-based events, as well as royalties on sales of any commercialized products.</w:t>
      </w:r>
    </w:p>
    <w:p>
      <w:pPr>
        <w:spacing w:after="0" w:line="21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Company assesses whether the promises in its arrangements with customers are considered as distinct performance obligations that should be accounted for separately. Judgment is required to determine whether the license to the Company’s intellectual property is distinct from the research and development services or participation on steering committees.</w:t>
      </w:r>
    </w:p>
    <w:p>
      <w:pPr>
        <w:spacing w:after="0" w:line="22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Company’s collaboration and license agreements may include contingent payments related to specified research, development and regulatory milestones. Such milestone payments are typically payable under the collaborations when the collaboration partner claims or selects a target, or initiates or advances a covered product candidate in preclinical or clinical development, upon submission for marketing approval of a covered product with regulatory authorities, or upon receipt of actual marketing approvals of a covered product or for additional indications. Milestone payments that are not within the control of the Company or the licensee, such as regulatory approvals, are not considered probable of being achieved until those approvals are received. At each reporting date, the Company re-evaluates whether the milestones are considered probable of being reached and estimates the amount to be included in the transaction price by using the most likely amount method. If it is probable that a significant revenue reversal would not occur, the associated milestone value is included in the transaction price in such period of determination.</w:t>
      </w:r>
    </w:p>
    <w:p>
      <w:pPr>
        <w:spacing w:after="0" w:line="21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Company’s collaboration and license agreements may also include contingent payments related to sales-based milestones. Sales-based milestones are typically payable when annual sales of a covered product reach specified levels. Sales-based milestones are recognized at the later of when the associated performance obligation has been satisfied or when the sales occur. Unlike other contingency payments, such as regulatory milestones, sales-based milestones are not included in the transaction price based on estimates at the inception of the contract, but rather, are included when the sales or usage occur.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5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transaction price in each arrangement is allocated to the identified performance obligations based on the relative standalone selling price (“SSP”) of each distinct performance obligation, which requires judgment. In instances where SSP is not directly observable, such as when a license or service is not sold separately, SSP is determined using information that may include market conditions and other observable inputs. Due to the early stage of the Company’s licensed technology, the license of such technology is typically combined with research and development services and steering committee participation as one performance obligation. In the event that the Company receives non-cash consideration such as consideration in the form of a research license and research support services from the counterparty, the transaction price of a non-monetary exchange that has commercial substance is estimated based on the fair value of the non-cash consideration received, which may be determined through a valuation analysis.</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certain cases, the Company’s performance creates an asset that does not have an alternative use to the customer and the Company has an enforceable right to payment at all times for performance completed to date. In these cases,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22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AbbVie Ireland Unlimited Company (“AbbVie”), one of the Company’s collaboration partners, entered into a license agreement with Seattle Genetics, Inc. (“SGEN”) to license certain intellectual property rights. As part of the Company’s collaboration agreement with AbbVie, the Company was required to pay SGEN sublicense fees for certain milestone achievements. These sublicense fees are treated as reductions to the transaction price and combined with the performance obligation to which they relate.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Customer payments are recorded as deferred revenue upon receipt or when due and may require deferral of revenue recognition to a future period until the Company satisfies its performance obligations under these arrangements. Amounts payable to the Company are recorded as accounts receivable when the Company’s right to consideration is unconditional.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records accrued liabilities for estimated costs of research and development activities conducted by third-party service providers, which include the conduct of preclinical and clinical studies, and contract manufacturing activities. The Company records the estimated costs of research and development activities based upon the estimated amount of services provided but not yet invoiced, and includes these costs in accrued liabilities in the balance sheets and within research and development expense in the statements of operations. These costs are a significant component of the Company’s research and development expenses. The Company accrues for these costs based on factors such as estimates of the work completed and in accordance with agreements established with its third-party service providers under the service agreements. The Company makes significant judgments and estimates in determining the accrued liabilities balance in each reporting period. As actual costs become known, the Company adjusts its accrued liabilities. The Company has not experienced any material differences between accrued costs and actual costs incurred. However, the status and timing of actual services performed may vary from the Company’s estimates, resulting in adjustments to expense in future periods. Changes in these estimates that result in material changes to the Company’s accruals could materially affect the Company’s results of operations.</w:t>
      </w:r>
    </w:p>
    <w:p>
      <w:pPr>
        <w:spacing w:after="0" w:line="19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Research and development expenses include costs directly attributable to the conduct of research and development programs, including the cost of salaries, payroll taxes, employee benefits, materials, supplies, depreciation on and maintenance of research equipment, the cost of services provided by outside contractors, and the allocated portions of facility costs, such as rent, utilities, insurance, repairs and maintenance, depreciation, and general support services. All costs associated with research and development are expensed as incurred.</w:t>
      </w:r>
    </w:p>
    <w:p>
      <w:pPr>
        <w:spacing w:after="0" w:line="22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January 2019, the Company acquired certain technology know-how that is complementary to the Company’s proprietary Probody technology from a third party for $5.0 million. The Company plans to use this technology in certain of the Company’s discovery stage projects, and has concluded that the technology acquired does not have an alternative future use. Accordingly, the $5.0 million has been recorded as research and development expense for the six months ended June 30, 2019.</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 recognizes compensation costs related to stock options granted to employees based on the estimated fair value of the awards on the date of grant. The Company records forfeitures as they are incurred. The Company estimates the grant date fair value, and the resulting stock-based compensation expense, using the Black-Scholes option-pricing model. The grant date fair value of stock-based awards is expensed on a straight-line basis over the period during which the employee is required to provide service in exchange for the award (generally the vesting period).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Company estimates the fair value of its stock-based awards using the Black-Scholes option-pricing model, which requires the input of assumptions.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are as follows:</w:t>
      </w:r>
    </w:p>
    <w:p>
      <w:pPr>
        <w:spacing w:after="0" w:line="116" w:lineRule="exact"/>
        <w:rPr>
          <w:sz w:val="20"/>
          <w:szCs w:val="20"/>
          <w:color w:val="auto"/>
        </w:rPr>
      </w:pPr>
    </w:p>
    <w:p>
      <w:pPr>
        <w:ind w:left="500" w:right="160" w:hanging="492"/>
        <w:spacing w:after="0" w:line="342"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The expected term of stock options represents the period that the stock options are expected to remain outstanding and is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vesting terms, exercise term and contractual lives of the options. The expected term of the ESPP shares is equal to the six-month look-back period.</w:t>
      </w:r>
    </w:p>
    <w:p>
      <w:pPr>
        <w:spacing w:after="0" w:line="15" w:lineRule="exact"/>
        <w:rPr>
          <w:rFonts w:ascii="Arial" w:cs="Arial" w:eastAsia="Arial" w:hAnsi="Arial"/>
          <w:sz w:val="16"/>
          <w:szCs w:val="16"/>
          <w:color w:val="auto"/>
        </w:rPr>
      </w:pPr>
    </w:p>
    <w:p>
      <w:pPr>
        <w:ind w:left="500" w:right="140" w:hanging="492"/>
        <w:spacing w:after="0" w:line="279" w:lineRule="auto"/>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The expected stock price volatility for the Company’s stock options was derived from the average historical volatilities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stock price and the stock price of several comparable publicly traded companies within the biotechnology and pharmaceutical industry. The Company will continue to apply this process until a sufficient amount of historical information on the Company’s own stock price becomes available. Volatility for ESPP shares is equal to the Company’s historical volatility over the six-month offering period.</w:t>
      </w:r>
    </w:p>
    <w:p>
      <w:pPr>
        <w:spacing w:after="0" w:line="63" w:lineRule="exact"/>
        <w:rPr>
          <w:rFonts w:ascii="Arial" w:cs="Arial" w:eastAsia="Arial" w:hAnsi="Arial"/>
          <w:sz w:val="17"/>
          <w:szCs w:val="17"/>
          <w:color w:val="auto"/>
        </w:rPr>
      </w:pPr>
    </w:p>
    <w:p>
      <w:pPr>
        <w:ind w:left="500" w:right="160" w:hanging="492"/>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U.S. Treasury yield with a maturity equal to the expected term of the 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in effect at the time of grant.</w:t>
      </w:r>
    </w:p>
    <w:p>
      <w:pPr>
        <w:spacing w:after="0" w:line="62" w:lineRule="exact"/>
        <w:rPr>
          <w:rFonts w:ascii="Arial" w:cs="Arial" w:eastAsia="Arial" w:hAnsi="Arial"/>
          <w:sz w:val="18"/>
          <w:szCs w:val="18"/>
          <w:color w:val="auto"/>
        </w:rPr>
      </w:pPr>
    </w:p>
    <w:p>
      <w:pPr>
        <w:ind w:left="500" w:right="60" w:hanging="492"/>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color w:val="auto"/>
        </w:rPr>
        <w:t>The expected dividend is assumed to be zero as the Company has never paid dividends and has no current plan to pay any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on its common stock.</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3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determines if an arrangement is or contains a lease at inception. Operating leases are recorded as operating lease right-of-use (“ROU”) assets and operating lease liabilities in the Company’s balance sheet. ROU assets represent the Company’s right to use an underlying asset for the lease term and lease liabilities represent its obligation to make lease payments arising from the lease. Operating lease ROU assets and liabilities are recognized at commencement date based on the present value of lease payments over the lease term. The Company uses an implicit rate when readily available, or its incremental borrowing rate based on the information available at lease commencement date in determining the present value of lease payments. The operating lease ROU assets also include any lease prepayments made and reduced by lease incentives. The Company’s lease terms may include options to extend the lease when it is reasonably certain that such option will be exercised. Lease expenses are recognized on a straight-line basis over the lease term. The Company elected the short-term lease recognition exemption. The Company’s operating lease arrangement includes lease and non-lease components which are generally accounted for separately.</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63238"/>
        </w:rPr>
        <w:t>Adopted Accounting Pronouncements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 Credit Losses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The new standard changes the impairment model for most financial assets and certain other instruments. Under the new standard, entities</w:t>
      </w:r>
      <w:r>
        <w:rPr>
          <w:rFonts w:ascii="Arial" w:cs="Arial" w:eastAsia="Arial" w:hAnsi="Arial"/>
          <w:sz w:val="17"/>
          <w:szCs w:val="17"/>
          <w:i w:val="1"/>
          <w:iCs w:val="1"/>
          <w:color w:val="auto"/>
        </w:rPr>
        <w:t xml:space="preserve"> </w:t>
      </w:r>
      <w:r>
        <w:rPr>
          <w:rFonts w:ascii="Arial" w:cs="Arial" w:eastAsia="Arial" w:hAnsi="Arial"/>
          <w:sz w:val="17"/>
          <w:szCs w:val="17"/>
          <w:color w:val="auto"/>
        </w:rPr>
        <w:t>holding financial assets and net investment in leases that are not accounted for at fair value through net income are to be presented at the net amount expected to be collected. An allowance for credit losses will be a valuation account that will be deducted from the amortized cost basis of the financial asset to present the net carrying value at the amount expected to be collected on the financial asset. This new standard also requires that credit losses related to available-for-sale debt securities be recorded as an allowance through net income rather than reducing the carrying amount under the previous other-than-temporary-impairment model. The Company adopted this standard on January 1, 2020 using a modified retrospective approach and there was no transition adjustment recorded to the Company’s beginning accumulated deficit as of January 1, 2020 as there was no incremental impairment loss needed to be recognized upon the adoption of this ASU.</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Simplification of the Test for Goodwill Impairment</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Intangibles-Goodwill and Other (Topic 350): Simplifying the Test for Goodwill Impairment</w:t>
      </w:r>
      <w:r>
        <w:rPr>
          <w:rFonts w:ascii="Arial" w:cs="Arial" w:eastAsia="Arial" w:hAnsi="Arial"/>
          <w:sz w:val="18"/>
          <w:szCs w:val="18"/>
          <w:color w:val="auto"/>
        </w:rPr>
        <w:t>. The new standard simplifies the measurement of goodwill by eliminating the Step 2 impairment test. Step 2 measures a goodwill impairment loss by comparing the implied fair value of a reporting unit's goodwill with the carrying amount of that goodwill. The new guidance requires an entity to compare the fair value of a reporting unit with its carrying amount and recognize an impairment charge for the amount by which the carrying amount exceeds the reporting unit's fair value. Additionally, an entity should consider income tax effects from any tax-deductible goodwill on the carrying amount of the reporting unit when measuring the goodwill impairment loss, if applicable. The Company adopted this standard on January 1, 2020 and there was no material impact on its financial statement.</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 Disclosure Requirements Modification</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(Topic 820)</w:t>
      </w:r>
      <w:r>
        <w:rPr>
          <w:rFonts w:ascii="Arial" w:cs="Arial" w:eastAsia="Arial" w:hAnsi="Arial"/>
          <w:sz w:val="17"/>
          <w:szCs w:val="17"/>
          <w:color w:val="auto"/>
        </w:rPr>
        <w:t>. The amendments in this ASU modify the disclosure requirements on fair value measurements in Topic 820, Fair Value Measurement. Various disclosure requirements have been removed, including the amount of and reasons for transfers between Level 1 and Level 2 of the fair value hierarchy, the policy for timing of transfers between levels, the valuation processes for Level 3 fair value measurements held at the end of the reporting period. The ASU also modified various disclosure requirements and added some disclosure requirements for Level 3 fair value measurements. The amendments in this ASU were effective for the Company on January 1, 2020 and there was no material impact on its financial statements upon adoption of this ASU.</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Use Software Guidance for Cloud Computing Arrangement</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Intangibles-Goodwill and Other- Internal-Use Software (Subtopic 350-40)</w:t>
      </w:r>
      <w:r>
        <w:rPr>
          <w:rFonts w:ascii="Arial" w:cs="Arial" w:eastAsia="Arial" w:hAnsi="Arial"/>
          <w:sz w:val="17"/>
          <w:szCs w:val="17"/>
          <w:color w:val="auto"/>
        </w:rPr>
        <w:t>. The amendments in this ASU on the accounting for implementation, setup and other upfront costs (collectively “implementation costs”) apply to entities that are a customer in a hosting arrangement. The amendments under this ASU align the requirements for capitalizing implementation costs incurred in a hosting arrangement that is a service contract with the requirements for capitalizing implementation costs incurred to develop or obtain internal-use software. Accordingly, the amendments in this ASU require an entity in a hosting arrangement that is a service contract to follow the guidance in Subtopic 350-40 to determine which implementation costs to expense. They also require an entity to expense the capitalized implementation costs of a hosting arrangement that is a service contract over the term of the hosting arrangement. The Company adopted this standard on January 1, 2020 and there was no material impact on its financial statement upon adoption of this ASU.</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Collaborative Arrangements and Revenue Recognition</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In November 2018, the FASB issued ASU No. 2018-18, </w:t>
      </w:r>
      <w:r>
        <w:rPr>
          <w:rFonts w:ascii="Arial" w:cs="Arial" w:eastAsia="Arial" w:hAnsi="Arial"/>
          <w:sz w:val="18"/>
          <w:szCs w:val="18"/>
          <w:i w:val="1"/>
          <w:iCs w:val="1"/>
          <w:color w:val="auto"/>
        </w:rPr>
        <w:t>Collaborative Arrangements (Topic 808): Clarifying the interaction between Topic 808 and Topic</w:t>
      </w:r>
      <w:r>
        <w:rPr>
          <w:rFonts w:ascii="Arial" w:cs="Arial" w:eastAsia="Arial" w:hAnsi="Arial"/>
          <w:sz w:val="18"/>
          <w:szCs w:val="18"/>
          <w:color w:val="auto"/>
        </w:rPr>
        <w:t xml:space="preserve"> </w:t>
      </w:r>
      <w:r>
        <w:rPr>
          <w:rFonts w:ascii="Arial" w:cs="Arial" w:eastAsia="Arial" w:hAnsi="Arial"/>
          <w:sz w:val="18"/>
          <w:szCs w:val="18"/>
          <w:i w:val="1"/>
          <w:iCs w:val="1"/>
          <w:color w:val="auto"/>
        </w:rPr>
        <w:t>606</w:t>
      </w:r>
      <w:r>
        <w:rPr>
          <w:rFonts w:ascii="Arial" w:cs="Arial" w:eastAsia="Arial" w:hAnsi="Arial"/>
          <w:sz w:val="18"/>
          <w:szCs w:val="18"/>
          <w:color w:val="auto"/>
        </w:rPr>
        <w:t>. The amendments in this ASU targeted improvements to generally accepted accounting principles for collaborative arrangements by clarifying that</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transactions between collaborative arrangement participants should be accounted for as revenue under Topic 606 when the collaborative arrangement participant is a customer in the context of a unit of account. In addition, unit-of-account guidance in Topic 808 was aligned with the guidance in Topic 606 (that is, a distinct good or service) when an entity is assessing whether the collaborative arrangement or a part of the arrangement is within the scope of Topic 606. The ASU was effective for the Company on January 1, 2020, and there was no material impact on its financial statements upon adoption of this ASU.</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Payment to Customer</w:t>
      </w:r>
    </w:p>
    <w:p>
      <w:pPr>
        <w:spacing w:after="0" w:line="11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 xml:space="preserve">In November 2019, the FASB issued ASU 2019-08, </w:t>
      </w:r>
      <w:r>
        <w:rPr>
          <w:rFonts w:ascii="Arial" w:cs="Arial" w:eastAsia="Arial" w:hAnsi="Arial"/>
          <w:sz w:val="17"/>
          <w:szCs w:val="17"/>
          <w:i w:val="1"/>
          <w:iCs w:val="1"/>
          <w:color w:val="auto"/>
        </w:rPr>
        <w:t>Compensation - Stock Compensation (Topic 718) and Revenue from Contracts with Customers (Topic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606): Codification Improvements – Share-Based Consideration Payable to a Customer. </w:t>
      </w:r>
      <w:r>
        <w:rPr>
          <w:rFonts w:ascii="Arial" w:cs="Arial" w:eastAsia="Arial" w:hAnsi="Arial"/>
          <w:sz w:val="17"/>
          <w:szCs w:val="17"/>
          <w:color w:val="auto"/>
        </w:rPr>
        <w:t>The amendments in this ASU require that an entity measure and</w:t>
      </w:r>
      <w:r>
        <w:rPr>
          <w:rFonts w:ascii="Arial" w:cs="Arial" w:eastAsia="Arial" w:hAnsi="Arial"/>
          <w:sz w:val="17"/>
          <w:szCs w:val="17"/>
          <w:i w:val="1"/>
          <w:iCs w:val="1"/>
          <w:color w:val="auto"/>
        </w:rPr>
        <w:t xml:space="preserve"> </w:t>
      </w:r>
      <w:r>
        <w:rPr>
          <w:rFonts w:ascii="Arial" w:cs="Arial" w:eastAsia="Arial" w:hAnsi="Arial"/>
          <w:sz w:val="17"/>
          <w:szCs w:val="17"/>
          <w:color w:val="auto"/>
        </w:rPr>
        <w:t>classify share-based payment awards granted to a customer by applying the guidance in Topic 718. Under ASC 606, these awards are considered a reduction of the transaction price, unless the awards are payment for a distinct good or service received from the customer and should be recorded as a reduction of the transaction price. However, the ASU requires these awards to be measured on the basis of the grant-date fair value of the share-based payment award in accordance with Topic 718 and should be recognized at the later of when the award is promised and when the entity recognizes revenue for the transfer of the related goods or services in accordance with ASC 606. The ASU is effective for the Company on January 1, 2020, and there was no material impact on its financial statements upon adoption of this ASU.</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3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The amendments in this ASU simplify the accounting for income taxes by removing certain exceptions to the general principles of ASC 740 in order to reduce cost and complexity of its application. The ASU removes the exception related to the incremental approach for intraperiod tax allocation as well as two exceptions related to accounting for outside basis differences of equity method investments and foreign subsidiaries. The ASU also amends the scope of ASC 740 related to a franchise tax (or similar tax) that is partially based on income; clarifies when a step-up in the tax basis of goodwill should be considered part of the business combination in which the book goodwill was originally recognized and when it should be considered a separate transaction; specifies that an entity is not required to allocate income tax expense to a legal entity that is both not subject to tax and disregarded by the taxing authority; and clarifies that all tax effects, both deferred and current, should be accounted for in the interim period that includes the enactment date. The ASU is effective for the Company on January 1, 2021, and interim periods within those fiscal years. The Company does not expect the adoption of this ASU will have a material impact on its financial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Basic net loss per share is calculated by dividing the net loss by the weighted-average number of shares of common stock outstanding for the</w:t>
      </w:r>
    </w:p>
    <w:p>
      <w:pPr>
        <w:spacing w:after="0" w:line="35" w:lineRule="exact"/>
        <w:rPr>
          <w:sz w:val="20"/>
          <w:szCs w:val="20"/>
          <w:color w:val="auto"/>
        </w:rPr>
      </w:pPr>
    </w:p>
    <w:p>
      <w:pPr>
        <w:jc w:val="both"/>
        <w:ind w:right="240"/>
        <w:spacing w:after="0" w:line="323" w:lineRule="auto"/>
        <w:rPr>
          <w:sz w:val="20"/>
          <w:szCs w:val="20"/>
          <w:color w:val="auto"/>
        </w:rPr>
      </w:pPr>
      <w:r>
        <w:rPr>
          <w:rFonts w:ascii="Arial" w:cs="Arial" w:eastAsia="Arial" w:hAnsi="Arial"/>
          <w:sz w:val="16"/>
          <w:szCs w:val="16"/>
          <w:color w:val="auto"/>
        </w:rPr>
        <w:t>period. Diluted net loss per share is calculated using the weighted-average number of common shares outstanding, plus potential dilutive common stock during the period. Diluted net loss per share was the same as basic net loss per share since the effect of the potentially dilutive securities is anti-dilutive.</w:t>
      </w:r>
    </w:p>
    <w:p>
      <w:pPr>
        <w:spacing w:after="0" w:line="13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weighted-average outstanding shares of potentially dilutive securities were excluded from the computation of diluted net loss per share for the periods presented, because including them would have been anti-dilutive: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7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26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5840" w:type="dxa"/>
            <w:vAlign w:val="bottom"/>
          </w:tcPr>
          <w:p>
            <w:pPr>
              <w:spacing w:after="0"/>
              <w:rPr>
                <w:sz w:val="14"/>
                <w:szCs w:val="14"/>
                <w:color w:val="auto"/>
              </w:rPr>
            </w:pPr>
          </w:p>
        </w:tc>
        <w:tc>
          <w:tcPr>
            <w:tcW w:w="1640" w:type="dxa"/>
            <w:vAlign w:val="bottom"/>
            <w:tcBorders>
              <w:bottom w:val="single" w:sz="8" w:color="auto"/>
            </w:tcBorders>
            <w:gridSpan w:val="3"/>
          </w:tcPr>
          <w:p>
            <w:pPr>
              <w:jc w:val="center"/>
              <w:ind w:left="784"/>
              <w:spacing w:after="0"/>
              <w:rPr>
                <w:sz w:val="20"/>
                <w:szCs w:val="20"/>
                <w:color w:val="auto"/>
              </w:rPr>
            </w:pPr>
            <w:r>
              <w:rPr>
                <w:rFonts w:ascii="Arial" w:cs="Arial" w:eastAsia="Arial" w:hAnsi="Arial"/>
                <w:sz w:val="14"/>
                <w:szCs w:val="14"/>
                <w:b w:val="1"/>
                <w:bCs w:val="1"/>
                <w:color w:val="auto"/>
                <w:w w:val="89"/>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Borders>
              <w:bottom w:val="single" w:sz="8" w:color="auto"/>
            </w:tcBorders>
            <w:gridSpan w:val="3"/>
          </w:tcPr>
          <w:p>
            <w:pPr>
              <w:jc w:val="center"/>
              <w:ind w:left="784"/>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84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64"/>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64"/>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and ESPP to purchase common stock</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11,745,760</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89"/>
              </w:rPr>
              <w:t>9,874,549</w:t>
            </w:r>
          </w:p>
        </w:tc>
        <w:tc>
          <w:tcPr>
            <w:tcW w:w="2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11,339,658</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89"/>
              </w:rPr>
              <w:t>9,421,221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 and Short-Term Investments</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accordance with Accounting Standards Codification (“ASC”) 820-10, Fair Value Measurements and Disclosures, the Company determines the fair value of financial and non-financial assets and liabilities using the fair value hierarchy, which establishes three levels of inputs that may be used to measure fair value, as follows:</w:t>
      </w:r>
    </w:p>
    <w:p>
      <w:pPr>
        <w:spacing w:after="0" w:line="76" w:lineRule="exact"/>
        <w:rPr>
          <w:sz w:val="20"/>
          <w:szCs w:val="20"/>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I: Inputs which include quoted prices in active markets for identical assets and liabilities.</w:t>
      </w:r>
    </w:p>
    <w:p>
      <w:pPr>
        <w:spacing w:after="0" w:line="117" w:lineRule="exact"/>
        <w:rPr>
          <w:rFonts w:ascii="Arial" w:cs="Arial" w:eastAsia="Arial" w:hAnsi="Arial"/>
          <w:sz w:val="18"/>
          <w:szCs w:val="18"/>
          <w:color w:val="auto"/>
        </w:rPr>
      </w:pPr>
    </w:p>
    <w:p>
      <w:pPr>
        <w:ind w:left="1000" w:right="520" w:hanging="493"/>
        <w:spacing w:after="0" w:line="26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5" w:lineRule="exact"/>
        <w:rPr>
          <w:rFonts w:ascii="Arial" w:cs="Arial" w:eastAsia="Arial" w:hAnsi="Arial"/>
          <w:sz w:val="18"/>
          <w:szCs w:val="18"/>
          <w:color w:val="auto"/>
        </w:rPr>
      </w:pPr>
    </w:p>
    <w:p>
      <w:pPr>
        <w:ind w:left="1000" w:right="540" w:hanging="493"/>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III: Unobservable inputs that are supported by little or no market activity and that are significant to the fair value of the assets or liabilities.</w:t>
      </w:r>
    </w:p>
    <w:p>
      <w:pPr>
        <w:spacing w:after="0" w:line="170"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The carrying amounts of the Company’s financial instruments, including restricted cash, accounts receivable, accounts payable and accrued liabilities approximate fair value due to their relatively short maturities. The Company’s financial instruments consist of Level I assets which consist primarily of highly liquid money market funds, some of which are included in restricted cash, and U.S. government bonds that are included in short-term investments.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22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tables set forth the fair value of the Company’s short-term investments subject to fair value measurements on a recurring basis and the level of inputs used in such measurements: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2"/>
              </w:rPr>
              <w:t>June 30, 2020</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92"/>
              </w:rPr>
              <w:t>Allowance</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1"/>
                <w:szCs w:val="11"/>
                <w:color w:val="auto"/>
              </w:rPr>
            </w:pPr>
          </w:p>
        </w:tc>
        <w:tc>
          <w:tcPr>
            <w:tcW w:w="104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Valuation</w:t>
            </w:r>
          </w:p>
        </w:tc>
        <w:tc>
          <w:tcPr>
            <w:tcW w:w="120" w:type="dxa"/>
            <w:vAlign w:val="bottom"/>
          </w:tcPr>
          <w:p>
            <w:pPr>
              <w:spacing w:after="0"/>
              <w:rPr>
                <w:sz w:val="12"/>
                <w:szCs w:val="12"/>
                <w:color w:val="auto"/>
              </w:rPr>
            </w:pPr>
          </w:p>
        </w:tc>
        <w:tc>
          <w:tcPr>
            <w:tcW w:w="82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8"/>
              </w:rPr>
              <w:t>for Credit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Holding</w:t>
            </w:r>
          </w:p>
        </w:tc>
        <w:tc>
          <w:tcPr>
            <w:tcW w:w="1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Holding</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Hierarchy</w:t>
            </w:r>
          </w:p>
        </w:tc>
        <w:tc>
          <w:tcPr>
            <w:tcW w:w="120" w:type="dxa"/>
            <w:vAlign w:val="bottom"/>
          </w:tcPr>
          <w:p>
            <w:pPr>
              <w:spacing w:after="0"/>
              <w:rPr>
                <w:sz w:val="14"/>
                <w:szCs w:val="14"/>
                <w:color w:val="auto"/>
              </w:rPr>
            </w:pPr>
          </w:p>
        </w:tc>
        <w:tc>
          <w:tcPr>
            <w:tcW w:w="82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8"/>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6"/>
        </w:trPr>
        <w:tc>
          <w:tcPr>
            <w:tcW w:w="34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3"/>
          </w:tcPr>
          <w:p>
            <w:pPr>
              <w:jc w:val="center"/>
              <w:ind w:right="2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Level I</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240,210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240,210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Restricted cash (money market funds)</w:t>
            </w:r>
          </w:p>
        </w:tc>
        <w:tc>
          <w:tcPr>
            <w:tcW w:w="10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4"/>
              </w:rPr>
              <w:t>Level I</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tcPr>
          <w:p>
            <w:pPr>
              <w:ind w:left="120"/>
              <w:spacing w:after="0"/>
              <w:rPr>
                <w:sz w:val="20"/>
                <w:szCs w:val="20"/>
                <w:color w:val="auto"/>
              </w:rPr>
            </w:pPr>
            <w:r>
              <w:rPr>
                <w:rFonts w:ascii="Arial" w:cs="Arial" w:eastAsia="Arial" w:hAnsi="Arial"/>
                <w:sz w:val="18"/>
                <w:szCs w:val="18"/>
                <w:color w:val="auto"/>
              </w:rPr>
              <w:t>U.S. Government bonds</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Level I</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54,944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296,071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296,140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92"/>
              </w:rPr>
              <w:t>Allowance</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1"/>
                <w:szCs w:val="11"/>
                <w:color w:val="auto"/>
              </w:rPr>
            </w:pPr>
          </w:p>
        </w:tc>
        <w:tc>
          <w:tcPr>
            <w:tcW w:w="104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Valuation</w:t>
            </w:r>
          </w:p>
        </w:tc>
        <w:tc>
          <w:tcPr>
            <w:tcW w:w="120" w:type="dxa"/>
            <w:vAlign w:val="bottom"/>
          </w:tcPr>
          <w:p>
            <w:pPr>
              <w:spacing w:after="0"/>
              <w:rPr>
                <w:sz w:val="12"/>
                <w:szCs w:val="12"/>
                <w:color w:val="auto"/>
              </w:rPr>
            </w:pPr>
          </w:p>
        </w:tc>
        <w:tc>
          <w:tcPr>
            <w:tcW w:w="82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8"/>
              </w:rPr>
              <w:t>for Credit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Holding</w:t>
            </w:r>
          </w:p>
        </w:tc>
        <w:tc>
          <w:tcPr>
            <w:tcW w:w="1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Holding</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Hierarchy</w:t>
            </w:r>
          </w:p>
        </w:tc>
        <w:tc>
          <w:tcPr>
            <w:tcW w:w="120" w:type="dxa"/>
            <w:vAlign w:val="bottom"/>
          </w:tcPr>
          <w:p>
            <w:pPr>
              <w:spacing w:after="0"/>
              <w:rPr>
                <w:sz w:val="14"/>
                <w:szCs w:val="14"/>
                <w:color w:val="auto"/>
              </w:rPr>
            </w:pPr>
          </w:p>
        </w:tc>
        <w:tc>
          <w:tcPr>
            <w:tcW w:w="82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8"/>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6"/>
        </w:trPr>
        <w:tc>
          <w:tcPr>
            <w:tcW w:w="34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3"/>
          </w:tcPr>
          <w:p>
            <w:pPr>
              <w:jc w:val="center"/>
              <w:ind w:right="2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Level I</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170,757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170,757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Restricted cash (money market funds)</w:t>
            </w:r>
          </w:p>
        </w:tc>
        <w:tc>
          <w:tcPr>
            <w:tcW w:w="10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4"/>
              </w:rPr>
              <w:t>Level I</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120"/>
              <w:spacing w:after="0"/>
              <w:rPr>
                <w:sz w:val="20"/>
                <w:szCs w:val="20"/>
                <w:color w:val="auto"/>
              </w:rPr>
            </w:pPr>
            <w:r>
              <w:rPr>
                <w:rFonts w:ascii="Arial" w:cs="Arial" w:eastAsia="Arial" w:hAnsi="Arial"/>
                <w:sz w:val="18"/>
                <w:szCs w:val="18"/>
                <w:color w:val="auto"/>
              </w:rPr>
              <w:t>U.S. Government bonds</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Level I</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107,610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107,720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279,284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279,394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no securities have contractual maturities of greater than 12 months.</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unrealized gains on the Company’s investment in US Government bonds were caused by interest rate decreases. The contractual terms of those investments are less than a year and do not permit the issuer to settle the securities at a price less than the amortized cost bases of the investments if held to maturity. The Company does not intend to sell the investments and it is not more likely than not that the Company will be required to sell the investments before recovery of their amortized cost bases</w:t>
      </w:r>
      <w:r>
        <w:rPr>
          <w:rFonts w:ascii="Arial" w:cs="Arial" w:eastAsia="Arial" w:hAnsi="Arial"/>
          <w:sz w:val="18"/>
          <w:szCs w:val="18"/>
          <w:b w:val="1"/>
          <w:bCs w:val="1"/>
          <w:i w:val="1"/>
          <w:iCs w:val="1"/>
          <w:color w:val="auto"/>
        </w:rPr>
        <w:t>.</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462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4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12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clinical expenses</w:t>
            </w:r>
          </w:p>
        </w:tc>
        <w:tc>
          <w:tcPr>
            <w:tcW w:w="4620" w:type="dxa"/>
            <w:vAlign w:val="bottom"/>
            <w:tcBorders>
              <w:top w:val="single" w:sz="8" w:color="CFF0FC"/>
            </w:tcBorders>
            <w:gridSpan w:val="2"/>
            <w:shd w:val="clear" w:color="auto" w:fill="CFF0FC"/>
          </w:tcPr>
          <w:p>
            <w:pPr>
              <w:jc w:val="right"/>
              <w:ind w:right="859"/>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11,831</w:t>
            </w: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19,006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Payroll and related expenses</w:t>
            </w:r>
          </w:p>
        </w:tc>
        <w:tc>
          <w:tcPr>
            <w:tcW w:w="3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4,984</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Legal and professional expenses</w:t>
            </w:r>
          </w:p>
        </w:tc>
        <w:tc>
          <w:tcPr>
            <w:tcW w:w="35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1,202</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Operating lease liabilities - short term</w:t>
            </w:r>
          </w:p>
        </w:tc>
        <w:tc>
          <w:tcPr>
            <w:tcW w:w="3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2,998</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Other accrued expenses</w:t>
            </w:r>
          </w:p>
        </w:tc>
        <w:tc>
          <w:tcPr>
            <w:tcW w:w="358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Pr>
          <w:p>
            <w:pPr>
              <w:ind w:left="260"/>
              <w:spacing w:after="0"/>
              <w:rPr>
                <w:sz w:val="20"/>
                <w:szCs w:val="20"/>
                <w:color w:val="auto"/>
              </w:rPr>
            </w:pPr>
            <w:r>
              <w:rPr>
                <w:rFonts w:ascii="Arial" w:cs="Arial" w:eastAsia="Arial" w:hAnsi="Arial"/>
                <w:sz w:val="18"/>
                <w:szCs w:val="18"/>
                <w:color w:val="auto"/>
              </w:rPr>
              <w:t>Total</w:t>
            </w:r>
          </w:p>
        </w:tc>
        <w:tc>
          <w:tcPr>
            <w:tcW w:w="3580" w:type="dxa"/>
            <w:vAlign w:val="bottom"/>
          </w:tcPr>
          <w:p>
            <w:pPr>
              <w:spacing w:after="0"/>
              <w:rPr>
                <w:sz w:val="19"/>
                <w:szCs w:val="19"/>
                <w:color w:val="auto"/>
              </w:rPr>
            </w:pPr>
          </w:p>
        </w:tc>
        <w:tc>
          <w:tcPr>
            <w:tcW w:w="1040" w:type="dxa"/>
            <w:vAlign w:val="bottom"/>
            <w:tcBorders>
              <w:bottom w:val="single" w:sz="8" w:color="auto"/>
            </w:tcBorders>
          </w:tcPr>
          <w:p>
            <w:pPr>
              <w:jc w:val="right"/>
              <w:ind w:right="8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21,147</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3580" w:type="dxa"/>
            <w:vAlign w:val="bottom"/>
            <w:vMerge w:val="restart"/>
          </w:tcPr>
          <w:p>
            <w:pPr>
              <w:jc w:val="right"/>
              <w:ind w:right="1916"/>
              <w:spacing w:after="0"/>
              <w:rPr>
                <w:sz w:val="20"/>
                <w:szCs w:val="20"/>
                <w:color w:val="auto"/>
              </w:rPr>
            </w:pPr>
            <w:r>
              <w:rPr>
                <w:rFonts w:ascii="Arial" w:cs="Arial" w:eastAsia="Arial" w:hAnsi="Arial"/>
                <w:sz w:val="18"/>
                <w:szCs w:val="18"/>
                <w:color w:val="auto"/>
              </w:rPr>
              <w:t>15</w:t>
            </w: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14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40" w:type="dxa"/>
            <w:vAlign w:val="bottom"/>
            <w:tcBorders>
              <w:bottom w:val="single" w:sz="8" w:color="9A9A9A"/>
            </w:tcBorders>
          </w:tcPr>
          <w:p>
            <w:pPr>
              <w:spacing w:after="0"/>
              <w:rPr>
                <w:sz w:val="10"/>
                <w:szCs w:val="10"/>
                <w:color w:val="auto"/>
              </w:rPr>
            </w:pPr>
          </w:p>
        </w:tc>
        <w:tc>
          <w:tcPr>
            <w:tcW w:w="35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Research and Collaboration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revenue by collaboration partners: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gridSpan w:val="3"/>
          </w:tcPr>
          <w:p>
            <w:pPr>
              <w:jc w:val="center"/>
              <w:ind w:left="78"/>
              <w:spacing w:after="0"/>
              <w:rPr>
                <w:sz w:val="20"/>
                <w:szCs w:val="20"/>
                <w:color w:val="auto"/>
              </w:rPr>
            </w:pPr>
            <w:r>
              <w:rPr>
                <w:rFonts w:ascii="Arial" w:cs="Arial" w:eastAsia="Arial" w:hAnsi="Arial"/>
                <w:sz w:val="14"/>
                <w:szCs w:val="14"/>
                <w:b w:val="1"/>
                <w:bCs w:val="1"/>
                <w:color w:val="auto"/>
                <w:w w:val="93"/>
              </w:rPr>
              <w:t>Three Months Ended</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Six Months Ended</w:t>
            </w:r>
          </w:p>
        </w:tc>
      </w:tr>
      <w:tr>
        <w:trPr>
          <w:trHeight w:val="215"/>
        </w:trPr>
        <w:tc>
          <w:tcPr>
            <w:tcW w:w="37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center"/>
              <w:ind w:left="78"/>
              <w:spacing w:after="0"/>
              <w:rPr>
                <w:sz w:val="20"/>
                <w:szCs w:val="20"/>
                <w:color w:val="auto"/>
              </w:rPr>
            </w:pPr>
            <w:r>
              <w:rPr>
                <w:rFonts w:ascii="Arial" w:cs="Arial" w:eastAsia="Arial" w:hAnsi="Arial"/>
                <w:sz w:val="14"/>
                <w:szCs w:val="14"/>
                <w:b w:val="1"/>
                <w:bCs w:val="1"/>
                <w:color w:val="auto"/>
                <w:w w:val="89"/>
              </w:rPr>
              <w:t>June 30,</w:t>
            </w:r>
          </w:p>
        </w:tc>
        <w:tc>
          <w:tcPr>
            <w:tcW w:w="4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left="418"/>
              <w:spacing w:after="0"/>
              <w:rPr>
                <w:sz w:val="20"/>
                <w:szCs w:val="20"/>
                <w:color w:val="auto"/>
              </w:rPr>
            </w:pPr>
            <w:r>
              <w:rPr>
                <w:rFonts w:ascii="Arial" w:cs="Arial" w:eastAsia="Arial" w:hAnsi="Arial"/>
                <w:sz w:val="14"/>
                <w:szCs w:val="14"/>
                <w:b w:val="1"/>
                <w:bCs w:val="1"/>
                <w:color w:val="auto"/>
                <w:w w:val="89"/>
              </w:rPr>
              <w:t>June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56"/>
        </w:trPr>
        <w:tc>
          <w:tcPr>
            <w:tcW w:w="37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8"/>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r>
      <w:tr>
        <w:trPr>
          <w:trHeight w:val="155"/>
        </w:trPr>
        <w:tc>
          <w:tcPr>
            <w:tcW w:w="37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gridSpan w:val="3"/>
          </w:tcPr>
          <w:p>
            <w:pPr>
              <w:jc w:val="center"/>
              <w:ind w:left="78"/>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3"/>
          </w:tcPr>
          <w:p>
            <w:pPr>
              <w:jc w:val="center"/>
              <w:ind w:left="418"/>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AbbVie</w:t>
            </w:r>
          </w:p>
        </w:tc>
        <w:tc>
          <w:tcPr>
            <w:tcW w:w="220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w:t>
            </w: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3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1,382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31,415</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4,330</w:t>
            </w:r>
          </w:p>
        </w:tc>
        <w:tc>
          <w:tcPr>
            <w:tcW w:w="100" w:type="dxa"/>
            <w:vAlign w:val="bottom"/>
            <w:shd w:val="clear" w:color="auto" w:fill="CFF0FC"/>
          </w:tcPr>
          <w:p>
            <w:pPr>
              <w:spacing w:after="0"/>
              <w:rPr>
                <w:sz w:val="19"/>
                <w:szCs w:val="19"/>
                <w:color w:val="auto"/>
              </w:rPr>
            </w:pPr>
          </w:p>
        </w:tc>
      </w:tr>
      <w:tr>
        <w:trPr>
          <w:trHeight w:val="229"/>
        </w:trPr>
        <w:tc>
          <w:tcPr>
            <w:tcW w:w="3740" w:type="dxa"/>
            <w:vAlign w:val="bottom"/>
          </w:tcPr>
          <w:p>
            <w:pPr>
              <w:ind w:left="260"/>
              <w:spacing w:after="0"/>
              <w:rPr>
                <w:sz w:val="20"/>
                <w:szCs w:val="20"/>
                <w:color w:val="auto"/>
              </w:rPr>
            </w:pPr>
            <w:r>
              <w:rPr>
                <w:rFonts w:ascii="Arial" w:cs="Arial" w:eastAsia="Arial" w:hAnsi="Arial"/>
                <w:sz w:val="18"/>
                <w:szCs w:val="18"/>
                <w:color w:val="auto"/>
              </w:rPr>
              <w:t>Amgen</w:t>
            </w:r>
          </w:p>
        </w:tc>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3,678</w:t>
            </w: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5,373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1,257</w:t>
            </w:r>
          </w:p>
        </w:tc>
        <w:tc>
          <w:tcPr>
            <w:tcW w:w="100" w:type="dxa"/>
            <w:vAlign w:val="bottom"/>
          </w:tcPr>
          <w:p>
            <w:pPr>
              <w:spacing w:after="0"/>
              <w:rPr>
                <w:sz w:val="19"/>
                <w:szCs w:val="19"/>
                <w:color w:val="auto"/>
              </w:rPr>
            </w:pPr>
          </w:p>
        </w:tc>
      </w:tr>
      <w:tr>
        <w:trPr>
          <w:trHeight w:val="229"/>
        </w:trPr>
        <w:tc>
          <w:tcPr>
            <w:tcW w:w="3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Astellas</w:t>
            </w:r>
          </w:p>
        </w:tc>
        <w:tc>
          <w:tcPr>
            <w:tcW w:w="1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4,204</w:t>
            </w: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4,591</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37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Bristol Myers Squibb</w:t>
            </w:r>
          </w:p>
        </w:tc>
        <w:tc>
          <w:tcPr>
            <w:tcW w:w="19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7,407</w:t>
            </w:r>
          </w:p>
        </w:tc>
        <w:tc>
          <w:tcPr>
            <w:tcW w:w="4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7,409</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24,822</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32,911</w:t>
            </w:r>
          </w:p>
        </w:tc>
        <w:tc>
          <w:tcPr>
            <w:tcW w:w="100" w:type="dxa"/>
            <w:vAlign w:val="bottom"/>
            <w:tcBorders>
              <w:bottom w:val="single" w:sz="8" w:color="CFF0FC"/>
            </w:tcBorders>
          </w:tcPr>
          <w:p>
            <w:pPr>
              <w:spacing w:after="0"/>
              <w:rPr>
                <w:sz w:val="19"/>
                <w:szCs w:val="19"/>
                <w:color w:val="auto"/>
              </w:rPr>
            </w:pPr>
          </w:p>
        </w:tc>
      </w:tr>
      <w:tr>
        <w:trPr>
          <w:trHeight w:val="223"/>
        </w:trPr>
        <w:tc>
          <w:tcPr>
            <w:tcW w:w="3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9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16,608</w:t>
            </w:r>
          </w:p>
        </w:tc>
        <w:tc>
          <w:tcPr>
            <w:tcW w:w="4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3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9,013</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66,201</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38,498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7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 Ireland Unlimited Company</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April 2016, the Company and AbbVie entered into two agreements, a CD71 Co-Development and Licensing Agreement (the “CD71 Agreement”) and a Discovery Collaboration and Licensing Agreement (as amended and restated in June 2019, the “Discovery Agreement” and together with the CD71 Agreement the “AbbVie Agreements”). Under the terms of the CD71 Agreement, the Company and AbbVie will co-develop a Probody Drug Conjugate (“PDC”) against CD71, with the Company responsible for pre-clinical and early clinical development. AbbVie will be responsible for later development and commercialization, with global late-stage development costs shared between the two companies. The Company will assume 35% of the net profits or net losses related to later development unless it opts-out. If the Company opts-out from participation of co-development of the CD71 PDC, which includes CX-2029, AbbVie will have sole right and responsibility for the further development, manufacturing and commercialization of such CD71 PDC.</w:t>
      </w:r>
    </w:p>
    <w:p>
      <w:pPr>
        <w:spacing w:after="0" w:line="20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Under the CD71 Agreement, the Company received an upfront payment of $20.0 million in April 2016, and is eligible to receive up to $470.0 million in development, regulatory and commercial milestone payments, a 35% profit split on U.S. sales, and royalties on ex-U.S. sales in the high teens to low twenties percentage if the Company participates in the co-development of the CD71 PDC subject to a reversion to a royalty on U.S. sales, and reduction in royalties on ex-U.S. sales, if the Company opts-out from the co-development of the CD71 PDC. The Company’s share of later stage co-development costs for each CD71 PDC are capped, provided that AbbVie may offset the Company’s co-development cost above the capped amounts from future payments such as milestone payments and royalties. In July 2017, the Company received a milestone payment of $14.0 million (net of payment of an associated sublicense fee of $1.0 million to SGEN under the Seattle Genetics Agreement) from AbbVie for achieving certain milestones required to be met to begin GLP toxicology studies under the CD71 Agreement. In May 2018, the United States Food and Drug Administration (“FDA”) cleared the IND application for CX-2029. As a result, the Company achieved the IND success criteria under the CD71 Agreement and received a $21.0 million milestone payment (net of the payment of an associated sublicense fee of $4.0 million to SGEN). In March 2020, the Company earned a $40.0 million milestone payment for satisfying the CD71 dose escalation success criteria under the CD71 Agreement.</w:t>
      </w:r>
    </w:p>
    <w:p>
      <w:pPr>
        <w:spacing w:after="0" w:line="22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Under the terms of the Discovery Agreement, AbbVie receives exclusive worldwide rights to develop and commercialize PDCs against up to two targets, one of which was selected in March 2017. The Company shall perform research services to discover the Probody therapeutics and create PDCs for the nominated collaboration targets. From that point, AbbVie shall have sole right and responsibility for development and commercialization of products comprising or containing such PDCs (“Discovery Licensed Products”).</w:t>
      </w:r>
    </w:p>
    <w:p>
      <w:pPr>
        <w:spacing w:after="0" w:line="21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Under the Discovery Agreement, the Company received an upfront payment of $10.0 million in April 2016 and subsequently earned an additional $10.0 million milestone payment triggered by selection of the second target by AbbVie in June 2019. The Company is also eligible to receive up to $275.0 million in development, regulatory and commercial milestone payments and royalties in the high single to low teens percentage from commercial sales of any resulting PDCs. The second target was selected under the Discovery Agreement that allows AbbVie to select a target for developing a PDC or a Probody.</w:t>
      </w:r>
    </w:p>
    <w:p>
      <w:pPr>
        <w:spacing w:after="0" w:line="22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has determined that the AbbVie Agreements should be combined and evaluated as a single arrangement in determining revenue recognition, because both agreements were concurrently negotiated and executed.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Company identified the following performance obligations at the inception of the AbbVie Agreements:</w:t>
      </w:r>
    </w:p>
    <w:p>
      <w:pPr>
        <w:spacing w:after="0" w:line="131" w:lineRule="exact"/>
        <w:rPr>
          <w:sz w:val="20"/>
          <w:szCs w:val="20"/>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research, development and commercialization license for CD71 Probody therapeutic,</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research services related to CD71 Probody therapeutic,</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obligation to participate in the CD71 Agreement joint research committee,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research services related to the first discovery target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research, development and commercialization license for the first discovery target,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obligation to participate in the Discovery Agreement joint research committee.</w:t>
      </w:r>
    </w:p>
    <w:p>
      <w:pPr>
        <w:spacing w:after="0" w:line="25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Company concluded that AbbVie’s option for the second discovery target was not a material right and was therefore not a performance obligation at the inception of the AbbVie Agreements. However, it was subsequently included in the total transaction price in June 2019 as a performance obligation upon AbbVie’s selection of such second target as further discussed below.</w:t>
      </w:r>
    </w:p>
    <w:p>
      <w:pPr>
        <w:spacing w:after="0" w:line="22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determined that the research, development and commercialization licenses for CD71 and discovery targets are not distinct from the Company’s respective research services and expertise. The Company considered factors such as novelty of the Probody therapeutic and PDC technology and lack of other parties’ expertise in this space, the Company’s rights to technology relating to a proprietary platform to enable the Probody therapeutic development and AbbVie’s contractual obligation to use the Company’s research services. The Company determined that the CD71 Agreement research, development and commercialization license, related research service and participation in the joint research committee were a combined performance obligation and were distinct from the Discovery Agreement research, development and commercialization license, related research service and participation in the joint research committee. Therefore, the Company concluded that there are two distinct performance obligations:</w:t>
      </w:r>
    </w:p>
    <w:p>
      <w:pPr>
        <w:spacing w:after="0" w:line="72" w:lineRule="exact"/>
        <w:rPr>
          <w:sz w:val="20"/>
          <w:szCs w:val="20"/>
          <w:color w:val="auto"/>
        </w:rPr>
      </w:pPr>
    </w:p>
    <w:p>
      <w:pPr>
        <w:ind w:left="1000" w:right="48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CD71 Agreement performance obligation consisting of the CD71 Agreement research, development and commercialization license, related research service and participation in the joint research committee, and</w:t>
      </w:r>
    </w:p>
    <w:p>
      <w:pPr>
        <w:spacing w:after="0" w:line="62" w:lineRule="exact"/>
        <w:rPr>
          <w:rFonts w:ascii="Arial" w:cs="Arial" w:eastAsia="Arial" w:hAnsi="Arial"/>
          <w:sz w:val="18"/>
          <w:szCs w:val="18"/>
          <w:color w:val="auto"/>
        </w:rPr>
      </w:pPr>
    </w:p>
    <w:p>
      <w:pPr>
        <w:ind w:left="1000" w:right="44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Discovery Agreement performance obligation consisting of the Discovery Agreement research, development and commercialization license, related research service and participation in the joint research committee.</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total transaction price for the Discovery Agreement and CD71 Agreement, collectively, upon adoption of ASC 606 on January 1, 2018 of $39.8 million consists of $30.0 million in upfront payments, and a $14.0 million milestone payment received under the CD71 Agreement (net of the payment of an associated sublicense fee of $1.0 million to SGEN), less $4.2 million of estimated sublicense fees. The upfront payments under the AbbVie Agreements are allocated between the two performance obligations based on the estimated relative standalone selling prices. The $30.0 million of upfront payments is allocated $20.0 million to the CD71 Agreement, with the remaining $10.0 million allocated to the Discovery Agreement. The $14.0 million milestone payment received (net of the payment of an associated sublicense fee of $1.0 million to SGEN) and the estimated sublicense fees of $4.2 million are allocated to the CD71 Agreement performance obligation as they are directly related to the development of the CX-2029.</w:t>
      </w:r>
    </w:p>
    <w:p>
      <w:pPr>
        <w:spacing w:after="0" w:line="17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Therefore, of the $39.8 million total initial transaction price discussed above, the Company allocated $29.8 million to the CD71 Agreement performance obligation and recognized revenue using a cost-based input measure, the common measure of progress for the performance obligation. In applying the cost-based input method, revenue is recognized based on actual full-time employee (“FTE”) hours incurred as a percentage of total estimated FTE hours for completing its combined performance obligation over the estimated service period. The Company evaluates the measure of progress each reporting period and, if necessary, adjusts the measure of performance and related revenue recognition. During 2019, as a result of ongoing dose escalation in the continued development program, there has been a change in estimates of the research service period as well as an increase in the projected FTE hours-to-completion. The research service period for the CD71 Agreement performance obligation was extended from April 2021 to March 2022 in 2019. During the second quarter of 2020, the Company further increased the projected FTE hours-to-completion and extended the research service period for the CD71 Agreement performance obligation from March 2022 to September 2022 in response to the reduced rate of operation as impacted by the COVID-19 pandemic.</w:t>
      </w:r>
    </w:p>
    <w:p>
      <w:pPr>
        <w:spacing w:after="0" w:line="185"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The remaining $10.0 million of the total initial transaction price of $39.8 million allocated to the Discovery Agreement performance obligation represents an obligation to continuously make the Company’s Probody therapeutic technology platform available to AbbVie. The $10.0 million is recognized using the common measure of progress for the entire performance obligation over the estimated research service period of five years through April 2021.</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227"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In May 2018, the Company earned a $21.0 million milestone payment (net of the payment of an associated sublicense fee of $4.0 million to SGEN) under the CD71 Agreement. The $21.0 million milestone payment was included as part of the transaction price in May 2018 and a revenue adjustment of $9.9 million was recognized in the second quarter of 2018 reflecting the percentage completed to-date on the project related to this milestone.</w:t>
      </w:r>
    </w:p>
    <w:p>
      <w:pPr>
        <w:spacing w:after="0" w:line="14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June 2019, the Company earned a $10.0 million milestone payment for the second target selected by AbbVie under the Discovery Agreement. It is recognized also using the time-elapse measure of progress of the related obligation and straight line over the estimated research service period of five years through June 2024.</w:t>
      </w:r>
    </w:p>
    <w:p>
      <w:pPr>
        <w:spacing w:after="0" w:line="2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$40.0 million milestone payment earned in March 2020 for satisfying the CD71 dose escalation success criteria under the CD71 Agreement was included as part of the transaction price as it was unconstrained during the first quarter of 2020 and $26.6 million was recognized as revenue related to this milestone, which reflected the percentage completed to-date on the project in March 2020. The remaining $13.4 million will be recognized over the remaining research service period through September 2022.</w:t>
      </w:r>
    </w:p>
    <w:p>
      <w:pPr>
        <w:spacing w:after="0" w:line="21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Company is obligated to make sublicense payments under the license agreement with the Regents of the University of California, acting through its Santa Barbara campus (“UCSB”), as amended, equal to up to 7.5% of certain upfront and milestone payments owed to or received by the Company. As of both June 30, 2020 and December 31, 2019, there was no sublicense fee payable to UCSB.</w:t>
      </w:r>
    </w:p>
    <w:p>
      <w:pPr>
        <w:spacing w:after="0" w:line="22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determined that the remaining potential milestone payments of both agreements are probable of significant revenue reversal as their achievement is highly dependent on factors outside the Company’s control. Therefore, these payments have been fully constrained and were not included in the transaction price as of June 30, 2020.</w:t>
      </w:r>
    </w:p>
    <w:p>
      <w:pPr>
        <w:spacing w:after="0" w:line="18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recognized revenue of $1.3 million and $1.4 million for the three months ended June 30, 2020 and 2019, respectively, and $31.4 million and $4.3 million for the six months ended June 30, 2020 and 2019, respectively, related to the AbbVie Agreements. As of June 30, 2020 and December 31, 2019, deferred revenue related to the CD71 Agreement performance obligation was $30.6 million and $20.0 million, respectively, and deferred revenue related to the Discovery Agreement performance obligation was $9.7 million and $11.6 million, respectively. As of both June 30, 2020 and December 31, 2019, no amount was due from AbbVie under the AbbVie Agreements.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Amgen, Inc.</w:t>
      </w:r>
    </w:p>
    <w:p>
      <w:pPr>
        <w:spacing w:after="0" w:line="13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September 29, 2017, the Company and Amgen, Inc. (“Amgen”) entered into a Collaboration and License Agreement (the “Amgen Agreement”). Pursuant to the Amgen Agreement, the Company received an upfront payment of $40.0 million in October 2017. Concurrent with the entry into the Amgen Agreement, the Company and Amgen entered into a Share Purchase Agreement (the “Purchase Agreement”) pursuant to which Amgen purchased 1,156,069 shares of the Company’s common stock at a price of $17.30 per share (calculated based on a 20-day volume-weighted average price), for total proceeds of $20.0 million, which the Company received on October 6, 2017, the closing date of the transaction. The Company estimated a premium on the stock sold to Amgen of $0.5 million, which takes into account a discount due to the lack of marketability resulting from the six-month lockup period.</w:t>
      </w:r>
    </w:p>
    <w:p>
      <w:pPr>
        <w:spacing w:after="0" w:line="20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Under the terms of the Amgen Agreement, the Company and Amgen will co-develop a Probody T-cell engaging bi-specific therapeutic targeting epidermal growth factor receptor (the “EGFR Products”). The Company is responsible for early-stage development of EGFR Products and all related costs up to certain pre-set costs and certain limits based on clinical trial size. Amgen will be responsible for late-stage development, commercialization, and all related costs of EGFR Products. Following early-stage development, the Company will have the right to elect to participate financially in the global co-development of EGFR Products with Amgen, during which the Company would bear certain of the worldwide development costs for EGFR Products and Amgen would bear the rest of such costs (the “EGFR Co-Development Option”). If the Company exercises its EGFR Co-Development Option, the Company will share in somewhat less than 50% of the profit and losses from sales of such EGFR Products in the U.S., subject to certain caps, offsets, and deferrals. If the Company chooses not to exercise its EGFR Co-Development Option, the Company will not bear any costs of later stage development. The Company is eligible to receive up to $455.0 million in development, regulatory, and commercial milestone payments for EGFR Products, and royalties in the low-double-digit to mid-teen percentage of worldwide commercial sales, provided that if the Company exercises its EGFR Co-Development option, it shall receive a profit and loss split of sales in the United States and royalties in the low-double-digit to mid-teen percentage of commercial sales outside of the United States.</w:t>
      </w:r>
    </w:p>
    <w:p>
      <w:pPr>
        <w:spacing w:after="0" w:line="20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Amgen also has the right to select a total of up to three targets, including the two additional targets discussed below. The Company and Amgen collaborate in the research and development of Probody T-cell engaging bi-specifics products directed against such targets. Amgen has selected one such target (the “Amgen Other Product”). If Amgen exercises its option within a specified period of time, it can select two such additional targets (the “Amgen Option Products” and, together with the Amgen Other Product,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5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“Amgen Products”). Except with respect to preclinical activities to be conducted by CytomX, Amgen will be responsible, at its expense, for the development, manufacture, and commercialization of all Amgen Products. If Amgen exercises all of its options and advances all three of the Amgen Products, CytomX is eligible to receive up to $950.0 million in upfront, development, regulatory, and commercial milestones and tiered high single-digit to low-teen percentage royalties. The Company concluded that, at the inception of the agreement, Amgen’s option to select the two additional targets is not a material right and does not represent a performance obligation of the agreement.</w:t>
      </w:r>
    </w:p>
    <w:p>
      <w:pPr>
        <w:spacing w:after="0" w:line="21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At the initiation of the collaboration, CytomX had the option to select, from programs specified in the Amgen Agreement, an existing pre-clinical stage T-cell engaging bispecific product from the Amgen pre-clinical pipeline. In March 2018, CytomX selected the program. CytomX is responsible, at its expense, for converting this program to a Probody T-cell engaging bispecific product, and thereafter, will be responsible for development, manufacturing, and commercialization of the product (“CytomX Product”). Amgen is eligible to receive up to $203.0 million in development, regulatory, and commercial milestone payments for the CytomX Product, and tiered mid-single digit to low double-digit percentage royalties.</w:t>
      </w:r>
    </w:p>
    <w:p>
      <w:pPr>
        <w:spacing w:after="0" w:line="2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considered the criteria for combining contracts in ASC 606 and determined that the Amgen Agreement and the Purchase Agreement should be combined into one contract. The Company accounted for the Amgen Agreement based on the fair values of the assets and services exchanged. The Company identified the following performance obligations at the inception of the Amgen Agreement:</w:t>
      </w:r>
    </w:p>
    <w:p>
      <w:pPr>
        <w:spacing w:after="0" w:line="89" w:lineRule="exact"/>
        <w:rPr>
          <w:sz w:val="20"/>
          <w:szCs w:val="20"/>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research, development and commercialization license,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research and development services for the EGFR Products and the Amgen Other Product,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obligation to participate in the joint steering committee (“JSC”) and the joint research committee (“JRC”).</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Company determined that research, development and commercialization license and the participation in the JSC and JRC are not distinct from the research and development services and therefore those performance obligations were combined into one combined performance obligation. The Amgen Other Products are accounted for as a separate performance obligation from the EGFR Products as the nature of the services being performed is not the same and the value that Amgen can derive from one program is not dependent on the success of the other. The Company evaluates the measure of progress each reporting period and, if necessary, adjusts the measure of performance and related revenue recognition.</w:t>
      </w:r>
    </w:p>
    <w:p>
      <w:pPr>
        <w:spacing w:after="0" w:line="2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Concurrent with the execution of the Amgen Agreement, the Company entered into a sublicense agreement whereby the Company granted Amgen a sublicense of its rights to one patent family that it co-owns with UCSB, that is exclusively licensed to the Company under the UCSB Agreement covering Probody antibodies and other pro-proteins in the fields of therapeutics, in vivo diagnostics and prophylactics. This sublicense was incremental to the patents, patent applications and know-how covering T-cell engaging bispecific Probody molecules that were developed and owned by the Company and licensed to Amgen. Under the UCSB Agreement, as amended, the Company is obligated to make a sublicense payment to UCSB equal to up to 7.5% of certain upfront and milestone payments owed to or received by the Company. As of both June 30, 2020 and December 31, 2019, the Company recorded no sublicense fee payable to UCSB.</w:t>
      </w:r>
    </w:p>
    <w:p>
      <w:pPr>
        <w:spacing w:after="0" w:line="22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total transaction price of $51.2 million, consisting of the $40.0 million upfront payment, an estimated fair value of $10.7 million for the CytomX Product and $0.5 million of premium on the sale of the Company’s common stock, was allocated between the two performance obligations based on the relative standalone selling price of each performance obligation. To determine the standalone selling price, the Company used the discounted cash flow method by calculating risk-adjusted net present values of estimated cash flows. The Company determined that the remaining potential milestone payments were probable of significant revenue reversal as their achievement was highly dependent on factors outside the Company’s control. As a result, these payments were fully constrained and were not included in the transaction price as of January 1, 2018, the adoption date of ASC 606.</w:t>
      </w:r>
    </w:p>
    <w:p>
      <w:pPr>
        <w:spacing w:after="0" w:line="20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Of the $51.2 million total transaction price, the Company allocated $46.4 million to the EGFR Products performance obligation and $4.8 million to the Amgen Other Product performance obligations. The transaction price of the EGFR Product performance obligation was recognized using a cost-based input measure. In applying the cost-based input method of revenue recognition, the Company uses actual FTE hours incurred relative to estimated total FTE hours expected to be incurred for the combined performance obligation over the research service period. At the end of the second quarter of 2019, the Company determined that it will undertake additional testing and assessment of the molecules being evaluated under the EGFR project. As a result, the estimated FTE hours-to-completion and research service period were increased to eight years. In the second quarter of 2020, the Company completed the clinical candidate characterization phase and is moving to the IND-enabling phase earlier than planned. As a result, the estimated FTE hours-to-completion and research service period were decreased from eight to seven years.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2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$4.8 million transaction price allocated to the Amgen Other Product performance obligation represents an obligation to continuously make the Probody therapeutic technology platform available to Amgen, which is recognized over the common measure of progress for the entire performance obligation over the estimated research service period of six years.</w:t>
      </w:r>
    </w:p>
    <w:p>
      <w:pPr>
        <w:spacing w:after="0" w:line="21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Company recognized revenue of $3.7 million and $0.2 million for the three months ended June 30, 2020 and 2019, respectively, and $5.4 million and $1.3 million for the six months ended June 30, 2020 and 2019, respectively, related to the Amgen Agreement. As of June 30, 2020 and December 31, 2019, deferred revenue related to the EGFR Products performance obligation was $32.6 million and $37.6 million, respectively. As of June 30, 2020 and December 31, 2019, deferred revenue related to the Amgen Other Products performance obligation was $2.6 million and $3.0 million, respectively. As of both June 30, 2020 and December 31, 2019, no amount was due from Amgen under the Amgen Agreement.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Astellas Pharma Inc.</w:t>
      </w:r>
    </w:p>
    <w:p>
      <w:pPr>
        <w:spacing w:after="0" w:line="11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Company and Astellas Pharma, Inc. (“Astellas”) entered into a Collaboration and License Agreement (the “Astellas Agreement”) on March 23, 2020, the effective date, to collaborate on preclinical research activities to discover and develop certain antibody compounds for the treatment of cancer using the Company’s Probody therapeutic technology.</w:t>
      </w:r>
    </w:p>
    <w:p>
      <w:pPr>
        <w:spacing w:after="0" w:line="22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Under the terms of the Astellas Agreement, the Company granted Astellas an exclusive, worldwide, rights to develop and commercialize Probody therapeutics for up to four collaboration targets including one initial target and three additional targets (“Additional Targets”). In addition, Astellas has the right to expand the number of Additional Targets from three up to five (the “Expansion Option”) before the third anniversary of the effective</w:t>
      </w:r>
    </w:p>
    <w:p>
      <w:pPr>
        <w:ind w:right="120"/>
        <w:spacing w:after="0" w:line="253" w:lineRule="auto"/>
        <w:rPr>
          <w:sz w:val="20"/>
          <w:szCs w:val="20"/>
          <w:color w:val="auto"/>
        </w:rPr>
      </w:pPr>
      <w:r>
        <w:rPr>
          <w:rFonts w:ascii="Arial" w:cs="Arial" w:eastAsia="Arial" w:hAnsi="Arial"/>
          <w:sz w:val="18"/>
          <w:szCs w:val="18"/>
          <w:color w:val="auto"/>
        </w:rPr>
        <w:t>date. Furthermore, for a specified number of targets, at a pre-specified time prior to the initiation of the first pivotal study of a product against such target, the Company may elect to participate in certain development costs and share in the profits generated in the United States with respect to such product (“Cost Share Option”). The Cost Share Option, if exercised, will also provide the option for the Company to co-commercialize such product in the United States. The Company does not consider the Cost Share Option as a performance obligation at the inception of the agreement as the participation is at the Company’s discretion.</w:t>
      </w:r>
    </w:p>
    <w:p>
      <w:pPr>
        <w:spacing w:after="0" w:line="2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Pursuant to the Astellas Agreement, the consideration from Astellas is comprised of an upfront fee of $80.0 million and contingent payments for development, regulatory and sales milestones of up to an aggregate of approximately $1.6 billion. If Astellas exercises its Expansion Option for the two Additional Targets, the Company would be eligible to receive additional upfront and milestone payments aggregating to approximately $0.9 billion. The Company is also entitled to tiered royalties from high-single digit to mid-teen percentage royalties from potential future sales. Astellas is responsible for all preclinical research costs incurred by either party as set forth in the preclinical research plan and the Company will receive research and development service fees based on a prescribed FTE rate.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Company identified the following performance obligations at the inception of the Astellas Agreement:</w:t>
      </w:r>
    </w:p>
    <w:p>
      <w:pPr>
        <w:spacing w:after="0" w:line="131" w:lineRule="exact"/>
        <w:rPr>
          <w:sz w:val="20"/>
          <w:szCs w:val="20"/>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exclusive research, development and commercialization license;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research and development services;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obligation to participate in the joint research committee.</w:t>
      </w:r>
    </w:p>
    <w:p>
      <w:pPr>
        <w:spacing w:after="0" w:line="26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 determined that the license, the research services and expertise related to the development of the product candidates should be combined with the research services and participation in the joint research committee as one combined performance obligation. The Company concluded, that at the inception of the agreement, Astellas’ Expansion Option for two Additional Targets were not material rights and therefore not considered performance obligations. As such, each option will be accounted for as a separate arrangement upon exercise.</w:t>
      </w:r>
    </w:p>
    <w:p>
      <w:pPr>
        <w:spacing w:after="0" w:line="21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initial transaction price of $90.0 million consists of the upfront fee of $80.0 million and research and development service fees of $10.0 million. The Company determined that the potential development and regulatory milestone payments were probable of significant revenue reversal as their achievement was highly dependent on factors outside the Company’s control. Therefore, the potential development and regulatory milestone payments are fully constrained and are not included in the initial transaction price and continued to be fully constrained as of June 30, 2020. The Company will re-evaluate the transaction price at each reporting date or as uncertain events are resolved or other changes in circumstances occur.</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5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upfront fee of $80.0 million for the combined obligation to continuously make the Probody therapeutic technology platform available to Astellas is recognized on a straight-line basis for the entire performance obligation over the estimated research service period of five years, which ends in March 2025. The research and development service fees, estimated to be $10.0 million, will be recognized when services are provided based on the prescribed FTE rate.</w:t>
      </w:r>
    </w:p>
    <w:p>
      <w:pPr>
        <w:spacing w:after="0" w:line="21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Under the UCSB Agreement, as amended, the Company is obligated to make a sublicense payment to UCSB equal to up to 7.5% of certain upfront and milestone payments owed to or received by the Company. The Company recorded a liability upon entering into the Astellas Agreement in the first quarter of 2020 of $6.0 million, representing 7.5% of the $80.0 million upfront payment, as a sublicense fee payable to UCSB, which was fully paid as of June 30, 2020.</w:t>
      </w:r>
    </w:p>
    <w:p>
      <w:pPr>
        <w:spacing w:after="0" w:line="227"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Company recognized revenue of $4.2 million and $4.6 million for the three and six months ended June 30, 2020, which also included the research and development service fee of $0.2 million for each of the three and six months ended June 30, 2020. As of June 30, 2020, deferred revenue relating to the Astellas Agreement was $75.6 million. The amount due from Astellas under the Astellas Agreement was $0.2 million as of June 30, 2020.</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Bristol Myers Squibb Company</w:t>
      </w:r>
    </w:p>
    <w:p>
      <w:pPr>
        <w:spacing w:after="0" w:line="117"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On May 23, 2014, the Company and Bristol Myers Squibb Company (“Bristol Myers Squibb”) entered into a Collaboration and License Agreement (the “BMS Agreement”) to discover and develop compounds for use in human therapeutics aimed at multiple immuno-oncology targets using the Company’s Probody therapeutic technology. The effective date of the BMS Agreement was July 7, 2014.</w:t>
      </w:r>
    </w:p>
    <w:p>
      <w:pPr>
        <w:spacing w:after="0" w:line="18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Under the terms of the BMS Agreement, the Company granted Bristol Myers Squibb exclusive worldwide rights to develop and commercialize Probody therapeutics for up to four oncology targets. Bristol Myers Squibb had additional rights to substitute up to two collaboration targets within three years of the effective date of the BMS Agreement. These rights expired in May 2017. Each collaboration target had a two-year research term and the two additional targets had to be nominated by Bristol Myers Squibb within five years of the effective date of the BMS Agreement. The research term for each collaboration target could be extended in one year increments up to three times.</w:t>
      </w:r>
    </w:p>
    <w:p>
      <w:pPr>
        <w:spacing w:after="0" w:line="176" w:lineRule="exact"/>
        <w:rPr>
          <w:sz w:val="20"/>
          <w:szCs w:val="20"/>
          <w:color w:val="auto"/>
        </w:rPr>
      </w:pPr>
    </w:p>
    <w:p>
      <w:pPr>
        <w:ind w:right="200"/>
        <w:spacing w:after="0" w:line="327" w:lineRule="auto"/>
        <w:rPr>
          <w:sz w:val="20"/>
          <w:szCs w:val="20"/>
          <w:color w:val="auto"/>
        </w:rPr>
      </w:pPr>
      <w:r>
        <w:rPr>
          <w:rFonts w:ascii="Arial" w:cs="Arial" w:eastAsia="Arial" w:hAnsi="Arial"/>
          <w:sz w:val="15"/>
          <w:szCs w:val="15"/>
          <w:color w:val="auto"/>
        </w:rPr>
        <w:t>Pursuant to the BMS Agreement, the financial consideration from Bristol Myers Squibb was comprised of an upfront payment of $50.0 million, and the Company was initially entitled to receive contingent payments of up to $25.0 million for additional targets and up to an aggregate of $1,192.0 million for development, regulatory and sales milestones. In addition, the Company is entitled to royalty payments in the mid-single digits to low double-digit percentages from potential future sales. The Company also receives research and development service fees based on a prescribed FTE rate that is capped.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Company identified the following performance obligations at the inception of the BMS Agreement:</w:t>
      </w:r>
    </w:p>
    <w:p>
      <w:pPr>
        <w:spacing w:after="0" w:line="131" w:lineRule="exact"/>
        <w:rPr>
          <w:sz w:val="20"/>
          <w:szCs w:val="20"/>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exclusive research, development and commercialization license;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research and development services;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obligation to participate in the joint research committee.</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determined that the license, the Company’s research services and expertise related to the development of the product candidates should be combined with the research services and participation in the joint research committee as one combined performance obligation. The Company concluded that, at the inception of the agreement, Bristol Myers Squibb’s options for the third and fourth targets were not material rights and not performance obligations. As such, each option was accounted for as a separate arrangement upon exercise. Additionally, the Company considered whether the services performed for each target should be considered as separate performance obligations and concluded that all targets should be accounted for as one combined performance obligation.</w:t>
      </w:r>
    </w:p>
    <w:p>
      <w:pPr>
        <w:spacing w:after="0" w:line="19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Company received an upfront payment of $50.0 million from Bristol Myers Squibb in July 2014. In January and December 2016, Bristol Myers Squibb selected the third and fourth targets, respectively, and paid the Company $10.0 million and $15.0 million, respectively, pursuant to the terms of the BMS Agreement. In December 2016, Bristol Myers Squibb selected a clinical candidate pursuant to the BMS Agreement, which triggered a $2.0 million pre-clinical milestone payment to the Company. In November 2017, the Company recognized a $10.0 million milestone payment from Bristol Myers Squibb upon approval of the investigational new drug application for the CTLA-4-directed Probody therapeutic.</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5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On March 17, 2017, the Company and Bristol Myers Squibb entered into Amendment Number 1 to Extend Collaboration and License Agreement (the “BMS Amendment”). The BMS Amendment grants Bristol Myers Squibb exclusive worldwide rights to develop and commercialize Probody therapeutics for up to eight additional targets. The effective date of the BMS Amendment was April 25, 2017 (“Amendment Effective Date”). Under the terms of the BMS Amendment, the Company continues to have obligations to Bristol Myers Squibb to discover and conduct preclinical development of Probody therapeutics against any targets they choose to select during the research period under the terms of the BMS Amendment.</w:t>
      </w:r>
    </w:p>
    <w:p>
      <w:pPr>
        <w:spacing w:after="0" w:line="20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Pursuant to the BMS Amendment, the financial consideration from Bristol Myers Squibb is comprised of an upfront payment of $200.0 million and the Company was initially eligible to receive contingent payments for development, regulatory and sales milestones of up to an aggregate of $3,586.0 million for the eight targets. The Company is also entitled to tiered mid-single to low double-digit percentage royalties from potential future sales. The BMS Amendment does not change the term of the Bristol Myers Squibb’s royalty obligation under the BMS Agreement. Bristol Myers Squibb’s royalty obligation continues on a licensed-product by licensed-product basis until the later of (i) the expiration of the last claim of the licensed patents covering the licensed products in the country, (ii) the twelfth anniversary of the first commercial sale of a licensed product in a country, or (iii) the expiration of any applicable regulatory, pediatric, orphan drug or data exclusivity with respect to such product.</w:t>
      </w:r>
    </w:p>
    <w:p>
      <w:pPr>
        <w:spacing w:after="0" w:line="17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initial transaction price for the BMS Agreement and the BMS Amendment, collectively, was $272.8 million consisting of the upfront fees of $250.0 million, research and development service fees of $10.8 million and milestone payments received to date of $12.0 million. The Company determined that the remaining potential milestone payments were probable of significant revenue reversal as their achievement was highly dependent on factors outside the Company’s control. Therefore, these payments were fully constrained and were not included in the transaction price upon the adoption of ASC 606 on January 1, 2018. The BMS Agreement represents an obligation to continuously make the Probody therapeutic technology platform available to Bristol Myers Squibb. Therefore, the initial transaction price is recognized over the estimated research service period, which ends on April 25, 2025.</w:t>
      </w:r>
    </w:p>
    <w:p>
      <w:pPr>
        <w:spacing w:after="0" w:line="16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During the first quarter of 2019, Bristol Myers Squibb terminated pre-clinical activities on three of the first four collaboration targets selected under the original 2014 BMS Agreement. The first and second targets under the BMS Agreement were combined into a single performance obligation. The Company determined that termination of pre-clinical activities on the second target does not impact the Company’s continuing obligation to Bristol Myers Squibb for the first target, CTLA-4, as it is still being actively developed by Bristol Myers Squibb. Therefore, the Company concluded that it will continue to amortize the related deferred revenue over the original performance period. The Company has determined that upon the termination of pre-clinical activities on the third and the fourth collaboration targets selected by Bristol Myers Squibb in January and December of 2016, respectively, under the BMS Agreement, it has no further obligations and is no longer eligible to receive any further proceeds from milestones, royalties or research and development fees for such targets. As a result, the Company accelerated recognition of all of the related deferred revenue of the third and the fourth targets upon the effective date of termination and recognized $17.4 million in the first quarter of 2019. The Company continues to be obligated to perform research work under the BMS Amendment executed in March 2017.</w:t>
      </w:r>
    </w:p>
    <w:p>
      <w:pPr>
        <w:spacing w:after="0" w:line="185"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color w:val="auto"/>
        </w:rPr>
        <w:t>In February 2020, Bristol Myers Squibb dosed the first patient in the Part 2 cohort expansion portion of its ongoing BMS-986249 clinical study for the CTLA-4 program, which triggered a $10.0 million milestone payment to the Company pursuant to the terms of the BMS Agreement. The $10.0 million milestone payment was recognized as revenue in the first quarter of 2020. The Company reevaluated the remaining potential milestone payments and determined that significant revenue reversal was still probable as the achievement of such milestones was highly dependent on factors outside the Company’s control. As a result, these payments were fully constrained and were not included in the transaction price on June 30, 2020.</w:t>
      </w:r>
    </w:p>
    <w:p>
      <w:pPr>
        <w:spacing w:after="0" w:line="16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Under the UCSB Agreement, as amended, the Company is obligated to make a sublicense payment to UCSB equal to up to 7.5% of certain upfront and milestone payments owed to or received by the Company. As of both June 30, 2020 and December 31, 2019, there was no sublicense fee payable to UCSB.</w:t>
      </w:r>
    </w:p>
    <w:p>
      <w:pPr>
        <w:spacing w:after="0" w:line="12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recognized revenue of $7.4 million for each of the three months ended June 30, 2020 and 2019, respectively and $24.8 million and $32.9 million for the six months ended June 30, 2020 and 2019, respectively. As of June 30, 2020 and December 31, 2019, deferred revenue relating to the BMS Agreement was $143.2 million and $158.0 million, respectively. The amount due from Bristol Myers Squibb under the BMS Agreement was $0 and $13,000 as of June 30, 2020 and December 31, 2019,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ImmunoGen, Inc.</w:t>
      </w:r>
    </w:p>
    <w:p>
      <w:pPr>
        <w:spacing w:after="0" w:line="11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 January 2014, the Company and ImmunoGen, Inc. (“ImmunoGen”) entered into the Research Collaboration Agreement (the “ImmunoGen Research Agreement”). The ImmunoGen Research Agreement provided the Company with the right to use ImmunoGen’s Antibody Drug Conjugate (“ADC”) technology in combination with the Company’s Probody therapeutic technology to create a PDC directed at one specified target under a research license, and to subsequently obtain an exclusive, worldwide development and commercialization license to use ImmunoGen’s ADC technology to develop and commercialize such PDCs. The Company made no upfront cash payment in connection with the execution of the agreement. Instead, the Company provided ImmunoGen with the rights to CytomX’s Probody therapeutic technology to create PDCs directed at two targets under the ImmunoGen Research Agreement and to subsequently obtain exclusive, worldwide development and commercialization licenses to develop and commercialize such PDCs. In February 2016, the Company exercised its option to obtain a development and commercialization license for CX-2009 pursuant to the terms of the ImmunoGen Research Agreement (the “CX-2009 License”).</w:t>
      </w:r>
    </w:p>
    <w:p>
      <w:pPr>
        <w:spacing w:after="0" w:line="18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February 2017, ImmunoGen exercised its first option to obtain a development and commercialization license for one of the two targets. Substitution rights for this first target selection program terminated in February 2017 and ImmunoGen discontinued the program in July 2017. The Company recognized the remaining deferred revenue related to the discontinued program upon the termination of the program. ImmunoGen exercised its second option to obtain a development and commercialization license pursuant to the ImmunoGen Research Agreement (the “ImmunoGen 2017 License”) for a target in December 2017. In December 2019, the parties entered into a license agreement (the “ImmunoGen 2019 License”) pursuant to which the ImmunoGen 2017 License was terminated and ImmunoGen granted a license for all of ImmunoGen’s rights under the ImmunoGen 2017 License to the Company. See Note 7. License Agreements, for more information.</w:t>
      </w:r>
    </w:p>
    <w:p>
      <w:pPr>
        <w:spacing w:after="0" w:line="23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Under the terms of the ImmunoGen Research Agreement, both the Company and ImmunoGen performed research activities on behalf of the other party for no monetary consideration through January 2018. In December 2017, the Company entered into the ImmunoGen 2017 License arrangement and extended the Company’s obligation to provide research services under the ImmunoGen Research Agreement to June 30, 2018. The estimated fair value of the consideration of $13.2 million for the performance obligation to ImmunoGen was recognized as revenue over the research period that ended on June 30, 2018. No further research services were provided by the Company after June 20, 2018 under the ImmunoGen 2017 License arrangement.</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February 2020, the Company initiated the first dosing of a patient in the CX-2009 Phase 2 clinical trial and triggered a $3.0 million milestone payment to ImmunoGen pursuant to the CX-2009 License which continued to remain in effect following the termination of the ImmunoGen 2017 License in December 2019. The Company recorded a $3.0 million charge to research and development expense for the six months ended June 30, 2020, in connection with this milestone payment to ImmunoGen.</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the Company’s total contract liabilities during the six months ended June 30,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184"/>
              <w:spacing w:after="0"/>
              <w:rPr>
                <w:sz w:val="20"/>
                <w:szCs w:val="20"/>
                <w:color w:val="auto"/>
              </w:rPr>
            </w:pPr>
            <w:r>
              <w:rPr>
                <w:rFonts w:ascii="Arial" w:cs="Arial" w:eastAsia="Arial" w:hAnsi="Arial"/>
                <w:sz w:val="14"/>
                <w:szCs w:val="14"/>
                <w:b w:val="1"/>
                <w:bCs w:val="1"/>
                <w:color w:val="auto"/>
                <w:w w:val="91"/>
              </w:rPr>
              <w:t>Balance at</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Balance at</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300" w:type="dxa"/>
            <w:vAlign w:val="bottom"/>
          </w:tcPr>
          <w:p>
            <w:pPr>
              <w:spacing w:after="0"/>
              <w:rPr>
                <w:sz w:val="12"/>
                <w:szCs w:val="12"/>
                <w:color w:val="auto"/>
              </w:rPr>
            </w:pPr>
          </w:p>
        </w:tc>
        <w:tc>
          <w:tcPr>
            <w:tcW w:w="1060" w:type="dxa"/>
            <w:vAlign w:val="bottom"/>
            <w:vMerge w:val="restart"/>
          </w:tcPr>
          <w:p>
            <w:pPr>
              <w:jc w:val="right"/>
              <w:ind w:right="302"/>
              <w:spacing w:after="0"/>
              <w:rPr>
                <w:sz w:val="20"/>
                <w:szCs w:val="20"/>
                <w:color w:val="auto"/>
              </w:rPr>
            </w:pPr>
            <w:r>
              <w:rPr>
                <w:rFonts w:ascii="Arial" w:cs="Arial" w:eastAsia="Arial" w:hAnsi="Arial"/>
                <w:sz w:val="14"/>
                <w:szCs w:val="14"/>
                <w:b w:val="1"/>
                <w:bCs w:val="1"/>
                <w:color w:val="auto"/>
              </w:rPr>
              <w:t>Additions</w:t>
            </w:r>
          </w:p>
        </w:tc>
        <w:tc>
          <w:tcPr>
            <w:tcW w:w="280" w:type="dxa"/>
            <w:vAlign w:val="bottom"/>
          </w:tcPr>
          <w:p>
            <w:pPr>
              <w:spacing w:after="0"/>
              <w:rPr>
                <w:sz w:val="12"/>
                <w:szCs w:val="12"/>
                <w:color w:val="auto"/>
              </w:rPr>
            </w:pPr>
          </w:p>
        </w:tc>
        <w:tc>
          <w:tcPr>
            <w:tcW w:w="112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w w:val="94"/>
              </w:rPr>
              <w:t>Deductions</w:t>
            </w:r>
          </w:p>
        </w:tc>
        <w:tc>
          <w:tcPr>
            <w:tcW w:w="26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End</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184"/>
              <w:spacing w:after="0"/>
              <w:rPr>
                <w:sz w:val="20"/>
                <w:szCs w:val="20"/>
                <w:color w:val="auto"/>
              </w:rPr>
            </w:pPr>
            <w:r>
              <w:rPr>
                <w:rFonts w:ascii="Arial" w:cs="Arial" w:eastAsia="Arial" w:hAnsi="Arial"/>
                <w:sz w:val="14"/>
                <w:szCs w:val="14"/>
                <w:b w:val="1"/>
                <w:bCs w:val="1"/>
                <w:color w:val="auto"/>
                <w:w w:val="91"/>
              </w:rPr>
              <w:t>Period</w:t>
            </w: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of Period</w:t>
            </w:r>
          </w:p>
        </w:tc>
        <w:tc>
          <w:tcPr>
            <w:tcW w:w="0" w:type="dxa"/>
            <w:vAlign w:val="bottom"/>
          </w:tcPr>
          <w:p>
            <w:pPr>
              <w:spacing w:after="0"/>
              <w:rPr>
                <w:sz w:val="1"/>
                <w:szCs w:val="1"/>
                <w:color w:val="auto"/>
              </w:rPr>
            </w:pPr>
          </w:p>
        </w:tc>
      </w:tr>
      <w:tr>
        <w:trPr>
          <w:trHeight w:val="155"/>
        </w:trPr>
        <w:tc>
          <w:tcPr>
            <w:tcW w:w="36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460" w:type="dxa"/>
            <w:vAlign w:val="bottom"/>
            <w:tcBorders>
              <w:top w:val="single" w:sz="8" w:color="auto"/>
            </w:tcBorders>
            <w:gridSpan w:val="3"/>
          </w:tcPr>
          <w:p>
            <w:pPr>
              <w:jc w:val="right"/>
              <w:ind w:right="879"/>
              <w:spacing w:after="0" w:line="155" w:lineRule="exact"/>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jc w:val="center"/>
              <w:ind w:right="2030"/>
              <w:spacing w:after="0"/>
              <w:rPr>
                <w:sz w:val="20"/>
                <w:szCs w:val="20"/>
                <w:color w:val="auto"/>
              </w:rPr>
            </w:pPr>
            <w:r>
              <w:rPr>
                <w:rFonts w:ascii="Arial" w:cs="Arial" w:eastAsia="Arial" w:hAnsi="Arial"/>
                <w:sz w:val="18"/>
                <w:szCs w:val="18"/>
                <w:b w:val="1"/>
                <w:bCs w:val="1"/>
                <w:color w:val="auto"/>
                <w:w w:val="92"/>
              </w:rPr>
              <w:t>Contract liabilities:</w:t>
            </w:r>
          </w:p>
        </w:tc>
        <w:tc>
          <w:tcPr>
            <w:tcW w:w="2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jc w:val="center"/>
              <w:ind w:right="2010"/>
              <w:spacing w:after="0"/>
              <w:rPr>
                <w:sz w:val="20"/>
                <w:szCs w:val="20"/>
                <w:color w:val="auto"/>
              </w:rPr>
            </w:pPr>
            <w:r>
              <w:rPr>
                <w:rFonts w:ascii="Arial" w:cs="Arial" w:eastAsia="Arial" w:hAnsi="Arial"/>
                <w:sz w:val="18"/>
                <w:szCs w:val="18"/>
                <w:color w:val="auto"/>
                <w:w w:val="88"/>
              </w:rPr>
              <w:t>Deferred revenue</w:t>
            </w:r>
          </w:p>
        </w:tc>
        <w:tc>
          <w:tcPr>
            <w:tcW w:w="2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4"/>
              <w:spacing w:after="0"/>
              <w:rPr>
                <w:sz w:val="20"/>
                <w:szCs w:val="20"/>
                <w:color w:val="auto"/>
              </w:rPr>
            </w:pPr>
            <w:r>
              <w:rPr>
                <w:rFonts w:ascii="Arial" w:cs="Arial" w:eastAsia="Arial" w:hAnsi="Arial"/>
                <w:sz w:val="18"/>
                <w:szCs w:val="18"/>
                <w:color w:val="auto"/>
              </w:rPr>
              <w:t>230,239</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2"/>
              <w:spacing w:after="0"/>
              <w:rPr>
                <w:sz w:val="20"/>
                <w:szCs w:val="20"/>
                <w:color w:val="auto"/>
              </w:rPr>
            </w:pPr>
            <w:r>
              <w:rPr>
                <w:rFonts w:ascii="Arial" w:cs="Arial" w:eastAsia="Arial" w:hAnsi="Arial"/>
                <w:sz w:val="18"/>
                <w:szCs w:val="18"/>
                <w:color w:val="auto"/>
              </w:rPr>
              <w:t>120,000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(55,986)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294,253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There were $120.0 million additions to deferred revenue during the six months ended June 30, 2020. Of such amount, $40.0 million was related to the milestone payment triggered by AbbVie’s CD71 dose escalation success criteria which was achieved in March 2020, and $80.0 million addition was related to the upfront fee payable under the Astellas Agreement entered into in March 2020. Deductions of $56.0 million related to revenue recognized included in the contract liability balance at the beginning of the period plus the revenue recognized related to the $120.0 million additions during the six months ended June 30, 2020.</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expects that the $294.3 million of deferred revenue related to the following contracts as of June 30, 2020 will be recognized as revenue as set forth below. However, the timing of revenue recognition could differ from the estimates depending on facts and circumstances impacting the various contracts, including progress of research and development, resources assigned to the contracts by the Company or its collaboration partners, or other factors outside of the Company’s control.</w:t>
      </w:r>
    </w:p>
    <w:p>
      <w:pPr>
        <w:spacing w:after="0" w:line="92" w:lineRule="exact"/>
        <w:rPr>
          <w:sz w:val="20"/>
          <w:szCs w:val="20"/>
          <w:color w:val="auto"/>
        </w:rPr>
      </w:pPr>
    </w:p>
    <w:p>
      <w:pPr>
        <w:ind w:left="1000" w:right="20" w:hanging="493"/>
        <w:spacing w:after="0" w:line="250" w:lineRule="auto"/>
        <w:tabs>
          <w:tab w:leader="none" w:pos="1000" w:val="left"/>
        </w:tabs>
        <w:numPr>
          <w:ilvl w:val="1"/>
          <w:numId w:val="13"/>
        </w:numPr>
        <w:rPr>
          <w:rFonts w:ascii="Arial" w:cs="Arial" w:eastAsia="Arial" w:hAnsi="Arial"/>
          <w:sz w:val="20"/>
          <w:szCs w:val="20"/>
          <w:color w:val="auto"/>
        </w:rPr>
      </w:pPr>
      <w:r>
        <w:rPr>
          <w:rFonts w:ascii="Arial" w:cs="Arial" w:eastAsia="Arial" w:hAnsi="Arial"/>
          <w:sz w:val="18"/>
          <w:szCs w:val="18"/>
          <w:color w:val="auto"/>
        </w:rPr>
        <w:t>The $30.6 million of deferred revenue related to the CD71 Agreement with AbbVie as of June 30, 2020 is expected to be recognized based on actual FTE effort and program progress until approximately September 2022.</w:t>
      </w:r>
    </w:p>
    <w:p>
      <w:pPr>
        <w:spacing w:after="0" w:line="84" w:lineRule="exact"/>
        <w:rPr>
          <w:rFonts w:ascii="Arial" w:cs="Arial" w:eastAsia="Arial" w:hAnsi="Arial"/>
          <w:sz w:val="20"/>
          <w:szCs w:val="20"/>
          <w:color w:val="auto"/>
        </w:rPr>
      </w:pPr>
    </w:p>
    <w:p>
      <w:pPr>
        <w:ind w:left="1000" w:right="20" w:hanging="493"/>
        <w:spacing w:after="0" w:line="263" w:lineRule="auto"/>
        <w:tabs>
          <w:tab w:leader="none" w:pos="10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$1.7 million of deferred revenue related to the first target under the Discovery Agreement with AbbVie as of June 30, 2020 is expected to be recognized ratably until approximately April 2021. The $8.0 million of deferred revenue related to the second target under the Discovery Agreement as of June 30, 2020 is expected to be recognized ratably until approximately June 2024.</w:t>
      </w:r>
    </w:p>
    <w:p>
      <w:pPr>
        <w:spacing w:after="0" w:line="75" w:lineRule="exact"/>
        <w:rPr>
          <w:rFonts w:ascii="Arial" w:cs="Arial" w:eastAsia="Arial" w:hAnsi="Arial"/>
          <w:sz w:val="18"/>
          <w:szCs w:val="18"/>
          <w:color w:val="auto"/>
        </w:rPr>
      </w:pPr>
    </w:p>
    <w:p>
      <w:pPr>
        <w:ind w:left="1000" w:right="60" w:hanging="493"/>
        <w:spacing w:after="0" w:line="250" w:lineRule="auto"/>
        <w:tabs>
          <w:tab w:leader="none" w:pos="1000" w:val="left"/>
        </w:tabs>
        <w:numPr>
          <w:ilvl w:val="1"/>
          <w:numId w:val="13"/>
        </w:numPr>
        <w:rPr>
          <w:rFonts w:ascii="Arial" w:cs="Arial" w:eastAsia="Arial" w:hAnsi="Arial"/>
          <w:sz w:val="20"/>
          <w:szCs w:val="20"/>
          <w:color w:val="auto"/>
        </w:rPr>
      </w:pPr>
      <w:r>
        <w:rPr>
          <w:rFonts w:ascii="Arial" w:cs="Arial" w:eastAsia="Arial" w:hAnsi="Arial"/>
          <w:sz w:val="18"/>
          <w:szCs w:val="18"/>
          <w:color w:val="auto"/>
        </w:rPr>
        <w:t>The $32.6 million of deferred revenue related to the Amgen EGFR Products as of June 30, 2020 is expected to be recognized based on actual FTE effort and program progress until approximately September 2024.</w:t>
      </w:r>
    </w:p>
    <w:p>
      <w:pPr>
        <w:spacing w:after="0" w:line="84" w:lineRule="exact"/>
        <w:rPr>
          <w:rFonts w:ascii="Arial" w:cs="Arial" w:eastAsia="Arial" w:hAnsi="Arial"/>
          <w:sz w:val="20"/>
          <w:szCs w:val="20"/>
          <w:color w:val="auto"/>
        </w:rPr>
      </w:pPr>
    </w:p>
    <w:p>
      <w:pPr>
        <w:ind w:left="1000" w:right="440" w:hanging="493"/>
        <w:spacing w:after="0" w:line="250" w:lineRule="auto"/>
        <w:tabs>
          <w:tab w:leader="none" w:pos="1000" w:val="left"/>
        </w:tabs>
        <w:numPr>
          <w:ilvl w:val="1"/>
          <w:numId w:val="13"/>
        </w:numPr>
        <w:rPr>
          <w:rFonts w:ascii="Arial" w:cs="Arial" w:eastAsia="Arial" w:hAnsi="Arial"/>
          <w:sz w:val="20"/>
          <w:szCs w:val="20"/>
          <w:color w:val="auto"/>
        </w:rPr>
      </w:pPr>
      <w:r>
        <w:rPr>
          <w:rFonts w:ascii="Arial" w:cs="Arial" w:eastAsia="Arial" w:hAnsi="Arial"/>
          <w:sz w:val="18"/>
          <w:szCs w:val="18"/>
          <w:color w:val="auto"/>
        </w:rPr>
        <w:t>The $2.6 million of deferred revenue related to the Amgen Other Products as of June 30, 2020 is expected to be recognized ratably until approximately September 2023.</w:t>
      </w:r>
    </w:p>
    <w:p>
      <w:pPr>
        <w:spacing w:after="0" w:line="84" w:lineRule="exact"/>
        <w:rPr>
          <w:rFonts w:ascii="Arial" w:cs="Arial" w:eastAsia="Arial" w:hAnsi="Arial"/>
          <w:sz w:val="20"/>
          <w:szCs w:val="20"/>
          <w:color w:val="auto"/>
        </w:rPr>
      </w:pPr>
    </w:p>
    <w:p>
      <w:pPr>
        <w:ind w:left="1000" w:right="580" w:hanging="493"/>
        <w:spacing w:after="0" w:line="250" w:lineRule="auto"/>
        <w:tabs>
          <w:tab w:leader="none" w:pos="1000" w:val="left"/>
        </w:tabs>
        <w:numPr>
          <w:ilvl w:val="1"/>
          <w:numId w:val="13"/>
        </w:numPr>
        <w:rPr>
          <w:rFonts w:ascii="Arial" w:cs="Arial" w:eastAsia="Arial" w:hAnsi="Arial"/>
          <w:sz w:val="20"/>
          <w:szCs w:val="20"/>
          <w:color w:val="auto"/>
        </w:rPr>
      </w:pPr>
      <w:r>
        <w:rPr>
          <w:rFonts w:ascii="Arial" w:cs="Arial" w:eastAsia="Arial" w:hAnsi="Arial"/>
          <w:sz w:val="18"/>
          <w:szCs w:val="18"/>
          <w:color w:val="auto"/>
        </w:rPr>
        <w:t>The $75.6 million of deferred revenue related to the Astellas Agreement as of June 30, 2020 is expected to be recognized ratably until approximately March 2025.</w:t>
      </w:r>
    </w:p>
    <w:p>
      <w:pPr>
        <w:spacing w:after="0" w:line="84" w:lineRule="exact"/>
        <w:rPr>
          <w:rFonts w:ascii="Arial" w:cs="Arial" w:eastAsia="Arial" w:hAnsi="Arial"/>
          <w:sz w:val="20"/>
          <w:szCs w:val="20"/>
          <w:color w:val="auto"/>
        </w:rPr>
      </w:pPr>
    </w:p>
    <w:p>
      <w:pPr>
        <w:ind w:left="1000" w:right="700" w:hanging="493"/>
        <w:spacing w:after="0" w:line="250" w:lineRule="auto"/>
        <w:tabs>
          <w:tab w:leader="none" w:pos="1000" w:val="left"/>
        </w:tabs>
        <w:numPr>
          <w:ilvl w:val="1"/>
          <w:numId w:val="13"/>
        </w:numPr>
        <w:rPr>
          <w:rFonts w:ascii="Arial" w:cs="Arial" w:eastAsia="Arial" w:hAnsi="Arial"/>
          <w:sz w:val="20"/>
          <w:szCs w:val="20"/>
          <w:color w:val="auto"/>
        </w:rPr>
      </w:pPr>
      <w:r>
        <w:rPr>
          <w:rFonts w:ascii="Arial" w:cs="Arial" w:eastAsia="Arial" w:hAnsi="Arial"/>
          <w:sz w:val="18"/>
          <w:szCs w:val="18"/>
          <w:color w:val="auto"/>
        </w:rPr>
        <w:t>The $143.2 million of deferred revenue related to the BMS Agreement as of June 30, 2020 is expected to be recognized ratably until approximately April 2025.</w:t>
      </w:r>
    </w:p>
    <w:p>
      <w:pPr>
        <w:spacing w:after="0" w:line="323" w:lineRule="exact"/>
        <w:rPr>
          <w:rFonts w:ascii="Arial" w:cs="Arial" w:eastAsia="Arial" w:hAnsi="Arial"/>
          <w:sz w:val="20"/>
          <w:szCs w:val="20"/>
          <w:color w:val="auto"/>
        </w:rPr>
      </w:pPr>
    </w:p>
    <w:p>
      <w:pPr>
        <w:ind w:left="180" w:hanging="172"/>
        <w:spacing w:after="0"/>
        <w:tabs>
          <w:tab w:leader="none" w:pos="1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UCSB</w:t>
      </w:r>
    </w:p>
    <w:p>
      <w:pPr>
        <w:spacing w:after="0" w:line="11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Company has an exclusive, worldwide license agreement with UCSB (the “UCSB Agreement”), relating to the use of certain patents and technology relating to its core technology, including its therapeutic antibodies, and to certain patent rights the Company co-owns with UCSB covering Probody antibodies and other pro-proteins.</w:t>
      </w:r>
    </w:p>
    <w:p>
      <w:pPr>
        <w:spacing w:after="0" w:line="21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Pursuant to the UCSB Agreement, the Company is obligated to (i) make royalty payments to UCSB on net sales of its products covered under the agreement, subject to annual minimum amounts, (ii) make milestone payments to UCSB upon the occurrence of certain events, (iii) make a milestone payment to UCSB upon occurrence of an IPO or change of control, and (iv) reimburse UCSB for prosecution and maintenance of the licensed patents. If the Company sublicenses its rights under the UCSB Agreement, it is obligated to pay UCSB a percentage of the total sublicense revenue received, which total amount would be first reduced by the aggregate amount of certain research and development related expenses incurred by the Company and other permitted deductions. As part of the UCSB Agreement, the Company has annual minimum royalty obligations of $0.2 million under the terms of certain exclusive licensed patent rights. The royalty obligations are cancellable any time by giving notice to the licensor, with the termination being effective 60 days after giving notice.</w:t>
      </w:r>
    </w:p>
    <w:p>
      <w:pPr>
        <w:spacing w:after="0" w:line="21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2013, the Company amended the UCSB Agreement to reduce certain amounts due to UCSB upon receipt by the Company of upfront payments, milestone payments and royalties from sublicensees. In exchange for this amendment, the Company issued to UCSB 157,332 shares of common stock. The UCSB Agreement, as amended, will remain in effect until the expiration or abandonment of the last to expire of the licensed patents.</w:t>
      </w:r>
    </w:p>
    <w:p>
      <w:pPr>
        <w:spacing w:after="0" w:line="19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April 2019, the Company entered into Amendment No.3 to the UCSB Agreement to adjust and clarify certain sublicense terms (“Amendment No.3”). In connection with the amendment, the Company issued to UCSB 150,000 shares of CytomX common stock with a fair value of $10.68 per share. Under the terms of Amendment No.3, the Company and UCSB agreed to modify the determination of sublicense revenues payable by the Company to UCSB on certain existing collaboration agreements and on collaboration agreements executed subsequent to Amendment No.3. In exchange, the Company agreed to make an upfront payment of $1.0 million as well as additional annual license maintenance fees of $0.8 million through 2031. In the event that the Company terminates the agreement due to material concern of the safety or efficacy of the related technology, 50% of all remaining maintenance fees will become due immediately. Otherwise, all remaining maintenance fees will become due immediately upon early termination of the agreement unless there is a material breach by UCSB. Pursuant to Amendment No.3, the Company recorded in research and development expense a charge of $3.4 million relating to sublicense and maintenance fees representing the 150,000 shares issued with a fair value of $1.6 million, the upfront payment of $1.0 million and the additional annual maintenance fee of $0.8 million during the second quarter of 2019.</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1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June 2019, the Company incurred an additional $0.8 million of sublicense fees related to the $10.0 million milestone payment for the second target selected by AbbVie under the Discovery Agreement.</w:t>
      </w:r>
    </w:p>
    <w:p>
      <w:pPr>
        <w:spacing w:after="0" w:line="19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incurred expenses of $0 and $4.4 million for the three months ended June 30, 2020 and 2019, respectively, and $9.1 million and $4.2 million for the six months ended June 30, 2020 and 2019, respectively, under the provisions of the UCSB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and December 31, 2019, the sublicense fee payable to UCSB was $0 and $0.2 million, respectively.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ImmunoGen</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December 2019, the Company entered into the ImmunoGen 2019 License with ImmunoGen to obtain an exclusive license with respect to epithelial cell adhesion molecule (“EpCAM”). Under the ImmunoGen 2019 License, ImmunoGen agreed to transfer its know-how, patents, intellectual property rights, and technology transfer materials and information related to its EpCAM program and the ImmunoGen 2017 license from the Company to ImmunoGen was terminated. The ImmunoGen 2019 License gives the Company the exclusive right to develop, manufacture, use and commercialize any licensed product that incorporates, is comprised of, or otherwise derived from a Probody drug conjugate that targets EpCAM in any human therapeutic field on a worldwide basis. In exchange, the Company agreed to make non-refundable and non-creditable payments including an upfront license payment of $7.5 million and certain clinical development, approval and commercialization milestone payments, if achieved and royalties on product sales. The upfront license fee of $7.5 million was recorded as research and development expense in December 2019 and was paid in January 2020.</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w:t>
      </w:r>
    </w:p>
    <w:p>
      <w:pPr>
        <w:spacing w:after="0" w:line="13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February 2020, the Company entered into an Open Market Sale Agreement (the “Sales Agreement”) with Jefferies LLC (“Jefferies”), to sell shares of the Company’s common stock, par value $0.00001 per share, with aggregate gross sales proceeds of up to $75,000,000, from time to time upon the Company’s request, through an at the market offering under which Jefferies will act as sales agent. Pursuant to the Sales Agreement, Jefferies as the sales agent will receive a commission of 3.0% of the gross sales price for shares of common stock sold under the Sales Agreement. There were no shares sold during the three and six months ended June 30, 2020.</w:t>
      </w:r>
    </w:p>
    <w:p>
      <w:pPr>
        <w:spacing w:after="0" w:line="22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June 2020, the Board of Directors and stockholders of the Company approved an increase in the authorized shares of common stock from 75,000,000 to 150,000,000.</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Activities under the Company’s stock option plans for the six months ended June 30, 2019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160" w:type="dxa"/>
            <w:vAlign w:val="bottom"/>
            <w:gridSpan w:val="5"/>
          </w:tcPr>
          <w:p>
            <w:pPr>
              <w:ind w:left="880"/>
              <w:spacing w:after="0"/>
              <w:rPr>
                <w:sz w:val="20"/>
                <w:szCs w:val="20"/>
                <w:color w:val="auto"/>
              </w:rPr>
            </w:pPr>
            <w:r>
              <w:rPr>
                <w:rFonts w:ascii="Arial" w:cs="Arial" w:eastAsia="Arial" w:hAnsi="Arial"/>
                <w:sz w:val="14"/>
                <w:szCs w:val="14"/>
                <w:b w:val="1"/>
                <w:bCs w:val="1"/>
                <w:color w:val="auto"/>
              </w:rPr>
              <w:t>Options Outstanding</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ind w:right="117"/>
              <w:spacing w:after="0" w:line="133" w:lineRule="exact"/>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6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Options</w:t>
            </w:r>
          </w:p>
        </w:tc>
        <w:tc>
          <w:tcPr>
            <w:tcW w:w="18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Per Share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December 31, 2019</w:t>
            </w:r>
          </w:p>
        </w:tc>
        <w:tc>
          <w:tcPr>
            <w:tcW w:w="308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9,936,168</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12.26</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6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4480" w:type="dxa"/>
            <w:vAlign w:val="bottom"/>
            <w:gridSpan w:val="2"/>
          </w:tcPr>
          <w:p>
            <w:pPr>
              <w:jc w:val="right"/>
              <w:spacing w:after="0"/>
              <w:rPr>
                <w:sz w:val="20"/>
                <w:szCs w:val="20"/>
                <w:color w:val="auto"/>
              </w:rPr>
            </w:pPr>
            <w:r>
              <w:rPr>
                <w:rFonts w:ascii="Arial" w:cs="Arial" w:eastAsia="Arial" w:hAnsi="Arial"/>
                <w:sz w:val="18"/>
                <w:szCs w:val="18"/>
                <w:color w:val="auto"/>
              </w:rPr>
              <w:t>3,317,144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 exercised</w:t>
            </w:r>
          </w:p>
        </w:tc>
        <w:tc>
          <w:tcPr>
            <w:tcW w:w="47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(594,667)</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60" w:type="dxa"/>
            <w:vAlign w:val="bottom"/>
          </w:tcPr>
          <w:p>
            <w:pPr>
              <w:ind w:left="240"/>
              <w:spacing w:after="0"/>
              <w:rPr>
                <w:sz w:val="20"/>
                <w:szCs w:val="20"/>
                <w:color w:val="auto"/>
              </w:rPr>
            </w:pPr>
            <w:r>
              <w:rPr>
                <w:rFonts w:ascii="Arial" w:cs="Arial" w:eastAsia="Arial" w:hAnsi="Arial"/>
                <w:sz w:val="18"/>
                <w:szCs w:val="18"/>
                <w:color w:val="auto"/>
              </w:rPr>
              <w:t>Option forfeited/expired</w:t>
            </w:r>
          </w:p>
        </w:tc>
        <w:tc>
          <w:tcPr>
            <w:tcW w:w="4720" w:type="dxa"/>
            <w:vAlign w:val="bottom"/>
            <w:gridSpan w:val="3"/>
          </w:tcPr>
          <w:p>
            <w:pPr>
              <w:jc w:val="right"/>
              <w:ind w:right="180"/>
              <w:spacing w:after="0"/>
              <w:rPr>
                <w:sz w:val="20"/>
                <w:szCs w:val="20"/>
                <w:color w:val="auto"/>
              </w:rPr>
            </w:pPr>
            <w:r>
              <w:rPr>
                <w:rFonts w:ascii="Arial" w:cs="Arial" w:eastAsia="Arial" w:hAnsi="Arial"/>
                <w:sz w:val="18"/>
                <w:szCs w:val="18"/>
                <w:color w:val="auto"/>
              </w:rPr>
              <w:t>(1,026,095)</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June 30, 2020</w:t>
            </w:r>
          </w:p>
        </w:tc>
        <w:tc>
          <w:tcPr>
            <w:tcW w:w="3080" w:type="dxa"/>
            <w:vAlign w:val="bottom"/>
            <w:tcBorders>
              <w:top w:val="single" w:sz="8" w:color="CFF0FC"/>
              <w:bottom w:val="single" w:sz="8" w:color="CFF0FC"/>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11,632,550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60" w:type="dxa"/>
            <w:vAlign w:val="bottom"/>
            <w:vMerge w:val="restart"/>
          </w:tcPr>
          <w:p>
            <w:pPr>
              <w:spacing w:after="0"/>
              <w:rPr>
                <w:sz w:val="20"/>
                <w:szCs w:val="20"/>
                <w:color w:val="auto"/>
              </w:rPr>
            </w:pPr>
            <w:r>
              <w:rPr>
                <w:rFonts w:ascii="Arial" w:cs="Arial" w:eastAsia="Arial" w:hAnsi="Arial"/>
                <w:sz w:val="18"/>
                <w:szCs w:val="18"/>
                <w:b w:val="1"/>
                <w:bCs w:val="1"/>
                <w:color w:val="auto"/>
              </w:rPr>
              <w:t>Options exercisable at June 30, 2020</w:t>
            </w:r>
          </w:p>
        </w:tc>
        <w:tc>
          <w:tcPr>
            <w:tcW w:w="30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860" w:type="dxa"/>
            <w:vAlign w:val="bottom"/>
            <w:vMerge w:val="continue"/>
          </w:tcPr>
          <w:p>
            <w:pPr>
              <w:spacing w:after="0"/>
              <w:rPr>
                <w:sz w:val="19"/>
                <w:szCs w:val="19"/>
                <w:color w:val="auto"/>
              </w:rPr>
            </w:pPr>
          </w:p>
        </w:tc>
        <w:tc>
          <w:tcPr>
            <w:tcW w:w="4480" w:type="dxa"/>
            <w:vAlign w:val="bottom"/>
            <w:gridSpan w:val="2"/>
          </w:tcPr>
          <w:p>
            <w:pPr>
              <w:jc w:val="right"/>
              <w:spacing w:after="0"/>
              <w:rPr>
                <w:sz w:val="20"/>
                <w:szCs w:val="20"/>
                <w:color w:val="auto"/>
              </w:rPr>
            </w:pPr>
            <w:r>
              <w:rPr>
                <w:rFonts w:ascii="Arial" w:cs="Arial" w:eastAsia="Arial" w:hAnsi="Arial"/>
                <w:sz w:val="18"/>
                <w:szCs w:val="18"/>
                <w:color w:val="auto"/>
              </w:rPr>
              <w:t>6,277,291</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080" w:type="dxa"/>
            <w:vAlign w:val="bottom"/>
            <w:vMerge w:val="restart"/>
          </w:tcPr>
          <w:p>
            <w:pPr>
              <w:jc w:val="right"/>
              <w:ind w:right="1710"/>
              <w:spacing w:after="0"/>
              <w:rPr>
                <w:sz w:val="20"/>
                <w:szCs w:val="20"/>
                <w:color w:val="auto"/>
              </w:rPr>
            </w:pPr>
            <w:r>
              <w:rPr>
                <w:rFonts w:ascii="Arial" w:cs="Arial" w:eastAsia="Arial" w:hAnsi="Arial"/>
                <w:sz w:val="18"/>
                <w:szCs w:val="18"/>
                <w:color w:val="auto"/>
              </w:rPr>
              <w:t>25</w:t>
            </w: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Total stock-based compensation recorded related to options granted to employees and non-employees and employee stock purchase plan was as follows:</w:t>
      </w:r>
    </w:p>
    <w:p>
      <w:pPr>
        <w:spacing w:after="0" w:line="321"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04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w w:val="89"/>
              </w:rPr>
              <w:t>2020</w:t>
            </w: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r>
      <w:tr>
        <w:trPr>
          <w:trHeight w:val="156"/>
        </w:trPr>
        <w:tc>
          <w:tcPr>
            <w:tcW w:w="5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1,663</w:t>
            </w:r>
          </w:p>
        </w:tc>
        <w:tc>
          <w:tcPr>
            <w:tcW w:w="22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2,651</w:t>
            </w:r>
          </w:p>
        </w:tc>
        <w:tc>
          <w:tcPr>
            <w:tcW w:w="22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3,582</w:t>
            </w:r>
          </w:p>
        </w:tc>
        <w:tc>
          <w:tcPr>
            <w:tcW w:w="22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5,293</w:t>
            </w: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1,850</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2,803</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3,944</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5,353</w:t>
            </w:r>
          </w:p>
        </w:tc>
        <w:tc>
          <w:tcPr>
            <w:tcW w:w="100" w:type="dxa"/>
            <w:vAlign w:val="bottom"/>
            <w:shd w:val="clear" w:color="auto" w:fill="CFF0FC"/>
          </w:tcPr>
          <w:p>
            <w:pPr>
              <w:spacing w:after="0"/>
              <w:rPr>
                <w:sz w:val="19"/>
                <w:szCs w:val="19"/>
                <w:color w:val="auto"/>
              </w:rPr>
            </w:pPr>
          </w:p>
        </w:tc>
      </w:tr>
      <w:tr>
        <w:trPr>
          <w:trHeight w:val="223"/>
        </w:trPr>
        <w:tc>
          <w:tcPr>
            <w:tcW w:w="5240" w:type="dxa"/>
            <w:vAlign w:val="bottom"/>
          </w:tcPr>
          <w:p>
            <w:pPr>
              <w:ind w:left="480"/>
              <w:spacing w:after="0"/>
              <w:rPr>
                <w:sz w:val="20"/>
                <w:szCs w:val="20"/>
                <w:color w:val="auto"/>
              </w:rPr>
            </w:pPr>
            <w:r>
              <w:rPr>
                <w:rFonts w:ascii="Arial" w:cs="Arial" w:eastAsia="Arial" w:hAnsi="Arial"/>
                <w:sz w:val="18"/>
                <w:szCs w:val="18"/>
                <w:color w:val="auto"/>
              </w:rPr>
              <w:t>Total stock-based compensation expense</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3,513</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5,454</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7,526</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10,646</w:t>
            </w:r>
          </w:p>
        </w:tc>
        <w:tc>
          <w:tcPr>
            <w:tcW w:w="10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w:t>
      </w:r>
    </w:p>
    <w:p>
      <w:pPr>
        <w:spacing w:after="0" w:line="117"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On December 10, 2015, the Company entered into a lease (the “2016 Lease”) with HCP Oyster Point III LLC (the “Landlord”) to -lease approximately 76,000 rentable square feet of office and laboratory space located in South San Francisco, California for the Company’s new corporate headquarters.</w:t>
      </w:r>
    </w:p>
    <w:p>
      <w:pPr>
        <w:spacing w:after="0" w:line="124"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term of the Lease commenced on October 1, 2016. The 2016 Lease has an initial term of ten years from the commencement date, and the Company has an option to extend the initial term for an additional five years at the then fair rental value as determined pursuant to the 2016 Lease.</w:t>
      </w:r>
    </w:p>
    <w:p>
      <w:pPr>
        <w:spacing w:after="0" w:line="1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Lease provided for annual base rent of approximately $3.1 million in the first year of the lease term. The annual base rent for the second twelve months was approximately $4.3 million, which will increase on an annual basis beginning from the 25</w:t>
      </w:r>
      <w:r>
        <w:rPr>
          <w:rFonts w:ascii="Arial" w:cs="Arial" w:eastAsia="Arial" w:hAnsi="Arial"/>
          <w:sz w:val="15"/>
          <w:szCs w:val="15"/>
          <w:color w:val="auto"/>
        </w:rPr>
        <w:t>th</w:t>
      </w:r>
      <w:r>
        <w:rPr>
          <w:rFonts w:ascii="Arial" w:cs="Arial" w:eastAsia="Arial" w:hAnsi="Arial"/>
          <w:sz w:val="18"/>
          <w:szCs w:val="18"/>
          <w:color w:val="auto"/>
        </w:rPr>
        <w:t xml:space="preserve"> month to approximately $5.5 million for the tenth year of the lease. The Company utilized the full amount of the one-time improvement allowance of $12.6 million, of which $2.3 million is recoverable by the landlord through an increased rent which continues through the expiration of the initial lease term.</w:t>
      </w:r>
    </w:p>
    <w:p>
      <w:pPr>
        <w:spacing w:after="0" w:line="187" w:lineRule="exact"/>
        <w:rPr>
          <w:sz w:val="20"/>
          <w:szCs w:val="20"/>
          <w:color w:val="auto"/>
        </w:rPr>
      </w:pPr>
    </w:p>
    <w:p>
      <w:pPr>
        <w:jc w:val="both"/>
        <w:ind w:right="220"/>
        <w:spacing w:after="0" w:line="311" w:lineRule="auto"/>
        <w:rPr>
          <w:sz w:val="20"/>
          <w:szCs w:val="20"/>
          <w:color w:val="auto"/>
        </w:rPr>
      </w:pPr>
      <w:r>
        <w:rPr>
          <w:rFonts w:ascii="Arial" w:cs="Arial" w:eastAsia="Arial" w:hAnsi="Arial"/>
          <w:sz w:val="16"/>
          <w:szCs w:val="16"/>
          <w:color w:val="auto"/>
        </w:rPr>
        <w:t>In addition, the Company obtained a standby letter of credit (the “Letter of Credit”) in an amount of approximately $0.9 million, which may be drawn by the Landlord to be applied for certain purposes upon the Company’s breach of any provisions under the 2016 Lease. The Company has recorded the $0.9 million Letter of Credit in restricted cash as non-current on its balance sheet at June 30, 2020 and December 31, 2019, respectively.</w:t>
      </w:r>
    </w:p>
    <w:p>
      <w:pPr>
        <w:spacing w:after="0" w:line="149"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Rent expense is recognized on a straight-line basis over the term of the lease and accordingly the Company records the difference between cash rent payments and the recognition of rent expense against the operating lease ROU asset. Rent expense for both the three months ended June 30, 2020 and 2019 was $1.3 million. Rent expense for both the six months ended June 30, 2020 and 2019 was $2.5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Supplemental information related to leases are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3"/>
          </w:tcPr>
          <w:p>
            <w:pPr>
              <w:jc w:val="center"/>
              <w:ind w:right="19"/>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3"/>
          </w:tcPr>
          <w:p>
            <w:pPr>
              <w:jc w:val="center"/>
              <w:ind w:right="79"/>
              <w:spacing w:after="0"/>
              <w:rPr>
                <w:sz w:val="20"/>
                <w:szCs w:val="20"/>
                <w:color w:val="auto"/>
              </w:rPr>
            </w:pPr>
            <w:r>
              <w:rPr>
                <w:rFonts w:ascii="Arial" w:cs="Arial" w:eastAsia="Arial" w:hAnsi="Arial"/>
                <w:sz w:val="14"/>
                <w:szCs w:val="14"/>
                <w:b w:val="1"/>
                <w:bCs w:val="1"/>
                <w:color w:val="auto"/>
                <w:w w:val="93"/>
              </w:rPr>
              <w:t>Six Months Ended</w:t>
            </w:r>
          </w:p>
        </w:tc>
        <w:tc>
          <w:tcPr>
            <w:tcW w:w="60" w:type="dxa"/>
            <w:vAlign w:val="bottom"/>
          </w:tcPr>
          <w:p>
            <w:pPr>
              <w:spacing w:after="0"/>
              <w:rPr>
                <w:sz w:val="14"/>
                <w:szCs w:val="14"/>
                <w:color w:val="auto"/>
              </w:rPr>
            </w:pPr>
          </w:p>
        </w:tc>
      </w:tr>
      <w:tr>
        <w:trPr>
          <w:trHeight w:val="237"/>
        </w:trPr>
        <w:tc>
          <w:tcPr>
            <w:tcW w:w="5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June 30, 2020</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6"/>
              </w:rPr>
              <w:t>June 30, 2019</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w w:val="96"/>
              </w:rPr>
              <w:t>June 30, 2020</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4"/>
              </w:rPr>
              <w:t>June 30, 2019</w:t>
            </w:r>
          </w:p>
        </w:tc>
        <w:tc>
          <w:tcPr>
            <w:tcW w:w="60" w:type="dxa"/>
            <w:vAlign w:val="bottom"/>
          </w:tcPr>
          <w:p>
            <w:pPr>
              <w:spacing w:after="0"/>
              <w:rPr>
                <w:sz w:val="20"/>
                <w:szCs w:val="20"/>
                <w:color w:val="auto"/>
              </w:rPr>
            </w:pPr>
          </w:p>
        </w:tc>
      </w:tr>
      <w:tr>
        <w:trPr>
          <w:trHeight w:val="237"/>
        </w:trPr>
        <w:tc>
          <w:tcPr>
            <w:tcW w:w="5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3"/>
          </w:tcPr>
          <w:p>
            <w:pPr>
              <w:jc w:val="center"/>
              <w:ind w:right="39"/>
              <w:spacing w:after="0"/>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r>
      <w:tr>
        <w:trPr>
          <w:trHeight w:val="211"/>
        </w:trPr>
        <w:tc>
          <w:tcPr>
            <w:tcW w:w="5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5"/>
              </w:rPr>
              <w:t>Cash paid for amounts included in the measurement of lease</w:t>
            </w: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34"/>
        </w:trPr>
        <w:tc>
          <w:tcPr>
            <w:tcW w:w="5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
              <w:spacing w:after="0"/>
              <w:rPr>
                <w:sz w:val="20"/>
                <w:szCs w:val="20"/>
                <w:color w:val="auto"/>
              </w:rPr>
            </w:pPr>
            <w:r>
              <w:rPr>
                <w:rFonts w:ascii="Arial" w:cs="Arial" w:eastAsia="Arial" w:hAnsi="Arial"/>
                <w:sz w:val="18"/>
                <w:szCs w:val="18"/>
                <w:color w:val="auto"/>
              </w:rPr>
              <w:t>1,239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1,205</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4"/>
              <w:spacing w:after="0"/>
              <w:rPr>
                <w:sz w:val="20"/>
                <w:szCs w:val="20"/>
                <w:color w:val="auto"/>
              </w:rPr>
            </w:pPr>
            <w:r>
              <w:rPr>
                <w:rFonts w:ascii="Arial" w:cs="Arial" w:eastAsia="Arial" w:hAnsi="Arial"/>
                <w:sz w:val="18"/>
                <w:szCs w:val="18"/>
                <w:color w:val="auto"/>
              </w:rPr>
              <w:t>2,478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2,410</w:t>
            </w:r>
          </w:p>
        </w:tc>
        <w:tc>
          <w:tcPr>
            <w:tcW w:w="60" w:type="dxa"/>
            <w:vAlign w:val="bottom"/>
          </w:tcPr>
          <w:p>
            <w:pPr>
              <w:spacing w:after="0"/>
              <w:rPr>
                <w:sz w:val="20"/>
                <w:szCs w:val="20"/>
                <w:color w:val="auto"/>
              </w:rPr>
            </w:pPr>
          </w:p>
        </w:tc>
      </w:tr>
      <w:tr>
        <w:trPr>
          <w:trHeight w:val="431"/>
        </w:trPr>
        <w:tc>
          <w:tcPr>
            <w:tcW w:w="5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ind w:right="961"/>
              <w:spacing w:after="0"/>
              <w:rPr>
                <w:sz w:val="20"/>
                <w:szCs w:val="20"/>
                <w:color w:val="auto"/>
              </w:rPr>
            </w:pPr>
            <w:r>
              <w:rPr>
                <w:rFonts w:ascii="Arial" w:cs="Arial" w:eastAsia="Arial" w:hAnsi="Arial"/>
                <w:sz w:val="18"/>
                <w:szCs w:val="18"/>
                <w:color w:val="auto"/>
                <w:w w:val="99"/>
              </w:rPr>
              <w:t>26</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right"/>
              <w:ind w:right="59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5"/>
              </w:rPr>
              <w:t>December 31, 2019</w:t>
            </w:r>
          </w:p>
        </w:tc>
        <w:tc>
          <w:tcPr>
            <w:tcW w:w="180" w:type="dxa"/>
            <w:vAlign w:val="bottom"/>
            <w:gridSpan w:val="2"/>
          </w:tcPr>
          <w:p>
            <w:pPr>
              <w:spacing w:after="0"/>
              <w:rPr>
                <w:sz w:val="14"/>
                <w:szCs w:val="14"/>
                <w:color w:val="auto"/>
              </w:rPr>
            </w:pPr>
          </w:p>
        </w:tc>
      </w:tr>
      <w:tr>
        <w:trPr>
          <w:trHeight w:val="223"/>
        </w:trPr>
        <w:tc>
          <w:tcPr>
            <w:tcW w:w="6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20" w:type="dxa"/>
            <w:vAlign w:val="bottom"/>
            <w:gridSpan w:val="6"/>
          </w:tcPr>
          <w:p>
            <w:pPr>
              <w:jc w:val="right"/>
              <w:ind w:right="1540"/>
              <w:spacing w:after="0"/>
              <w:rPr>
                <w:sz w:val="20"/>
                <w:szCs w:val="20"/>
                <w:color w:val="auto"/>
              </w:rPr>
            </w:pPr>
            <w:r>
              <w:rPr>
                <w:rFonts w:ascii="Arial" w:cs="Arial" w:eastAsia="Arial" w:hAnsi="Arial"/>
                <w:sz w:val="14"/>
                <w:szCs w:val="14"/>
                <w:b w:val="1"/>
                <w:bCs w:val="1"/>
                <w:color w:val="auto"/>
              </w:rPr>
              <w:t>(in thousands)</w:t>
            </w:r>
          </w:p>
        </w:tc>
      </w:tr>
      <w:tr>
        <w:trPr>
          <w:trHeight w:val="229"/>
        </w:trPr>
        <w:tc>
          <w:tcPr>
            <w:tcW w:w="6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balance sheet information related to leases:</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69"/>
        </w:trPr>
        <w:tc>
          <w:tcPr>
            <w:tcW w:w="6560" w:type="dxa"/>
            <w:vAlign w:val="bottom"/>
          </w:tcPr>
          <w:p>
            <w:pPr>
              <w:ind w:left="140"/>
              <w:spacing w:after="0"/>
              <w:rPr>
                <w:sz w:val="20"/>
                <w:szCs w:val="20"/>
                <w:color w:val="auto"/>
              </w:rPr>
            </w:pPr>
            <w:r>
              <w:rPr>
                <w:rFonts w:ascii="Arial" w:cs="Arial" w:eastAsia="Arial" w:hAnsi="Arial"/>
                <w:sz w:val="18"/>
                <w:szCs w:val="18"/>
                <w:color w:val="auto"/>
              </w:rPr>
              <w:t>Operating lease right-of-use assets</w:t>
            </w: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23,967</w:t>
            </w:r>
          </w:p>
        </w:tc>
        <w:tc>
          <w:tcPr>
            <w:tcW w:w="2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25,382</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10"/>
        </w:trPr>
        <w:tc>
          <w:tcPr>
            <w:tcW w:w="656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Current operating lease liabilities</w:t>
            </w:r>
          </w:p>
        </w:tc>
        <w:tc>
          <w:tcPr>
            <w:tcW w:w="9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2,998</w:t>
            </w:r>
          </w:p>
        </w:tc>
        <w:tc>
          <w:tcPr>
            <w:tcW w:w="2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2,810</w:t>
            </w: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65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Non-current operating lease liabilities</w:t>
            </w:r>
          </w:p>
        </w:tc>
        <w:tc>
          <w:tcPr>
            <w:tcW w:w="9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23,323</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24,871</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63"/>
        </w:trPr>
        <w:tc>
          <w:tcPr>
            <w:tcW w:w="65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operating lease liabilities</w:t>
            </w:r>
          </w:p>
        </w:tc>
        <w:tc>
          <w:tcPr>
            <w:tcW w:w="9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26,321</w:t>
            </w:r>
          </w:p>
        </w:tc>
        <w:tc>
          <w:tcPr>
            <w:tcW w:w="2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27,681</w:t>
            </w:r>
          </w:p>
        </w:tc>
        <w:tc>
          <w:tcPr>
            <w:tcW w:w="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6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Weighted-average remaining lease term (in years)</w:t>
            </w: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560" w:type="dxa"/>
            <w:vAlign w:val="bottom"/>
          </w:tcPr>
          <w:p>
            <w:pPr>
              <w:ind w:left="140"/>
              <w:spacing w:after="0"/>
              <w:rPr>
                <w:sz w:val="20"/>
                <w:szCs w:val="20"/>
                <w:color w:val="auto"/>
              </w:rPr>
            </w:pPr>
            <w:r>
              <w:rPr>
                <w:rFonts w:ascii="Arial" w:cs="Arial" w:eastAsia="Arial" w:hAnsi="Arial"/>
                <w:sz w:val="18"/>
                <w:szCs w:val="18"/>
                <w:color w:val="auto"/>
              </w:rPr>
              <w:t>Operating lease</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6.34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6.85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Weighted-average discount rate</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560" w:type="dxa"/>
            <w:vAlign w:val="bottom"/>
          </w:tcPr>
          <w:p>
            <w:pPr>
              <w:ind w:left="140"/>
              <w:spacing w:after="0"/>
              <w:rPr>
                <w:sz w:val="20"/>
                <w:szCs w:val="20"/>
                <w:color w:val="auto"/>
              </w:rPr>
            </w:pPr>
            <w:r>
              <w:rPr>
                <w:rFonts w:ascii="Arial" w:cs="Arial" w:eastAsia="Arial" w:hAnsi="Arial"/>
                <w:sz w:val="18"/>
                <w:szCs w:val="18"/>
                <w:color w:val="auto"/>
              </w:rPr>
              <w:t>Operating lease</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right"/>
              <w:ind w:right="30"/>
              <w:spacing w:after="0"/>
              <w:rPr>
                <w:sz w:val="20"/>
                <w:szCs w:val="20"/>
                <w:color w:val="auto"/>
              </w:rPr>
            </w:pPr>
            <w:r>
              <w:rPr>
                <w:rFonts w:ascii="Arial" w:cs="Arial" w:eastAsia="Arial" w:hAnsi="Arial"/>
                <w:sz w:val="18"/>
                <w:szCs w:val="18"/>
                <w:color w:val="auto"/>
              </w:rPr>
              <w:t>8.25%</w:t>
            </w:r>
          </w:p>
        </w:tc>
        <w:tc>
          <w:tcPr>
            <w:tcW w:w="180" w:type="dxa"/>
            <w:vAlign w:val="bottom"/>
          </w:tcPr>
          <w:p>
            <w:pPr>
              <w:spacing w:after="0"/>
              <w:rPr>
                <w:sz w:val="20"/>
                <w:szCs w:val="20"/>
                <w:color w:val="auto"/>
              </w:rPr>
            </w:pPr>
          </w:p>
        </w:tc>
        <w:tc>
          <w:tcPr>
            <w:tcW w:w="1660" w:type="dxa"/>
            <w:vAlign w:val="bottom"/>
            <w:gridSpan w:val="3"/>
          </w:tcPr>
          <w:p>
            <w:pPr>
              <w:jc w:val="right"/>
              <w:ind w:right="20"/>
              <w:spacing w:after="0"/>
              <w:rPr>
                <w:sz w:val="20"/>
                <w:szCs w:val="20"/>
                <w:color w:val="auto"/>
              </w:rPr>
            </w:pPr>
            <w:r>
              <w:rPr>
                <w:rFonts w:ascii="Arial" w:cs="Arial" w:eastAsia="Arial" w:hAnsi="Arial"/>
                <w:sz w:val="18"/>
                <w:szCs w:val="18"/>
                <w:color w:val="auto"/>
              </w:rPr>
              <w:t>8.25%</w:t>
            </w:r>
          </w:p>
        </w:tc>
      </w:tr>
      <w:tr>
        <w:trPr>
          <w:trHeight w:val="458"/>
        </w:trPr>
        <w:tc>
          <w:tcPr>
            <w:tcW w:w="6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24"/>
                <w:szCs w:val="24"/>
                <w:color w:val="auto"/>
              </w:rPr>
            </w:pPr>
          </w:p>
        </w:tc>
      </w:tr>
      <w:tr>
        <w:trPr>
          <w:trHeight w:val="237"/>
        </w:trPr>
        <w:tc>
          <w:tcPr>
            <w:tcW w:w="6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9"/>
              </w:rPr>
              <w:t>(in thousands)</w:t>
            </w:r>
          </w:p>
        </w:tc>
      </w:tr>
      <w:tr>
        <w:trPr>
          <w:trHeight w:val="229"/>
        </w:trPr>
        <w:tc>
          <w:tcPr>
            <w:tcW w:w="6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Maturity of operating lease liabilities</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560" w:type="dxa"/>
            <w:vAlign w:val="bottom"/>
          </w:tcPr>
          <w:p>
            <w:pPr>
              <w:ind w:left="140"/>
              <w:spacing w:after="0"/>
              <w:rPr>
                <w:sz w:val="20"/>
                <w:szCs w:val="20"/>
                <w:color w:val="auto"/>
              </w:rPr>
            </w:pPr>
            <w:r>
              <w:rPr>
                <w:rFonts w:ascii="Arial" w:cs="Arial" w:eastAsia="Arial" w:hAnsi="Arial"/>
                <w:sz w:val="18"/>
                <w:szCs w:val="18"/>
                <w:color w:val="auto"/>
              </w:rPr>
              <w:t>2020</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2,512</w:t>
            </w:r>
          </w:p>
        </w:tc>
        <w:tc>
          <w:tcPr>
            <w:tcW w:w="100" w:type="dxa"/>
            <w:vAlign w:val="bottom"/>
          </w:tcPr>
          <w:p>
            <w:pPr>
              <w:spacing w:after="0"/>
              <w:rPr>
                <w:sz w:val="19"/>
                <w:szCs w:val="19"/>
                <w:color w:val="auto"/>
              </w:rPr>
            </w:pPr>
          </w:p>
        </w:tc>
      </w:tr>
      <w:tr>
        <w:trPr>
          <w:trHeight w:val="229"/>
        </w:trPr>
        <w:tc>
          <w:tcPr>
            <w:tcW w:w="65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2021</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5,129</w:t>
            </w:r>
          </w:p>
        </w:tc>
        <w:tc>
          <w:tcPr>
            <w:tcW w:w="100" w:type="dxa"/>
            <w:vAlign w:val="bottom"/>
            <w:shd w:val="clear" w:color="auto" w:fill="CFF0FC"/>
          </w:tcPr>
          <w:p>
            <w:pPr>
              <w:spacing w:after="0"/>
              <w:rPr>
                <w:sz w:val="19"/>
                <w:szCs w:val="19"/>
                <w:color w:val="auto"/>
              </w:rPr>
            </w:pPr>
          </w:p>
        </w:tc>
      </w:tr>
      <w:tr>
        <w:trPr>
          <w:trHeight w:val="229"/>
        </w:trPr>
        <w:tc>
          <w:tcPr>
            <w:tcW w:w="6560" w:type="dxa"/>
            <w:vAlign w:val="bottom"/>
          </w:tcPr>
          <w:p>
            <w:pPr>
              <w:ind w:left="140"/>
              <w:spacing w:after="0"/>
              <w:rPr>
                <w:sz w:val="20"/>
                <w:szCs w:val="20"/>
                <w:color w:val="auto"/>
              </w:rPr>
            </w:pPr>
            <w:r>
              <w:rPr>
                <w:rFonts w:ascii="Arial" w:cs="Arial" w:eastAsia="Arial" w:hAnsi="Arial"/>
                <w:sz w:val="18"/>
                <w:szCs w:val="18"/>
                <w:color w:val="auto"/>
              </w:rPr>
              <w:t>2022</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5,273</w:t>
            </w:r>
          </w:p>
        </w:tc>
        <w:tc>
          <w:tcPr>
            <w:tcW w:w="100" w:type="dxa"/>
            <w:vAlign w:val="bottom"/>
          </w:tcPr>
          <w:p>
            <w:pPr>
              <w:spacing w:after="0"/>
              <w:rPr>
                <w:sz w:val="19"/>
                <w:szCs w:val="19"/>
                <w:color w:val="auto"/>
              </w:rPr>
            </w:pPr>
          </w:p>
        </w:tc>
      </w:tr>
      <w:tr>
        <w:trPr>
          <w:trHeight w:val="230"/>
        </w:trPr>
        <w:tc>
          <w:tcPr>
            <w:tcW w:w="65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2023</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5,420</w:t>
            </w:r>
          </w:p>
        </w:tc>
        <w:tc>
          <w:tcPr>
            <w:tcW w:w="100" w:type="dxa"/>
            <w:vAlign w:val="bottom"/>
            <w:shd w:val="clear" w:color="auto" w:fill="CFF0FC"/>
          </w:tcPr>
          <w:p>
            <w:pPr>
              <w:spacing w:after="0"/>
              <w:rPr>
                <w:sz w:val="19"/>
                <w:szCs w:val="19"/>
                <w:color w:val="auto"/>
              </w:rPr>
            </w:pPr>
          </w:p>
        </w:tc>
      </w:tr>
      <w:tr>
        <w:trPr>
          <w:trHeight w:val="229"/>
        </w:trPr>
        <w:tc>
          <w:tcPr>
            <w:tcW w:w="65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2024 and beyond</w:t>
            </w:r>
          </w:p>
        </w:tc>
        <w:tc>
          <w:tcPr>
            <w:tcW w:w="9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4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15,689</w:t>
            </w:r>
          </w:p>
        </w:tc>
        <w:tc>
          <w:tcPr>
            <w:tcW w:w="100" w:type="dxa"/>
            <w:vAlign w:val="bottom"/>
            <w:tcBorders>
              <w:bottom w:val="single" w:sz="8" w:color="CFF0FC"/>
            </w:tcBorders>
          </w:tcPr>
          <w:p>
            <w:pPr>
              <w:spacing w:after="0"/>
              <w:rPr>
                <w:sz w:val="19"/>
                <w:szCs w:val="19"/>
                <w:color w:val="auto"/>
              </w:rPr>
            </w:pPr>
          </w:p>
        </w:tc>
      </w:tr>
      <w:tr>
        <w:trPr>
          <w:trHeight w:val="223"/>
        </w:trPr>
        <w:tc>
          <w:tcPr>
            <w:tcW w:w="6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lease payments</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34,023</w:t>
            </w:r>
          </w:p>
        </w:tc>
        <w:tc>
          <w:tcPr>
            <w:tcW w:w="100" w:type="dxa"/>
            <w:vAlign w:val="bottom"/>
            <w:shd w:val="clear" w:color="auto" w:fill="CFF0FC"/>
          </w:tcPr>
          <w:p>
            <w:pPr>
              <w:spacing w:after="0"/>
              <w:rPr>
                <w:sz w:val="19"/>
                <w:szCs w:val="19"/>
                <w:color w:val="auto"/>
              </w:rPr>
            </w:pPr>
          </w:p>
        </w:tc>
      </w:tr>
      <w:tr>
        <w:trPr>
          <w:trHeight w:val="243"/>
        </w:trPr>
        <w:tc>
          <w:tcPr>
            <w:tcW w:w="6560" w:type="dxa"/>
            <w:vAlign w:val="bottom"/>
          </w:tcPr>
          <w:p>
            <w:pPr>
              <w:ind w:left="260"/>
              <w:spacing w:after="0"/>
              <w:rPr>
                <w:sz w:val="20"/>
                <w:szCs w:val="20"/>
                <w:color w:val="auto"/>
              </w:rPr>
            </w:pPr>
            <w:r>
              <w:rPr>
                <w:rFonts w:ascii="Arial" w:cs="Arial" w:eastAsia="Arial" w:hAnsi="Arial"/>
                <w:sz w:val="18"/>
                <w:szCs w:val="18"/>
                <w:color w:val="auto"/>
              </w:rPr>
              <w:t>Less imputed interest</w:t>
            </w: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8"/>
                <w:szCs w:val="18"/>
                <w:color w:val="auto"/>
              </w:rPr>
              <w:t>(7,702)</w:t>
            </w:r>
          </w:p>
        </w:tc>
      </w:tr>
      <w:tr>
        <w:trPr>
          <w:trHeight w:val="237"/>
        </w:trPr>
        <w:tc>
          <w:tcPr>
            <w:tcW w:w="65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Present value of lease liabilities</w:t>
            </w:r>
          </w:p>
        </w:tc>
        <w:tc>
          <w:tcPr>
            <w:tcW w:w="92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1400" w:type="dxa"/>
            <w:vAlign w:val="bottom"/>
            <w:tcBorders>
              <w:top w:val="single" w:sz="8" w:color="CFF0FC"/>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5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26,321</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6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3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On March 4, 2020, Vytacera Bio, LLC filed a patent infringement lawsuit against the Company in the U.S. District Court for the District of Delaware. The lawsuit alleges that the Company’s use, offers to sell, and/or sales of the Probody® technology platform for basic research applications constitutes infringement. The complaint seeks unspecified monetary damages. The Company filed an Answer, Affirmative Defenses, and Counterclaims on May 26, 2020. Vytacera Bio, LLC filed its Answer to CytomX Therapeutics Inc.’s Counterclaims on June 5, 2020. The Company believes that the lawsuit is without merit and intends to vigorously defend itself and has not recorded any amount for claims associated with this lawsuit as of June 30, 2020.</w:t>
      </w:r>
    </w:p>
    <w:p>
      <w:pPr>
        <w:spacing w:after="0" w:line="20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May 21, 2020, a putative securities class action lawsuit was commenced in the U.S. District Court for the Northern District of California naming as defendants the Company and three current and former officers. The complaint alleges that the defendants violated Sections 10(b) and 20(a) of the Securities Exchange Act of 1934, as amended, and Rule 10b-5 thereunder, by making false and misleading statements and omissions of material fact related to the product candidates CX-072 and CX-2009. The plaintiff seeks to represent all persons who purchased or otherwise acquired CytomX securities between May 17, 2018, and May 13, 2020. The plaintiff seeks damages and interest, and an award of costs, including attorneys’ fees. The Company believes the plaintiff’s claims are without merit and has not recorded any amount for claims associated with this lawsuit as of June 30, 2020.</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 Expense</w:t>
      </w:r>
    </w:p>
    <w:p>
      <w:pPr>
        <w:spacing w:after="0" w:line="13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recorded no income tax expense for the three months ended June 30, 2020 and 2019. The Company recorded an income tax benefit of $13.9 million and $6,000 for the six months ended June 30, 2020 and 2019, respectively.</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records the effect of an enacted change in a tax law in the period that includes the enactment date in accordance with ASC 740. On March 27, 2020, the Coronavirus Aid, Relief, and Economic Security Act (“CARES Act”) was enacted in response to the COVID-19 pandemic. The tax relief measures under the CARES Act for businesses include a five-year net operating loss carryback, suspension of annual deduction limitation of 80% of taxable income from net operating losses generated in a tax year beginning after December 31, 2017, changes in the deductibility of interest, acceleration of alternative minimum tax credit refunds, payroll tax relief, and a technical correction to allow accelerated deductions for qualified improvement property.</w:t>
      </w:r>
    </w:p>
    <w:p>
      <w:pPr>
        <w:spacing w:after="0" w:line="21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income tax benefit for the six months ended June 30, 2020 was generated as a result of the recognition of net operating loss carryback under the CARES Act which generated a refund of income taxes paid for 2018. The income tax benefit for the six months ended June 30, 2019 was as a result of an unrealized gain on the available for sale securities recorded in other comprehensive income during the period. The Company maintains a full valuation allowance against its net deferred tax assets due to the Company’s history of losses as of June 30, 2020</w:t>
      </w:r>
      <w:r>
        <w:rPr>
          <w:rFonts w:ascii="Arial" w:cs="Arial" w:eastAsia="Arial" w:hAnsi="Arial"/>
          <w:sz w:val="17"/>
          <w:szCs w:val="17"/>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You should read the following management’s discussion and analysis of our financial condition and results of operations in conjunction with our unaudited condensed financial statements and notes thereto included in Part I, Item 1 of this Quarterly Report on Form 10-Q and with our audited financial statements and notes thereto for the year ended December 31, 2019, included in our Annual Report on Forms 10-K as filed with the U.S. Securities and Exchange Commission (“SEC”) on February 27, 2020. This discussion and other parts of this report contain forward-looking statements that involve risks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titled “Risk Factors.” Except as may be required by law, we assume no obligation to update these forward-looking statements or the reasons that results could differ from these forward-looking statements.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We are a clinical-stage, oncology-focused biopharmaceutical company with a vision of transforming lives with safer, more effective therapies. We are developing a novel class of investigational antibody therapeutics, based on our Probody® technology platform, for the treatment of cancer. Our innovative technology is designed to turn previously undruggable targets into druggable targets and to enable more effective combination therapies. We have strategic drug discovery and development collaborations with AbbVie, Amgen, Astellas and Bristol Myers Squibb. Our clinical stage pipeline includes first-in-class product candidates against previously undruggable targets, including a CD166-targeting Probody drug conjugate wholly owned by CytomX (CX-2009), currently in a Phase 2 trial, and a CD71-targeting Probody drug conjugate partnered with AbbVie (CX-2029), currently in a Phase 1/2 trial. CD166 and CD71 are among cancer targets that are considered to be inaccessible to conventional antibody drug conjugates due to their presence on many healthy tissues. Our clinical stage pipeline also includes cancer immunotherapeutic candidates against validated targets such as the CTLA-4-targeting Probody therapeutics, including BMS-986249, currently in a Phase1/2 trial, and BMS-986288, a second anti-CTLA-4 Probody in a Phase 1/2a trial, both partnered with Bristol Myers Squibb. We, in partnership with Amgen, have also recently advanced CX-904, a lead T-cell engaging bispecific Probody candidate against Epidermal Growth Factor Receptor (EGFR) and CD3, into IND-enabling studies. We are responsible for the IND filing, targeted for late 2021, and for early clinical development. Our Probody therapeutic approach is designed to enable “conditional activation” of antibody-based drugs within cancer tissue to more specifically target the tumor microenvironment and minimize drug activity in healthy tissue and in circulation. We achieve conditional activation of antibodies by modifying them with a mask which is designed to block the binding of the antibody to its target until the mask is removed. Mask removal is designed to occur in cancer tissue when proteases, enzymes that have higher activity in cancer than in normal tissue, selectively cleave the mask from the antibody, potentially resulting in enrichment of antibody activity in the tumor compared to normal tissue. We believe this approach has the potential to develop clinically meaningful therapeutics and improve patient outcomes in three ways: 1) by enhancing the “therapeutic window” for drug candidates, that is, the balance between their tolerability and activity, 2) by pursuing tumor targets that were previously considered ‘undruggable’ due to their expression on normal tissues, and 3) by pursuing novel combination therapies that have been poorly tolerated without using our Probody</w:t>
      </w:r>
    </w:p>
    <w:p>
      <w:pPr>
        <w:spacing w:after="0" w:line="11" w:lineRule="exact"/>
        <w:rPr>
          <w:sz w:val="20"/>
          <w:szCs w:val="20"/>
          <w:color w:val="auto"/>
        </w:rPr>
      </w:pPr>
    </w:p>
    <w:p>
      <w:pPr>
        <w:ind w:right="560"/>
        <w:spacing w:after="0" w:line="260" w:lineRule="auto"/>
        <w:rPr>
          <w:sz w:val="20"/>
          <w:szCs w:val="20"/>
          <w:color w:val="auto"/>
        </w:rPr>
      </w:pPr>
      <w:r>
        <w:rPr>
          <w:rFonts w:ascii="Arial" w:cs="Arial" w:eastAsia="Arial" w:hAnsi="Arial"/>
          <w:sz w:val="18"/>
          <w:szCs w:val="18"/>
          <w:color w:val="auto"/>
        </w:rPr>
        <w:t>platform. We are leveraging our Probody platform to develop a robust product pipeline of potential best-in-class immunotherapies against clinically validated targets and potential first-in-class therapeutics against novel, difficult-to-drug targets.</w:t>
      </w:r>
    </w:p>
    <w:p>
      <w:pPr>
        <w:spacing w:after="0" w:line="226"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In December 2019, a strain of novel coronavirus-caused disease (now commonly known as COVID-19) was reported to have surfaced in Wuhan, China. COVID-19 has since spread rapidly throughout many countries, and, on March 12, 2020, the World Health Organization declared COVID-19 to be a pandemic. In an effort to contain and mitigate the spread of COVID-19, many countries, including the United States, Canada and countries in Europe and Asia, have imposed unprecedented restrictions on travel, business operations and public gatherings, and there have been business closures and limitations on business operations, which have resulted in a substantial reduction in economic activity.</w:t>
      </w:r>
    </w:p>
    <w:p>
      <w:pPr>
        <w:spacing w:after="0" w:line="20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March 2020, in assessing the evolving COVID-19 pandemic and related governmental restrictions, the emerging challenges for clinical trial execution within our studies and across the industry, and the need of healthcare providers and settings to prioritize resources for management of the pandemic, we made the decision to temporarily pause new patient enrollment and new site activation in the PROCLAIM-CX-2009-001 study evaluating the CD166-targeting Probody drug conjugate CX-2009. This study includes the Phase 2 expansion study evaluating CX-2009 as monotherapy in patients with hormone receptor (ER, PR) positive, HER2 negative breast cancer. Since then, we have revised our strategy for developing CX-2009. In the intervening period this study has been revised to further focus on the patient enrollment criteria and is expected to be re-initiated during the second half of 2020. The revised study will continue to evaluate CX-2009 monotherapy at 7mg/kg administered every three weeks and enroll at least 40 patients. We also expect to initiate a Phase 2 expansion study during the second half of 2020 evaluating CX-2009 as monotherapy and in combination with CX-072, the Company’s anti-PD-L1 Probody therapeutic candidate, in patients with triple negative breast cancer.</w:t>
      </w:r>
    </w:p>
    <w:p>
      <w:pPr>
        <w:spacing w:after="0" w:line="207"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We also made the strategic decision to terminate the PROCLAIM-CX-072-002 study evaluating the anti-PD-L1 Probody CX-072 in combination with ipilimumab in melanoma. This decision follows a re-evaluation of the evolving clinical, competitive and commercial landscapes in immuno-oncology, along with impact of the COVID-19 pandemic. This decision allows for resources to be redirected towards our potential first-in-class assets, including a combination of CX-072 and CX-2009, and to the generation of additional clinical candidates for advancement to IND filing and clinical trials.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line="257" w:lineRule="auto"/>
        <w:rPr>
          <w:sz w:val="20"/>
          <w:szCs w:val="20"/>
          <w:color w:val="auto"/>
        </w:rPr>
      </w:pPr>
      <w:r>
        <w:rPr>
          <w:rFonts w:ascii="Arial" w:cs="Arial" w:eastAsia="Arial" w:hAnsi="Arial"/>
          <w:sz w:val="18"/>
          <w:szCs w:val="18"/>
          <w:color w:val="auto"/>
        </w:rPr>
        <w:t>We also continue to work with our partner, AbbVie, to continue the clinical development of CX-2029. We expect to initiate Phase 2 expansion cohorts in the second half of 2020 in patients with squamous non-small cell lung cancer (“sqNSCLC”), head and neck squamous cell cancer (“HNSCC”), esophageal cancer and diffuse large B-cell lymphoma. Our partner, Bristol Myers Squibb recently initiated a randomized Phase 2 clinical trial evaluating BMS-986249 as monotherapy or in combination with the anti PD-1 antibody, nivolumab in patients with metastatic melanoma and continues its Phase 1 dose escalation trial with BMS-986288, a Probody based on a modified version of ipilimumab.</w:t>
      </w:r>
    </w:p>
    <w:p>
      <w:pPr>
        <w:spacing w:after="0" w:line="215" w:lineRule="exact"/>
        <w:rPr>
          <w:sz w:val="20"/>
          <w:szCs w:val="20"/>
          <w:color w:val="auto"/>
        </w:rPr>
      </w:pPr>
    </w:p>
    <w:p>
      <w:pPr>
        <w:ind w:right="200"/>
        <w:spacing w:after="0" w:line="269" w:lineRule="auto"/>
        <w:rPr>
          <w:sz w:val="20"/>
          <w:szCs w:val="20"/>
          <w:color w:val="auto"/>
        </w:rPr>
      </w:pPr>
      <w:r>
        <w:rPr>
          <w:rFonts w:ascii="Arial" w:cs="Arial" w:eastAsia="Arial" w:hAnsi="Arial"/>
          <w:sz w:val="17"/>
          <w:szCs w:val="17"/>
          <w:color w:val="auto"/>
        </w:rPr>
        <w:t>The COVID-19 outbreak and any preventative or protective actions that we or our collaboration partners may take in respect of this virus may result in a period of further disruption for our clinical trials, manufacturing, research, financial reporting capabilities and operations generally and could potentially impact our patients, partners, employees and third parties. Any resulting financial impact cannot be reasonably estimated at this time, but may materially affect the business and our financial condition and results of operations. The extent to which the COVID-19 pandemic impacts our results will depend on future developments, which are highly uncertain and cannot be predicted, including new information which may emerge concerning the severity of COVID-19 and the actions necessary to contain the virus or treat its impact, among others. Although our operations have been modified, they are continuing at a reduced operational rate. Currently, it is not possible to predict how long the pandemic will last or the time that it will take for economic activity to return to its prior levels. We do not yet know the full extent of any impact or delay on our business or our operations, including clinical trial activity, however, we will continue to monitor the COVID-19 situation closely, and intend to initiate our clinical trials as soon as practicable in 2020, in accordance with all relevant health and safety guidelines as they evolve.</w:t>
      </w:r>
    </w:p>
    <w:p>
      <w:pPr>
        <w:spacing w:after="0" w:line="185"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We do not have any product candidates approved for sale, and we continue to incur significant research and development and general administrative expenses related to our operations. We are not profitable and have incurred losses in each year since our founding in 2008. Our net loss was $15.7 million and $3.5 million for the three and six months ended June 30, 2020, respectively. As of June 30, 2020 and December 31, 2019, we had an accumulated deficit of $420.7 million and $ 417.2 million, respectively. We expect to continue to incur significant losses for the foreseeable future.</w:t>
      </w:r>
    </w:p>
    <w:p>
      <w:pPr>
        <w:spacing w:after="0" w:line="157"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On February 27, 2020, we entered into an Open Market Sale Agreement (the “Sales Agreement”) with Jefferies LLC (“Jefferies”), to sell shares of our common stock, par value $0.00001 per share, with aggregate gross sales proceeds of up to $75,000,000, from time to time, through an at the market offering under which Jefferies will act as sales agent. Pursuant to the Sales Agreement, Jefferies, as sales agent, will receive a commission of 3.0% of the gross sales price for shares of common stock sold under the Sales Agreement. There were no shares sold during the six months ended June 30, 2020.</w:t>
      </w:r>
    </w:p>
    <w:p>
      <w:pPr>
        <w:spacing w:after="0" w:line="19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Regulatory agencies, including the FDA, regulate many aspects of a product candidate’s life cycle, including research and development and preclinical and clinical testing. We will need to commit significant time, resources, and funding to develop our wholly owned and partnered product candidates in clinical trials, including CX-072, CX-2009 and CX-2029 as well as any additional product candidates for which we initiate clinical trials in the future. We are unable to provide the nature, timing, and estimated costs of the efforts necessary to complete the development of our product candidates because, among other reasons, of regulatory uncertainty, manufacturing limitations and the pace of enrollment of our clinical trials, which is a function of many factors, including the availability and proximity of patients with the relevant condition.</w:t>
      </w:r>
    </w:p>
    <w:p>
      <w:pPr>
        <w:spacing w:after="0" w:line="21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currently have no manufacturing capabilities and do not intend to establish any such capabilities in the near term. As such, we are dependent on third parties to supply our product candidates according to our specifications, in sufficient quantities, on time, in compliance with appropriate regulatory standards and at competitive prices.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preparation of our Condensed Financial Statements requires us to make estimates and judgments that affect the reported amounts in the financial statements and related disclosures. On an ongoing basis, management evaluates its significant accounting policies and estimates. We base our estimates on historical experience and on various market-specific and other relevant assumptions that we believe to be reasonable under the circumstances, the results of which form the basis for making judgments about the carrying values of assets and liabilities that are not readily apparent from other sources. Actual results may differ significantly from these estimates. Estimates are assessed each period and updated to reflect current information. A summary of our critical accounting policies and estimates is presented in Part II, Item 7 of our Annual Report on Form 10-K for the year ended December 31, 2019. There have been no material changes to our critical accounting policies and estimates during the three and six months ended June 30, 2020.</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revenue to date has been primarily derived from non-refundable license payments, milestone payments and reimbursements for research and development expenses under our research, collaboration, and license agreements. We recognize revenue from upfront payments over the term of our estimated period of performance under the agreement using a cost-based input method or a common measure of progress for the entire performance obligation. In addition to receiving upfront payments, we may also be entitled to milestone and other contingent payments upon achieving predefined objectives. Revenue from milestones and other contingent payments, when it is probable that there will not be a significant revenue reversal, is also recognized over the performance period based on a similar method. Reimbursements from Astellas and Bristol Myers Squibb for research and development costs when incurred under our research, collaboration and license agreements with them are classified as revenue.</w:t>
      </w:r>
    </w:p>
    <w:p>
      <w:pPr>
        <w:spacing w:after="0" w:line="20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the foreseeable future, we do not expect to generate any revenue from the sale of products unless and until such time as our product candidates have advanced through clinical development and obtained regulatory approval. We expect that any revenue we generate in the foreseeable future will fluctuate from year to year as a result of the timing and amount of milestones and other payments from our collaboration agreements with AbbVie, Amgen, Astellas, Bristol Myers Squibb and any other collaboration partners, and as a result of the fluctuations in the research and development expenses we incur in the performance of assigned activities under these agreements.</w:t>
      </w:r>
    </w:p>
    <w:p>
      <w:pPr>
        <w:spacing w:after="0" w:line="18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AbbVie, one of our collaboration partners, entered into a license agreement with Seattle Genetics, Inc. (“SGEN”) to license certain intellectual property rights. As part of our collaboration agreement with AbbVie, we received a sublicense to these intellectual property rights and therefore pay SGEN sublicense fees. These sublicense fees are treated as reductions to the transaction price and combined with the performance obligation to which they relate. Milestone payments, when considered probable of being reached and when a significant revenue reversal would not be probable of occurring, are also recorded net of the associated sublicense fees and included in the transaction price.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Our research and development expenses consist primarily of costs incurred to conduct research, such as the discovery and development of our product candidates, clinical development including activities with third parties, such as contract research organizations (“CRO”) and contract development and manufacturing organizations (“CMO”), the manufacture of drug products used in clinical trials, as well as the development of product candidates pursuant to our research, collaboration and license agreements. Research and development expenses include personnel costs, including stock-based compensation expense, contractor services, laboratory materials and supplies, depreciation and maintenance of research equipment, and an allocation of related facilities costs. We expense research and development costs as incurred.</w:t>
      </w:r>
    </w:p>
    <w:p>
      <w:pPr>
        <w:spacing w:after="0" w:line="17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expect our research and development expenses to increase substantially in absolute dollars in the future as we advance our product candidates through clinical trials, initiate additional clinical trials, and pursue regulatory approval of our product candidates. Examples include our Phase 2 clinical trial for CX-2009, the continuation of our ongoing Phase 1/2 clinical trials evaluating CX-072, CX-2009 and CX-2029 and potential future clinical trials for CX-2029 and for CX-2009 in combination with CX-072. The process of conducting the necessary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 the ability of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 or when and to what extent we will generate revenue from the commercialization and sale of our product candidates.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General and administrative expenses include personnel costs, expenses for outside professional services and other allocated expenses. Personnel costs consist of salaries, bonuses, benefits and stock-based compensation. Outside professional services consist of accounting and audit services, legal and other consulting fees. Allocated expenses primarily consist of rent expense related to our office and information technology related costs.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Interest income primarily consists of interest income from our cash equivalents and short-term investments, and accretion of discounts or amortization of premiums on our short-term investments.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consists primarily of income (expense) resulting from changes to currency exchange rates.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Income taxes are recorded in accordance with ASC 740, Accounting for Income Taxes, or ASC 740, which provides for deferred taxes using an asset and liability approach. We recognize deferred tax assets and liabilities for the expected future tax consequences of events that have been included in our financial statements or tax returns. We determine our deferred tax assets and liabilities based on differences between the financial reporting and tax bases of assets and liabilities, which are measured using the enacted tax rates and laws that will be in effect when the differences are expected to reverse. Valuation allowances are provided, if based upon the weight of available evidence, it is more likely than not that some or all of the deferred tax assets will not be realized.</w:t>
      </w:r>
    </w:p>
    <w:p>
      <w:pPr>
        <w:spacing w:after="0" w:line="233"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We also account for uncertain tax positions in accordance with the provisions of ASC 740. When uncertain tax positions exist,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w:t>
      </w:r>
    </w:p>
    <w:p>
      <w:pPr>
        <w:spacing w:after="0" w:line="19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On March 27, 2020, the Coronavirus Aid, Relief, and Economic Security Act (CARES Act) was enacted in response to the COVID-19 pandemic. The tax relief measures under the CARES Act for businesses include a five-year net operating loss carryback, suspension of annual deduction limitation of 80% of taxable income from net operating losses generated in a tax year beginning after December 31, 2017, changes in the deductibility of interest, acceleration of alternative minimum tax credit refunds, payroll tax relief, and a technical correction to allow accelerated deductions for qualified improvement property. We record the effect of an enacted change in a tax law in the period that includes the enactment date in accordance with ASC 740.</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Three and Six Months Ended June 30, 2020 and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Six Months Ended</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0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22"/>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82"/>
              <w:spacing w:after="0" w:line="155"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42"/>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102"/>
              <w:spacing w:after="0" w:line="155"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3"/>
                <w:szCs w:val="13"/>
                <w:color w:val="auto"/>
              </w:rPr>
            </w:pPr>
          </w:p>
        </w:tc>
      </w:tr>
      <w:tr>
        <w:trPr>
          <w:trHeight w:val="155"/>
        </w:trPr>
        <w:tc>
          <w:tcPr>
            <w:tcW w:w="4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80" w:type="dxa"/>
            <w:vAlign w:val="bottom"/>
            <w:gridSpan w:val="3"/>
          </w:tcPr>
          <w:p>
            <w:pPr>
              <w:jc w:val="right"/>
              <w:ind w:right="602"/>
              <w:spacing w:after="0" w:line="155" w:lineRule="exact"/>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80" w:type="dxa"/>
            <w:vAlign w:val="bottom"/>
            <w:gridSpan w:val="3"/>
          </w:tcPr>
          <w:p>
            <w:pPr>
              <w:jc w:val="right"/>
              <w:ind w:right="582"/>
              <w:spacing w:after="0" w:line="155" w:lineRule="exact"/>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16,608</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ind w:right="2"/>
              <w:spacing w:after="0"/>
              <w:rPr>
                <w:sz w:val="20"/>
                <w:szCs w:val="20"/>
                <w:color w:val="auto"/>
              </w:rPr>
            </w:pPr>
            <w:r>
              <w:rPr>
                <w:rFonts w:ascii="Arial" w:cs="Arial" w:eastAsia="Arial" w:hAnsi="Arial"/>
                <w:sz w:val="18"/>
                <w:szCs w:val="18"/>
                <w:color w:val="auto"/>
              </w:rPr>
              <w:t>66,201</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38,498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27,703</w:t>
            </w:r>
          </w:p>
        </w:tc>
        <w:tc>
          <w:tcPr>
            <w:tcW w:w="10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by collaboration partner during the respective periods: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0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75"/>
              <w:spacing w:after="0" w:line="155"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95"/>
              <w:spacing w:after="0" w:line="155"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3"/>
                <w:szCs w:val="13"/>
                <w:color w:val="auto"/>
              </w:rPr>
            </w:pPr>
          </w:p>
        </w:tc>
      </w:tr>
      <w:tr>
        <w:trPr>
          <w:trHeight w:val="155"/>
        </w:trPr>
        <w:tc>
          <w:tcPr>
            <w:tcW w:w="4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3"/>
          </w:tcPr>
          <w:p>
            <w:pPr>
              <w:jc w:val="center"/>
              <w:ind w:right="240"/>
              <w:spacing w:after="0" w:line="155" w:lineRule="exact"/>
              <w:rPr>
                <w:sz w:val="20"/>
                <w:szCs w:val="20"/>
                <w:color w:val="auto"/>
              </w:rPr>
            </w:pPr>
            <w:r>
              <w:rPr>
                <w:rFonts w:ascii="Arial" w:cs="Arial" w:eastAsia="Arial" w:hAnsi="Arial"/>
                <w:sz w:val="14"/>
                <w:szCs w:val="14"/>
                <w:b w:val="1"/>
                <w:bCs w:val="1"/>
                <w:i w:val="1"/>
                <w:iCs w:val="1"/>
                <w:color w:val="auto"/>
                <w:w w:val="89"/>
              </w:rPr>
              <w:t>(in thousands)</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3"/>
          </w:tcPr>
          <w:p>
            <w:pPr>
              <w:jc w:val="center"/>
              <w:ind w:right="220"/>
              <w:spacing w:after="0" w:line="155" w:lineRule="exact"/>
              <w:rPr>
                <w:sz w:val="20"/>
                <w:szCs w:val="20"/>
                <w:color w:val="auto"/>
              </w:rPr>
            </w:pPr>
            <w:r>
              <w:rPr>
                <w:rFonts w:ascii="Arial" w:cs="Arial" w:eastAsia="Arial" w:hAnsi="Arial"/>
                <w:sz w:val="14"/>
                <w:szCs w:val="14"/>
                <w:b w:val="1"/>
                <w:bCs w:val="1"/>
                <w:i w:val="1"/>
                <w:iCs w:val="1"/>
                <w:color w:val="auto"/>
                <w:w w:val="89"/>
              </w:rPr>
              <w:t>(in thousands)</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AbbVie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31,415</w:t>
            </w:r>
          </w:p>
        </w:tc>
        <w:tc>
          <w:tcPr>
            <w:tcW w:w="3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27,085</w:t>
            </w:r>
          </w:p>
        </w:tc>
        <w:tc>
          <w:tcPr>
            <w:tcW w:w="100" w:type="dxa"/>
            <w:vAlign w:val="bottom"/>
            <w:shd w:val="clear" w:color="auto" w:fill="CFF0FC"/>
          </w:tcPr>
          <w:p>
            <w:pPr>
              <w:spacing w:after="0"/>
              <w:rPr>
                <w:sz w:val="19"/>
                <w:szCs w:val="19"/>
                <w:color w:val="auto"/>
              </w:rPr>
            </w:pPr>
          </w:p>
        </w:tc>
      </w:tr>
      <w:tr>
        <w:trPr>
          <w:trHeight w:val="230"/>
        </w:trPr>
        <w:tc>
          <w:tcPr>
            <w:tcW w:w="4040" w:type="dxa"/>
            <w:vAlign w:val="bottom"/>
          </w:tcPr>
          <w:p>
            <w:pPr>
              <w:ind w:left="260"/>
              <w:spacing w:after="0"/>
              <w:rPr>
                <w:sz w:val="20"/>
                <w:szCs w:val="20"/>
                <w:color w:val="auto"/>
              </w:rPr>
            </w:pPr>
            <w:r>
              <w:rPr>
                <w:rFonts w:ascii="Arial" w:cs="Arial" w:eastAsia="Arial" w:hAnsi="Arial"/>
                <w:sz w:val="18"/>
                <w:szCs w:val="18"/>
                <w:color w:val="auto"/>
              </w:rPr>
              <w:t>Amgen</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3,678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3,456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5,373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4,116</w:t>
            </w:r>
          </w:p>
        </w:tc>
        <w:tc>
          <w:tcPr>
            <w:tcW w:w="100" w:type="dxa"/>
            <w:vAlign w:val="bottom"/>
          </w:tcPr>
          <w:p>
            <w:pPr>
              <w:spacing w:after="0"/>
              <w:rPr>
                <w:sz w:val="19"/>
                <w:szCs w:val="19"/>
                <w:color w:val="auto"/>
              </w:rPr>
            </w:pPr>
          </w:p>
        </w:tc>
      </w:tr>
      <w:tr>
        <w:trPr>
          <w:trHeight w:val="230"/>
        </w:trPr>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Astellas</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4,591</w:t>
            </w:r>
          </w:p>
        </w:tc>
        <w:tc>
          <w:tcPr>
            <w:tcW w:w="100" w:type="dxa"/>
            <w:vAlign w:val="bottom"/>
            <w:shd w:val="clear" w:color="auto" w:fill="CFF0FC"/>
          </w:tcPr>
          <w:p>
            <w:pPr>
              <w:spacing w:after="0"/>
              <w:rPr>
                <w:sz w:val="19"/>
                <w:szCs w:val="19"/>
                <w:color w:val="auto"/>
              </w:rPr>
            </w:pPr>
          </w:p>
        </w:tc>
      </w:tr>
      <w:tr>
        <w:trPr>
          <w:trHeight w:val="230"/>
        </w:trPr>
        <w:tc>
          <w:tcPr>
            <w:tcW w:w="4040" w:type="dxa"/>
            <w:vAlign w:val="bottom"/>
          </w:tcPr>
          <w:p>
            <w:pPr>
              <w:ind w:left="260"/>
              <w:spacing w:after="0"/>
              <w:rPr>
                <w:sz w:val="20"/>
                <w:szCs w:val="20"/>
                <w:color w:val="auto"/>
              </w:rPr>
            </w:pPr>
            <w:r>
              <w:rPr>
                <w:rFonts w:ascii="Arial" w:cs="Arial" w:eastAsia="Arial" w:hAnsi="Arial"/>
                <w:sz w:val="18"/>
                <w:szCs w:val="18"/>
                <w:color w:val="auto"/>
              </w:rPr>
              <w:t>Bristol Myers Squibb</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7,407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7,409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24,822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32,911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(8,089)</w:t>
            </w:r>
          </w:p>
        </w:tc>
      </w:tr>
      <w:tr>
        <w:trPr>
          <w:trHeight w:val="223"/>
        </w:trPr>
        <w:tc>
          <w:tcPr>
            <w:tcW w:w="4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16,608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9,013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66,201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38,498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27,703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increases in revenue of $7.6 million for the three months ended June 30, 2020 compared to the corresponding periods of 2019 was primarily due to:</w:t>
      </w:r>
    </w:p>
    <w:p>
      <w:pPr>
        <w:spacing w:after="0" w:line="140" w:lineRule="exact"/>
        <w:rPr>
          <w:sz w:val="20"/>
          <w:szCs w:val="20"/>
          <w:color w:val="auto"/>
        </w:rPr>
      </w:pPr>
    </w:p>
    <w:p>
      <w:pPr>
        <w:ind w:left="960" w:right="100" w:hanging="480"/>
        <w:spacing w:after="0" w:line="279" w:lineRule="auto"/>
        <w:tabs>
          <w:tab w:leader="none" w:pos="9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 increase in revenue from Amgen of $3.5 million primarily due to a) a decrease in the projected full-time employee (“FTE”) hours-to-completion during the current quarter resulting from the completion of the clinical candidate characterization phase and moving to the IND-enabling phase earlier than planned, and b) a higher percentage of completion progress in the current quarter resulting from incremental FTE hours incurred for programs under the Collaboration and License Agreement with Amgen (the “Amgen Agreement”);</w:t>
      </w:r>
    </w:p>
    <w:p>
      <w:pPr>
        <w:spacing w:after="0" w:line="63" w:lineRule="exact"/>
        <w:rPr>
          <w:rFonts w:ascii="Arial" w:cs="Arial" w:eastAsia="Arial" w:hAnsi="Arial"/>
          <w:sz w:val="17"/>
          <w:szCs w:val="17"/>
          <w:color w:val="auto"/>
        </w:rPr>
      </w:pPr>
    </w:p>
    <w:p>
      <w:pPr>
        <w:ind w:left="960" w:right="20" w:hanging="480"/>
        <w:spacing w:after="0" w:line="263"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in revenue from Astellas of $4.2 million primarily due to recognition of this quarter’s portion of the $80.0 million upfront payment based on the estimated research service period of five years under the Collaboration and License Agreement with Astellas (the “Astellas Agreement”) entered into in March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t>The increases in revenue of $27.7 million for the six months ended June 30, 2020 compared to the corresponding periods of 2019 was primarily due to:</w:t>
      </w:r>
    </w:p>
    <w:p>
      <w:pPr>
        <w:spacing w:after="0" w:line="154" w:lineRule="exact"/>
        <w:rPr>
          <w:sz w:val="20"/>
          <w:szCs w:val="20"/>
          <w:color w:val="auto"/>
        </w:rPr>
      </w:pPr>
    </w:p>
    <w:p>
      <w:pPr>
        <w:ind w:left="960" w:right="80" w:hanging="480"/>
        <w:spacing w:after="0" w:line="311" w:lineRule="auto"/>
        <w:tabs>
          <w:tab w:leader="none" w:pos="9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 increase in revenue of $27.1 million from AbbVie primarily due to the $40.0 million milestone payment earned in the first quarter of 2020 for satisfying the CD71 dose escalation success criteria milestone under the CD71 Co-Development and Licensing Agreement (the “CD71 Agreement”), of which $26.6 million was recognized reflecting the percentage completed to-date of the project in the first quarter of 2020;</w:t>
      </w:r>
    </w:p>
    <w:p>
      <w:pPr>
        <w:spacing w:after="0" w:line="54" w:lineRule="exact"/>
        <w:rPr>
          <w:rFonts w:ascii="Arial" w:cs="Arial" w:eastAsia="Arial" w:hAnsi="Arial"/>
          <w:sz w:val="16"/>
          <w:szCs w:val="16"/>
          <w:color w:val="auto"/>
        </w:rPr>
      </w:pPr>
    </w:p>
    <w:p>
      <w:pPr>
        <w:ind w:left="960" w:right="40" w:hanging="480"/>
        <w:spacing w:after="0" w:line="259"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in revenue from Amgen of $4.1 million primarily due to a) a decrease in the projected FTE hours-to-completion during the current period resulting from the completion of the clinical candidate characterization phase and moving to the IND-enabling phase earlier than planned, and b) a higher percentage of completion progress for the six months ended June 30, 2020 resulting from incremental FTE hours incurred for programs under the Amgen Agreement;</w:t>
      </w:r>
    </w:p>
    <w:p>
      <w:pPr>
        <w:spacing w:after="0" w:line="78" w:lineRule="exact"/>
        <w:rPr>
          <w:rFonts w:ascii="Arial" w:cs="Arial" w:eastAsia="Arial" w:hAnsi="Arial"/>
          <w:sz w:val="18"/>
          <w:szCs w:val="18"/>
          <w:color w:val="auto"/>
        </w:rPr>
      </w:pPr>
    </w:p>
    <w:p>
      <w:pPr>
        <w:ind w:left="960" w:right="40" w:hanging="480"/>
        <w:spacing w:after="0" w:line="308" w:lineRule="auto"/>
        <w:tabs>
          <w:tab w:leader="none" w:pos="9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 increase in revenue from Astellas due to the recognition of $4.6 million related to the $80.0 million upfront payment being recognized over the estimated research service period of five years under the Astellas Agreement entered into in March 2020; and</w:t>
      </w:r>
    </w:p>
    <w:p>
      <w:pPr>
        <w:spacing w:after="0" w:line="38" w:lineRule="exact"/>
        <w:rPr>
          <w:rFonts w:ascii="Arial" w:cs="Arial" w:eastAsia="Arial" w:hAnsi="Arial"/>
          <w:sz w:val="17"/>
          <w:szCs w:val="17"/>
          <w:color w:val="auto"/>
        </w:rPr>
      </w:pPr>
    </w:p>
    <w:p>
      <w:pPr>
        <w:ind w:left="960" w:right="20" w:hanging="480"/>
        <w:spacing w:after="0" w:line="301" w:lineRule="auto"/>
        <w:tabs>
          <w:tab w:leader="none" w:pos="9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decrease in revenue from Bristol Myers Squibb of $8.1 million primarily due to the accelerated recognition of revenue of $17.4 million related to the termination of certain targets under the Collaboration and License Agreement with Bristol Myers Squibb (the “BMS Agreement”) in the first quarter of 2019; partially offset by the recognition in full of the $10.0 million milestone payment earned for achieving the dosing of first patient in the Part 2 cohort expansion of the ongoing CTLA-4 program by Bristol Myers Squibb in February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Six Months Ended</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22"/>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62"/>
              <w:spacing w:after="0" w:line="155" w:lineRule="exact"/>
              <w:rPr>
                <w:sz w:val="20"/>
                <w:szCs w:val="20"/>
                <w:color w:val="auto"/>
              </w:rPr>
            </w:pPr>
            <w:r>
              <w:rPr>
                <w:rFonts w:ascii="Arial" w:cs="Arial" w:eastAsia="Arial" w:hAnsi="Arial"/>
                <w:sz w:val="14"/>
                <w:szCs w:val="14"/>
                <w:b w:val="1"/>
                <w:bCs w:val="1"/>
                <w:color w:val="auto"/>
                <w:w w:val="96"/>
              </w:rPr>
              <w:t>2019</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82"/>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102"/>
              <w:spacing w:after="0" w:line="155" w:lineRule="exact"/>
              <w:rPr>
                <w:sz w:val="20"/>
                <w:szCs w:val="20"/>
                <w:color w:val="auto"/>
              </w:rPr>
            </w:pPr>
            <w:r>
              <w:rPr>
                <w:rFonts w:ascii="Arial" w:cs="Arial" w:eastAsia="Arial" w:hAnsi="Arial"/>
                <w:sz w:val="14"/>
                <w:szCs w:val="14"/>
                <w:b w:val="1"/>
                <w:bCs w:val="1"/>
                <w:color w:val="auto"/>
                <w:w w:val="96"/>
              </w:rPr>
              <w:t>2019</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3"/>
                <w:szCs w:val="13"/>
                <w:color w:val="auto"/>
              </w:rPr>
            </w:pPr>
          </w:p>
        </w:tc>
      </w:tr>
      <w:tr>
        <w:trPr>
          <w:trHeight w:val="156"/>
        </w:trPr>
        <w:tc>
          <w:tcPr>
            <w:tcW w:w="3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3"/>
          </w:tcPr>
          <w:p>
            <w:pPr>
              <w:jc w:val="right"/>
              <w:ind w:right="482"/>
              <w:spacing w:after="0" w:line="155"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3"/>
          </w:tcPr>
          <w:p>
            <w:pPr>
              <w:jc w:val="right"/>
              <w:ind w:right="502"/>
              <w:spacing w:after="0" w:line="155"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24,066</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30,835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(6,769)</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66,880</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67,211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(331)</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expenses decreased $6.8 million during the three months ended June 30, 2020 compared to the corresponding period in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decrease was attributable to the following:</w:t>
      </w:r>
    </w:p>
    <w:p>
      <w:pPr>
        <w:spacing w:after="0" w:line="116" w:lineRule="exact"/>
        <w:rPr>
          <w:sz w:val="20"/>
          <w:szCs w:val="20"/>
          <w:color w:val="auto"/>
        </w:rPr>
      </w:pPr>
    </w:p>
    <w:p>
      <w:pPr>
        <w:jc w:val="both"/>
        <w:ind w:left="960" w:right="120" w:hanging="480"/>
        <w:spacing w:after="0" w:line="263"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 of $3.4 million associated with entering into the amendment to the license agreement with UCSB (the “UCSB Agreement”) in the second quarter of 2019 (“Amendment No.3”) (representing the 150,000 shares of common stock issued for $1.6 million, the upfront payment of $1.0 million and the additional annual maintenance fee of $0.8 million);</w:t>
      </w:r>
    </w:p>
    <w:p>
      <w:pPr>
        <w:spacing w:after="0" w:line="89" w:lineRule="exact"/>
        <w:rPr>
          <w:rFonts w:ascii="Arial" w:cs="Arial" w:eastAsia="Arial" w:hAnsi="Arial"/>
          <w:sz w:val="18"/>
          <w:szCs w:val="18"/>
          <w:color w:val="auto"/>
        </w:rPr>
      </w:pPr>
    </w:p>
    <w:p>
      <w:pPr>
        <w:ind w:left="960" w:right="20" w:hanging="480"/>
        <w:spacing w:after="0" w:line="263"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 of $0.8 million sublicense expense pertaining to the $10.0 million milestone payment earned upon AbbVie’s selection of the second target in the second quarter of 2019 under the Amended and Restated Discovery Collaboration and License Agreement (as amended, the “Discovery Agreement”);</w:t>
      </w:r>
    </w:p>
    <w:p>
      <w:pPr>
        <w:spacing w:after="0" w:line="183" w:lineRule="exact"/>
        <w:rPr>
          <w:rFonts w:ascii="Arial" w:cs="Arial" w:eastAsia="Arial" w:hAnsi="Arial"/>
          <w:sz w:val="18"/>
          <w:szCs w:val="18"/>
          <w:color w:val="auto"/>
        </w:rPr>
      </w:pPr>
    </w:p>
    <w:p>
      <w:pPr>
        <w:ind w:left="960" w:hanging="480"/>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 of $2.3 million in clinical related expenses resulting from decreased clinical trial activities; and</w:t>
      </w:r>
    </w:p>
    <w:p>
      <w:pPr>
        <w:spacing w:after="0" w:line="130" w:lineRule="exact"/>
        <w:rPr>
          <w:rFonts w:ascii="Arial" w:cs="Arial" w:eastAsia="Arial" w:hAnsi="Arial"/>
          <w:sz w:val="18"/>
          <w:szCs w:val="18"/>
          <w:color w:val="auto"/>
        </w:rPr>
      </w:pPr>
    </w:p>
    <w:p>
      <w:pPr>
        <w:ind w:left="960" w:hanging="480"/>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 of $0.3 million in travel related expenses due to decrease in business travel activities.</w:t>
      </w:r>
    </w:p>
    <w:p>
      <w:pPr>
        <w:spacing w:after="0" w:line="2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Research and development expenses decreased $0.3 million during the six months ended June 30, 2020 compared to the corresponding period in 2019. The decrease was attributable to the following:</w:t>
      </w:r>
    </w:p>
    <w:p>
      <w:pPr>
        <w:spacing w:after="0" w:line="62" w:lineRule="exact"/>
        <w:rPr>
          <w:sz w:val="20"/>
          <w:szCs w:val="20"/>
          <w:color w:val="auto"/>
        </w:rPr>
      </w:pPr>
    </w:p>
    <w:p>
      <w:pPr>
        <w:ind w:left="960" w:right="360" w:hanging="480"/>
        <w:spacing w:after="0" w:line="277"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decrease due to a $5.0 million charge for acquiring technical know-how related to drug conjugate linker-toxin and CD3-based bispecific technologies during the first quarter of 2019;</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decrease of $2.1 million in clinical related expenses resulting from decreased clinical trial activities;</w:t>
      </w:r>
    </w:p>
    <w:p>
      <w:pPr>
        <w:spacing w:after="0" w:line="117" w:lineRule="exact"/>
        <w:rPr>
          <w:rFonts w:ascii="Arial" w:cs="Arial" w:eastAsia="Arial" w:hAnsi="Arial"/>
          <w:sz w:val="18"/>
          <w:szCs w:val="18"/>
          <w:color w:val="auto"/>
        </w:rPr>
      </w:pPr>
    </w:p>
    <w:p>
      <w:pPr>
        <w:ind w:left="960" w:right="300" w:hanging="480"/>
        <w:spacing w:after="0" w:line="277"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decrease of $1.3 million in laboratory contracts services and supplies related expenses due to timing of manufacturing and other research activities; and</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decrease of $0.7 million in consulting expenses due to reduced consulting activities.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The above decreases were offset by the following:</w:t>
      </w:r>
    </w:p>
    <w:p>
      <w:pPr>
        <w:spacing w:after="0" w:line="117" w:lineRule="exact"/>
        <w:rPr>
          <w:sz w:val="20"/>
          <w:szCs w:val="20"/>
          <w:color w:val="auto"/>
        </w:rPr>
      </w:pPr>
    </w:p>
    <w:p>
      <w:pPr>
        <w:ind w:left="960" w:right="60" w:hanging="480"/>
        <w:spacing w:after="0" w:line="279" w:lineRule="auto"/>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net increase of $7.9 million in license fee expenses, which included a net increase of $4.9 million paid to the University of California, Santa Barbara (UCSB) associated with the achievement of certain milestones under several collaboration agreements as well as the upfront payment related to the new collaboration agreement with Astellas in the first quarter of 2020; and a $3.0 million license fee paid to ImmunoGen associated with the first dosing of a patient in the CX-2009 Phase 2 clinical trial during the first quarter of 2020.</w:t>
      </w:r>
    </w:p>
    <w:p>
      <w:pPr>
        <w:spacing w:after="0" w:line="63" w:lineRule="exact"/>
        <w:rPr>
          <w:rFonts w:ascii="Arial" w:cs="Arial" w:eastAsia="Arial" w:hAnsi="Arial"/>
          <w:sz w:val="17"/>
          <w:szCs w:val="17"/>
          <w:color w:val="auto"/>
        </w:rPr>
      </w:pPr>
    </w:p>
    <w:p>
      <w:pPr>
        <w:ind w:left="960" w:hanging="480"/>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of $0.9 million in personnel related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research and development expenses by program incurred during the respective periods presented:</w:t>
      </w:r>
    </w:p>
    <w:p>
      <w:pPr>
        <w:sectPr>
          <w:pgSz w:w="11900" w:h="16838" w:orient="portrait"/>
          <w:cols w:equalWidth="0" w:num="1">
            <w:col w:w="11240"/>
          </w:cols>
          <w:pgMar w:left="320" w:top="557" w:right="339" w:bottom="1440" w:gutter="0" w:footer="0" w:header="0"/>
        </w:sectPr>
      </w:pPr>
    </w:p>
    <w:p>
      <w:pPr>
        <w:spacing w:after="0" w:line="298" w:lineRule="exact"/>
        <w:rPr>
          <w:sz w:val="20"/>
          <w:szCs w:val="20"/>
          <w:color w:val="auto"/>
        </w:rPr>
      </w:pPr>
    </w:p>
    <w:p>
      <w:pPr>
        <w:ind w:left="532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6350</wp:posOffset>
            </wp:positionV>
            <wp:extent cx="19716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5" w:lineRule="exact"/>
        <w:rPr>
          <w:sz w:val="20"/>
          <w:szCs w:val="20"/>
          <w:color w:val="auto"/>
        </w:rPr>
      </w:pPr>
    </w:p>
    <w:p>
      <w:pPr>
        <w:ind w:left="5000"/>
        <w:spacing w:after="0"/>
        <w:tabs>
          <w:tab w:leader="none" w:pos="6080" w:val="left"/>
          <w:tab w:leader="none" w:pos="710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r>
        <w:rPr>
          <w:sz w:val="20"/>
          <w:szCs w:val="20"/>
          <w:color w:val="auto"/>
        </w:rPr>
        <w:tab/>
      </w:r>
      <w:r>
        <w:rPr>
          <w:rFonts w:ascii="Arial" w:cs="Arial" w:eastAsia="Arial" w:hAnsi="Arial"/>
          <w:sz w:val="13"/>
          <w:szCs w:val="13"/>
          <w:b w:val="1"/>
          <w:bCs w:val="1"/>
          <w:color w:val="auto"/>
        </w:rPr>
        <w:t>Change</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6350</wp:posOffset>
            </wp:positionV>
            <wp:extent cx="19888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5" w:lineRule="exact"/>
        <w:rPr>
          <w:sz w:val="20"/>
          <w:szCs w:val="20"/>
          <w:color w:val="auto"/>
        </w:rPr>
      </w:pPr>
    </w:p>
    <w:p>
      <w:pPr>
        <w:spacing w:after="0"/>
        <w:tabs>
          <w:tab w:leader="none" w:pos="1060" w:val="left"/>
          <w:tab w:leader="none" w:pos="21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r>
        <w:rPr>
          <w:sz w:val="20"/>
          <w:szCs w:val="20"/>
          <w:color w:val="auto"/>
        </w:rPr>
        <w:tab/>
      </w:r>
      <w:r>
        <w:rPr>
          <w:rFonts w:ascii="Arial" w:cs="Arial" w:eastAsia="Arial" w:hAnsi="Arial"/>
          <w:sz w:val="12"/>
          <w:szCs w:val="12"/>
          <w:b w:val="1"/>
          <w:bCs w:val="1"/>
          <w:color w:val="auto"/>
        </w:rPr>
        <w:t>Change</w:t>
      </w:r>
    </w:p>
    <w:p>
      <w:pPr>
        <w:spacing w:after="0" w:line="1" w:lineRule="exact"/>
        <w:rPr>
          <w:sz w:val="20"/>
          <w:szCs w:val="20"/>
          <w:color w:val="auto"/>
        </w:rPr>
      </w:pPr>
    </w:p>
    <w:p>
      <w:pPr>
        <w:sectPr>
          <w:pgSz w:w="11900" w:h="16838" w:orient="portrait"/>
          <w:cols w:equalWidth="0" w:num="2">
            <w:col w:w="7600" w:space="700"/>
            <w:col w:w="2940"/>
          </w:cols>
          <w:pgMar w:left="320" w:top="557"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External costs incurred by product candidate (target):</w:t>
            </w:r>
          </w:p>
        </w:tc>
        <w:tc>
          <w:tcPr>
            <w:tcW w:w="2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CX-072 (PD-L1)</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2,386</w:t>
            </w:r>
          </w:p>
        </w:tc>
        <w:tc>
          <w:tcPr>
            <w:tcW w:w="4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6,860</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(4,474)</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9,948</w:t>
            </w:r>
          </w:p>
        </w:tc>
        <w:tc>
          <w:tcPr>
            <w:tcW w:w="42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(2,357)</w:t>
            </w:r>
          </w:p>
        </w:tc>
      </w:tr>
      <w:tr>
        <w:trPr>
          <w:trHeight w:val="229"/>
        </w:trPr>
        <w:tc>
          <w:tcPr>
            <w:tcW w:w="700" w:type="dxa"/>
            <w:vAlign w:val="bottom"/>
          </w:tcPr>
          <w:p>
            <w:pPr>
              <w:spacing w:after="0"/>
              <w:rPr>
                <w:sz w:val="20"/>
                <w:szCs w:val="20"/>
                <w:color w:val="auto"/>
              </w:rPr>
            </w:pPr>
            <w:r>
              <w:rPr>
                <w:rFonts w:ascii="Arial" w:cs="Arial" w:eastAsia="Arial" w:hAnsi="Arial"/>
                <w:sz w:val="18"/>
                <w:szCs w:val="18"/>
                <w:color w:val="auto"/>
                <w:w w:val="95"/>
              </w:rPr>
              <w:t>CX-2009</w:t>
            </w:r>
          </w:p>
        </w:tc>
        <w:tc>
          <w:tcPr>
            <w:tcW w:w="4000" w:type="dxa"/>
            <w:vAlign w:val="bottom"/>
          </w:tcPr>
          <w:p>
            <w:pPr>
              <w:ind w:left="20"/>
              <w:spacing w:after="0"/>
              <w:rPr>
                <w:sz w:val="20"/>
                <w:szCs w:val="20"/>
                <w:color w:val="auto"/>
              </w:rPr>
            </w:pPr>
            <w:r>
              <w:rPr>
                <w:rFonts w:ascii="Arial" w:cs="Arial" w:eastAsia="Arial" w:hAnsi="Arial"/>
                <w:sz w:val="18"/>
                <w:szCs w:val="18"/>
                <w:color w:val="auto"/>
              </w:rPr>
              <w:t>(CD166)</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3,553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1,937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1,616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9,892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7,380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2,512</w:t>
            </w:r>
          </w:p>
        </w:tc>
        <w:tc>
          <w:tcPr>
            <w:tcW w:w="100" w:type="dxa"/>
            <w:vAlign w:val="bottom"/>
          </w:tcPr>
          <w:p>
            <w:pPr>
              <w:spacing w:after="0"/>
              <w:rPr>
                <w:sz w:val="19"/>
                <w:szCs w:val="19"/>
                <w:color w:val="auto"/>
              </w:rPr>
            </w:pPr>
          </w:p>
        </w:tc>
      </w:tr>
      <w:tr>
        <w:trPr>
          <w:trHeight w:val="229"/>
        </w:trPr>
        <w:tc>
          <w:tcPr>
            <w:tcW w:w="700" w:type="dxa"/>
            <w:vAlign w:val="bottom"/>
            <w:shd w:val="clear" w:color="auto" w:fill="CFF0FC"/>
          </w:tcPr>
          <w:p>
            <w:pPr>
              <w:spacing w:after="0"/>
              <w:rPr>
                <w:sz w:val="20"/>
                <w:szCs w:val="20"/>
                <w:color w:val="auto"/>
              </w:rPr>
            </w:pPr>
            <w:r>
              <w:rPr>
                <w:rFonts w:ascii="Arial" w:cs="Arial" w:eastAsia="Arial" w:hAnsi="Arial"/>
                <w:sz w:val="18"/>
                <w:szCs w:val="18"/>
                <w:color w:val="auto"/>
                <w:w w:val="95"/>
              </w:rPr>
              <w:t>CX-2029</w:t>
            </w:r>
          </w:p>
        </w:tc>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(CD71)</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(1,520)</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4,203</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(1,552)</w:t>
            </w: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Other wholly owned and partnered programs</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2,110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1,300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11,158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3,120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8,038</w:t>
            </w:r>
          </w:p>
        </w:tc>
        <w:tc>
          <w:tcPr>
            <w:tcW w:w="100" w:type="dxa"/>
            <w:vAlign w:val="bottom"/>
          </w:tcPr>
          <w:p>
            <w:pPr>
              <w:spacing w:after="0"/>
              <w:rPr>
                <w:sz w:val="19"/>
                <w:szCs w:val="19"/>
                <w:color w:val="auto"/>
              </w:rPr>
            </w:pPr>
          </w:p>
        </w:tc>
      </w:tr>
      <w:tr>
        <w:trPr>
          <w:trHeight w:val="229"/>
        </w:trPr>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research and development expenses</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2,768</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6,304</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(3,536)</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6,439</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14,427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(7,988)</w:t>
            </w:r>
          </w:p>
        </w:tc>
      </w:tr>
      <w:tr>
        <w:trPr>
          <w:trHeight w:val="223"/>
        </w:trPr>
        <w:tc>
          <w:tcPr>
            <w:tcW w:w="70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11,954</w:t>
            </w: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19,058</w:t>
            </w: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(7,104)</w:t>
            </w: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41,640</w:t>
            </w: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42,987</w:t>
            </w: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19"/>
                <w:szCs w:val="19"/>
                <w:color w:val="auto"/>
              </w:rPr>
            </w:pPr>
          </w:p>
        </w:tc>
      </w:tr>
      <w:tr>
        <w:trPr>
          <w:trHeight w:val="229"/>
        </w:trPr>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Internal Costs</w:t>
            </w: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12,112</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11,777</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25,240</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24,224</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w:t>
            </w:r>
          </w:p>
        </w:tc>
        <w:tc>
          <w:tcPr>
            <w:tcW w:w="100" w:type="dxa"/>
            <w:vAlign w:val="bottom"/>
            <w:shd w:val="clear" w:color="auto" w:fill="CFF0FC"/>
          </w:tcPr>
          <w:p>
            <w:pPr>
              <w:spacing w:after="0"/>
              <w:rPr>
                <w:sz w:val="19"/>
                <w:szCs w:val="19"/>
                <w:color w:val="auto"/>
              </w:rPr>
            </w:pPr>
          </w:p>
        </w:tc>
      </w:tr>
      <w:tr>
        <w:trPr>
          <w:trHeight w:val="223"/>
        </w:trPr>
        <w:tc>
          <w:tcPr>
            <w:tcW w:w="470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 research and development expenses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24,066</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30,835</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(6,769</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66,880</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67,211</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r>
      <w:tr>
        <w:trPr>
          <w:trHeight w:val="20"/>
        </w:trPr>
        <w:tc>
          <w:tcPr>
            <w:tcW w:w="7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decrease in research and development expenses for the three months ended June 30, 2020 compared to the corresponding period of 2019 was attributable to the following changes by project:</w:t>
      </w:r>
    </w:p>
    <w:p>
      <w:pPr>
        <w:spacing w:after="0" w:line="62" w:lineRule="exact"/>
        <w:rPr>
          <w:sz w:val="20"/>
          <w:szCs w:val="20"/>
          <w:color w:val="auto"/>
        </w:rPr>
      </w:pPr>
    </w:p>
    <w:p>
      <w:pPr>
        <w:jc w:val="both"/>
        <w:ind w:left="960" w:right="160" w:hanging="480"/>
        <w:spacing w:after="0" w:line="286" w:lineRule="auto"/>
        <w:tabs>
          <w:tab w:leader="none" w:pos="9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decrease in CX-072 expenses was primarily due to a $2.3 million decrease in laboratory contract services and a $1.5 million decrease in clinical trial related expenses as a result of the timing of manufacturing and other research activities in the CX-072 study and the termination of the CX-072-002 study to evaluate the anti-PD-L1 Probody CX-072 in combination with ipilimumab in melanoma.</w:t>
      </w:r>
    </w:p>
    <w:p>
      <w:pPr>
        <w:spacing w:after="0" w:line="57" w:lineRule="exact"/>
        <w:rPr>
          <w:rFonts w:ascii="Arial" w:cs="Arial" w:eastAsia="Arial" w:hAnsi="Arial"/>
          <w:sz w:val="17"/>
          <w:szCs w:val="17"/>
          <w:color w:val="auto"/>
        </w:rPr>
      </w:pPr>
    </w:p>
    <w:p>
      <w:pPr>
        <w:ind w:left="960" w:right="300" w:hanging="480"/>
        <w:spacing w:after="0" w:line="277"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increase in CX-2009 expenses was primarily due to a $2.3 million increase in laboratory contract services resulting from the timing of manufacturing and other research activities.</w:t>
      </w:r>
    </w:p>
    <w:p>
      <w:pPr>
        <w:spacing w:after="0" w:line="62" w:lineRule="exact"/>
        <w:rPr>
          <w:rFonts w:ascii="Arial" w:cs="Arial" w:eastAsia="Arial" w:hAnsi="Arial"/>
          <w:sz w:val="18"/>
          <w:szCs w:val="18"/>
          <w:color w:val="auto"/>
        </w:rPr>
      </w:pPr>
    </w:p>
    <w:p>
      <w:pPr>
        <w:ind w:left="960" w:right="40" w:hanging="480"/>
        <w:spacing w:after="0" w:line="277"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decrease in CX-2029 expenses was primarily due to a decrease of $1.2 million in laboratory contract services resulting from the timing of manufacturing and other research activities.</w:t>
      </w:r>
    </w:p>
    <w:p>
      <w:pPr>
        <w:spacing w:after="0" w:line="62" w:lineRule="exact"/>
        <w:rPr>
          <w:rFonts w:ascii="Arial" w:cs="Arial" w:eastAsia="Arial" w:hAnsi="Arial"/>
          <w:sz w:val="18"/>
          <w:szCs w:val="18"/>
          <w:color w:val="auto"/>
        </w:rPr>
      </w:pPr>
    </w:p>
    <w:p>
      <w:pPr>
        <w:ind w:left="960" w:right="80" w:hanging="480"/>
        <w:spacing w:after="0" w:line="277"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decrease in general research and development expenses was primarily due to the $3.4 million sublicense and maintenance fees associated with entering into Amendment No.3 to the UCSB Agreement in the second quarter of 2019.</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decrease in research and development expenses for the six months ended June 30, 2020 compared to the corresponding period of 2019 was attributable to the following changes by project:</w:t>
      </w:r>
    </w:p>
    <w:p>
      <w:pPr>
        <w:spacing w:after="0" w:line="62" w:lineRule="exact"/>
        <w:rPr>
          <w:sz w:val="20"/>
          <w:szCs w:val="20"/>
          <w:color w:val="auto"/>
        </w:rPr>
      </w:pPr>
    </w:p>
    <w:p>
      <w:pPr>
        <w:jc w:val="both"/>
        <w:ind w:left="960" w:right="420" w:hanging="480"/>
        <w:spacing w:after="0" w:line="263"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decrease in CX-072 expenses was primarily due to $1.9 million decrease in clinical trial related expenses as a result of the timing of manufacturing and other research activities in the CX-072 study and the termination of the CX-072-002 study to evaluate the anti-PD-L1 Probody CX-072 in combination with ipilimumab in melanoma.</w:t>
      </w:r>
    </w:p>
    <w:p>
      <w:pPr>
        <w:spacing w:after="0" w:line="75" w:lineRule="exact"/>
        <w:rPr>
          <w:rFonts w:ascii="Arial" w:cs="Arial" w:eastAsia="Arial" w:hAnsi="Arial"/>
          <w:sz w:val="18"/>
          <w:szCs w:val="18"/>
          <w:color w:val="auto"/>
        </w:rPr>
      </w:pPr>
    </w:p>
    <w:p>
      <w:pPr>
        <w:ind w:left="960" w:right="240" w:hanging="480"/>
        <w:spacing w:after="0" w:line="277"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increase in CX-2009 expenses was primarily due to a $3.0 million licensing payment to ImmunoGen for achieving the milestone of the first dosing of a patient in the CX-2009 Phase 2 clinical trial during the first quarter of 2020.</w:t>
      </w:r>
    </w:p>
    <w:p>
      <w:pPr>
        <w:spacing w:after="0" w:line="62" w:lineRule="exact"/>
        <w:rPr>
          <w:rFonts w:ascii="Arial" w:cs="Arial" w:eastAsia="Arial" w:hAnsi="Arial"/>
          <w:sz w:val="18"/>
          <w:szCs w:val="18"/>
          <w:color w:val="auto"/>
        </w:rPr>
      </w:pPr>
    </w:p>
    <w:p>
      <w:pPr>
        <w:ind w:left="960" w:right="40" w:hanging="480"/>
        <w:spacing w:after="0" w:line="277"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decrease in CX-2029 expenses was primarily due to a decrease of $1.2 million in laboratory contract services resulting from the timing of manufacturing and other research activities.</w:t>
      </w:r>
    </w:p>
    <w:p>
      <w:pPr>
        <w:spacing w:after="0" w:line="62" w:lineRule="exact"/>
        <w:rPr>
          <w:rFonts w:ascii="Arial" w:cs="Arial" w:eastAsia="Arial" w:hAnsi="Arial"/>
          <w:sz w:val="18"/>
          <w:szCs w:val="18"/>
          <w:color w:val="auto"/>
        </w:rPr>
      </w:pPr>
    </w:p>
    <w:p>
      <w:pPr>
        <w:ind w:left="960" w:right="20" w:hanging="480"/>
        <w:spacing w:after="0" w:line="277"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increase in “Other wholly owned and partnered programs” was primarily due to a $6.0 million sublicense fee payment to UCSB related to the $80.0 million upfront payment under the Astellas Agreement during the first quarter of 2020.</w:t>
      </w:r>
    </w:p>
    <w:p>
      <w:pPr>
        <w:spacing w:after="0" w:line="62" w:lineRule="exact"/>
        <w:rPr>
          <w:rFonts w:ascii="Arial" w:cs="Arial" w:eastAsia="Arial" w:hAnsi="Arial"/>
          <w:sz w:val="18"/>
          <w:szCs w:val="18"/>
          <w:color w:val="auto"/>
        </w:rPr>
      </w:pPr>
    </w:p>
    <w:p>
      <w:pPr>
        <w:ind w:left="960" w:right="140" w:hanging="480"/>
        <w:spacing w:after="0" w:line="311" w:lineRule="auto"/>
        <w:tabs>
          <w:tab w:leader="none" w:pos="9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decrease in general research and development expenses was primarily due to a $5.0 million charge for acquiring technical know-how related to drug conjugate linker-toxin and CD3-based bispecific technologies during the first quarter of 2019, and the $3.4 million sublicense and maintenance fees associated with entering into Amendment No.3 to the UCSB Agreement in the second quarter of 2019.</w:t>
      </w:r>
    </w:p>
    <w:p>
      <w:pPr>
        <w:spacing w:after="0" w:line="40" w:lineRule="exact"/>
        <w:rPr>
          <w:rFonts w:ascii="Arial" w:cs="Arial" w:eastAsia="Arial" w:hAnsi="Arial"/>
          <w:sz w:val="16"/>
          <w:szCs w:val="16"/>
          <w:color w:val="auto"/>
        </w:rPr>
      </w:pPr>
    </w:p>
    <w:p>
      <w:pPr>
        <w:ind w:left="960" w:right="560" w:hanging="480"/>
        <w:spacing w:after="0" w:line="277"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increase in internal costs was primarily due to increase in personnel-related expenses and allocation of information technology and facilities-related expenses.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Six Months Ended</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22"/>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62"/>
              <w:spacing w:after="0" w:line="155" w:lineRule="exact"/>
              <w:rPr>
                <w:sz w:val="20"/>
                <w:szCs w:val="20"/>
                <w:color w:val="auto"/>
              </w:rPr>
            </w:pPr>
            <w:r>
              <w:rPr>
                <w:rFonts w:ascii="Arial" w:cs="Arial" w:eastAsia="Arial" w:hAnsi="Arial"/>
                <w:sz w:val="14"/>
                <w:szCs w:val="14"/>
                <w:b w:val="1"/>
                <w:bCs w:val="1"/>
                <w:color w:val="auto"/>
                <w:w w:val="96"/>
              </w:rPr>
              <w:t>2019</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82"/>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102"/>
              <w:spacing w:after="0" w:line="155" w:lineRule="exact"/>
              <w:rPr>
                <w:sz w:val="20"/>
                <w:szCs w:val="20"/>
                <w:color w:val="auto"/>
              </w:rPr>
            </w:pPr>
            <w:r>
              <w:rPr>
                <w:rFonts w:ascii="Arial" w:cs="Arial" w:eastAsia="Arial" w:hAnsi="Arial"/>
                <w:sz w:val="14"/>
                <w:szCs w:val="14"/>
                <w:b w:val="1"/>
                <w:bCs w:val="1"/>
                <w:color w:val="auto"/>
                <w:w w:val="96"/>
              </w:rPr>
              <w:t>2019</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3"/>
                <w:szCs w:val="13"/>
                <w:color w:val="auto"/>
              </w:rPr>
            </w:pPr>
          </w:p>
        </w:tc>
      </w:tr>
      <w:tr>
        <w:trPr>
          <w:trHeight w:val="155"/>
        </w:trPr>
        <w:tc>
          <w:tcPr>
            <w:tcW w:w="3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3"/>
          </w:tcPr>
          <w:p>
            <w:pPr>
              <w:jc w:val="right"/>
              <w:ind w:right="482"/>
              <w:spacing w:after="0" w:line="155"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3"/>
          </w:tcPr>
          <w:p>
            <w:pPr>
              <w:jc w:val="right"/>
              <w:ind w:right="502"/>
              <w:spacing w:after="0" w:line="155"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8,680</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(731)</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18,252</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19,085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(833)</w:t>
            </w:r>
          </w:p>
        </w:tc>
      </w:tr>
    </w:tbl>
    <w:p>
      <w:pPr>
        <w:spacing w:after="0" w:line="242"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General and administrative expenses decreased by $0.7 million during the three months ended June 30, 2020 compared to the corresponding period in 2019. The decrease was attributable to a decrease of $0.9 million largely due to a decrease in stock-based compensation driven primarily by increased cancellations of stock options due to employee departures as well as decreases in the grant date fair values of new option grants due to decreases in prices of our common stock during the current period, partially offset by an increase of $0.2 million due to increased office facilities related expenses.</w:t>
      </w:r>
    </w:p>
    <w:p>
      <w:pPr>
        <w:spacing w:after="0" w:line="1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General and administrative expenses decreased by $0.8 million during the six months ended June 30, 2020 compared to the corresponding period in 2019. The decrease was attributable to a decrease of $1.7 million in personnel-related expense primarily due to a decrease in stock-based compensation driven primarily by increased cancellations of stock options due to employee departures as well as decreases in the grant date fair values of new option grants due to decreases in prices of our common stock during the current period, partially offset by an increase of $0.8 million in outside professional services primarily due to an increase in legal services.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Income (Expense)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Six Months Ended</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35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57"/>
              <w:spacing w:after="0" w:line="155" w:lineRule="exact"/>
              <w:rPr>
                <w:sz w:val="20"/>
                <w:szCs w:val="20"/>
                <w:color w:val="auto"/>
              </w:rPr>
            </w:pPr>
            <w:r>
              <w:rPr>
                <w:rFonts w:ascii="Arial" w:cs="Arial" w:eastAsia="Arial" w:hAnsi="Arial"/>
                <w:sz w:val="14"/>
                <w:szCs w:val="14"/>
                <w:b w:val="1"/>
                <w:bCs w:val="1"/>
                <w:color w:val="auto"/>
                <w:w w:val="96"/>
              </w:rPr>
              <w:t>2019</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w w:val="97"/>
              </w:rPr>
              <w:t>Change</w:t>
            </w: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97"/>
              <w:spacing w:after="0" w:line="155" w:lineRule="exact"/>
              <w:rPr>
                <w:sz w:val="20"/>
                <w:szCs w:val="20"/>
                <w:color w:val="auto"/>
              </w:rPr>
            </w:pPr>
            <w:r>
              <w:rPr>
                <w:rFonts w:ascii="Arial" w:cs="Arial" w:eastAsia="Arial" w:hAnsi="Arial"/>
                <w:sz w:val="14"/>
                <w:szCs w:val="14"/>
                <w:b w:val="1"/>
                <w:bCs w:val="1"/>
                <w:color w:val="auto"/>
                <w:w w:val="96"/>
              </w:rPr>
              <w:t>2019</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3"/>
                <w:szCs w:val="13"/>
                <w:color w:val="auto"/>
              </w:rPr>
            </w:pPr>
          </w:p>
        </w:tc>
      </w:tr>
      <w:tr>
        <w:trPr>
          <w:trHeight w:val="156"/>
        </w:trPr>
        <w:tc>
          <w:tcPr>
            <w:tcW w:w="35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980" w:type="dxa"/>
            <w:vAlign w:val="bottom"/>
            <w:gridSpan w:val="6"/>
          </w:tcPr>
          <w:p>
            <w:pPr>
              <w:jc w:val="right"/>
              <w:ind w:right="477"/>
              <w:spacing w:after="0" w:line="155"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4"/>
          </w:tcPr>
          <w:p>
            <w:pPr>
              <w:jc w:val="right"/>
              <w:ind w:right="497"/>
              <w:spacing w:after="0" w:line="155"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3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820" w:type="dxa"/>
            <w:vAlign w:val="bottom"/>
            <w:gridSpan w:val="2"/>
            <w:shd w:val="clear" w:color="auto" w:fill="CFF0FC"/>
          </w:tcPr>
          <w:p>
            <w:pPr>
              <w:jc w:val="right"/>
              <w:ind w:right="448"/>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454</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(1,907)</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(3,326)</w:t>
            </w:r>
          </w:p>
        </w:tc>
      </w:tr>
      <w:tr>
        <w:trPr>
          <w:trHeight w:val="230"/>
        </w:trPr>
        <w:tc>
          <w:tcPr>
            <w:tcW w:w="3500" w:type="dxa"/>
            <w:vAlign w:val="bottom"/>
          </w:tcPr>
          <w:p>
            <w:pPr>
              <w:ind w:left="260"/>
              <w:spacing w:after="0"/>
              <w:rPr>
                <w:sz w:val="20"/>
                <w:szCs w:val="20"/>
                <w:color w:val="auto"/>
              </w:rPr>
            </w:pPr>
            <w:r>
              <w:rPr>
                <w:rFonts w:ascii="Arial" w:cs="Arial" w:eastAsia="Arial" w:hAnsi="Arial"/>
                <w:sz w:val="18"/>
                <w:szCs w:val="18"/>
                <w:color w:val="auto"/>
              </w:rPr>
              <w:t>Other income (expense), net</w:t>
            </w:r>
          </w:p>
        </w:tc>
        <w:tc>
          <w:tcPr>
            <w:tcW w:w="1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(149)</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r>
      <w:tr>
        <w:trPr>
          <w:trHeight w:val="223"/>
        </w:trPr>
        <w:tc>
          <w:tcPr>
            <w:tcW w:w="3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interest and other income</w:t>
            </w:r>
          </w:p>
        </w:tc>
        <w:tc>
          <w:tcPr>
            <w:tcW w:w="1220" w:type="dxa"/>
            <w:vAlign w:val="bottom"/>
            <w:tcBorders>
              <w:top w:val="single" w:sz="8" w:color="CFF0FC"/>
              <w:bottom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ind w:right="448"/>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459</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(1,814</w:t>
            </w:r>
          </w:p>
        </w:tc>
        <w:tc>
          <w:tcPr>
            <w:tcW w:w="200" w:type="dxa"/>
            <w:vAlign w:val="bottom"/>
            <w:tcBorders>
              <w:top w:val="single" w:sz="8" w:color="CFF0FC"/>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Interest income decreased $1.9 million and $3.3 million during the three and six months ended June 30, 2020 compared to the corresponding periods in 2019. The decreases were primarily attributable to decrease in interest earned on our short-term investments due to lower interest rates as well as an overall lower average cash, cash equivalents and short-term investments position in 2020.</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Other income increased $0.1 million and $0.2 million during the three and six months ended June 30, 2020, respectively, compared to the corresponding periods in 2019. The increase was primarily attributable to a decrease in foreign currency losses resulting from the strengthening of the U.S. dollar against the Euro and British Pound Sterling.</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gridSpan w:val="3"/>
          </w:tcPr>
          <w:p>
            <w:pPr>
              <w:jc w:val="center"/>
              <w:ind w:left="104"/>
              <w:spacing w:after="0"/>
              <w:rPr>
                <w:sz w:val="20"/>
                <w:szCs w:val="20"/>
                <w:color w:val="auto"/>
              </w:rPr>
            </w:pPr>
            <w:r>
              <w:rPr>
                <w:rFonts w:ascii="Arial" w:cs="Arial" w:eastAsia="Arial" w:hAnsi="Arial"/>
                <w:sz w:val="14"/>
                <w:szCs w:val="14"/>
                <w:b w:val="1"/>
                <w:bCs w:val="1"/>
                <w:color w:val="auto"/>
                <w:w w:val="93"/>
              </w:rPr>
              <w:t>Three Months Ended</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Six Months Ended</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left="444"/>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left="224"/>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3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7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2020</w:t>
            </w:r>
          </w:p>
        </w:tc>
        <w:tc>
          <w:tcPr>
            <w:tcW w:w="1140" w:type="dxa"/>
            <w:vAlign w:val="bottom"/>
            <w:tcBorders>
              <w:bottom w:val="single" w:sz="8" w:color="auto"/>
            </w:tcBorders>
          </w:tcPr>
          <w:p>
            <w:pPr>
              <w:jc w:val="center"/>
              <w:ind w:left="444"/>
              <w:spacing w:after="0" w:line="155" w:lineRule="exact"/>
              <w:rPr>
                <w:sz w:val="20"/>
                <w:szCs w:val="20"/>
                <w:color w:val="auto"/>
              </w:rPr>
            </w:pPr>
            <w:r>
              <w:rPr>
                <w:rFonts w:ascii="Arial" w:cs="Arial" w:eastAsia="Arial" w:hAnsi="Arial"/>
                <w:sz w:val="14"/>
                <w:szCs w:val="14"/>
                <w:b w:val="1"/>
                <w:bCs w:val="1"/>
                <w:color w:val="auto"/>
                <w:w w:val="96"/>
              </w:rPr>
              <w:t>2019</w:t>
            </w:r>
          </w:p>
        </w:tc>
        <w:tc>
          <w:tcPr>
            <w:tcW w:w="1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Change</w:t>
            </w:r>
          </w:p>
        </w:tc>
        <w:tc>
          <w:tcPr>
            <w:tcW w:w="1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2020</w:t>
            </w:r>
          </w:p>
        </w:tc>
        <w:tc>
          <w:tcPr>
            <w:tcW w:w="860" w:type="dxa"/>
            <w:vAlign w:val="bottom"/>
            <w:tcBorders>
              <w:bottom w:val="single" w:sz="8" w:color="auto"/>
            </w:tcBorders>
          </w:tcPr>
          <w:p>
            <w:pPr>
              <w:jc w:val="center"/>
              <w:ind w:left="204"/>
              <w:spacing w:after="0" w:line="155" w:lineRule="exact"/>
              <w:rPr>
                <w:sz w:val="20"/>
                <w:szCs w:val="20"/>
                <w:color w:val="auto"/>
              </w:rPr>
            </w:pPr>
            <w:r>
              <w:rPr>
                <w:rFonts w:ascii="Arial" w:cs="Arial" w:eastAsia="Arial" w:hAnsi="Arial"/>
                <w:sz w:val="14"/>
                <w:szCs w:val="14"/>
                <w:b w:val="1"/>
                <w:bCs w:val="1"/>
                <w:color w:val="auto"/>
                <w:w w:val="96"/>
              </w:rPr>
              <w:t>2019</w:t>
            </w:r>
          </w:p>
        </w:tc>
        <w:tc>
          <w:tcPr>
            <w:tcW w:w="1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3"/>
                <w:szCs w:val="13"/>
                <w:color w:val="auto"/>
              </w:rPr>
            </w:pPr>
          </w:p>
        </w:tc>
      </w:tr>
      <w:tr>
        <w:trPr>
          <w:trHeight w:val="155"/>
        </w:trPr>
        <w:tc>
          <w:tcPr>
            <w:tcW w:w="3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40" w:type="dxa"/>
            <w:vAlign w:val="bottom"/>
            <w:gridSpan w:val="2"/>
          </w:tcPr>
          <w:p>
            <w:pPr>
              <w:jc w:val="center"/>
              <w:ind w:left="48"/>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2"/>
          </w:tcPr>
          <w:p>
            <w:pPr>
              <w:jc w:val="right"/>
              <w:ind w:right="324"/>
              <w:spacing w:after="0" w:line="155"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Benefit from income taxes</w:t>
            </w:r>
          </w:p>
        </w:tc>
        <w:tc>
          <w:tcPr>
            <w:tcW w:w="2100" w:type="dxa"/>
            <w:vAlign w:val="bottom"/>
            <w:gridSpan w:val="2"/>
            <w:shd w:val="clear" w:color="auto" w:fill="CFF0FC"/>
          </w:tcPr>
          <w:p>
            <w:pPr>
              <w:jc w:val="right"/>
              <w:ind w:right="548"/>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584"/>
              <w:spacing w:after="0"/>
              <w:rPr>
                <w:sz w:val="20"/>
                <w:szCs w:val="20"/>
                <w:color w:val="auto"/>
              </w:rPr>
            </w:pPr>
            <w:r>
              <w:rPr>
                <w:rFonts w:ascii="Arial" w:cs="Arial" w:eastAsia="Arial" w:hAnsi="Arial"/>
                <w:sz w:val="18"/>
                <w:szCs w:val="18"/>
                <w:color w:val="auto"/>
              </w:rPr>
              <w:t>-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79"/>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   $   (13,911)</w:t>
            </w:r>
          </w:p>
        </w:tc>
        <w:tc>
          <w:tcPr>
            <w:tcW w:w="860" w:type="dxa"/>
            <w:vAlign w:val="bottom"/>
            <w:shd w:val="clear" w:color="auto" w:fill="CFF0FC"/>
          </w:tcPr>
          <w:p>
            <w:pPr>
              <w:jc w:val="right"/>
              <w:ind w:right="564"/>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9"/>
              </w:rPr>
              <w:t>(6)</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(13,905)</w:t>
            </w:r>
          </w:p>
        </w:tc>
      </w:tr>
    </w:tbl>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There was no income tax expense for the three months ended June 30, 2020 and 2019, respectively as we were in a taxable loss position and we had minimal changes in our unrealized gain on available for sale debt securities.</w:t>
      </w:r>
    </w:p>
    <w:p>
      <w:pPr>
        <w:spacing w:after="0" w:line="21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Income tax benefit increased by $13.9 million during the six months ended June 30, 2020, compared to the corresponding period in 2019. The income tax benefit of $13.9 million for the six months ended June 30, 2020, was generated due to the recognition of net operating loss carrybacks under the CARES Act, which generated a tax refund of taxes paid for 2018. The income tax benefit of $6,000 for the six months ended June 30, 2019, resulted from an unrealized-gain on the available for sale securities recorded in other comprehensive income during the period.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Liquidity and Capital Expenditures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As of June 30, 2020, we had cash, cash equivalents and short-term investments of $346.4 million and an accumulated deficit of $420.7 million, compared to cash, cash equivalents and short-term investments of $296.1 million and an accumulated deficit of $417.2 million as of December 31, 2019. To date, we have financed our operations primarily through sales of our common stock in conjunction with the IPO and a subsequent stock offering, sales of our convertible preferred securities prior to our IPO and payments received under our collaboration agreements.</w:t>
      </w:r>
    </w:p>
    <w:p>
      <w:pPr>
        <w:spacing w:after="0" w:line="17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Based upon our current operating plan, we expect our existing capital resources will be sufficient to fund operations for a period of at least twelve months from the date the financial statements included in this report are issued. However, if the anticipated operating results and future financing are not achieved in future periods, our planned expenditures may need to be reduced in order to extend the time period over which the then-available resources would be able to fund the operations. The amounts and timing of our actual expenditures depend on numerous factors, including the progress of our preclinical and clinical development efforts, the results of any clinical trials and other studies, our operating costs and expenditures and other factors described under the caption “Risk Factors” in this Quarterly Report on Form 10-Q. The cost and timing of developing our products, including CX-072, CX-2009 and CX-2029 are highly uncertain, are subject to substantial risks and many changes. As such, we may alter our expenditures as a result of contingencies such as the failure of one or all of our product candidates currently in clinical development, the acceleration of one or all of our product candidates in clinical development, the initiating of clinical trials for additional product candidates, the identification of more promising product candidates in our research efforts or unexpected operating costs and expenditures. We will need to raise additional funds in the future. There can be no assurance, however, that such efforts will be successful or that, in the event that they are successful, the terms and conditions of such financing will be favorable to us.</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4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left="379"/>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3"/>
                <w:szCs w:val="13"/>
                <w:color w:val="auto"/>
              </w:rPr>
            </w:pPr>
          </w:p>
        </w:tc>
      </w:tr>
      <w:tr>
        <w:trPr>
          <w:trHeight w:val="155"/>
        </w:trPr>
        <w:tc>
          <w:tcPr>
            <w:tcW w:w="4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4"/>
          </w:tcPr>
          <w:p>
            <w:pPr>
              <w:jc w:val="center"/>
              <w:ind w:left="399"/>
              <w:spacing w:after="0" w:line="155" w:lineRule="exact"/>
              <w:rPr>
                <w:sz w:val="20"/>
                <w:szCs w:val="20"/>
                <w:color w:val="auto"/>
              </w:rPr>
            </w:pPr>
            <w:r>
              <w:rPr>
                <w:rFonts w:ascii="Arial" w:cs="Arial" w:eastAsia="Arial" w:hAnsi="Arial"/>
                <w:sz w:val="14"/>
                <w:szCs w:val="14"/>
                <w:b w:val="1"/>
                <w:bCs w:val="1"/>
                <w:i w:val="1"/>
                <w:iCs w:val="1"/>
                <w:color w:val="auto"/>
                <w:w w:val="89"/>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operating activities</w:t>
            </w:r>
          </w:p>
        </w:tc>
        <w:tc>
          <w:tcPr>
            <w:tcW w:w="10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47,364</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(87,682)</w:t>
            </w: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51,894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(11,666)</w:t>
            </w:r>
          </w:p>
        </w:tc>
      </w:tr>
      <w:tr>
        <w:trPr>
          <w:trHeight w:val="229"/>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8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1,163</w:t>
            </w:r>
          </w:p>
        </w:tc>
        <w:tc>
          <w:tcPr>
            <w:tcW w:w="80" w:type="dxa"/>
            <w:vAlign w:val="bottom"/>
            <w:shd w:val="clear" w:color="auto" w:fill="CFF0FC"/>
          </w:tcPr>
          <w:p>
            <w:pPr>
              <w:spacing w:after="0"/>
              <w:rPr>
                <w:sz w:val="19"/>
                <w:szCs w:val="19"/>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8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102,963</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(98,185)</w:t>
            </w:r>
          </w:p>
        </w:tc>
        <w:tc>
          <w:tcPr>
            <w:tcW w:w="8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six months ended June 30, 2020, cash provided by operating activities was $47.4 million, which consisted of a net loss of $3.5 million, adjusted by non-cash charges of $8.5 million and a net increase of $42.4 million relating to the change of our net operating assets and liabilities. The non-cash charges primarily consisted of $7.5 million in stock-based compensation and $1.3 million in depreciation and amortization, which amounts were partially offset by $0.3 million in accretion of discounts on our short-term investments.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change in our net operating assets and liabilities was primarily due to:</w:t>
      </w:r>
    </w:p>
    <w:p>
      <w:pPr>
        <w:spacing w:after="0" w:line="117" w:lineRule="exact"/>
        <w:rPr>
          <w:sz w:val="20"/>
          <w:szCs w:val="20"/>
          <w:color w:val="auto"/>
        </w:rPr>
      </w:pPr>
    </w:p>
    <w:p>
      <w:pPr>
        <w:ind w:left="960" w:hanging="480"/>
        <w:spacing w:after="0" w:line="259"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net increase of $64.0 million in deferred revenue resulting primarily from the $80.0 million upfront payment due from Astellas as well as the $40.0 million milestone payment due from AbbVie, partially offset by the continued recognition of deferred revenue from existing and new customers, including the $26.6 million revenue recognized in the first quarter of 2020, which reflected the percentage completed to-date on the project when the $40.0 million milestone was earned in the first quarter of 2020;</w:t>
      </w:r>
    </w:p>
    <w:p>
      <w:pPr>
        <w:spacing w:after="0" w:line="78" w:lineRule="exact"/>
        <w:rPr>
          <w:rFonts w:ascii="Arial" w:cs="Arial" w:eastAsia="Arial" w:hAnsi="Arial"/>
          <w:sz w:val="18"/>
          <w:szCs w:val="18"/>
          <w:color w:val="auto"/>
        </w:rPr>
      </w:pPr>
    </w:p>
    <w:p>
      <w:pPr>
        <w:ind w:left="960" w:hanging="480"/>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of $1.2 million in cash flows from other assets and accounts payable;</w:t>
      </w:r>
    </w:p>
    <w:p>
      <w:pPr>
        <w:spacing w:after="0" w:line="117" w:lineRule="exact"/>
        <w:rPr>
          <w:rFonts w:ascii="Arial" w:cs="Arial" w:eastAsia="Arial" w:hAnsi="Arial"/>
          <w:sz w:val="18"/>
          <w:szCs w:val="18"/>
          <w:color w:val="auto"/>
        </w:rPr>
      </w:pPr>
    </w:p>
    <w:p>
      <w:pPr>
        <w:ind w:left="960" w:right="760" w:hanging="480"/>
        <w:spacing w:after="0" w:line="342" w:lineRule="auto"/>
        <w:tabs>
          <w:tab w:leader="none" w:pos="9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decrease of $12.8 million in cash flows from prepaid expenses and other current assets, which included a $13.1 million income tax receivable resulting from a carryback of net operating loss incurred in 2019 to the preceding years as permitted by the CARES Act;</w:t>
      </w:r>
    </w:p>
    <w:p>
      <w:pPr>
        <w:spacing w:after="0" w:line="15" w:lineRule="exact"/>
        <w:rPr>
          <w:rFonts w:ascii="Arial" w:cs="Arial" w:eastAsia="Arial" w:hAnsi="Arial"/>
          <w:sz w:val="16"/>
          <w:szCs w:val="16"/>
          <w:color w:val="auto"/>
        </w:rPr>
      </w:pPr>
    </w:p>
    <w:p>
      <w:pPr>
        <w:ind w:left="960" w:hanging="480"/>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decrease of $9.8 million in accrued liabilities primarily due to payment of $7.5 million for the ImmunoGen 2019 License; and</w:t>
      </w:r>
    </w:p>
    <w:p>
      <w:pPr>
        <w:spacing w:after="0" w:line="117" w:lineRule="exact"/>
        <w:rPr>
          <w:rFonts w:ascii="Arial" w:cs="Arial" w:eastAsia="Arial" w:hAnsi="Arial"/>
          <w:sz w:val="18"/>
          <w:szCs w:val="18"/>
          <w:color w:val="auto"/>
        </w:rPr>
      </w:pPr>
    </w:p>
    <w:p>
      <w:pPr>
        <w:ind w:left="960" w:right="120" w:hanging="480"/>
        <w:spacing w:after="0" w:line="277"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decrease in cashflow of $0.2 million from accounts receivable primarily related to research and development service fees due from Astellas pursuant to the Astellas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36" w:name="page37"/>
    <w:bookmarkEnd w:id="36"/>
    <w:p>
      <w:pPr>
        <w:spacing w:after="0" w:line="257" w:lineRule="auto"/>
        <w:rPr>
          <w:sz w:val="20"/>
          <w:szCs w:val="20"/>
          <w:color w:val="auto"/>
        </w:rPr>
      </w:pPr>
      <w:r>
        <w:rPr>
          <w:rFonts w:ascii="Arial" w:cs="Arial" w:eastAsia="Arial" w:hAnsi="Arial"/>
          <w:sz w:val="18"/>
          <w:szCs w:val="18"/>
          <w:color w:val="auto"/>
        </w:rPr>
        <w:t>During the six months ended June 30, 2019, cash used in operating activities was $87.7 million, which consisted of a net loss of $43.1 million, adjusted by non-cash charges of $12.2 million and a net decrease of $56.8 million relating to the change in our net operating assets and liabilities. The non-cash charges primarily consist of $10.6 million in stock-based compensation; $1.6 million of common stock issued in connection with our entry into Amendment No.3 to the UCSB Agreement and $1.3 million in depreciation and amortization expense; partially offset by $1.4 million in accretion of discounts on our short-term investments.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change in our net operating assets and liabilities was primarily due to:</w:t>
      </w:r>
    </w:p>
    <w:p>
      <w:pPr>
        <w:spacing w:after="0" w:line="117" w:lineRule="exact"/>
        <w:rPr>
          <w:sz w:val="20"/>
          <w:szCs w:val="20"/>
          <w:color w:val="auto"/>
        </w:rPr>
      </w:pPr>
    </w:p>
    <w:p>
      <w:pPr>
        <w:ind w:left="960" w:right="80" w:hanging="480"/>
        <w:spacing w:after="0" w:line="259"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decrease of $28.5 million in deferred revenue resulting from the accelerated recognition of revenue of $17.4 million related to the termination of certain targets under the BMS Agreement in the first quarter of 2019 and continued recognition of other deferred revenue from existing customers, partially offset by the additional $10.0 million milestone payment due from AbbVie in June 2019, which payment was triggered by its selection of the second target under the Discovery Agreement;</w:t>
      </w:r>
    </w:p>
    <w:p>
      <w:pPr>
        <w:spacing w:after="0" w:line="78" w:lineRule="exact"/>
        <w:rPr>
          <w:rFonts w:ascii="Arial" w:cs="Arial" w:eastAsia="Arial" w:hAnsi="Arial"/>
          <w:sz w:val="18"/>
          <w:szCs w:val="18"/>
          <w:color w:val="auto"/>
        </w:rPr>
      </w:pPr>
    </w:p>
    <w:p>
      <w:pPr>
        <w:ind w:left="960" w:right="180" w:hanging="480"/>
        <w:spacing w:after="0" w:line="308" w:lineRule="auto"/>
        <w:tabs>
          <w:tab w:leader="none" w:pos="9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decrease of $20.1 million in accrued liabilities and income tax payable due to payment of $13.7 million for our 2018 estimated income tax liability, $2.9 million in sublicense fee and $3.5 million in other liabilities during the six months ended June 30, 2019;</w:t>
      </w:r>
    </w:p>
    <w:p>
      <w:pPr>
        <w:spacing w:after="0" w:line="146" w:lineRule="exact"/>
        <w:rPr>
          <w:rFonts w:ascii="Arial" w:cs="Arial" w:eastAsia="Arial" w:hAnsi="Arial"/>
          <w:sz w:val="17"/>
          <w:szCs w:val="17"/>
          <w:color w:val="auto"/>
        </w:rPr>
      </w:pPr>
    </w:p>
    <w:p>
      <w:pPr>
        <w:ind w:left="960" w:right="120" w:hanging="480"/>
        <w:spacing w:after="0" w:line="277"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decrease in cash flows of $9.9 million from accounts receivable primarily related to the $10.0 million milestone payment due from AbbVie upon its selection of the second target in June 2019; and</w:t>
      </w:r>
    </w:p>
    <w:p>
      <w:pPr>
        <w:spacing w:after="0" w:line="75" w:lineRule="exact"/>
        <w:rPr>
          <w:rFonts w:ascii="Arial" w:cs="Arial" w:eastAsia="Arial" w:hAnsi="Arial"/>
          <w:sz w:val="18"/>
          <w:szCs w:val="18"/>
          <w:color w:val="auto"/>
        </w:rPr>
      </w:pPr>
    </w:p>
    <w:p>
      <w:pPr>
        <w:ind w:left="960" w:hanging="480"/>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increase of $1.7 million in cash flows resulting from the decrease in prepaid expenses and other current assets.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During the six months ended June 30, 2020, cash provided by investing activities was $51.9 million, which consisted of $97.7 million in proceeds received upon the maturity of marketable securities, partially offset by $44.7 million used in the purchase of short-term investments and $1.1 million of capital expenditures used to purchase property and equipment.</w:t>
      </w:r>
    </w:p>
    <w:p>
      <w:pPr>
        <w:spacing w:after="0" w:line="184"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During the six months ended June 30, 2019, cash used in investing activities was $11.7 million, which consisted of $101.6 million used in the purchase of short-term investments and $2.2 million of capital expenditures used to purchase property and equipment. Such uses were partially offset by $92.1 million in proceeds received upon the maturity of marketable securities.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During the six months ended June 30, 2020 and 2019, cash provided by financing activities primarily consisted of proceeds from the exercise of stock options and employee stock purchases under the employee stock purchase plan.</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3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three months ended June 30, 2020, there were no material changes in contractual obligations from the amounts disclosed in our Annual Report on Form 10-K for the year ended December 31,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one primary business activity and operate as one reportable segment.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into any off-balance sheet arrangements and do not have any holdings in variable interest entities.</w:t>
      </w:r>
    </w:p>
    <w:p>
      <w:pPr>
        <w:spacing w:after="0" w:line="38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are exposed to market risks in the ordinary course of our business. These risks primarily relate to interest rate risks. We had cash, cash equivalents and short-term investments of $346.4 million as of June 30, 2020 and cash, cash equivalents and short-term investments of $296.1 million as of December 31, 2019, which consists of bank deposits, money market funds and U.S. government bonds. Such interest-bearing instruments carry a degree of interest rate risk; however, historical fluctuations of interest income have not been significant.</w:t>
      </w:r>
    </w:p>
    <w:p>
      <w:pPr>
        <w:spacing w:after="0" w:line="22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do not enter into investments for trading or speculative purposes and have not used any derivative financial instruments to manage our interest rate exposure. We have not historically been exposed to material risks due to changes in interest rates. Based on our investment positions as of June 30, 2020, a hypothetical 100 basis point change in interest rates would not have material effect in the fair value of the portfolio.</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37" w:name="page38"/>
    <w:bookmarkEnd w:id="37"/>
    <w:p>
      <w:pPr>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term “disclosure controls and procedures,” as defined in Rules 13a-15(e) and 15d-15(e) under the Exchange Act of 1934, as amended (the “Exchange Act”) refers to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In designing and evaluating the disclosure controls and procedures,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8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Our management, with the participation of our Chief Executive Officer and Chief Financial Officer, has evaluated the effectiveness of our disclosure controls and procedures as of June 30, 2020, the end of the period covered by this Quarterly Report on Form 10-Q. Management’s assessment of internal control over financial reporting was conducted using the criteria defined in the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issued by the Committee of Sponsoring Organizations of the Treadway Commission (“COSO”). Based upon such evaluation, our Chief Executive Officer and Chief Financial Officer have concluded that our disclosure controls and procedures were effective at the reasonable assurance level as of such date.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1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the three months ended June 30, 2020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are subject to claims and assessments from time to time in the ordinary course of business but are not aware of any such matters, individually or in the aggregate, that will have a material adverse effect on our financial position, results of operations or cash flows.</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March 4, 2020, Vytacera Bio, LLC filed a patent infringement lawsuit against the Company in the U.S. District Court for the District of Delaware. The lawsuit alleges that our use, offers to sell, and/or sales of the Probody® technology platform for basic research applications constitutes infringement. The complaint seeks unspecified monetary damages. We filed an Answer, Affirmative Defenses, and Counterclaims on May 26, 2020. Vytacera Bio, LLC filed its Answer to CytomX Therapeutics Inc.’s Counterclaims on June 5, 2020. We believe that the lawsuit is without merit and intend to vigorously defend ourselves. Accordingly, we cannot reasonably estimate any range of potential future charges, and we have not recorded any accrual for a contingent liability associated with these legal proceedings.</w:t>
      </w:r>
    </w:p>
    <w:p>
      <w:pPr>
        <w:spacing w:after="0" w:line="21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May 21, 2020, a putative securities class action lawsuit was commenced in the U.S. District Court for the Northern District of California naming as defendants us and three current and former officers. The complaint alleges that the defendants violated Sections 10(b) and 20(a) of the Securities Exchange Act of 1934, as amended, and Rule 10b-5 thereunder, by making false and misleading statements and omissions of material fact related to the product candidates CX-072 and CX-2009. The plaintiff seeks to represent all persons who purchased or otherwise acquired CytomX securities between May 17, 2018, and May 13, 2020. The plaintiff seeks damages and interest, and an award of costs, including attorneys’ fees. We believe the plaintiff’s claims are without merit and we have not recorded any accrual for a contingent liability associated with these legal proceedings.</w:t>
      </w:r>
    </w:p>
    <w:p>
      <w:pPr>
        <w:spacing w:after="0" w:line="28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i w:val="1"/>
          <w:iCs w:val="1"/>
          <w:color w:val="auto"/>
        </w:rPr>
        <w:t>You should consider carefully the risks and uncertainties described below, together with all of the other information in this Quarterly Report on Form 10-Q, including our financial statements and the related notes and “Management’s Discussion and Analysis of Financial Condition and Results of Operations.” If any of the following risks are realized, our business, financial condition, results of operations and prospects could be materially and adversely affected. The risks described below are not the only risks facing the Company. Risks and uncertainties not currently known to us or that we currently deem to be immaterial also may materially adversely affect our business, financial condition, results of operations and/or prospects.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COVID-19 pandemic or any future pandemic could adversely impact our business, including our research, clinical trials, and financial condition.</w:t>
      </w:r>
    </w:p>
    <w:p>
      <w:pPr>
        <w:spacing w:after="0" w:line="1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December 2019, a novel strain of coronavirus, COVID-19, was reported to have surfaced in Wuhan, China. Since then, the COVID-19 coronavirus has spread to multiple countries, including the United States and European and Asia-Pacific countries, including countries in which we have planned or active clinical trial sites, including for CX-2009. As the COVID-19 coronavirus continues to spread around the globe, we will likely continue to experience disruptions that could severely impact our business, research, including research for our partners or research of our partners, and clinical trials, including ongoing or planned clinical trials for CX-2009, CX-2029 and clinical trials of our partners, including Bristol Myers Squibb. These disruptions and impacts may include:</w:t>
      </w:r>
    </w:p>
    <w:p>
      <w:pPr>
        <w:spacing w:after="0" w:line="84" w:lineRule="exact"/>
        <w:rPr>
          <w:sz w:val="20"/>
          <w:szCs w:val="20"/>
          <w:color w:val="auto"/>
        </w:rPr>
      </w:pPr>
    </w:p>
    <w:p>
      <w:pPr>
        <w:ind w:left="960" w:hanging="480"/>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 or the clinical trials of our partners;</w:t>
      </w:r>
    </w:p>
    <w:p>
      <w:pPr>
        <w:spacing w:after="0" w:line="117" w:lineRule="exact"/>
        <w:rPr>
          <w:rFonts w:ascii="Arial" w:cs="Arial" w:eastAsia="Arial" w:hAnsi="Arial"/>
          <w:sz w:val="18"/>
          <w:szCs w:val="18"/>
          <w:color w:val="auto"/>
        </w:rPr>
      </w:pPr>
    </w:p>
    <w:p>
      <w:pPr>
        <w:ind w:left="960" w:right="60" w:hanging="480"/>
        <w:spacing w:after="0" w:line="277"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for CX-2009, CX-2029 or any other clinical trials we or our partners decide to initiate, including difficulties in recruiting clinical site investigators and clinical site staff;</w:t>
      </w:r>
    </w:p>
    <w:p>
      <w:pPr>
        <w:spacing w:after="0" w:line="62" w:lineRule="exact"/>
        <w:rPr>
          <w:rFonts w:ascii="Arial" w:cs="Arial" w:eastAsia="Arial" w:hAnsi="Arial"/>
          <w:sz w:val="18"/>
          <w:szCs w:val="18"/>
          <w:color w:val="auto"/>
        </w:rPr>
      </w:pPr>
    </w:p>
    <w:p>
      <w:pPr>
        <w:ind w:left="960" w:right="200" w:hanging="480"/>
        <w:spacing w:after="0" w:line="277"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or our partners’ clinical trial sites and hospital staff supporting the conduct of our or our partners’ clinical trials;</w:t>
      </w:r>
    </w:p>
    <w:p>
      <w:pPr>
        <w:spacing w:after="0" w:line="62" w:lineRule="exact"/>
        <w:rPr>
          <w:rFonts w:ascii="Arial" w:cs="Arial" w:eastAsia="Arial" w:hAnsi="Arial"/>
          <w:sz w:val="18"/>
          <w:szCs w:val="18"/>
          <w:color w:val="auto"/>
        </w:rPr>
      </w:pPr>
    </w:p>
    <w:p>
      <w:pPr>
        <w:ind w:left="960" w:right="500" w:hanging="480"/>
        <w:spacing w:after="0" w:line="277"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difficulty in interpreting clinical data due to patients being infected by COVID-19;</w:t>
      </w:r>
    </w:p>
    <w:p>
      <w:pPr>
        <w:spacing w:after="0" w:line="117" w:lineRule="exact"/>
        <w:rPr>
          <w:rFonts w:ascii="Arial" w:cs="Arial" w:eastAsia="Arial" w:hAnsi="Arial"/>
          <w:sz w:val="18"/>
          <w:szCs w:val="18"/>
          <w:color w:val="auto"/>
        </w:rPr>
      </w:pPr>
    </w:p>
    <w:p>
      <w:pPr>
        <w:ind w:left="960" w:right="340" w:hanging="480"/>
        <w:spacing w:after="0" w:line="342" w:lineRule="auto"/>
        <w:tabs>
          <w:tab w:leader="none" w:pos="9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limitations in employee resources that would otherwise be focused on the conduct of our clinical trials or the clinical trials of our partners, including because of sickness of employees or their families or the desire of employees to avoid contact with large groups of people;</w:t>
      </w:r>
    </w:p>
    <w:p>
      <w:pPr>
        <w:spacing w:after="0" w:line="15" w:lineRule="exact"/>
        <w:rPr>
          <w:rFonts w:ascii="Arial" w:cs="Arial" w:eastAsia="Arial" w:hAnsi="Arial"/>
          <w:sz w:val="16"/>
          <w:szCs w:val="16"/>
          <w:color w:val="auto"/>
        </w:rPr>
      </w:pPr>
    </w:p>
    <w:p>
      <w:pPr>
        <w:ind w:left="960" w:hanging="480"/>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or our partners’ planned clinical trials;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or our partners’ clinical trials;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ind w:left="960" w:hanging="480"/>
        <w:spacing w:after="0" w:line="277"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interruption in manufacturing or global shipping that may affect the timely delivery or transport of research materials or clinical trial materials, such as investigational drug product used in our or our partners’ clinical trials;</w:t>
      </w:r>
    </w:p>
    <w:p>
      <w:pPr>
        <w:spacing w:after="0" w:line="62" w:lineRule="exact"/>
        <w:rPr>
          <w:rFonts w:ascii="Arial" w:cs="Arial" w:eastAsia="Arial" w:hAnsi="Arial"/>
          <w:sz w:val="18"/>
          <w:szCs w:val="18"/>
          <w:color w:val="auto"/>
        </w:rPr>
      </w:pPr>
    </w:p>
    <w:p>
      <w:pPr>
        <w:jc w:val="both"/>
        <w:ind w:left="960" w:right="140" w:hanging="480"/>
        <w:spacing w:after="0" w:line="263"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coronavirus outbreak which may require us or our partners to change the ways in which clinical trials are conducted, which may result in unexpected costs, or cause us or our partners to discontinue the clinical trials altogether;</w:t>
      </w:r>
    </w:p>
    <w:p>
      <w:pPr>
        <w:spacing w:after="0" w:line="75" w:lineRule="exact"/>
        <w:rPr>
          <w:rFonts w:ascii="Arial" w:cs="Arial" w:eastAsia="Arial" w:hAnsi="Arial"/>
          <w:sz w:val="18"/>
          <w:szCs w:val="18"/>
          <w:color w:val="auto"/>
        </w:rPr>
      </w:pPr>
    </w:p>
    <w:p>
      <w:pPr>
        <w:ind w:left="960" w:right="340" w:hanging="480"/>
        <w:spacing w:after="0" w:line="277"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 outside the United States.</w:t>
      </w:r>
    </w:p>
    <w:p>
      <w:pPr>
        <w:spacing w:after="0" w:line="26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For example, in March 2020, we announced the temporary pause in new patient enrollment and new site activation in our Phase 2 clinical trial of CX-2009 as a result of the COVID-19 pandemic, primarily due to delays in patient enrollment and clinical site initiations, and the termination of the Phase 2 clinical trial of CX-072 after a re-evaluation of the evolving clinical, competitive and commercial landscapes in immuno-oncology, taken together with impact of the COVID-19 pandemic. While we intend to re-initiate our Phase 2 clinical trial for CX-2009 and to initiate Phase 2 expansion cohorts for CX-2029 in the second half of 2020, we cannot be assured that the impact of the COVID-19 pandemic on clinical trial planning will allow us to proceed in 2020, or that site initiation, patient recruitment or other clinical trial activities will not be delayed.</w:t>
      </w:r>
    </w:p>
    <w:p>
      <w:pPr>
        <w:spacing w:after="0" w:line="20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Furthermore, the COVID-19 pandemic and government limitations on activities may continue to impact our ability to conduct research, including limiting our ability to obtain research materials and equipment, limiting access to our laboratories to conduct research, limiting the ability or willingness of employees to work at our facilities and limiting our ability to complete research and experiments in a timely basis or at all. For example, in March 2020 we initiated a mandatory work-from-home program, limiting onsite activity to a substantially reduced level of laboratory research activities. Although we have gradually increased levels of such laboratory research activities, there can be no assurance that we will be able to continue to increase or maintain current levels of such activity. The COVID-19 pandemic and government limitations could further impact our ability to conduct business generally, including making timely payments, filing timely governmental and other business reports and filings, and otherwise comply with our obligations.</w:t>
      </w:r>
    </w:p>
    <w:p>
      <w:pPr>
        <w:spacing w:after="0" w:line="20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Any of the potential business, research and clinical impacts arising as a result of the COVID-19 pandemic could cause us to default on our obligations to our collaborative partners, including our specific research and development obligations, potentially resulting in termination of one or more collaborations, and could materially and adversely affect our business, financial condition, results of operation and prospects.</w:t>
      </w:r>
    </w:p>
    <w:p>
      <w:pPr>
        <w:spacing w:after="0" w:line="2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addition, the spread of COVID-19 coronavirus may negatively impact the trading price of shares of our common stock and could further severely impact our ability to raise additional capital on a timely basis or at all.</w:t>
      </w:r>
    </w:p>
    <w:p>
      <w:pPr>
        <w:spacing w:after="0" w:line="197"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auto"/>
        </w:rPr>
        <w:t>The global outbreak of the COVID-19 coronavirus continues to rapidly evolve. The extent to which the COVID-19 coronavirus may impact our business, including our clinical trials, research and financial condition will depend on future developments, which are highly uncertain and cannot be predicted with confidence, such as the ultimate geographic spread of the disease, the duration of the outbreak, travel restrictions and social distancing in the United States and other countries, business closures or business disruptions and the effectiveness of actions taken in the United States and other countries to contain and treat the disease.</w:t>
      </w:r>
    </w:p>
    <w:p>
      <w:pPr>
        <w:spacing w:after="0" w:line="336"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We are a clinical-stage biopharmaceutical company with a limited operating history and have not generated any revenue from product sales. We have a history of losses, expect to continue to incur significant losses for the foreseeable future and may never achieve or maintain profitability, which could result in a decline in the market value of our common stock.</w:t>
      </w:r>
    </w:p>
    <w:p>
      <w:pPr>
        <w:spacing w:after="0" w:line="76"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We are a clinical-stage biopharmaceutical company with a limited operating history, developing a novel class of therapeutic antibody product candidates, based on our proprietary biologic Probody technology platform. Since our inception, we have devoted our resources to the development of Probody therapeutics. We have had significant operating losses since our inception. As of June 30, 2020 and December 31, 2019, we had an accumulated deficit of $420.7 million and $417.2 million, respectively. Substantially all of our losses have resulted from expenses incurred in connection with our research and development programs and from general and administrative costs associated with our operations.</w:t>
      </w:r>
    </w:p>
    <w:p>
      <w:pPr>
        <w:spacing w:after="0" w:line="17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Though we have developed our Probody platform, our technologies and product candidates are in early stages of development, and we are subject to the risks of failure inherent in the development of product candidates based on novel technologies. We have not yet demonstrated our ability to successfully complete any clinical trials, including large-scale, pivotal clinical trials, obtain regulatory approvals, arrange for a third party to manufacture a commercial scale product candidate, or conduct sales and marketing activities necessary for successful commercialization. Typically, it takes many years to develop one product candidate from the time it enters initial preclinical studies to when it is available for treating patients. Consequently, any predictions made about our future success or viability may not be as accurate as they could be if we had a longer operating history. We will need to transition from a company with a research and development focus to a company capable of supporting commercial activities. We may not be successful in such a transition.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0" w:name="page41"/>
    <w:bookmarkEnd w:id="40"/>
    <w:p>
      <w:pPr>
        <w:spacing w:after="0" w:line="268" w:lineRule="auto"/>
        <w:rPr>
          <w:sz w:val="20"/>
          <w:szCs w:val="20"/>
          <w:color w:val="auto"/>
        </w:rPr>
      </w:pPr>
      <w:r>
        <w:rPr>
          <w:rFonts w:ascii="Arial" w:cs="Arial" w:eastAsia="Arial" w:hAnsi="Arial"/>
          <w:sz w:val="17"/>
          <w:szCs w:val="17"/>
          <w:color w:val="auto"/>
        </w:rPr>
        <w:t>Furthermore, we have never generated any revenue from product sales, and have not obtained regulatory approval for any of our product candidates. We also do not expect to generate any revenue from product sales for the foreseeable future, and we expect to continue to incur significant operating losses for the foreseeable future due to the cost of research and development, preclinical studies and clinical trials and the regulatory approval process for our product candidates. We expect our net losses to increase substantially as we continue clinical development of our lead programs and advance additional programs into clinical development. In particular, we expect our losses to increase substantially as we begin to enroll patients in our temporarily paused Phase 2 clinical trial of CX-2009, our PDC candidate directed against CD166 in patients with hormone receptor (ER, PR) positive, HER2 negative breast cancer, as we continue our other ongoing or planned clinical trials of CX-072, our candidate directed against PD-L1, CX-2009, and CX-2029, our PDC candidate directed against CD71 in collaboration with AbbVie Inc., and as we advance into later trials and new trials for other programs, including a Phase 2 clinical trial of CX-2029 and a Phase 1 clinical trial of CX-2009 in combination with CX-072. However, the amount of our future losses is uncertain. Our ability to achieve profitability, if ever, will depend on, among other things, our, or our collaborators, successfully developing product candidates, obtaining regulatory approvals to market and commercialize product candidates, manufacturing any approved products on commercially reasonable terms, establishing a sales and marketing organization or suitable third-party alternatives for any approved product and raising sufficient funds to finance business activities. If we, or our collaborators, are unable to develop our technologies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spacing w:after="0" w:line="290"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b w:val="1"/>
          <w:bCs w:val="1"/>
          <w:i w:val="1"/>
          <w:iCs w:val="1"/>
          <w:color w:val="auto"/>
        </w:rPr>
        <w:t>We expect that we will need to raise substantial additional funds to advance development of our product candidates and we cannot guarantee that this additional funding will be available on acceptable terms or at all. Failure to obtain this necessary capital when needed may force us to delay, limit or terminate our product development and commercialization of our current or future product candidates.</w:t>
      </w:r>
    </w:p>
    <w:p>
      <w:pPr>
        <w:spacing w:after="0" w:line="5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development of biopharmaceutical product candidates is capital-intensive. To date we have used substantial funds to develop our technology and product candidates and will require significant funds to conduct our ongoing clinical trials as well as to further our research and development, preclinical testing and future clinical trials of additional product candidates, to seek regulatory approvals for our product candidates and to manufacture and market any products that are approved for commercial sale. In addition, we have incurred and will continue to incur additional costs associated with operating as a public company.</w:t>
      </w:r>
    </w:p>
    <w:p>
      <w:pPr>
        <w:spacing w:after="0" w:line="18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of June 30, 2020, we had $346.4 million in cash, cash equivalents and short-term investments. We believe that our existing capital resources will be sufficient to fund our planned operations at least for the next twelve months from the date the financial statements included in this report are issued. Our future capital requirements and the period for which we expect our existing resources to support our operations may vary significantly from what we expect. Our monthly spending levels vary based on our ongoing clinical trials, new and ongoing research and development and other corporate activities. For example, we expect our monthly spending to increase substantially as we begin to enroll patients in our temporarily paused Phase 2 clinical trial of CX-2009 in patients with hormone receptor (ER, PR) positive, HER2 negative breast cancer, as we continue our other ongoing Phase 1/2 clinical trials of CX-072, CX-2009, and CX-2029, and as we advance into later trials and new trials for other programs, including a Phase 2 clinical trial for CX-2029 and a clinical trial of CX-2009 in combination with CX-072 Because the length of time and activities associated with conducting our clinical trials and successfully researching and developing our product candidates is highly uncertain, we are unable to estimate the actual funds we will require for development and, once any product candidate is approved, any subsequent marketing and commercialization activities.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timing and amount of our operating expenditures will depend largely on:</w:t>
      </w:r>
    </w:p>
    <w:p>
      <w:pPr>
        <w:spacing w:after="0" w:line="117" w:lineRule="exact"/>
        <w:rPr>
          <w:sz w:val="20"/>
          <w:szCs w:val="20"/>
          <w:color w:val="auto"/>
        </w:rPr>
      </w:pPr>
    </w:p>
    <w:p>
      <w:pPr>
        <w:ind w:left="960" w:right="120" w:hanging="480"/>
        <w:spacing w:after="0" w:line="277"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scope, timing and progress of our ongoing clinical trials as well as any other preclinical and clinical development activities which may be affected by, among other things, the COVID-19 pandemic;</w:t>
      </w:r>
    </w:p>
    <w:p>
      <w:pPr>
        <w:spacing w:after="0" w:line="62" w:lineRule="exact"/>
        <w:rPr>
          <w:rFonts w:ascii="Arial" w:cs="Arial" w:eastAsia="Arial" w:hAnsi="Arial"/>
          <w:sz w:val="18"/>
          <w:szCs w:val="18"/>
          <w:color w:val="auto"/>
        </w:rPr>
      </w:pPr>
    </w:p>
    <w:p>
      <w:pPr>
        <w:ind w:left="960" w:right="220" w:hanging="480"/>
        <w:spacing w:after="0" w:line="277"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size and type of clinical trials and preclinical studies that we may be required to complete for our product candidates, as well as the cost and time of such studies and trials;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scope and prioritization of preclinical and clinical programs we decide to pursue;</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time and cost necessary to produce clinical supplies of our product candidates;</w:t>
      </w:r>
    </w:p>
    <w:p>
      <w:pPr>
        <w:spacing w:after="0" w:line="117" w:lineRule="exact"/>
        <w:rPr>
          <w:rFonts w:ascii="Arial" w:cs="Arial" w:eastAsia="Arial" w:hAnsi="Arial"/>
          <w:sz w:val="18"/>
          <w:szCs w:val="18"/>
          <w:color w:val="auto"/>
        </w:rPr>
      </w:pPr>
    </w:p>
    <w:p>
      <w:pPr>
        <w:ind w:left="960" w:right="460" w:hanging="480"/>
        <w:spacing w:after="0" w:line="277"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time and cost necessary to scale our manufacturing capabilities following regulatory approval and commercial launch of any product candidates;</w:t>
      </w:r>
    </w:p>
    <w:p>
      <w:pPr>
        <w:spacing w:after="0" w:line="62" w:lineRule="exact"/>
        <w:rPr>
          <w:rFonts w:ascii="Arial" w:cs="Arial" w:eastAsia="Arial" w:hAnsi="Arial"/>
          <w:sz w:val="18"/>
          <w:szCs w:val="18"/>
          <w:color w:val="auto"/>
        </w:rPr>
      </w:pPr>
    </w:p>
    <w:p>
      <w:pPr>
        <w:ind w:left="960" w:right="160" w:hanging="480"/>
        <w:spacing w:after="0" w:line="277"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we have entered or may in the future enter into collaborations and research and development agreements;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timing and amount of payments we may receive or are obligated to pay under our collaboration agreements and license agreements;</w:t>
      </w:r>
    </w:p>
    <w:p>
      <w:pPr>
        <w:spacing w:after="0" w:line="128" w:lineRule="exact"/>
        <w:rPr>
          <w:rFonts w:ascii="Arial" w:cs="Arial" w:eastAsia="Arial" w:hAnsi="Arial"/>
          <w:sz w:val="17"/>
          <w:szCs w:val="17"/>
          <w:color w:val="auto"/>
        </w:rPr>
      </w:pPr>
    </w:p>
    <w:p>
      <w:pPr>
        <w:ind w:left="960" w:hanging="480"/>
        <w:spacing w:after="0"/>
        <w:tabs>
          <w:tab w:leader="none" w:pos="9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maintain our current licenses and research and development programs and to establish new collaboration arrangements;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1" w:name="page42"/>
    <w:bookmarkEnd w:id="41"/>
    <w:p>
      <w:pPr>
        <w:ind w:left="960" w:hanging="480"/>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and other intellectual property claims, including our ongoing litigation;</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any future litigation to which we may become a party;</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and timing of regulatory approvals; and</w:t>
      </w:r>
    </w:p>
    <w:p>
      <w:pPr>
        <w:spacing w:after="0" w:line="117" w:lineRule="exact"/>
        <w:rPr>
          <w:rFonts w:ascii="Arial" w:cs="Arial" w:eastAsia="Arial" w:hAnsi="Arial"/>
          <w:sz w:val="18"/>
          <w:szCs w:val="18"/>
          <w:color w:val="auto"/>
        </w:rPr>
      </w:pPr>
    </w:p>
    <w:p>
      <w:pPr>
        <w:ind w:left="960" w:right="140" w:hanging="480"/>
        <w:spacing w:after="0" w:line="277"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including personnel to support development and commercialization of our product candidates and satisfy our obligations as a public company.</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If we are unable to obtain funding on a timely basis or on acceptable terms, we may have to delay, reduce or terminate our research and development programs and preclinical studies or clinical trials, limit strategic opportunities or undergo reductions in our workforce or other corporate restructuring activities. We also could be required to seek funds through arrangements with collaborators or others that may require us to relinquish rights to some of our technologies or product candidates that we would otherwise pursue on our own. We do not expect to realize revenue from sales of products or royalties from licensed products in the foreseeable future, if at all, and unless and until our product candidates are clinically tested, approved for commercialization and successfully marketed. To date, we have financed our operations primarily through sales of our common stock, sale of our convertible preferred securities prior to our IPO and payments received under our collaboration agreements, including, most recently, the Collaboration and License Agreement that we entered into with Astellas in March 2020. We will be required to seek additional funding in the future and currently intend to do so through additional collaborations, public or private equity offerings or debt financings, credit or loan facilities or a combination of one or more of these funding sources. Our ability to raise additional funds will depend on financial, economic and other factors, many of which are beyond our control, including the COVID-19 pandemic. Additional funds may not be available to us on acceptable terms or at all. If we raise additional funds by issuing equity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w:t>
      </w:r>
    </w:p>
    <w:p>
      <w:pPr>
        <w:spacing w:after="0" w:line="275"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an uncertain outcome, and results of earlier studies and trials may not be predictive of future trial results. We may incur additional costs or experience delays in completing, or ultimately be unable to complete, the development and commercialization of our product candidates.</w:t>
      </w:r>
    </w:p>
    <w:p>
      <w:pPr>
        <w:spacing w:after="0" w:line="7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As is the case with all oncology drugs, our product candidates in clinical development or preclinical development have a high risk of failure. In 2019, we initiated a Phase 2 clinical trial of CX-2009 in patients with hormone receptor (ER, PR) positive, HER2 negative breast cancer, and we continued our Phase 1/2 clinical trials of CX-072 and CX-2009, which we initiated in 2017. We also initiated our Phase 1/2 clinical trial of CX-2029, our PDC candidate directed against CD71 in collaboration with AbbVie, for the treatment of cancer in June 2018. Each of these clinical trials is ongoing. In addition, in 2019 Bristol Myers Squibb initiated enrollment in a randomized Phase 2 cohort expansion in its ongoing Phase 1/2 clinical trial for BMS-986249, an anti-CTLA-4 Probody and initiated a Phase 1/2 trial for BMS-986288, a second anti-CTLA-4 Probody. It is impossible to predict when or if any of our or our partner’s product candidates will prove effective and safe in humans or will receive regulatory approval. Before obtaining marketing approval from regulatory authorities for the sale of any product candidate, we or our partners must complete extensive clinical trials to demonstrate the safety and efficacy of our product candidates in humans. Commencement of clinical trials for programs beyond CX-072, CX-2009, CX-2029, BMS-986249 and BMS-986288 is subject to finalizing the trial design and filing an IND or similar filing with the FDA or similar foreign regulatory authority. In addition, even if we file our IND or comparable submissions in other jurisdictions for these or other product candidates, the FDA or other regulatory authorities could disagree that we have satisfied their requirements to commence our clinical trials or disagree with our study design, which may require us to complete additional preclinical studies or amend our protocols or impose stricter conditions on the commencement of clinical trials and may delay our ability to begin Phase 1 clinical trials, causing an increase in the amount of time and expense required to develop our product candidates. As a result of the foregoing, the research and development, preclinical studies and clinical testing of any product candidate is expensive and can take many years to complete, and its outcome is inherently uncertain. Failure can occur at any time during the development process.</w:t>
      </w:r>
    </w:p>
    <w:p>
      <w:pPr>
        <w:spacing w:after="0" w:line="1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Further, we or our collaborators may also experience delays in completing ongoing clinical trials, completing preclinical studies or initiating further clinical trials of our product candidates, including, for example, among other things, as a result of the COVID-19 pandemic. We do not know whether our or our collaborators’ ongoing clinical trials or preclinical studies will be completed on schedule or at all, or whether planned clinical trials or preclinical studies will begin on time, need to be redesigned, enroll patients on time or be completed on schedule, if at all. We or our collaborators may have insufficient internal resources to complete ongoing clinical trials or initiate clinical trials for our other product candidates. The development programs for our product candidates may also be delayed for a variety of reasons, including delays related to:</w:t>
      </w:r>
    </w:p>
    <w:p>
      <w:pPr>
        <w:spacing w:after="0" w:line="84" w:lineRule="exact"/>
        <w:rPr>
          <w:sz w:val="20"/>
          <w:szCs w:val="20"/>
          <w:color w:val="auto"/>
        </w:rPr>
      </w:pPr>
    </w:p>
    <w:p>
      <w:pPr>
        <w:ind w:left="960" w:hanging="480"/>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recruiting suitable patients to participate in a clinical trial, particularly in light of the COVID-19 pandemic;</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developing and validating any companion diagnostic to be used in a clinical trial;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2" w:name="page43"/>
    <w:bookmarkEnd w:id="42"/>
    <w:p>
      <w:pPr>
        <w:ind w:left="960" w:right="60" w:hanging="480"/>
        <w:spacing w:after="0" w:line="277"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or other regulatory authorities requiring us to submit additional data or imposing other requirements before permitting us to initiate a clinical trial;</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regulatory clearance to commence a clinical trial;</w:t>
      </w:r>
    </w:p>
    <w:p>
      <w:pPr>
        <w:spacing w:after="0" w:line="117" w:lineRule="exact"/>
        <w:rPr>
          <w:rFonts w:ascii="Arial" w:cs="Arial" w:eastAsia="Arial" w:hAnsi="Arial"/>
          <w:sz w:val="18"/>
          <w:szCs w:val="18"/>
          <w:color w:val="auto"/>
        </w:rPr>
      </w:pPr>
    </w:p>
    <w:p>
      <w:pPr>
        <w:ind w:left="960" w:right="180" w:hanging="480"/>
        <w:spacing w:after="0" w:line="277"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 (“CROs”) and clinical trial sites, the terms of which can be subject to extensive negotiation and may vary significantly among different CROs and clinical trial sites;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institutional review board (“IRB”) approval at each clinical trial site;</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having patients complete a clinical trial or return for post-treatment follow-up;</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manufacturing our product candidates in sufficient quality and quantity for use in clinical trials; or</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electing to not pursue development and commercialization of our product candidates.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safety profiles, notwithstanding promising results in earlier trials.</w:t>
      </w:r>
    </w:p>
    <w:p>
      <w:pPr>
        <w:spacing w:after="0" w:line="29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b w:val="1"/>
          <w:bCs w:val="1"/>
          <w:i w:val="1"/>
          <w:iCs w:val="1"/>
          <w:color w:val="auto"/>
        </w:rPr>
        <w:t>Our product candidates are in early stages of development and may fail or suffer delays that materially and adversely affect their commercial viability. If we are unable to advance our product candidates through clinical development, obtain regulatory approval and ultimately commercialize such product candidates, or experience significant delays in doing so, our business will be materially harmed.</w:t>
      </w:r>
    </w:p>
    <w:p>
      <w:pPr>
        <w:spacing w:after="0" w:line="5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are very early in our development efforts, with only three product candidates, CX-072, CX-2009 and CX-2029, currently in early stage clinical development. In addition, Bristol Myers Squibb is currently evaluating BMS-986249, a CTLA-4-directed Probody therapeutic in a randomized cohort expansion trial of a Phase 1/2 clinical trial that it initiated in January 2018 and BMS-986288, a second anti-CTLA-4 Probody, in a Phase 1/2 trial it initiated in 2019. We have no products on the market and our ability to achieve and sustain profitability depends on obtaining regulatory approvals for and successfully commercializing our product candidates, either alone or with third parties. Before obtaining regulatory approval for the commercial distribution of our product candidates, we or our collaborator must conduct extensive preclinical tests and clinical trials to demonstrate sufficient safety and efficacy of our product candidates in patients.</w:t>
      </w:r>
    </w:p>
    <w:p>
      <w:pPr>
        <w:spacing w:after="0" w:line="195"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As a result, we may not have the financial resources to continue development of, or to modify existing or enter into new collaborations for, a product candidate if we experience any issues that delay or prevent regulatory approval of, or our ability to commercialize, product candidates, including:</w:t>
      </w:r>
    </w:p>
    <w:p>
      <w:pPr>
        <w:spacing w:after="0" w:line="16" w:lineRule="exact"/>
        <w:rPr>
          <w:sz w:val="20"/>
          <w:szCs w:val="20"/>
          <w:color w:val="auto"/>
        </w:rPr>
      </w:pPr>
    </w:p>
    <w:p>
      <w:pPr>
        <w:ind w:left="960" w:right="20" w:hanging="480"/>
        <w:spacing w:after="0" w:line="342" w:lineRule="auto"/>
        <w:tabs>
          <w:tab w:leader="none" w:pos="9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negative or inconclusive results from our clinical trials, the clinical trials of our collaborators or the clinical trials of others for product candidates similar to ours, leading to a decision or requirement to conduct additional preclinical testing or clinical trials or abandon a program;</w:t>
      </w:r>
    </w:p>
    <w:p>
      <w:pPr>
        <w:spacing w:after="0" w:line="15" w:lineRule="exact"/>
        <w:rPr>
          <w:rFonts w:ascii="Arial" w:cs="Arial" w:eastAsia="Arial" w:hAnsi="Arial"/>
          <w:sz w:val="16"/>
          <w:szCs w:val="16"/>
          <w:color w:val="auto"/>
        </w:rPr>
      </w:pPr>
    </w:p>
    <w:p>
      <w:pPr>
        <w:ind w:left="960" w:right="400" w:hanging="480"/>
        <w:spacing w:after="0" w:line="277"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product-related side effects experienced by participants in our clinical trials, the clinical trials of our collaborators or by individuals using drugs or therapeutic biologics similar to our product candidates;</w:t>
      </w:r>
    </w:p>
    <w:p>
      <w:pPr>
        <w:spacing w:after="0" w:line="62" w:lineRule="exact"/>
        <w:rPr>
          <w:rFonts w:ascii="Arial" w:cs="Arial" w:eastAsia="Arial" w:hAnsi="Arial"/>
          <w:sz w:val="18"/>
          <w:szCs w:val="18"/>
          <w:color w:val="auto"/>
        </w:rPr>
      </w:pPr>
    </w:p>
    <w:p>
      <w:pPr>
        <w:ind w:left="960" w:right="420" w:hanging="480"/>
        <w:spacing w:after="0" w:line="277"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conditions imposed by the FDA or comparable foreign authorities regarding the scope or design of our clinical trials;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in enrolling research subjects in clinical trials;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high drop-out rates of research subjects;</w:t>
      </w:r>
    </w:p>
    <w:p>
      <w:pPr>
        <w:spacing w:after="0" w:line="117" w:lineRule="exact"/>
        <w:rPr>
          <w:rFonts w:ascii="Arial" w:cs="Arial" w:eastAsia="Arial" w:hAnsi="Arial"/>
          <w:sz w:val="18"/>
          <w:szCs w:val="18"/>
          <w:color w:val="auto"/>
        </w:rPr>
      </w:pPr>
    </w:p>
    <w:p>
      <w:pPr>
        <w:ind w:left="960" w:right="120" w:hanging="480"/>
        <w:spacing w:after="0" w:line="277"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inadequate supply or quality of product candidate components or materials or other supplies necessary for the conduct of our clinical trials or the clinical trials of our collaborators;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 in the development or approval of companion diagnostic tests for our product candidates;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clinical trial site;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3" w:name="page44"/>
    <w:bookmarkEnd w:id="43"/>
    <w:p>
      <w:pPr>
        <w:ind w:left="960" w:right="20" w:hanging="480"/>
        <w:spacing w:after="0" w:line="277"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62" w:lineRule="exact"/>
        <w:rPr>
          <w:rFonts w:ascii="Arial" w:cs="Arial" w:eastAsia="Arial" w:hAnsi="Arial"/>
          <w:sz w:val="18"/>
          <w:szCs w:val="18"/>
          <w:color w:val="auto"/>
        </w:rPr>
      </w:pPr>
    </w:p>
    <w:p>
      <w:pPr>
        <w:ind w:left="960" w:right="440" w:hanging="480"/>
        <w:spacing w:after="0" w:line="277"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varying interpretations of data by the FDA and similar foreign regulatory agencies.</w:t>
      </w:r>
    </w:p>
    <w:p>
      <w:pPr>
        <w:spacing w:after="0" w:line="225"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We could find that the therapeutics we or our collaborators pursue are not safe or efficacious. Further, a clinical trial may be suspended or terminated by us, our collaborators, the IRBs of the institutions in which such trials are being conducted, the Data Safety Monitoring Board for such trial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or therapeutic biologic, changes in governmental regulations or administrative actions or lack of adequate funding to continue the clinical trial. Furthermore, we expect to rely on our collaborators, CROs and clinical trial sites to ensure proper and timely conduct of our clinical trials and while we expect to enter into agreements governing their committed activities, we have limited influence over their actual performance.</w:t>
      </w:r>
    </w:p>
    <w:p>
      <w:pPr>
        <w:spacing w:after="0" w:line="178"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If we or our collaborators experience delays in the completion of, or termination of, any clinical trial of our product candidates, the commercial prospects of our product candidates will be harmed, and our ability to generate product revenues or receive royalties from any of these product candidates will be delayed. In addition, any delays in completing our clinical trials will increase our costs, slow down our product development and approval process and jeopardize our ability to commence product sales and generate revenues. Furthermore, if one or more of our product candidates or our Probody therapeutic technology generally prove to be ineffective, unsafe or commercially unviable, the development of our entire platform and pipeline could be delayed, potentially permanently. Any of these occurrences may materially and adversely affect our business, financial condition, results of operations and prospects. In addition, many of the factors that cause, or lead to, a delay in the commencement or completion of clinical trials may also ultimately lead to the denial of regulatory approval of our product candidates.</w:t>
      </w:r>
    </w:p>
    <w:p>
      <w:pPr>
        <w:spacing w:after="0" w:line="178"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For example, in March 2020, we made the strategic decision to terminate our Phase 2 clinical trial evaluating CX-072 in combination ipilimumab in melanoma. This decision followed a re-evaluation of the evolving clinical, competitive and commercial landscapes in immuno-oncology, taken together with impact of the COVID-19 pandemic.</w:t>
      </w:r>
    </w:p>
    <w:p>
      <w:pPr>
        <w:spacing w:after="0" w:line="292"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For example, we have reported preliminary data from our ongoing clinical trials of CX-072 and CX-2009 at various meetings and at our CytomX 2019 R&amp;D Day. We also make assumptions, estimations, calculations and conclusions as part of our analyses of data, and we may not have received or had the opportunity to fully and carefully evaluate all data. Further, as a result of the COVID-19 or for other reasons, we may not be able to collect accurate or complete data at the time we collect such preliminary data, including as a result of the inability of sites to properly record data due to staffing limitations or the inability of patients to visit sites at scheduled times, the inability of CROs to access site data or for other reasons.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4" w:name="page45"/>
    <w:bookmarkEnd w:id="44"/>
    <w:p>
      <w:pPr>
        <w:ind w:right="140"/>
        <w:spacing w:after="0" w:line="263" w:lineRule="auto"/>
        <w:rPr>
          <w:sz w:val="20"/>
          <w:szCs w:val="20"/>
          <w:color w:val="auto"/>
        </w:rPr>
      </w:pPr>
      <w:r>
        <w:rPr>
          <w:rFonts w:ascii="Arial" w:cs="Arial" w:eastAsia="Arial" w:hAnsi="Arial"/>
          <w:sz w:val="18"/>
          <w:szCs w:val="18"/>
          <w:b w:val="1"/>
          <w:bCs w:val="1"/>
          <w:i w:val="1"/>
          <w:iCs w:val="1"/>
          <w:color w:val="auto"/>
        </w:rPr>
        <w:t>Our product candidates may cause undesirable side effects at any time during or after the clinical trial process that could delay or prevent their regulatory approval, limit the commercial profile of an approved label, or result in significant negative consequences following marketing approval, if any, including withdrawal from the market.</w:t>
      </w:r>
    </w:p>
    <w:p>
      <w:pPr>
        <w:spacing w:after="0" w:line="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Undesirable side effects caused by our product candidates could cause us, our collaborators or regulatory authorities to interrupt, delay or halt clinical trials and could result in a more restrictive label or the delay or denial of regulatory approval by the FDA or other regulatory authorities. As is the case with all oncology drugs, there may be immediate or late side effects associated with the use of our product candidates (e.g. CX-072, CX-2009 and CX-2029). There can be no assurance that unexpected adverse events will not occur in our ongoing trials or in future trials involving our product candidates or the product candidates of our collaborators. Undesirable side effects may appear in later trials that were not observed in our earlier trials or may be more severe in later trials than earlier trials.</w:t>
      </w:r>
    </w:p>
    <w:p>
      <w:pPr>
        <w:spacing w:after="0" w:line="192" w:lineRule="exact"/>
        <w:rPr>
          <w:sz w:val="20"/>
          <w:szCs w:val="20"/>
          <w:color w:val="auto"/>
        </w:rPr>
      </w:pPr>
    </w:p>
    <w:p>
      <w:pPr>
        <w:jc w:val="both"/>
        <w:ind w:right="120"/>
        <w:spacing w:after="0" w:line="287" w:lineRule="auto"/>
        <w:rPr>
          <w:sz w:val="20"/>
          <w:szCs w:val="20"/>
          <w:color w:val="auto"/>
        </w:rPr>
      </w:pPr>
      <w:r>
        <w:rPr>
          <w:rFonts w:ascii="Arial" w:cs="Arial" w:eastAsia="Arial" w:hAnsi="Arial"/>
          <w:sz w:val="16"/>
          <w:szCs w:val="16"/>
          <w:color w:val="auto"/>
        </w:rPr>
        <w:t>In June 2019, we reported that the administration of monotherapy CX-072 has been generally well tolerated with the majority of treatment-related adverse events (“TRAEs”) as Grade 1/2. At that time, we also reported that of the 72 monotherapy patients treated with 10mg/kg every two weeks and who were evaluable for safety, 6% of patients experienced a grade ≥3 TRAE, and 3% experienced grade ≥3 immune related adverse events (irAEs), with no (0%)</w:t>
      </w:r>
    </w:p>
    <w:p>
      <w:pPr>
        <w:spacing w:after="0" w:line="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TRAEs leading to treatment discontinuation. We have also reported that at the 10 mg/kg dose the anti-drug antibody (“ADA”) rate was approximately 62%. While we do not believe this ADA is impacting our ability to reach targeted drug exposures, we cannot provide assurance that the rate will not change or that it will not later limit drug exposure or cause severe adverse events. We also cannot provide assurance that the rates and the types of adverse events will not increase with time as more patients are treated in ongoing or future studies.</w:t>
      </w:r>
    </w:p>
    <w:p>
      <w:pPr>
        <w:spacing w:after="0" w:line="176"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Administration of CX-072 in combination with ipilimumab has been generally well tolerated with the majority of TRAEs as Grade 1/2. In October 2019, we reported that of the 27 patients treated across all combination doses, Grade 3/4 TRAEs were reported in nine (33%) patients and Grade 3/4 irAEs were reported in six (22%) patients. Of the 20 patients treated with ipilimumab at 3 mg/kg at varying doses of CX-072, Grade 3/4 TRAEs were reported in five (25%) patients and Grade 3/4 irAEs were reported in three (15%) patients. We cannot provide assurance that these rates and the types of adverse events will not increase over time with more patients being treated in ongoing or future studies of our product candidates.</w:t>
      </w:r>
    </w:p>
    <w:p>
      <w:pPr>
        <w:spacing w:after="0" w:line="176"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Administration of CX-2009 has also been generally well tolerated with most reported TRAEs being Grade 1/2. In February 2019 we announced that 23/76 (30.3%) patients experienced a Grade 3/4 TRAE. The most common adverse event observed was ocular toxicity, an anticipated toxicity associated with the DM4 payload. Other Grade 3/4 TRAEs included liver function test abnormalities, gastrointestinal disorders and nervous system disorders. We cannot guarantee that these rates and the types of adverse events will not increase over time with more patients being treated in ongoing or future studies.</w:t>
      </w:r>
    </w:p>
    <w:p>
      <w:pPr>
        <w:spacing w:after="0" w:line="15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results of our future clinical trials or the clinical trials of our collaborators could reveal a high and unacceptable severity of adverse side effects including immune system related adverse events or increased toxicity, and it is possible that patients enrolled in such clinical trials could respond in unexpected ways or otherwise have unexpected adverse events. For example, in October 2019, we announced the initiation of our first Phase 2 clinical trial of CX-072 at a dose level of 10 mg/kg in combination with ipilimumab at a dose level of 3mg/kg. This dose of ipilimumab in combination with another PD agent, Opdivo® (nivolumab), is often not tolerated by patients. While we believe our Phase 1 clinical data supports this combination, only further clinical testing will determine whether such a combination is tolerable for patients. However, in March 2020, we made the strategic decision to terminate the Phase 2 study evaluating CX-072 in combination with ipilimumab. This decision followed a re-evaluation of the evolving clinical, competitive and commercial landscapes in immuno-oncology, taken together with impact of the COVID-19 pandemic.</w:t>
      </w:r>
    </w:p>
    <w:p>
      <w:pPr>
        <w:spacing w:after="0" w:line="178"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In May 2020 we announced that CX-2029 was generally well tolerated at doses up to 3mg/kg with the most common TRAEs being infusion related reactions, anemia and neutropenia/leukopenia. Grade 3 or greater hematologic TRAEs, anemia and neutropenia, were dose dependent, with anemia being managed with transfusions and supportive care. The etiology of anemia is under investigation and is likely to be multi-factorial, including MMAE-related and CD71expression on red blood cell precursors. While we believe these TRAEs are manageable, there can be no assurance that the rate or severity of any of these side effects will not increase over time with more patients being treated in ongoing or future studies.</w:t>
      </w:r>
    </w:p>
    <w:p>
      <w:pPr>
        <w:spacing w:after="0" w:line="16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Additionally, the Phase 2 clinical trial of BMS-986249 being conducted by Bristol Myers Squibb includes the administration of the product candidate at relatively high dosage levels, which could further exacerbate such risks. In our Phase 2 clinical trial with CX-2009 and CX-2029, we are targeting CD166 and CD71, respectively, targets that are broadly expressed on normal tissue, which could create unacceptable toxicity or fail to result in anti-tumor activity. For instance, CD71 is a metabolic protein with high levels of expression in healthy tissues, and the consequences of targeting such protein in humans are unknown. Any future clinical trials of our product candidates could face similar or heightened risks depending on the modality.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5" w:name="page46"/>
    <w:bookmarkEnd w:id="45"/>
    <w:p>
      <w:pPr>
        <w:spacing w:after="0" w:line="269" w:lineRule="auto"/>
        <w:rPr>
          <w:sz w:val="20"/>
          <w:szCs w:val="20"/>
          <w:color w:val="auto"/>
        </w:rPr>
      </w:pPr>
      <w:r>
        <w:rPr>
          <w:rFonts w:ascii="Arial" w:cs="Arial" w:eastAsia="Arial" w:hAnsi="Arial"/>
          <w:sz w:val="17"/>
          <w:szCs w:val="17"/>
          <w:color w:val="auto"/>
        </w:rPr>
        <w:t>In the event that our clinical trials or the clinical trials of our collaborators reveal severe adverse side effects, our trials or the clinical trials of our collaborators could be suspended or terminated and the FDA or comparable foreign regulatory authorities could impose a clinical hold, order us to cease further development of or deny approval of our product candidates for any or all targeted indications. Such side effects could also affect patient recruitment or the ability of enrolled patients to complete the trial or result in potential product liability claims. For example, in our Phase 1/2 clinical trial of CX-2009, some patients have stopped treatment due to ocular toxicity. While we are using ocular toxicity prophylactic measures in our dose optimization phase and our Phase 2 clinical trial, we cannot be assured that such measures will be effective. In addition, any of these occurrences with respect to one of our product candidates could negatively affect our or any collaborator’s ability to enroll patients and seek regulatory approval for other product candidates that we have developed using our Probody platform, which could also result in a collaborator terminating any program utilizing our Probody platform and the termination of such collaborative relationship. Any of these occurrences may materially and adversely affect our business, financial condition, results of operations and prospects. 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w:t>
      </w:r>
    </w:p>
    <w:p>
      <w:pPr>
        <w:spacing w:after="0" w:line="17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In the event that any of our product candidates receives regulatory approval and we, our collaborators or others identify undesirable side effects caused by such product or any other Probody therapeutics, any of the following adverse events could occur, which could result in the loss of significant revenue to us and materially and adversely affect our results of operations and business:</w:t>
      </w:r>
    </w:p>
    <w:p>
      <w:pPr>
        <w:spacing w:after="0" w:line="76" w:lineRule="exact"/>
        <w:rPr>
          <w:sz w:val="20"/>
          <w:szCs w:val="20"/>
          <w:color w:val="auto"/>
        </w:rPr>
      </w:pPr>
    </w:p>
    <w:p>
      <w:pPr>
        <w:ind w:left="960" w:hanging="480"/>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seize the product;</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or our collaborators may be required to recall the product or change the way the product is administered to patients;</w:t>
      </w:r>
    </w:p>
    <w:p>
      <w:pPr>
        <w:spacing w:after="0" w:line="117" w:lineRule="exact"/>
        <w:rPr>
          <w:rFonts w:ascii="Arial" w:cs="Arial" w:eastAsia="Arial" w:hAnsi="Arial"/>
          <w:sz w:val="18"/>
          <w:szCs w:val="18"/>
          <w:color w:val="auto"/>
        </w:rPr>
      </w:pPr>
    </w:p>
    <w:p>
      <w:pPr>
        <w:ind w:left="960" w:right="520" w:hanging="480"/>
        <w:spacing w:after="0" w:line="277"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In addition, adverse side effects caused by any drugs of other companies utilizing the same or similar anti-bodies of our product candidates, or that are similar in nature to our product candidates could delay or prevent regulatory approval of our product candidates, limit the commercial profile of an approved label for our product candidates, or result in significant negative consequences following marketing approval.</w:t>
      </w:r>
    </w:p>
    <w:p>
      <w:pPr>
        <w:spacing w:after="0" w:line="165"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We believe that any of these events could prevent us from achieving or maintaining market acceptance of our product candidates and could substantially increase the costs of commercializing our product candidates, if approved, and significantly impact our ability to successfully commercialize our product candidates and generate revenues.</w:t>
      </w:r>
    </w:p>
    <w:p>
      <w:pPr>
        <w:spacing w:after="0" w:line="292"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76"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Patient enrollment, a significant factor in the timing of clinical trials, is affected by many factors, including:</w:t>
      </w:r>
    </w:p>
    <w:p>
      <w:pPr>
        <w:spacing w:after="0" w:line="89" w:lineRule="exact"/>
        <w:rPr>
          <w:sz w:val="20"/>
          <w:szCs w:val="20"/>
          <w:color w:val="auto"/>
        </w:rPr>
      </w:pPr>
    </w:p>
    <w:p>
      <w:pPr>
        <w:ind w:left="960" w:hanging="480"/>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ongoing COVID-19 pandemic;</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size and nature of the target patient population;</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eligibility criteria for the clinical trial;</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availability of an appropriate genomic screening test;</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6" w:name="page47"/>
    <w:bookmarkEnd w:id="46"/>
    <w:p>
      <w:pPr>
        <w:ind w:left="960" w:hanging="480"/>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For example, in March 2020, we announced the temporary pause in new patient enrollment and new site activation in our Phase 2 clinical trial of CX-2009 as a result of the COVID-19 pandemic and there can be no assurances that the COVID-19 pandemic will not continue to have a significant impact on our ability to complete our ongoing clinical trials and enroll patients in any planned or future clinical trials.</w:t>
      </w:r>
    </w:p>
    <w:p>
      <w:pPr>
        <w:spacing w:after="0" w:line="184"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In addition, competing clinical trials and clinicians’ and patients’ perceptions as to the potential advantages of the product candidate being studied in relation to other available therapies, including any new drugs or therapeutic biologics that may be approved for the indications we are investigating, could affect our ability to enroll a sufficient number of eligible patients in our clinical trials. For example, in our Phase 1/2 clinical trial of CX-072, which is directed against PD-L1, we were only permitted to enroll patients with cancer types for which there are no PD inhibitors available for sale. As there are currently several PD-1 and/or PD-L1 agents approved for a growing list of cancer types along with hundreds of clinical trials exploring the use of PD-1 and PD-L1 agents, there was no assurance that patients would choose to enroll in our clinical trial. While that trial is fully enrolled, there can be no assurance that further trials with CX-072 or our other drug candidates will not be adversely affected by a limited patient population. Our clinical trials of CX-2009 and CX-2029 study patients who have one or a select number of specific tumor types rather than patients suffering from any cancer, which limits the rate of enrollment of the trial. In addition, some of our clinical trials seek to treat indications with small population sizes which could be particularly difficult to enroll. Our clinical trials of CX-2009 and CX-2029 are also competing with hundreds of clinical trials with alternative anti-cancer drugs in a similar class (e.g. antibody drug conjugates), and certain arms of the clinical trials may be difficult to enroll due to the emerging standard of care for such indications in certain jurisdictions, including the United States. Any clinical trials of our product candidates initiated by our collaborators, including Bristol Myers Squibb’s ongoing Phase 2 clinical trial, face similar and additional risks relating to enrollment. We or our collaborators could also encounter delays in the development of any of our product candidates if prescribing physicians encounter unresolved ethical issues associated with enrolling patients in clinical trials of our product candidates in lieu of prescribing existing treatments that have established safety and efficacy profiles. Any delays relating to patient enrollment could cause significant delays in the timing of our clinical trials or the clinical trials of our collaborators, which may materially and adversely affect our business, financial condition, results of operations and prospects.</w:t>
      </w:r>
    </w:p>
    <w:p>
      <w:pPr>
        <w:spacing w:after="0" w:line="29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approach to the discovery and development of our therapeutic treatments is based on novel technologies that are unproven and may not result in marketable products.</w:t>
      </w:r>
    </w:p>
    <w:p>
      <w:pPr>
        <w:spacing w:after="0" w:line="62"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We plan to continue to develop a pipeline of product candidates using our proprietary Probody platform. We believe that product candidates (including cancer immunotherapies, PDCs and bispecific antibodies) identified with our product discovery platform may offer an improved therapeutic approach by taking advantage of unique conditions in the tumor microenvironment, thereby reducing the dose-limiting toxic effects associated with traditional antibody products, which can also attack healthy tissue. However, the scientific research that forms the basis of our efforts to develop product candidates based on our Probody platform is ongoing, including the research resulting from our ongoing clinical trials for CX-072, CX-2009 and CX-2029.</w:t>
      </w:r>
    </w:p>
    <w:p>
      <w:pPr>
        <w:spacing w:after="0" w:line="161"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We may ultimately discover that our Probody platform and any product candidates resulting from it do not possess certain properties required for therapeutic effectiveness or protection from toxicity. For example, when Probody therapeutics are administered to human subjects, protease levels in tumors may not be sufficient and the peptide mask may not be cleaved, which would limit the potential efficacy of the antibody. In addition, if the peptide mask is inappropriately released, for example, due to an inflammatory disease, it may reduce the potential to limit toxicity of the anti-cancer agent or result in unforeseen events when administered in humans. Binding of the peptide mask to the antigen binding domain of the Probody may not be constant, which could lead to intermittent periods when the antigen binding domain or antibody portion is unmasked. Furthermore, Probody product candidates may not remain stable in the human body for the period of time required for the drug to reach and to bind to the target tissue. In addition, product candidates based on our Probody platform may demonstrate different chemical and pharmacological properties in patients than they do in laboratory studies. Although our Probody platform and certain product candidates have demonstrated successful results in animal studies, they may not demonstrate the same chemical and pharmacological properties in humans and may interact with human biological systems in unforeseen, ineffective or harmful ways. Our understanding of the molecular pharmacology of Probody therapeutics, that is, the precise manner and sequence in which they are activated and behave in vivo, is incomplete. Probody therapeutics are complex biological molecules and we are evaluating the performance of this new technology in cancer patients for the first time. Many specific elements of Probody therapeutic function may contribute to their overall safety and efficacy profile including, but not limited to, the removal of only one mask from the dually masked antibody, the removal of both masks from the dually masked antibody, the binding strength of masks for the underlying antibody, and the binding strength of the underlying antibody for its target. We have limited structural evidence for how masks interact with antibodies. It may take many years before we develop a full understanding of Probody pharmacology, and we may never know precisely how they function in vivo. As with any new biologic or product developed on a novel platform, we have a limited understanding of the immunogenicity profile of Probody therapeutics. As a result, our Probody product candidates may trigger immune responses, such as ADA, that may inhibit the ability of the antibody to reach the target tissue, inhibit the ability of the antibody to bind to its target, cause adverse side effects in humans or cause hypersensitivity</w:t>
      </w:r>
    </w:p>
    <w:p>
      <w:pPr>
        <w:spacing w:after="0" w:line="11" w:lineRule="exact"/>
        <w:rPr>
          <w:sz w:val="20"/>
          <w:szCs w:val="20"/>
          <w:color w:val="auto"/>
        </w:rPr>
      </w:pPr>
    </w:p>
    <w:p>
      <w:pPr>
        <w:ind w:right="980"/>
        <w:spacing w:after="0" w:line="290" w:lineRule="auto"/>
        <w:rPr>
          <w:sz w:val="20"/>
          <w:szCs w:val="20"/>
          <w:color w:val="auto"/>
        </w:rPr>
      </w:pPr>
      <w:r>
        <w:rPr>
          <w:rFonts w:ascii="Arial" w:cs="Arial" w:eastAsia="Arial" w:hAnsi="Arial"/>
          <w:sz w:val="17"/>
          <w:szCs w:val="17"/>
          <w:color w:val="auto"/>
        </w:rPr>
        <w:t>reactions. For example, we reported in February 2019 that in our CX-072 trial at the 10 mg/kg dose, the anti-drug antibody (“ADA”) rate was approximately 62%. We do not believe the ADA rate is impacting our ability to reach targeted drug exposures. However, we cannot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7" w:name="page48"/>
    <w:bookmarkEnd w:id="47"/>
    <w:p>
      <w:pPr>
        <w:ind w:right="80"/>
        <w:spacing w:after="0" w:line="263" w:lineRule="auto"/>
        <w:rPr>
          <w:sz w:val="20"/>
          <w:szCs w:val="20"/>
          <w:color w:val="auto"/>
        </w:rPr>
      </w:pPr>
      <w:r>
        <w:rPr>
          <w:rFonts w:ascii="Arial" w:cs="Arial" w:eastAsia="Arial" w:hAnsi="Arial"/>
          <w:sz w:val="18"/>
          <w:szCs w:val="18"/>
          <w:color w:val="auto"/>
        </w:rPr>
        <w:t>provide assurance that it will not later limit drug exposure or cause severe adverse events. Problems that are specific to our Probody platform may have an unfavorable impact on all of our product candidates. As a result, we may never succeed in developing a marketable product and we may never become profitable, which would cause the value of our common stock to decline.</w:t>
      </w:r>
    </w:p>
    <w:p>
      <w:pPr>
        <w:spacing w:after="0" w:line="184"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In addition, the scientific evidence to support the feasibility of developing product candidates against novel, difficult to drug targets, is both preliminary and limited. For example, our understanding of the expression of CD166 and CD71 in both healthy and diseased tissues is still developing. As a result, we cannot provide any assurance that we will be able to successfully identify and advance any product candidates to target novel, difficult to drug targets.</w:t>
      </w:r>
    </w:p>
    <w:p>
      <w:pPr>
        <w:spacing w:after="0" w:line="14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believe the only clinical experience that the FDA and foreign regulatory authorities have with Probody-based therapeutics in oncology comes from CX-072, CX-2009, CX-2029 and BMS-986249. We believe that the FDA and foreign regulatory authorities, have no clinical experience in other disease areas, and such limited experience may increase the complexity, uncertainty and length of the regulatory approval process for our product candidates and may keep us from commencing first-in-human trials in certain countries. As there is limited historical precedent for the regulatory clearance of Probody-based therapeutics in oncology, there is a higher degree of risk that the FDA or other regulatory authorities could disagree that we or our collaborators have satisfied their requirements to commence clinical trials for some product candidates or disagree with our study designs, which may require us to complete additional preclinical studies or amend our protocols or impose stricter conditions on the commencement of clinical trials. In addition, local clinical practice in other countries may affect whether we or our collaborators are able to initiate a clinical trial there. As a result, we and our collaborators may never receive approval to market and commercialize any product candidate. Even if we or our collaborators obtain regulatory approval, the approval may be for targets, disease indications or patient populations that are not as broad as we or they intended or desired or may require labeling that includes significant use or distribution restrictions or safety warnings. We or our collaborators may be required to perform additional or unanticipated clinical trials to obtain approval or be subject to post-marketing testing requirements to maintain regulatory approval. If one or more of our product candidates or our Probody technology generally prove to be ineffective, unsafe or commercially unviable, our entire platform and pipeline may have little, if any, value, which would have a material and adverse effect on our business, financial condition, results of operations and prospects.</w:t>
      </w:r>
    </w:p>
    <w:p>
      <w:pPr>
        <w:spacing w:after="0" w:line="2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market may not be receptive to our product candidates based on a novel therapeutic modality, and we may not generate any future revenue from the sale or licensing of product candidates.</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Even if regulatory approval is obtained for a product candidate, we may not generate or sustain revenue from sales of the product due to factors such as whether the product can be sold at a competitive cost and whether it will otherwise be accepted in the market. The product candidates that we are developing are based on our Probody platform, which is a new technology and therapeutic approach. Market participants with significant influence over acceptance of new treatments, such as physicians and third-party payors, may not adopt a product or treatment based on our Probody platform and technologies, and we may not be able to convince the medical community and third-party payors to accept and use, or to provide favorable reimbursement for, any product candidates developed by us or our collaborators. This may be particularly true for any of our product candidates (including CX-072, BMS-986249 and BMS-986288) for which there are existing approved therapies, such as approved agents targeting PD-L1, PD-1, or CTLA-4. Market acceptance of our product candidates will depend on, among other factors:</w:t>
      </w:r>
    </w:p>
    <w:p>
      <w:pPr>
        <w:spacing w:after="0" w:line="70" w:lineRule="exact"/>
        <w:rPr>
          <w:sz w:val="20"/>
          <w:szCs w:val="20"/>
          <w:color w:val="auto"/>
        </w:rPr>
      </w:pPr>
    </w:p>
    <w:p>
      <w:pPr>
        <w:ind w:left="960" w:hanging="480"/>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of our receipt of any marketing and commercialization approvals;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terms of any approvals and the countries in which approvals are obtained;</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safety and efficacy of our product candidates, including those being developed by our collaborators;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 associated with our product candidates;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limitations or warnings contained in any labeling approved by the FDA or other regulatory authority;</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availability of effective companion diagnostics;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relative convenience and ease of administration of our product candidates;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willingness of patients to accept any new methods of administration;</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success of our physician education programs;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from government and third-party payors;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pricing of our products, particularly as compared to alternative treatments; and</w:t>
      </w:r>
    </w:p>
    <w:p>
      <w:pPr>
        <w:spacing w:after="0" w:line="117" w:lineRule="exact"/>
        <w:rPr>
          <w:rFonts w:ascii="Arial" w:cs="Arial" w:eastAsia="Arial" w:hAnsi="Arial"/>
          <w:sz w:val="18"/>
          <w:szCs w:val="18"/>
          <w:color w:val="auto"/>
        </w:rPr>
      </w:pPr>
    </w:p>
    <w:p>
      <w:pPr>
        <w:ind w:left="960" w:right="80" w:hanging="480"/>
        <w:spacing w:after="0" w:line="277"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availability of alternative effective treatments for the disease indications our product candidates are intended to treat and the relative risks, benefits and costs of those treatments.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8" w:name="page49"/>
    <w:bookmarkEnd w:id="48"/>
    <w:p>
      <w:pPr>
        <w:ind w:right="600"/>
        <w:spacing w:after="0" w:line="277" w:lineRule="auto"/>
        <w:rPr>
          <w:sz w:val="20"/>
          <w:szCs w:val="20"/>
          <w:color w:val="auto"/>
        </w:rPr>
      </w:pPr>
      <w:r>
        <w:rPr>
          <w:rFonts w:ascii="Arial" w:cs="Arial" w:eastAsia="Arial" w:hAnsi="Arial"/>
          <w:sz w:val="18"/>
          <w:szCs w:val="18"/>
          <w:color w:val="auto"/>
        </w:rPr>
        <w:t>If any product candidate we commercialize fails to achieve market acceptance, it could have a material and adverse effect on our business, financial condition, results of operations and prospects.</w:t>
      </w:r>
    </w:p>
    <w:p>
      <w:pPr>
        <w:spacing w:after="0" w:line="27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b w:val="1"/>
          <w:bCs w:val="1"/>
          <w:i w:val="1"/>
          <w:iCs w:val="1"/>
          <w:color w:val="auto"/>
        </w:rPr>
        <w:t>We have entered, and may in the future seek to enter, into collaborations with third parties for the development and commercialization of our product candidates using our Probody platform. If we fail to enter into such collaborations, or such collaborations are not successful, we may not be able to capitalize on the market potential of our Probody platform and resulting product candidates.</w:t>
      </w:r>
    </w:p>
    <w:p>
      <w:pPr>
        <w:spacing w:after="0" w:line="5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Since 2013, we have entered into collaborations with AbbVie, Amgen, Astellas, Bristol Myers Squibb, ImmunoGen, Pfizer and others to develop certain Probody therapeutics. We may in the future seek third-party collaborators for development and commercialization of other therapeutic technologies or product candidates. Biopharmaceutical companies are our prior and likely future collaborators for any marketing, distribution, development, licensing or broader collaboration arrangements. With respect to our existing collaboration agreements, and what we expect will be the case with any future collaboration agreements, we have and would expect to have limited control over whether such collaborations pursue the development of our product candidates or the amount and timing of resources that such collaborators dedicate to the development or commercialization of our product candidates. For instance, in March 2018, Pfizer terminated the collaboration agreement we had entered into with them in May 2013. Such collaboration agreement had entitled Pfizer to nominate up to four research targets and since 2013, we had collaborated with Pfizer on three of such targets. However, no program was ever advanced beyond the lead optimization stage pursuant to the agreement, and Pfizer had previously elected not to select a fourth target and had decided to discontinue its epidermal growth factor receptor Probody Drug Conjugate. In July 2017, ImmunoGen discontinued the preclinical evaluation of one of its two programs being developed under our collaboration and in December 2019, licensed the other program to us, terminating their license agreement from us. In addition, in January 2019, Bristol Myers Squibb terminated its programs for three targets it had selected under our agreement with them. As a result, there can be no assurances that any of the programs covered by our existing or future collaborations will be developed further. Further, our ability to generate revenues from our existing and future arrangements will depend on our collaborators’ abilities to successfully perform the functions assigned to them in these arrangements. Additionally, some of our collaborations may require us to share in certain development and commercialization expenses. If we cannot afford to share such expenses when required, our rights under such collaborations may be adversely affected, including potentially that our collaborator may terminate the relevant agreement.</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Overall, collaborations involving our product candidates currently pose, and will continue to pose, the following risks to us:</w:t>
      </w:r>
    </w:p>
    <w:p>
      <w:pPr>
        <w:spacing w:after="0" w:line="117" w:lineRule="exact"/>
        <w:rPr>
          <w:sz w:val="20"/>
          <w:szCs w:val="20"/>
          <w:color w:val="auto"/>
        </w:rPr>
      </w:pPr>
    </w:p>
    <w:p>
      <w:pPr>
        <w:ind w:left="960" w:right="860" w:hanging="480"/>
        <w:spacing w:after="0" w:line="277"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amount and timing of efforts and resources that they will apply to these collaborations, including, with respect to Bristol Myers Squibb, BMS-986249 and BMS-986288;</w:t>
      </w:r>
    </w:p>
    <w:p>
      <w:pPr>
        <w:spacing w:after="0" w:line="62" w:lineRule="exact"/>
        <w:rPr>
          <w:rFonts w:ascii="Arial" w:cs="Arial" w:eastAsia="Arial" w:hAnsi="Arial"/>
          <w:sz w:val="18"/>
          <w:szCs w:val="18"/>
          <w:color w:val="auto"/>
        </w:rPr>
      </w:pPr>
    </w:p>
    <w:p>
      <w:pPr>
        <w:ind w:left="960" w:right="500" w:hanging="480"/>
        <w:spacing w:after="0" w:line="311" w:lineRule="auto"/>
        <w:tabs>
          <w:tab w:leader="none" w:pos="9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our product candidates or may elect not to continue or renew development or commercialization programs based on preclinical or clinical trial results, changes in the collaborators’ strategic focus or available funding or resources, or external factors such as an acquisition that diverts resources or creates competing priorities;</w:t>
      </w:r>
    </w:p>
    <w:p>
      <w:pPr>
        <w:spacing w:after="0" w:line="40" w:lineRule="exact"/>
        <w:rPr>
          <w:rFonts w:ascii="Arial" w:cs="Arial" w:eastAsia="Arial" w:hAnsi="Arial"/>
          <w:sz w:val="16"/>
          <w:szCs w:val="16"/>
          <w:color w:val="auto"/>
        </w:rPr>
      </w:pPr>
    </w:p>
    <w:p>
      <w:pPr>
        <w:ind w:left="960" w:right="240" w:hanging="480"/>
        <w:spacing w:after="0" w:line="286" w:lineRule="auto"/>
        <w:tabs>
          <w:tab w:leader="none" w:pos="9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collaborators have significant discretion in designing any clinical trials they operate pursuant to our collaboration agreements, including Bristol Myers Squibb’s ongoing Phase 2 cohort expansion of BMS-986249 and its Phase 1/2 clinical trial of BMS-986288, and may release data from such clinical trials, including with respect to our Probody therapeutics, without consulting us;</w:t>
      </w:r>
    </w:p>
    <w:p>
      <w:pPr>
        <w:spacing w:after="0" w:line="57" w:lineRule="exact"/>
        <w:rPr>
          <w:rFonts w:ascii="Arial" w:cs="Arial" w:eastAsia="Arial" w:hAnsi="Arial"/>
          <w:sz w:val="17"/>
          <w:szCs w:val="17"/>
          <w:color w:val="auto"/>
        </w:rPr>
      </w:pPr>
    </w:p>
    <w:p>
      <w:pPr>
        <w:ind w:left="960" w:right="140" w:hanging="480"/>
        <w:spacing w:after="0" w:line="263"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 and are not necessarily required to give us information about their clinical data;</w:t>
      </w:r>
    </w:p>
    <w:p>
      <w:pPr>
        <w:spacing w:after="0" w:line="75" w:lineRule="exact"/>
        <w:rPr>
          <w:rFonts w:ascii="Arial" w:cs="Arial" w:eastAsia="Arial" w:hAnsi="Arial"/>
          <w:sz w:val="18"/>
          <w:szCs w:val="18"/>
          <w:color w:val="auto"/>
        </w:rPr>
      </w:pPr>
    </w:p>
    <w:p>
      <w:pPr>
        <w:ind w:left="960" w:hanging="480"/>
        <w:spacing w:after="0" w:line="263"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independently develop, or develop with third parties, products that compete directly or indirectly with our product candidate if the collaborators believe that competitive products are more likely to be successfully developed or can be commercialized under terms that are more economically attractive than ours;</w:t>
      </w:r>
    </w:p>
    <w:p>
      <w:pPr>
        <w:spacing w:after="0" w:line="75" w:lineRule="exact"/>
        <w:rPr>
          <w:rFonts w:ascii="Arial" w:cs="Arial" w:eastAsia="Arial" w:hAnsi="Arial"/>
          <w:sz w:val="18"/>
          <w:szCs w:val="18"/>
          <w:color w:val="auto"/>
        </w:rPr>
      </w:pPr>
    </w:p>
    <w:p>
      <w:pPr>
        <w:ind w:left="960" w:right="620" w:hanging="480"/>
        <w:spacing w:after="0" w:line="277"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products may not commit sufficient resources to the marketing and distribution of such product or products;</w:t>
      </w:r>
    </w:p>
    <w:p>
      <w:pPr>
        <w:spacing w:after="0" w:line="62" w:lineRule="exact"/>
        <w:rPr>
          <w:rFonts w:ascii="Arial" w:cs="Arial" w:eastAsia="Arial" w:hAnsi="Arial"/>
          <w:sz w:val="18"/>
          <w:szCs w:val="18"/>
          <w:color w:val="auto"/>
        </w:rPr>
      </w:pPr>
    </w:p>
    <w:p>
      <w:pPr>
        <w:ind w:left="960" w:right="160" w:hanging="480"/>
        <w:spacing w:after="0" w:line="263"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w:t>
      </w:r>
    </w:p>
    <w:p>
      <w:pPr>
        <w:spacing w:after="0" w:line="75" w:lineRule="exact"/>
        <w:rPr>
          <w:rFonts w:ascii="Arial" w:cs="Arial" w:eastAsia="Arial" w:hAnsi="Arial"/>
          <w:sz w:val="18"/>
          <w:szCs w:val="18"/>
          <w:color w:val="auto"/>
        </w:rPr>
      </w:pPr>
    </w:p>
    <w:p>
      <w:pPr>
        <w:ind w:left="960" w:right="600" w:hanging="480"/>
        <w:spacing w:after="0" w:line="277"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infringe, misappropriate or otherwise violate the intellectual property rights of third parties, which may expose us to litigation and potential liability;</w:t>
      </w:r>
    </w:p>
    <w:p>
      <w:pPr>
        <w:spacing w:after="0" w:line="62" w:lineRule="exact"/>
        <w:rPr>
          <w:rFonts w:ascii="Arial" w:cs="Arial" w:eastAsia="Arial" w:hAnsi="Arial"/>
          <w:sz w:val="18"/>
          <w:szCs w:val="18"/>
          <w:color w:val="auto"/>
        </w:rPr>
      </w:pPr>
    </w:p>
    <w:p>
      <w:pPr>
        <w:ind w:left="960" w:right="140" w:hanging="480"/>
        <w:spacing w:after="0" w:line="342" w:lineRule="auto"/>
        <w:tabs>
          <w:tab w:leader="none" w:pos="9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 candidate or that result in costly litigation or arbitration that diverts management attention and resources; and</w:t>
      </w:r>
    </w:p>
    <w:p>
      <w:pPr>
        <w:spacing w:after="0" w:line="15" w:lineRule="exact"/>
        <w:rPr>
          <w:rFonts w:ascii="Arial" w:cs="Arial" w:eastAsia="Arial" w:hAnsi="Arial"/>
          <w:sz w:val="16"/>
          <w:szCs w:val="16"/>
          <w:color w:val="auto"/>
        </w:rPr>
      </w:pPr>
    </w:p>
    <w:p>
      <w:pPr>
        <w:ind w:left="960" w:right="1060" w:hanging="480"/>
        <w:spacing w:after="0" w:line="277"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9" w:name="page50"/>
    <w:bookmarkEnd w:id="49"/>
    <w:p>
      <w:pPr>
        <w:ind w:right="240"/>
        <w:spacing w:after="0" w:line="279" w:lineRule="auto"/>
        <w:rPr>
          <w:sz w:val="20"/>
          <w:szCs w:val="20"/>
          <w:color w:val="auto"/>
        </w:rPr>
      </w:pPr>
      <w:r>
        <w:rPr>
          <w:rFonts w:ascii="Arial" w:cs="Arial" w:eastAsia="Arial" w:hAnsi="Arial"/>
          <w:sz w:val="17"/>
          <w:szCs w:val="17"/>
          <w:color w:val="auto"/>
        </w:rPr>
        <w:t>As a result of the foregoing, our current and any future collaboration agreements may not lead to development or commercialization of our product candidates in the most efficient manner or at all and may not result in the realization of the benefits we expected to achieve upon our entry into such agreements. Any failure to successfully develop or commercialize our product candidates pursuant to our current or any future collaboration agreements could have a material and adverse effect on our business, financial condition, results of operations and prospects.</w:t>
      </w:r>
    </w:p>
    <w:p>
      <w:pPr>
        <w:spacing w:after="0" w:line="279" w:lineRule="exact"/>
        <w:rPr>
          <w:sz w:val="20"/>
          <w:szCs w:val="20"/>
          <w:color w:val="auto"/>
        </w:rPr>
      </w:pPr>
    </w:p>
    <w:p>
      <w:pPr>
        <w:ind w:right="120"/>
        <w:spacing w:after="0" w:line="375" w:lineRule="auto"/>
        <w:rPr>
          <w:sz w:val="20"/>
          <w:szCs w:val="20"/>
          <w:color w:val="auto"/>
        </w:rPr>
      </w:pPr>
      <w:r>
        <w:rPr>
          <w:rFonts w:ascii="Arial" w:cs="Arial" w:eastAsia="Arial" w:hAnsi="Arial"/>
          <w:sz w:val="15"/>
          <w:szCs w:val="15"/>
          <w:b w:val="1"/>
          <w:bCs w:val="1"/>
          <w:i w:val="1"/>
          <w:iCs w:val="1"/>
          <w:color w:val="auto"/>
        </w:rPr>
        <w:t>If our collaborators cease development efforts under our collaboration agreements, or if any of those agreements are terminated, these collaborations may fail to lead to commercial products and we may never receive milestone payments or future royalties under these agreements.</w:t>
      </w:r>
    </w:p>
    <w:p>
      <w:pPr>
        <w:spacing w:after="0" w:line="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Substantially all of our revenue to date has been derived from our existing collaboration agreements, including, most recently, the agreement that we entered into with Astellas in March 2020, and a significant portion of our future revenue and cash resources is expected to be derived from these agreements or other similar agreements we may enter into in the future. Revenue from research and development collaborations depend upon continuation of the collaborations, reimbursement of development costs, the achievement of milestones and royalties, if any, derived from future products developed from our research. If we are unable to successfully advance the development of our product candidates or achieve milestones, revenue and cash resources from milestone payments under our collaboration agreements will be substantially less than expected.</w:t>
      </w:r>
    </w:p>
    <w:p>
      <w:pPr>
        <w:spacing w:after="0" w:line="17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addition, to the extent that any of our collaborators were to terminate a collaboration agreement, we may decide to independently develop these product candidates to the extent we retain development rights. Such development could include funding preclinical or clinical trials, assuming marketing and distribution costs and defending intellectual property rights. Alternatively, in certain instances, we may choose to abandon product candidates altogether. For instance, in March 2018, Pfizer terminated our 2013 collaboration agreement with them, and in January 2019, Bristol Myers Squibb terminated its programs for three targets that it had selected under our agreement with them. The termination of any of our collaboration agreements or individual programs within a collaboration agreement could result in a change to our business plan and may have a material adverse effect on our business, financial condition, results of operations and prospects. If a collaboration is terminated, we would not be eligible to receive the milestone, royalty or other payments that would have been payable under the collaboration agreement. For example, as a result of ImmunoGen’s decision to out-license the EpCAM program and our licensing of the program from them in 2019, their license for the program from us ended and we will not receive milestone or other payments from them.</w:t>
      </w:r>
    </w:p>
    <w:p>
      <w:pPr>
        <w:spacing w:after="0" w:line="3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and commercialization goals in the timeframes we announce and expect, the commercialization of any of our product candidates may be delayed, and our business will be harmed.</w:t>
      </w:r>
    </w:p>
    <w:p>
      <w:pPr>
        <w:spacing w:after="0" w:line="6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spacing w:after="0" w:line="56" w:lineRule="exact"/>
        <w:rPr>
          <w:sz w:val="20"/>
          <w:szCs w:val="20"/>
          <w:color w:val="auto"/>
        </w:rPr>
      </w:pPr>
    </w:p>
    <w:p>
      <w:pPr>
        <w:ind w:left="960" w:hanging="480"/>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available capital resources or capital constraints we experience;</w:t>
      </w:r>
    </w:p>
    <w:p>
      <w:pPr>
        <w:spacing w:after="0" w:line="117" w:lineRule="exact"/>
        <w:rPr>
          <w:rFonts w:ascii="Arial" w:cs="Arial" w:eastAsia="Arial" w:hAnsi="Arial"/>
          <w:sz w:val="18"/>
          <w:szCs w:val="18"/>
          <w:color w:val="auto"/>
        </w:rPr>
      </w:pPr>
    </w:p>
    <w:p>
      <w:pPr>
        <w:ind w:left="960" w:hanging="480"/>
        <w:spacing w:after="0" w:line="277"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trials and research and development activities, including the extent of scheduling conflicts with participating clinicians and collaborators;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trial eligibility criteria;</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receipt of approvals by the FDA and other regulatory authorities and the timing thereof;</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actions, decisions or rules issued by regulators;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access sufficient, reliable and affordable supplies of materials used in the manufacture of our product candidates;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manufacture and supply clinical trial materials to our clinical sites on a timely basis;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efforts of our collaborators with respect to the commercialization of our products; and</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securing of, costs related to, and timing issues associated with, product manufacturing as well as sales and marketing activities.</w:t>
      </w:r>
    </w:p>
    <w:p>
      <w:pPr>
        <w:spacing w:after="0" w:line="277"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For example, in March 2020, we announced the temporary pause in new patient enrollment and new site activation in our Phase 2 clinical trial of CX-2009 as a result of the COVID-19 pandemic and the termination of the Phase 2 clinical trial of CX-072 in combination with ipilimumab after a re-evaluation of the evolving clinical, competitive and commercial landscapes in immuno-oncology, taken together with impact of the COVID-19 pandemic.</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0" w:name="page51"/>
    <w:bookmarkEnd w:id="50"/>
    <w:p>
      <w:pPr>
        <w:ind w:right="180"/>
        <w:spacing w:after="0" w:line="277" w:lineRule="auto"/>
        <w:rPr>
          <w:sz w:val="20"/>
          <w:szCs w:val="20"/>
          <w:color w:val="auto"/>
        </w:rPr>
      </w:pPr>
      <w:r>
        <w:rPr>
          <w:rFonts w:ascii="Arial" w:cs="Arial" w:eastAsia="Arial" w:hAnsi="Arial"/>
          <w:sz w:val="18"/>
          <w:szCs w:val="18"/>
          <w:color w:val="auto"/>
        </w:rPr>
        <w:t>If we fail to achieve announced milestones in the timeframes we expect, the commercialization of any of our product candidates may be delayed, and our business and results of operations may be harmed.</w:t>
      </w:r>
    </w:p>
    <w:p>
      <w:pPr>
        <w:spacing w:after="0" w:line="278" w:lineRule="exact"/>
        <w:rPr>
          <w:sz w:val="20"/>
          <w:szCs w:val="20"/>
          <w:color w:val="auto"/>
        </w:rPr>
      </w:pPr>
    </w:p>
    <w:p>
      <w:pPr>
        <w:ind w:right="20"/>
        <w:spacing w:after="0" w:line="375" w:lineRule="auto"/>
        <w:rPr>
          <w:sz w:val="20"/>
          <w:szCs w:val="20"/>
          <w:color w:val="auto"/>
        </w:rPr>
      </w:pPr>
      <w:r>
        <w:rPr>
          <w:rFonts w:ascii="Arial" w:cs="Arial" w:eastAsia="Arial" w:hAnsi="Arial"/>
          <w:sz w:val="15"/>
          <w:szCs w:val="15"/>
          <w:b w:val="1"/>
          <w:bCs w:val="1"/>
          <w:i w:val="1"/>
          <w:iCs w:val="1"/>
          <w:color w:val="auto"/>
        </w:rPr>
        <w:t>We may not successfully engage in strategic transactions, including any additional collaborations we seek, which could adversely affect our ability to develop and commercialize product candidates, impact our cash position, increase our expense and present significant distractions to our management.</w:t>
      </w:r>
    </w:p>
    <w:p>
      <w:pPr>
        <w:spacing w:after="0" w:line="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Since commencing operations, we have entered into several collaboration agreements, including the agreement that we entered into with Astellas in March 2020. From time to time, we may consider strategic transactions, such as additional collaborations, acquisitions of companies, asset purchases and out- or in-licensing of product candidates or technologies. In particular, we will evaluate and, if strategically attractive, seek to enter into additional collaborations, including with major biotechnology or biopharmaceutical companies. The competition for collaborators is intense, and the negotiation process is time-consuming and complex. Any new 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 Any such collaboration, or other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and adverse effect on our business, financial condition, results of operations and prospects. The termination by a collaborator of a collaboration may cause a decrease in the price of our stock. Conversely, any failure to enter any additional collaboration or other strategic transaction that would be beneficial to us could delay the development and potential commercialization of our product candidates and have a negative impact on the competitiveness of any product candidate that reaches market.</w:t>
      </w:r>
    </w:p>
    <w:p>
      <w:pPr>
        <w:spacing w:after="0" w:line="27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develop companion diagnostic tests for certain of our product candidates, or experience significant delays in doing so, we may not realize the full commercial potential of our product candidates.</w:t>
      </w:r>
    </w:p>
    <w:p>
      <w:pPr>
        <w:spacing w:after="0" w:line="6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Because we are focused on precision medicine, in which predictive biomarkers will be used to identify the right patients for our product candidates, we believe that our success may depend, in part, on the development of companion diagnostic tests. To successfully develop a companion diagnostic test, we would need to address a number of scientific, technical and logistical challenges. However, we have little experience in the development of companion diagnostic tests and may not be successful in developing appropriate tests to pair with any of our product candidates. Companion diagnostic tests are subject to regulation by the FDA and similar regulatory authorities outside the United States as medical devices and require separate regulatory approval prior to commercialization. Given our limited experience in developing companion diagnostic tests, we could seek to rely on third parties to design, manufacture, obtain regulatory approval for any companion diagnostic tests for our product candidates. However, we and such collaborators may encounter difficulties in developing and obtaining approval for the companion diagnostic tests, including issues relating to selectivity/specificity, analytical validation, reproducibility, or clinical validation. Any delay or failure by us or our collaborators to develop or obtain regulatory approval of the companion diagnostic tests could delay or prevent approval of our product candidates. As a result, our business would be harmed, possibly materially.</w:t>
      </w:r>
    </w:p>
    <w:p>
      <w:pPr>
        <w:spacing w:after="0" w:line="276"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b w:val="1"/>
          <w:bCs w:val="1"/>
          <w:i w:val="1"/>
          <w:iCs w:val="1"/>
          <w:color w:val="auto"/>
        </w:rPr>
        <w:t>We rely on third parties to conduct all of our clinical trials and certain of our preclinical studies and intend to continue to do so, and if such third parties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4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do not have the ability to independently conduct clinical trials. As such, we currently rely and intend to continue to rely on third-party clinical investigators, CROs, clinical data management organizations and consultants to help us design, conduct, supervise and monitor clinical trials of our product candidates. As a result, we will have less control over the timing, quality and other aspects of our clinical trials than we would have had we conducted them on our own. These investigators, CROs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with which we contract might not be diligent, careful or timely in conducting our preclinical studies or clinical trials, resulting in the preclinical studies or clinical trials being delayed or unsuccessful. Furthermore, our third-party contractors, including CROs are being and may continue to be impacted in their ability to conduct our work as a result of the COVID-19 pandemic.</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1" w:name="page52"/>
    <w:bookmarkEnd w:id="51"/>
    <w:p>
      <w:pPr>
        <w:ind w:right="40"/>
        <w:spacing w:after="0" w:line="270" w:lineRule="auto"/>
        <w:rPr>
          <w:sz w:val="20"/>
          <w:szCs w:val="20"/>
          <w:color w:val="auto"/>
        </w:rPr>
      </w:pPr>
      <w:r>
        <w:rPr>
          <w:rFonts w:ascii="Arial" w:cs="Arial" w:eastAsia="Arial" w:hAnsi="Arial"/>
          <w:sz w:val="17"/>
          <w:szCs w:val="17"/>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will be responsible for ensuring that each of our preclinical studies and clinical trials are conducted in accordance with the general investigational plan and protocols for the trial. The FDA requires preclinical studies to be conducted in accordance with good laboratory practices (“GLPs”) and clinical trials to be conducted in accordance with good clinical practices (“GCPs”), including for designing, conducting, recording and reporting the results of preclinical studies and clinical trials to assure that data and reported results are credible and accurate and that the rights, integrity and confidentiality of clinical trial participants are protected. Our reliance on third parties that we do not control will not relieve us of these responsibilities and requirements. Any adverse development or delay in our clinical trials could have a material and adverse effect on our business, financial condition, results of operations and prospects.</w:t>
      </w:r>
    </w:p>
    <w:p>
      <w:pPr>
        <w:spacing w:after="0" w:line="3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are currently conducting and will continue to conduct clinical trials and will contract with third-party manufacturers in foreign countries, which could expose us to risks that could have a material adverse effect on the success of our business.</w:t>
      </w:r>
    </w:p>
    <w:p>
      <w:pPr>
        <w:spacing w:after="0" w:line="7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have enrolled or are planning to enroll patients in our clinical trials outside the United States, including in Europe, Australia and South Korea. Although the FDA may accept data from clinical trials conducted outside the United States, acceptance of this data is subject to certain conditions imposed by the FDA. For example, such clinical trials must be conducted in accordance with GCPs, and the FDA must able to validate the data through an on-site inspection if deemed necessary. Conducting clinical trials outside the United States also exposes us to additional risks, including risks associated with additional foreign regulatory requirements; foreign exchange fluctuations; patient monitoring and compliance; compliance with foreign manufacturing, customs, shipment and storage requirements; the severity of the COVID-19 pandemic in such jurisdictions; and cultural differences in medical practice and clinical research. We are also subject to risks associated with doing business globally, including commercial, political, and financial risks. In addition, we are subject to potential disruption caused by military conflicts; potentially unstable governments or legal systems; civil or political upheaval or unrest; local labor policies and conditions; possible expropriation, nationalization, or confiscation of assets; problems with repatriation of foreign earnings; economic or trade sanctions; closure of markets to imports; anti-American sentiment; terrorism or other types of violence in or outside the United States; health pandemics; and a significant reduction in global travel. For example, pandemics and public health emergencies, such as the COVID-19 pandemic, have disrupted and delayed and could in the future disrupt or delay enrollment in our clinical trials in Europe, South Korea and elsewhere. Our success will depend, in part, on our ability to overcome the challenges we encounter with respect to these risks and other factors affecting U.S. companies with global operations. If our global clinical trials or foreign third-party suppliers were to experience significant disruption due to these risks or for other reasons, it could have a material adverse effect on our business, financial condition, results of operations and prospects.</w:t>
      </w:r>
    </w:p>
    <w:p>
      <w:pPr>
        <w:spacing w:after="0" w:line="27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Because we have no long-term contracts with and rely on third-party manufacturing and supply partners, most of which are sole source suppliers, our supply of research and development, preclinical and clinical development materials may become limited or interrupted or may not be of satisfactory quantity or quality.</w:t>
      </w:r>
    </w:p>
    <w:p>
      <w:pPr>
        <w:spacing w:after="0" w:line="76"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We rely on third-party contract manufacturers to manufacture our clinical trial and preclinical study product supplies which, in addition to having other issues, could be adversely impacted by the COVID-19 pandemic. Most of our clinical trial manufacturing contractors and suppliers are our sole source for their respective manufacturing and supplies. Failure of any of these contractors could put our ability to have clinical trial material available when needed. This could result in a substantial delay of our clinical trials. For each of CX-072 CX-2009 and CX-2029, our manufacturing supply chain includes several contract manufacturers, and failure by any of these manufacturers could result in interruptions of our clinical studies. For example, in November 2019, one of our contract manufacturers that manufactures CX-072 experienced a production failure. If we had not been able to assure sufficient supplies of clinical trial drug product after the production failure, we may have been required to suspend any ongoing trials and postpone future trials. Although we have taken sufficient steps to assure our current supply of CX-072 clinical trial drug product for our ongoing clinical trial and planned clinical trials, there can be no assurance that we will not have future production failures, which could affect our ability to conduct our trials for CX-072, CX-2009, CX-2029 or any other clinical trial drug candidates on our planned timeline or at all. We do not own manufacturing facilities for producing such supplies and do not have any long-term contracts and we do not currently have an alternative to any of our third-party contract manufacturers. There can be no assurance that our preclinical and clinical development product supplies will not be limited, interrupted, or of satisfactory quality or continue to be available at acceptable prices. In particular, any replacement of any of our third-party contract manufacturers could require significant effort and expertise because there may be a limited number of qualified replacements. In addition, we may encounter issues with transferring technology to a new third-party manufacturer, and we may encounter regulatory delays if we need to move the manufacturing of our products from one third-party manufacturer to another. For example, we were dependent on ImmunoGen under our collaboration for certain steps in the manufacturing of clinical quantities of CX-2009. At the end of 2018, ImmunoGen closed their clinical manufacturing facility in Norwood, MA. This site provided clinical manufacturing support for the CX-2009 program. We completed transfer of the drug substance manufacturing process from ImmunoGen to a CMO, where we have an existing relationship and which has expertise in the manufacture of antibody drug conjugates at a clinical and commercial scale. While the manufacturing transfer process has been completed, there can be no assurance that we will not experience a disruption in the supply of CX-2009 as a result of such transfer or that we will not experience any other disruption in the manufacture of CX-2009.</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2" w:name="page53"/>
    <w:bookmarkEnd w:id="52"/>
    <w:p>
      <w:pPr>
        <w:ind w:right="20"/>
        <w:spacing w:after="0" w:line="286" w:lineRule="auto"/>
        <w:rPr>
          <w:sz w:val="20"/>
          <w:szCs w:val="20"/>
          <w:color w:val="auto"/>
        </w:rPr>
      </w:pPr>
      <w:r>
        <w:rPr>
          <w:rFonts w:ascii="Arial" w:cs="Arial" w:eastAsia="Arial" w:hAnsi="Arial"/>
          <w:sz w:val="16"/>
          <w:szCs w:val="16"/>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current Good Manufacturing Practices (“cGMPs”). In the event that any of our manufacturers fails to comply with such requirements or to perform its obligations to us in relation to quality, timing or otherwise, such as the CX-072 manufacturing production failure our contract manufacturer experienced in November 2019, or if our supply of components or other materials becomes limited or interrupted for other reasons, such as one of our manufacturers going out of business, we may be forced to manufacture the materials ourselves, for which we currently do not have the capabilities or resources, or enter into an agreement with another third party, which we may not be able to do on reasonable terms, if at all. In some cases,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1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expect to continue to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We may find that our third-party manufacturer is unable to scale up the process in order to produce commercial quantities of our products. Our or a third party’s failure to execute on our manufacturing requirements and comply with cGMPs could adversely affect our business in a number of ways, including:</w:t>
      </w:r>
    </w:p>
    <w:p>
      <w:pPr>
        <w:spacing w:after="0" w:line="87" w:lineRule="exact"/>
        <w:rPr>
          <w:sz w:val="20"/>
          <w:szCs w:val="20"/>
          <w:color w:val="auto"/>
        </w:rPr>
      </w:pPr>
    </w:p>
    <w:p>
      <w:pPr>
        <w:ind w:left="960" w:hanging="48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inability to initiate or continue clinical trials of product candidates under development;</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regulatory approvals, for product candidates;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of the cooperation of a collaborator;</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subjecting third-party manufacturing facilities or our manufacturing facilities to additional inspections by regulatory authorities;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requirements to cease distribution or to recall batches of our product candidates; and</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 the event of approval to market and commercialize a product candidate, an inability to meet commercial demands for our products.</w:t>
      </w:r>
    </w:p>
    <w:p>
      <w:pPr>
        <w:spacing w:after="0" w:line="23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supply chain for the manufacturing of our product candidates is complicated and can involve many parties. This is especially the case for our clinical stage Probody Drug Conjugates, CX-2009 and CX-2029. If we were to experience any supply chain issues, our product supply could be seriously disrupted. In addition, we expect the logistical challenges associated with our supply chain to grow more complex as additional product candidates commence any clinical trials.</w:t>
      </w:r>
    </w:p>
    <w:p>
      <w:pPr>
        <w:spacing w:after="0" w:line="29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We, or third-party manufacturers, may be unable to successfully scale-up manufacturing of our product candidates in sufficient quality and quantity, which would delay or prevent us from developing our product candidates and commercializing approved products, if any.</w:t>
      </w:r>
    </w:p>
    <w:p>
      <w:pPr>
        <w:spacing w:after="0" w:line="3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It may prove more challenging than we anticipate to manufacture products that incorporate our Probody therapeutic technology. In order to conduct clinical trials of our product candidates, including our clinical trials for CX-072, CX-2009 and CX-2029, we will need to manufacture them in large quantities. To date we have generally been able to successfully manufacture CX-072, CX-2009 and CX-2029 for our ongoing early stage clinical trials. However, in November 2019, we had a production failure at one of our contract manufacturers that manufactures CX-072 for our ongoing Phase 1 clinical trial and for our Phase 2 clinical trial. If we had not been able to assure sufficient supplies of clinical trial drug product after the production failure, we may have been required to suspend any ongoing trials and postpone future trials. Although we have taken sufficient steps to assure our current supply of CX-072 clinical trial drug product for our ongoing clinical trial and planned clinical trials, there can be no assurance that we will not have future production failures, which could affect our ability to conduct our trials for CX-072, CX-2009, CX-2029 or any other clinical trial drug candidates on our planned timeline or at</w:t>
      </w:r>
    </w:p>
    <w:p>
      <w:pPr>
        <w:spacing w:after="0" w:line="1"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all. Furthermore, in order to conduct later stage clinical trials of our product candidates, such as our Phase 2 clinical trial for CX-2009, and eventually, if approved, commercial products, we will need to manufacture them in larger quantities. We, or any manufacturing partners, may be unable to successfully increase the manufacturing scale and capacity for any of our product candidates in a timely or cost-effective manner, or at all. For example, we are currently working with our CMOs to change our manufacturing processes and formulations as well as scaling up for larger drug manufacturing capability and to increase the term of stability for CX-072 drug product and we are scaling up CX-2009 drug product for late stage clinical trials and commercialization. However, we may have to start late stage trials with our early clinical trial drug product and switch to late stage or commercial drug product mid trial. In such event, the FDA will require us to complete bridging studies to compare the earlier stage material with late stage or commercial material to assure comparability between the earlier trial material</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3" w:name="page54"/>
    <w:bookmarkEnd w:id="53"/>
    <w:p>
      <w:pPr>
        <w:ind w:right="80"/>
        <w:spacing w:after="0" w:line="273" w:lineRule="auto"/>
        <w:rPr>
          <w:sz w:val="20"/>
          <w:szCs w:val="20"/>
          <w:color w:val="auto"/>
        </w:rPr>
      </w:pPr>
      <w:r>
        <w:rPr>
          <w:rFonts w:ascii="Arial" w:cs="Arial" w:eastAsia="Arial" w:hAnsi="Arial"/>
          <w:sz w:val="17"/>
          <w:szCs w:val="17"/>
          <w:color w:val="auto"/>
        </w:rPr>
        <w:t>and the late stage or commercial material. Changing formulation and scaling up the process is a complicated and difficult task. While we believe we can complete this process successfully, there can be no assurances that the changes we make to the drug product and manufacturing process will be successful or completed in a timely manner or that the FDA will not require additional development steps or studies from those we believe are necessary. If we are not able to scale up our manufacturing capabilities with respect to CX-072, CX-2009 or any of our other product candidates, increase the life of drug stability of CX-072 or such other product candidates, or successfully complete the FDA’s bridging requirements, we may not be able to successfully obtain FDA approval and commercialize CX-072 or such other product candidates in a timely manner or at all.</w:t>
      </w:r>
    </w:p>
    <w:p>
      <w:pPr>
        <w:spacing w:after="0" w:line="17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Additionally, we were dependent on ImmunoGen under our collaboration for certain steps in the manufacturing of clinical quantities of CX-2009. At the end of 2018, ImmunoGen closed their clinical manufacturing facility in Norwood, Massachusetts, which provided clinical manufacturing support for the CX-2009 program. We completed the transfer of the drug substance manufacturing process from ImmunoGen to a contract manufacturer, where we have an existing relationship and with expertise in the manufacture of antibody drug conjugates at a clinical and commercial scale. While the manufacturing transfer process has been completed, there can be no assurance that we will not experience a disruption in the supply of CX-2009 in connection with such transfer or that we will not experience any other disruption in the manufacturing of CX-2009. In addition, for CX-2029, the manufacturing of additional clinical quantities could be particularly difficult because we are relying on three different parties to manufacture supplies. If we, or any manufacturing partners, are unable to successfully scale up the manufacture of our product candidates in sufficient quality and quantity, the development, testing, and clinical trials of that product candidate may be delayed or infeasible, and regulatory approval or commercial launch of any resulting product may be delayed or not obtained, which could significantly harm our business.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acquire assets or form strategic alliances in the future, and we may not realize the benefits of such acquisitions</w:t>
      </w:r>
      <w:r>
        <w:rPr>
          <w:rFonts w:ascii="Arial" w:cs="Arial" w:eastAsia="Arial" w:hAnsi="Arial"/>
          <w:sz w:val="18"/>
          <w:szCs w:val="18"/>
          <w:color w:val="auto"/>
        </w:rPr>
        <w:t>.</w:t>
      </w:r>
    </w:p>
    <w:p>
      <w:pPr>
        <w:spacing w:after="0" w:line="13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As we continue to mature our Probody platform and our clinical stage pipeline, we may seek to acquire and/or in-license other oncology products, product candidates, programs or companies that we consider complimentary to our efforts. Such efforts may never result in a transaction and any future growth through acquisition or in-licensing will depend upon the availability of suitable products, product candidates, programs or companies for acquisition or in-licensing on acceptable prices, terms and conditions. Even if appropriate opportunities are available, we may not be able to acquire rights to them on acceptable terms, or at all. The competition to acquire or in-license rights to promising products, product candidates, programs and companies is fierce, and many of our competitors are large, multinational pharmaceutical and biotechnology companies with considerably more financial, development and commercialization resources, personnel, and experience than we have. In order to compete successfully in the current business climate, we may have to pay higher prices for assets than may have been paid historically, which may make it more difficult for us to realize an adequate return on any acquisition. In addition, even if we succeed in identifying promising products, product candidates, programs or companies, we may not have the ability to develop, obtain regulatory approval for and commercialize such opportunities, or the financial resources necessary to pursue them.</w:t>
      </w:r>
    </w:p>
    <w:p>
      <w:pPr>
        <w:spacing w:after="0" w:line="20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Even if we are able to successfully identify and acquire or in-license new products, product candidates, programs or companies, we may not be able to successfully manage the risks associated with integrating any products, product candidates, programs or companies into our business or the risks arising from anticipated and unanticipated problems in connection with an acquisition or in-licensing. Further, while we seek to mitigate risks and liabilities of potential acquisitions through, among other things, due diligence, there may be risks and liabilities that such due diligence efforts fail to discover, that are not disclosed to us, or that we inadequately assess. Any failure in identifying and managing these risks and uncertainties effectively would have a material adverse effect on our business. In any event, we may not be able to realize the anticipated benefits of any acquisition or in-licensing for a variety of reasons, including the possibility that a product candidate fails to advance to clinical development, proves not to be safe or effective in clinical trials, or fails to reach its forecasted commercial potential or that the integration of a product, product candidate, program or company gives rise to unforeseen difficulties and expenditures. Any failure in identifying and managing these risks and uncertainties would have a material adverse effect on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In addition, acquisitions create other uncertainties and risks, particularly when the acquisition takes the form of a merger or other business consolidation.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We may encounter unexpected difficulties, or incur unexpected costs, in connection with transition activities and integration efforts, which include:</w:t>
      </w:r>
    </w:p>
    <w:p>
      <w:pPr>
        <w:spacing w:after="0" w:line="114" w:lineRule="exact"/>
        <w:rPr>
          <w:sz w:val="20"/>
          <w:szCs w:val="20"/>
          <w:color w:val="auto"/>
        </w:rPr>
      </w:pPr>
    </w:p>
    <w:p>
      <w:pPr>
        <w:ind w:left="960" w:hanging="480"/>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high acquisition costs;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need to incur substantial debt or engage in dilutive issuances of equity securities to pay for acquisitions;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potential disruption of our historical business and our activities under our collaboration agreements;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strain on, and need to expand, our existing operational, technical, financial and administrative infrastructure;</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lack of experience in late-stage product development and commercialization;</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difficulties in assimilating employees and corporate cultures;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difficulties in hiring qualified personnel and establishing necessary development and/or commercialization capabilities;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4" w:name="page55"/>
    <w:bookmarkEnd w:id="54"/>
    <w:p>
      <w:pPr>
        <w:ind w:left="960" w:hanging="480"/>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failure to retain key management and other personnel;</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challenges in controlling additional costs and expenses in connection with and as a result of the acquisition;</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need to write down assets or recognize impairment charges;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diversion of our management’s attention to integration of operations and corporate and administrative infrastructures; and</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unanticipated liabilities for activities of or related to the acquired business or its operations, products or product candidates.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we fail to integrate or otherwise manage an acquired business successfully and in a timely manner, resulting operating inefficiencies could increase our costs more than we planned, could negatively impact the market price of our common stock and could otherwise distract us from execution of our strategy. Failure to maintain effective financial controls and reporting systems and procedures could also impact our ability to produce timely and accurate financial statements.</w:t>
      </w:r>
    </w:p>
    <w:p>
      <w:pPr>
        <w:spacing w:after="0" w:line="29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and fail to capitalize on product candidates that may be more profitable or for which there is a greater likelihood of success.</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Because we have limited financial and managerial resources, we focus on specific product candidates and indications, including CX-072, CX-2009 and CX-2029. As a result, we may forgo or delay pursuit of opportunities with those products in other indications or with other product candidates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in managing our growth and expanding our operations successfully.</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will need to grow our organization substantially to continue development and pursue the potential commercialization of CX-072, CX-2009 and CX-2029 and our other product candidates, as well as function as a public company. As we increase the number of our product candidates entering and advancing through preclinical studies and clinical trials, we will need to expand our development, regulatory and manufacturing capabilities or contract with additional organizations to provide these capabilities for us. In addition, we expect our collaborations to require greater resources as the development of our product candidates under such agreements progresses. In the future, we expect to also have to manage additional relationships with collaborators or partners, suppliers and other organizations. In particular, if the third-parties on which we currently rely are not capable of delivering services or supplies in a manner that is sufficient to meet our requirements as we expand our operations, we could be required to contract with new third parties and there can be no assurances that the services or supplies of such third parties will be available on commercially reasonable terms, or at all. Furthermore, our ability to manage our operations and future growth will require us to continue to increase headcount as well as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w:t>
      </w:r>
    </w:p>
    <w:p>
      <w:pPr>
        <w:spacing w:after="0" w:line="280"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b w:val="1"/>
          <w:bCs w:val="1"/>
          <w:i w:val="1"/>
          <w:iCs w:val="1"/>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4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or will develop product candidates and processes competitive with our product candidates. Competitive therapeutic treatments include those that have already been approved and accepted by the medical community and any new treatments that enter the market. We believe that a significant number of products are currently under development, and may become commercially available in the future, for the treatment of conditions for which we may try to develop product candidates. Additionally, there is intense and rapidly evolving competition in the biotechnology, biopharmaceutical and antibody and immunoregulatory therapeutics fields, and our competitors include larger and better funded biopharmaceutical, biotechnological and therapeutics companies. In addition, these companies compete with us in recruiting scientific and managerial talent.</w:t>
      </w:r>
    </w:p>
    <w:p>
      <w:pPr>
        <w:spacing w:after="0" w:line="19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believe that while our Probody platform, its associated intellectual property and our scientific and technical know-how, give us a competitive advantage in this space, competition from many sources remains. The clinical development pipeline for cancer includes small molecules, antibodies and therapies from a variety of groups. In addition, numerous compounds are in clinical development for cancer treatment. As a result, our success will partially depend on our ability to develop and protect therapeutics that are safer and more effective than competing products. Our commercial opportunity and success will be reduced or eliminated if competing products that are safer, more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55" w:name="page56"/>
    <w:bookmarkEnd w:id="55"/>
    <w:p>
      <w:pPr>
        <w:ind w:right="20"/>
        <w:spacing w:after="0" w:line="270" w:lineRule="auto"/>
        <w:rPr>
          <w:sz w:val="20"/>
          <w:szCs w:val="20"/>
          <w:color w:val="auto"/>
        </w:rPr>
      </w:pPr>
      <w:r>
        <w:rPr>
          <w:rFonts w:ascii="Arial" w:cs="Arial" w:eastAsia="Arial" w:hAnsi="Arial"/>
          <w:sz w:val="17"/>
          <w:szCs w:val="17"/>
          <w:color w:val="auto"/>
        </w:rPr>
        <w:t>effective, or less expensive than the therapeutics we develop or if we are unable to utilize our Probody therapeutic technology to differentiate our Probody therapeutics from the products of our competitors. For instance, if any of our lead product candidates, including, CX-2009 and CX-2029 are approved, they will compete with a range of therapeutic treatments that are either in development or currently marketed. A variety of oncology drugs and therapeutic biologics are currently on the market or in clinical development. The market for immunotherapies like CX-072 is, in particular, highly competitive and the field is changing quickly. In March 2020, we made the strategic decision to terminate our Phase 2 study evaluating CX-072 in combination ipilimumab. This decision followed a re-evaluation of the evolving clinical, competitive and commercial landscapes in immuno-oncology, taken together with impact of the COVID-19 pandemic. Given the amount of time required to successfully develop and obtain regulatory approval for each of our product candidates, it is therefore possible that by the time we obtain any such approval, if ever, and commence sales, we may no longer be able to differentiate such product candidate from those of our competitors.</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face substantial competition from pharmaceutical companies developing products in immuno-oncology, including companies, such as Amgen, AstraZeneca PLC, Bristol Myers Squibb, Celgene, GlaxoSmithKline plc, Merck &amp; Co., Inc. Novartis AG, Pfizer, Roche Holding Ltd. and Sanofi SA. Many large and mid-sized biotech companies, including BeiGene, Incyte, Nektar, and Alkermes have ongoing efforts in cancer immunotherapy. Finally, numerous small companies are also working in the space. Several companies, including Akriveia, Amgen, Amunix, BioAtla, Halozyme, Maverick Therapeutics, Pandion Therapeutics, Revitope, Roche, and Seattle Genetics are exploring antibody masking and/or conditional activation strategies, which could compete with our Probody Platform. We are also aware of several companies that are developing ADCs, such as AbbVie, Immunomedics, ImmunoGen, Seattle Genetics, Pfizer, Roche Holding Ltd. and Takeda. Furthermore, several large pharmaceutical companies, including Amgen, Novartis AG and Roche Holding Ltd., are developing T-cell engaging immunotherapies, and we are aware of several mid-sized biotech companies, such as Macrogenics and Xencor, and small companies with ongoing efforts to develop T-cell engaging immunotherapies. Any of these companies may be well-capitalized and may have significant clinical experience. In addition, these companies include our collaborators.</w:t>
      </w:r>
    </w:p>
    <w:p>
      <w:pPr>
        <w:spacing w:after="0" w:line="18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less differentiated or noncompetitive before we recover the expense of developing and commercializing our product candidates. Such competitors could also recruit our employees, which could negatively impact our level of expertise and our ability to execute our business plan.</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inability to attract and retain qualified key management and technical personnel would impair our ability to implement our business plan.</w:t>
      </w:r>
    </w:p>
    <w:p>
      <w:pPr>
        <w:spacing w:after="0" w:line="14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success largely depends on the continued service of key management, advisors and other specialized personnel, including Sean A. McCarthy, D.Phil., our president and chief executive officer, W. Michael Kavanaugh, M.D., our chief scientific officer and Amy C. Peterson, M.D., our chief development officer. The loss of one or more members of our management team or other key employees or advisors could delay our research and development programs and have a material and adverse effect on our business, financial condition, results of operations and prospects. The relationships that our key managers have cultivated within our industry make us particularly dependent upon their continued employment with us. We are dependent on the continued service of our technical personnel because of the highly technical nature of our product candidates and technologies and the specialized nature of the regulatory approval process. Because our management team and key employees are not obligated to provide us with continued service, they could terminate their employment with us at any time without penalty. Our future success will depend in large part on our continued ability to attract and retain other highly qualified scientific, technical and management personnel, as well as personnel with expertise in clinical testing, manufacturing, governmental regulation and commercialization. We face competition for personnel from other companies, universities, public and private research institutions, government entities and other organizations, especially as job opportunities in the biotechnology industry have recently increased significantly in the San Francisco Bay Area.</w:t>
      </w:r>
    </w:p>
    <w:p>
      <w:pPr>
        <w:spacing w:after="0" w:line="28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If any of our product candidates are approved for marketing and commercialization and we are unable to develop sales, marketing and distribution capabilities on our own or enter into agreements with third parties to perform these functions on acceptable terms, we will be unable to commercialize successfully any such future products.</w:t>
      </w:r>
    </w:p>
    <w:p>
      <w:pPr>
        <w:spacing w:after="0" w:line="76"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We currently have no sales, marketing or distribution capabilities or experience. If any of our product candidates is approved,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6" w:name="page57"/>
    <w:bookmarkEnd w:id="56"/>
    <w:p>
      <w:pPr>
        <w:spacing w:after="0" w:line="255" w:lineRule="auto"/>
        <w:rPr>
          <w:sz w:val="20"/>
          <w:szCs w:val="20"/>
          <w:color w:val="auto"/>
        </w:rPr>
      </w:pPr>
      <w:r>
        <w:rPr>
          <w:rFonts w:ascii="Arial" w:cs="Arial" w:eastAsia="Arial" w:hAnsi="Arial"/>
          <w:sz w:val="18"/>
          <w:szCs w:val="18"/>
          <w:color w:val="auto"/>
        </w:rPr>
        <w:t>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the third parties and there can be no assurance that such third parties will establish adequate sales and distribution capabilities or be successful in gaining market acceptance of any approved product. If we are not successful in commercializing any product approved in the future, either on our own or through third parties, our business, financial condition, results of operations and prospects could be materially and adversely affected.</w:t>
      </w:r>
    </w:p>
    <w:p>
      <w:pPr>
        <w:spacing w:after="0" w:line="30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future growth may depend, in part, on our ability to develop and commercialize our product candidates in foreign markets for which we may rely on collaboration with third parties.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the reduced protection of intellectual property rights in some foreign countries. We may need to rely on third parties to market, distribute and sell our products in foreign markets.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 controls imposed in foreign markets may adversely affect our future profitability.</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some countries, particularly member states of the European Union,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or future collaborators may be required to conduct a clinical trial or other studies that compare the cost-effectiveness of our Probody therapeutic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 We currently do not know how the exit of the United Kingdom from the European Union will affect the pricing of prescription drugs, either in the United Kingdom or in the remaining European Union member states.</w:t>
      </w:r>
    </w:p>
    <w:p>
      <w:pPr>
        <w:spacing w:after="0" w:line="27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our ability to obtain sufficient insurance coverage could have a material and adverse effect on our business, financial condition, results of operations and prospects.</w:t>
      </w:r>
    </w:p>
    <w:p>
      <w:pPr>
        <w:spacing w:after="0" w:line="6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are exposed to significant product liability risks inherent in the development, testing, manufacturing and marketing of therapeutic treatments, including as a result of the clinical testing of CX-072, CX-2009, CX-2029, BMS-986249, BMS-986288 and any of our other product candidates or those of our collaborators. Product liability claims could delay or prevent completion of our development programs. If we succeed in marketing product candidates, such claims could result in an FDA investigation of the safety and effectiveness of our product candidates, our manufacturing processes and facilities (or the manufacturing processes and facilities of our third-party manufacturers)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insurance that we believe is appropriate for our stage of development and may need to obtain higher levels of insurance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57" w:name="page58"/>
    <w:bookmarkEnd w:id="57"/>
    <w:p>
      <w:pPr>
        <w:ind w:right="720"/>
        <w:spacing w:after="0" w:line="277" w:lineRule="auto"/>
        <w:rPr>
          <w:sz w:val="20"/>
          <w:szCs w:val="20"/>
          <w:color w:val="auto"/>
        </w:rPr>
      </w:pPr>
      <w:r>
        <w:rPr>
          <w:rFonts w:ascii="Arial" w:cs="Arial" w:eastAsia="Arial" w:hAnsi="Arial"/>
          <w:sz w:val="18"/>
          <w:szCs w:val="18"/>
          <w:b w:val="1"/>
          <w:bCs w:val="1"/>
          <w:i w:val="1"/>
          <w:iCs w:val="1"/>
          <w:color w:val="auto"/>
        </w:rPr>
        <w:t>Our employees and independent contractors may engage in misconduct or other improper activities, including noncompliance with regulatory standards and requirements.</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are exposed to the risk of fraud or other misconduct by our employees or independent contractors. Misconduct by these parties could include intentional failures to comply with FDA regulations, provide accurate information to the FDA, comply with manufacturing standards we may establish, comply with federal and state data privacy, security, fraud and abuse, and other healthcare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fines or other sanctions.</w:t>
      </w:r>
    </w:p>
    <w:p>
      <w:pPr>
        <w:spacing w:after="0" w:line="28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information technology systems, or those of our CROs or other contractors or consultants we may utilize, may fail, suffer disruptions or suffer security breaches, which could result in a material disruption of our product development programs.</w:t>
      </w:r>
    </w:p>
    <w:p>
      <w:pPr>
        <w:spacing w:after="0" w:line="6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information technology and other internal infrastructure systems and those of our CROs and contractors and consultants, including corporate firewalls, servers, leased lines and connection to the Internet, face the risk of systemic failure and may be vulnerable to damage from computer viruses, unauthorized access, natural disasters, terrorism, war and telecommunication and electrical failures. Such events could cause interruptions of our operations. For instance, the loss of data from any current or future clinical trial or data from any preclinical studies involving our product candidates could result in delays in our development and regulatory filing efforts and significantly increase our costs. These challenges have been made more difficult by the COVID-19 pandemic and resulting shelter-in-place and stay-at-home restrictions, which are driving greater dependency on remote working technology and electronic monitoring of clinical trial sites. To the extent that any disruption or security breach were to result in a loss of, or damage to, our data, or inappropriate disclosure of confidential or proprietary information, we could incur liability, recovery of our data could take a prolonged period of time, and the development of our research or product candidates could be delayed.</w:t>
      </w:r>
    </w:p>
    <w:p>
      <w:pPr>
        <w:spacing w:after="0" w:line="28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Cybersecurity breaches and other disruptions could compromise our information, including the theft of our intellectual property, and could expose us to liability, which could cause our business and reputation to suffer.</w:t>
      </w:r>
    </w:p>
    <w:p>
      <w:pPr>
        <w:spacing w:after="0" w:line="62"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We are increasingly dependent on information technology systems and infrastructure, including mobile technologies, to operate our business. In the ordinary course of our business, we collect and store confidential and sensitive electronic information on our networks and in our data centers. This information includes, among other things, our intellectual property and proprietary information, the confidential information of our collaborators and licensees, and the personally identifiable information of our employees. It is important to our operations and business strategy that this electronic information remains secure and is perceived to be secure. The size and complexity of our information technology systems, and those of third-party vendors with whom we contract, and the volume of data we retain, make such systems potentially vulnerable to breakdown, malicious intrusion, security breaches and other cyber-attacks. Information security risks have significantly increased in recent years in part due to the proliferation of new technologies and the increased sophistication and activities of organized crime, hackers, terrorists and other external parties, including foreign private parties and state actors. A security breach or privacy violation that leads to disclosure or modification of or prevents access to personally identifiable information or other protected information could harm our reputation, compel us to comply with federal and/or state breach notification laws and foreign law equivalents, subject us to mandatory corrective action, require us to verify the correctness of database contents and otherwise subject us to liability under laws and regulations that protect personal data, resulting in increased costs or loss of revenue. Similarly, the loss of clinical trial data from completed or ongoing or planned clinical trials could result in delays in our regulatory approval efforts and significantly increase our costs to recover or reproduce the data. Additionally, theft of our intellectual property or proprietary business information could require substantial expenditures to remedy. If we are unable to prevent such security breaches or privacy violations or implement satisfactory remedial measures, our operations could be disrupted, and we may suffer loss of reputation, financial loss and other regulatory penalties because of lost or misappropriated information. In addition, these breaches and other inappropriate access can be difficult to detect, and any delay in identifying them may lead to increased harm of the type described above. Moreover, the prevalent use of mobile devices that access confidential information increases the risk of data security breaches, which could lead to the loss of confidential information, trade secrets or other intellectual property. As cyber threats continue to evolve, we may be required to expend significant additional resources to continue to modify or enhance our protective measures or to investigate and remediate any information security vulnerabilities. While we have implemented security measures to protect our data security and information technology systems, such measures may not prevent such events. Significant disruptions of our information technology systems or breaches of data security could have a material adverse effect on our business, financial condition and results of operations.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i w:val="1"/>
          <w:iCs w:val="1"/>
          <w:color w:val="auto"/>
        </w:rPr>
        <w:t>If we do not comply with laws regulating the protection of the environment and health and human safety, our business could be adversely affected.</w:t>
      </w:r>
    </w:p>
    <w:p>
      <w:pPr>
        <w:spacing w:after="0" w:line="14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research and development activities involve the use of hazardous materials and various chemicals. We maintain quantities of various flammable and toxic chemicals in our facilities in South San Francisco, California that are required for our research and development activities. We are subject to federal, state and local laws and regulations governing the use, manufacture, storage, handling and disposal of these hazardous materials. We believe our procedures for storing, handling and disposing these materials in our South San Francisco facilities comply with the relevant guidelines of South San Francisco, the state of California and the Occupational Safety and Health Administration of the U.S. Department of Labor. Although we believe that our safety procedures for handling and disposing of these materials comply with the standards mandated by applicable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animals and biohazardous materials. Although we maintain workers’ compensation insurance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in connection with our storage or disposal of biological or hazardous materials. Additional federal, state and local laws and regulations affecting our operations may be adopted in the future. We may incur substantial costs to comply with, and substantial fines or penalties if we violate, any of these laws or regulations.</w:t>
      </w:r>
    </w:p>
    <w:p>
      <w:pPr>
        <w:spacing w:after="0" w:line="282" w:lineRule="exact"/>
        <w:rPr>
          <w:sz w:val="20"/>
          <w:szCs w:val="20"/>
          <w:color w:val="auto"/>
        </w:rPr>
      </w:pPr>
    </w:p>
    <w:p>
      <w:pPr>
        <w:ind w:right="180"/>
        <w:spacing w:after="0" w:line="375" w:lineRule="auto"/>
        <w:rPr>
          <w:sz w:val="20"/>
          <w:szCs w:val="20"/>
          <w:color w:val="auto"/>
        </w:rPr>
      </w:pPr>
      <w:r>
        <w:rPr>
          <w:rFonts w:ascii="Arial" w:cs="Arial" w:eastAsia="Arial" w:hAnsi="Arial"/>
          <w:sz w:val="15"/>
          <w:szCs w:val="15"/>
          <w:b w:val="1"/>
          <w:bCs w:val="1"/>
          <w:i w:val="1"/>
          <w:iCs w:val="1"/>
          <w:color w:val="auto"/>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w:t>
      </w:r>
    </w:p>
    <w:p>
      <w:pPr>
        <w:spacing w:after="0" w:line="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Our current operations are located in our facilities in South San Francisco,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For example, in March 2020, the COVID-19 pandemic caused us to restrict access to our facility, and initiate a work-from-home program limiting onsite activity to a substantially reduced level of laboratory research activities. Although we have gradually increased levels of our laboratory research activities, there can be no assurance that we will be able to continue to increase or maintain current levels of such activity or that the COVID-19 pandemic will not continue to impact our ability to conduct business.</w:t>
      </w:r>
    </w:p>
    <w:p>
      <w:pPr>
        <w:spacing w:after="0" w:line="174"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and adverse effect on our business. As part of our risk management policy, we maintain insurance coverage at levels that we believe are appropriate for our business.</w:t>
      </w:r>
    </w:p>
    <w:p>
      <w:pPr>
        <w:spacing w:after="0" w:line="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We prepare our financial statements in conformity with accounting principles generally accepted in the U.S. These accounting principles are subject to interpretation by the Financial Accounting Standards Board (“FASB”) and the SEC. A change in these policies or interpretations could have a significant effect on our reported financial results, may retroactively affect previously reported results, could cause unexpected financial reporting fluctuations, and may require us to make costly changes to our operational processes and accounting systems. For example, in May 2014, the FASB issued Accounting Standards Update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which requires an entity to recognize the amount of revenue to which it expects to be entitled for the transfer of promised goods or services to customers. The ASU replaced most existing revenue recognition guidance in the U.S. GAAP when it became effective. The new standard was effective at the beginning of our fiscal year 2018 with early adoption permitted for our fiscal year 2017. We evaluated the impact of ASU 2014-09 on our financial statements and adoption of the standard had a significant impact on our financial statements and retroactively affected the accounting treatment of transactions completed before adoption. Additionally, for the purpose of revenue recognition, we are required to estimate research service periods as well as the related cost to completion, of our research development program. Such estimates are inherently uncertain and may result in changes in estimates to financial statements in subsequent periods.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17" w:lineRule="exact"/>
        <w:rPr>
          <w:sz w:val="20"/>
          <w:szCs w:val="20"/>
          <w:color w:val="auto"/>
        </w:rPr>
      </w:pPr>
    </w:p>
    <w:p>
      <w:pPr>
        <w:jc w:val="both"/>
        <w:ind w:right="120"/>
        <w:spacing w:after="0" w:line="287" w:lineRule="auto"/>
        <w:rPr>
          <w:sz w:val="20"/>
          <w:szCs w:val="20"/>
          <w:color w:val="auto"/>
        </w:rPr>
      </w:pPr>
      <w:r>
        <w:rPr>
          <w:rFonts w:ascii="Arial" w:cs="Arial" w:eastAsia="Arial" w:hAnsi="Arial"/>
          <w:sz w:val="16"/>
          <w:szCs w:val="16"/>
          <w:color w:val="auto"/>
        </w:rPr>
        <w:t>Under Sections 382 and 383 of the Internal Revenue Code of 1986, as amended (the “IRC”), if a corporation undergoes an “ownership change” (generally defined as a greater than 50 percentage points change (by value) in the ownership of its equity over a rolling three-year period), the corporation’s ability to use its pre-change net operating loss carryforwards and certain other pre-change tax attributes to offset its post-change income and taxes may be limited.</w:t>
      </w:r>
    </w:p>
    <w:p>
      <w:pPr>
        <w:spacing w:after="0" w:line="2"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California has similar rules. For example, we performed an IRC Section 382 analysis in 2017 and determined there was an ownership change that resulted in Section 382 limitations. The ownership change limited our ability to utilize net operating losses against taxable income in 2018 for both federal and California tax purposes. The remaining net operating losses and credit will be available in future years before expiration during their respective carryforward periods. We may experience ownership changes in the future as a result of shifts in our stock ownership, some of which are outside our control, and our ability to utilize net operating loss carryforwards could be limited by an “ownership change” as described above, which could result in additional increased tax liability to the Company.</w:t>
      </w:r>
    </w:p>
    <w:p>
      <w:pPr>
        <w:spacing w:after="0" w:line="30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Changes in U.S. or foreign tax laws or regulations that are applied adversely to us may have a material adverse effect on our business, cash flow, financial condition or results of operations.</w:t>
      </w:r>
    </w:p>
    <w:p>
      <w:pPr>
        <w:spacing w:after="0" w:line="6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which could adversely affect our business and financial condition. Further, existing tax laws, statutes, rules, regulations or ordinances could be interpreted, changed, modified or applied adversely to us. For example, legislation enacted in 2017, informally titled the Tax Cuts and Jobs Act (the “Tax Act”), enacted many significant changes to the U.S. tax laws. Future guidance from the Internal Revenue Service and other tax authorities with respect to the Tax Act may affect us, and certain aspects of the Tax Act could be repealed or modified in future legislation. In addition, it is uncertain if and to what extent various states will conform to the Tax Act or any newly enacted federal tax legislation. Changes in corporate tax rates, the realization of net deferred tax assets relating to our operations, the taxation of foreign earnings, and the deductibility of expenses under the Tax Act or future reform legislation could have a material impact on the value of our deferred tax assets, could result in significant one-time charges, and could increase our future tax expense. Recent presidential candidate proposals for U.S. tax legislation could have a material adverse effect on our future business, financial condition and results of operations.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we are not able to obtain and enforce patent protection for our technologies or product candidates, development and commercialization of our product candidates may be adversely affected.</w:t>
      </w:r>
    </w:p>
    <w:p>
      <w:pPr>
        <w:spacing w:after="0" w:line="7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Our success depends in part on our ability to obtain and maintain patents and other forms of intellectual property rights, including in-licenses of intellectual property rights of others, for our product candidates, methods used to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We have a substantial number of issued patents and pending patent applications, some of which are co-owned with a third party, covering our Probody platforms and products as well as methods of use and production thereof; we have exclusively licensed UCSB’s interest in the patent family co-owned with UCSB that covers Probody and other pro-protein technology in the fields of therapeutics,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diagnostics and prophylactics. In addition, we have exclusively licensed a patent portfolio of three patent families from UCSB that includes patents and patent applications that cover compositions and methods related to the screening for and identification of the masks and protease-cleavable linkers that we incorporate into our Probody candidates. We may not be able to apply for patents on certain aspects of our product candidates in a timely fashion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 Moreover, the patent position of biotechnology and biopharmaceutical companies can be highly uncertain because it involves complex legal and factual questions.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0" w:name="page61"/>
    <w:bookmarkEnd w:id="60"/>
    <w:p>
      <w:pPr>
        <w:spacing w:after="0" w:line="290" w:lineRule="auto"/>
        <w:rPr>
          <w:sz w:val="20"/>
          <w:szCs w:val="20"/>
          <w:color w:val="auto"/>
        </w:rPr>
      </w:pPr>
      <w:r>
        <w:rPr>
          <w:rFonts w:ascii="Arial" w:cs="Arial" w:eastAsia="Arial" w:hAnsi="Arial"/>
          <w:sz w:val="16"/>
          <w:szCs w:val="16"/>
          <w:color w:val="auto"/>
        </w:rPr>
        <w:t>The U.S. Patent and Trademark Office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proprietary products and technology. While we will endeavor to try to protect our product candidates with intellectual property rights such as patents, as appropriate, the process of obtaining patents is time-consuming, expensive and sometimes unpredictable.</w:t>
      </w:r>
    </w:p>
    <w:p>
      <w:pPr>
        <w:spacing w:after="0" w:line="16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In addition, there are numerous recent changes to the patent laws and proposed changes to the rules of the USPTO that may have a significant impact on our ability to protect our technology and enforce our intellectual property rights. For example, the America Invents Act (“AIA”) enacted within the last several years involves significant changes in patent legislation. The Supreme Court has ruled on several patent cases in recent years, some of which cases either narrow the scope of patent protection available in certain circumstances or weaken the rights of patent owners in certain situations. The recent decision by the Supreme Court in </w:t>
      </w:r>
      <w:r>
        <w:rPr>
          <w:rFonts w:ascii="Arial" w:cs="Arial" w:eastAsia="Arial" w:hAnsi="Arial"/>
          <w:sz w:val="16"/>
          <w:szCs w:val="16"/>
          <w:i w:val="1"/>
          <w:iCs w:val="1"/>
          <w:color w:val="auto"/>
        </w:rPr>
        <w:t>Association for Molecular Pathology v. Myriad Genetics, Inc</w:t>
      </w:r>
      <w:r>
        <w:rPr>
          <w:rFonts w:ascii="Arial" w:cs="Arial" w:eastAsia="Arial" w:hAnsi="Arial"/>
          <w:sz w:val="16"/>
          <w:szCs w:val="16"/>
          <w:color w:val="auto"/>
        </w:rPr>
        <w:t>. precludes a claim to a nucleic acid having a stated nucleotide sequence that is identical to a sequence found in nature and has not been modified. We currently are not aware of an immediate impact of this decision on our patents or patent applications because we are developing product candidates that contain modifications, such as our Probody substrates and masks, that we believe are not found in nature. However, this decision has yet to be clearly interpreted by courts and by the USPTO. We cannot assure you that the interpretations of this decision or subsequent rulings will not adversely impact our patents or patent applications.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16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Once granted, patents may remain open to opposition, interference, re-examination, post-grant review, inter parties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allowed or granted claims thus attacked, or may lose the allowed or granted claims altogether. In addition, there can be no assurance that:</w:t>
      </w:r>
    </w:p>
    <w:p>
      <w:pPr>
        <w:spacing w:after="0" w:line="80" w:lineRule="exact"/>
        <w:rPr>
          <w:sz w:val="20"/>
          <w:szCs w:val="20"/>
          <w:color w:val="auto"/>
        </w:rPr>
      </w:pPr>
    </w:p>
    <w:p>
      <w:pPr>
        <w:ind w:left="960" w:right="300" w:hanging="480"/>
        <w:spacing w:after="0" w:line="277"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Others will not or may not be able to make, use or sell compounds that are the same as or similar to our product candidates but that are not covered by the claims of the patents that we own or license.</w:t>
      </w:r>
    </w:p>
    <w:p>
      <w:pPr>
        <w:spacing w:after="0" w:line="62" w:lineRule="exact"/>
        <w:rPr>
          <w:rFonts w:ascii="Arial" w:cs="Arial" w:eastAsia="Arial" w:hAnsi="Arial"/>
          <w:sz w:val="18"/>
          <w:szCs w:val="18"/>
          <w:color w:val="auto"/>
        </w:rPr>
      </w:pPr>
    </w:p>
    <w:p>
      <w:pPr>
        <w:ind w:left="960" w:right="660" w:hanging="480"/>
        <w:spacing w:after="0" w:line="277"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or our licensors, or our collaborators are the first to make the inventions covered by each of our issued patents and pending patent applications that we own or license.</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or our licensors, or our collaborators are the first to file patent applications covering certain aspects of our inventions.</w:t>
      </w:r>
    </w:p>
    <w:p>
      <w:pPr>
        <w:spacing w:after="0" w:line="117" w:lineRule="exact"/>
        <w:rPr>
          <w:rFonts w:ascii="Arial" w:cs="Arial" w:eastAsia="Arial" w:hAnsi="Arial"/>
          <w:sz w:val="18"/>
          <w:szCs w:val="18"/>
          <w:color w:val="auto"/>
        </w:rPr>
      </w:pPr>
    </w:p>
    <w:p>
      <w:pPr>
        <w:ind w:left="960" w:right="960" w:hanging="480"/>
        <w:spacing w:after="0" w:line="277"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Others will not independently develop similar or alternative technologies or duplicate any of our technologies without infringing, misappropriating or otherwise violating our intellectual property rights.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third party may not challenge our patents and, if challenged, a court would hold that our patents are valid, enforceable and infringed.</w:t>
      </w:r>
    </w:p>
    <w:p>
      <w:pPr>
        <w:spacing w:after="0" w:line="128" w:lineRule="exact"/>
        <w:rPr>
          <w:rFonts w:ascii="Arial" w:cs="Arial" w:eastAsia="Arial" w:hAnsi="Arial"/>
          <w:sz w:val="17"/>
          <w:szCs w:val="17"/>
          <w:color w:val="auto"/>
        </w:rPr>
      </w:pPr>
    </w:p>
    <w:p>
      <w:pPr>
        <w:ind w:left="960" w:hanging="480"/>
        <w:spacing w:after="0"/>
        <w:tabs>
          <w:tab w:leader="none" w:pos="9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Any issued patents that we own or have licensed will provide us with any competitive advantages, or will not be challenged by third parties.</w:t>
      </w:r>
    </w:p>
    <w:p>
      <w:pPr>
        <w:spacing w:after="0" w:line="140" w:lineRule="exact"/>
        <w:rPr>
          <w:rFonts w:ascii="Arial" w:cs="Arial" w:eastAsia="Arial" w:hAnsi="Arial"/>
          <w:sz w:val="16"/>
          <w:szCs w:val="16"/>
          <w:color w:val="auto"/>
        </w:rPr>
      </w:pPr>
    </w:p>
    <w:p>
      <w:pPr>
        <w:ind w:left="960" w:hanging="480"/>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develop additional proprietary technologies that are patentable.</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patents of others will not have a material or adverse effect on our business, financial condition, results of operations and prospects.</w:t>
      </w:r>
    </w:p>
    <w:p>
      <w:pPr>
        <w:spacing w:after="0" w:line="128" w:lineRule="exact"/>
        <w:rPr>
          <w:rFonts w:ascii="Arial" w:cs="Arial" w:eastAsia="Arial" w:hAnsi="Arial"/>
          <w:sz w:val="17"/>
          <w:szCs w:val="17"/>
          <w:color w:val="auto"/>
        </w:rPr>
      </w:pPr>
    </w:p>
    <w:p>
      <w:pPr>
        <w:ind w:left="960" w:right="80" w:hanging="480"/>
        <w:spacing w:after="0" w:line="308" w:lineRule="auto"/>
        <w:tabs>
          <w:tab w:leader="none" w:pos="9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1" w:name="page62"/>
    <w:bookmarkEnd w:id="61"/>
    <w:p>
      <w:pPr>
        <w:ind w:right="300"/>
        <w:spacing w:after="0" w:line="277" w:lineRule="auto"/>
        <w:rPr>
          <w:sz w:val="20"/>
          <w:szCs w:val="20"/>
          <w:color w:val="auto"/>
        </w:rPr>
      </w:pPr>
      <w:r>
        <w:rPr>
          <w:rFonts w:ascii="Arial" w:cs="Arial" w:eastAsia="Arial" w:hAnsi="Arial"/>
          <w:sz w:val="18"/>
          <w:szCs w:val="18"/>
          <w:b w:val="1"/>
          <w:bCs w:val="1"/>
          <w:i w:val="1"/>
          <w:iCs w:val="1"/>
          <w:color w:val="auto"/>
        </w:rPr>
        <w:t>Other companies or organizations may challenge our or our licensors’ patent rights or may assert patent rights that prevent us from developing and commercializing our products.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Probody therapeutics are a relatively new scientific field. We have obtained grants and issuances of Probody therapeutic patents and have licensed one patent family comprising several of these patents from a third party on an exclusive basis for therapeutics applications.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and have licensed a portfolio of patents, patent applications and other intellectual property covering Probody compositions of matter as well as their methods of manufacturing and use.</w:t>
      </w:r>
    </w:p>
    <w:p>
      <w:pPr>
        <w:spacing w:after="0" w:line="192"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w:t>
      </w:r>
    </w:p>
    <w:p>
      <w:pPr>
        <w:spacing w:after="0" w:line="18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There are many issued and pending patents that claim aspects of our product candidates and modifications that we may need to apply to our product candidates. There are also many issued patents that claim antibodies or portions of antibodies that may be relevant for Probody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Obtaining a valid and enforceable issued or granted patent covering our technology in the U.S.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generally in certain jurisdictions. Proceedings to enforce our patent rights in foreign jurisdictions could result in substantial cost and divert our efforts and attention from other aspects of our business.</w:t>
      </w:r>
    </w:p>
    <w:p>
      <w:pPr>
        <w:spacing w:after="0" w:line="18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We generally file a provisional patent application first (a priority filing) at the USPTO. An international application under the Patent Cooperation Treaty (“PCT”) is usually filed within twelve months after the priority filing. Based on the PCT filing, national and regional patent applications may be filed in the United States, Europe, Japan, Australia and Canada and, depending on the individual case, also in any or all of, </w:t>
      </w:r>
      <w:r>
        <w:rPr>
          <w:rFonts w:ascii="Arial" w:cs="Arial" w:eastAsia="Arial" w:hAnsi="Arial"/>
          <w:sz w:val="18"/>
          <w:szCs w:val="18"/>
          <w:i w:val="1"/>
          <w:iCs w:val="1"/>
          <w:color w:val="auto"/>
        </w:rPr>
        <w:t>inter alia</w:t>
      </w:r>
      <w:r>
        <w:rPr>
          <w:rFonts w:ascii="Arial" w:cs="Arial" w:eastAsia="Arial" w:hAnsi="Arial"/>
          <w:sz w:val="18"/>
          <w:szCs w:val="18"/>
          <w:color w:val="auto"/>
        </w:rPr>
        <w:t>, Brazil, China, Hong Kong, India, Indonesia, Israel, Malaysia, Mexico, New Zealand, Russia or Eurasian Patent Organization, Singapore,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by others. It is also quite common that depending on the country, various scopes of patent protection may be granted on the same product candidate or technology.</w:t>
      </w:r>
    </w:p>
    <w:p>
      <w:pPr>
        <w:spacing w:after="0" w:line="1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laws of some jurisdictions do not protect intellectual property rights to the same extent as the laws in the U.S., and many companies have encountered significant difficulties in protecting and defending such rights in such jurisdictions.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2" w:name="page63"/>
    <w:bookmarkEnd w:id="62"/>
    <w:p>
      <w:pPr>
        <w:ind w:right="20"/>
        <w:spacing w:after="0" w:line="259" w:lineRule="auto"/>
        <w:rPr>
          <w:sz w:val="20"/>
          <w:szCs w:val="20"/>
          <w:color w:val="auto"/>
        </w:rPr>
      </w:pPr>
      <w:r>
        <w:rPr>
          <w:rFonts w:ascii="Arial" w:cs="Arial" w:eastAsia="Arial" w:hAnsi="Arial"/>
          <w:sz w:val="18"/>
          <w:szCs w:val="18"/>
          <w:b w:val="1"/>
          <w:bCs w:val="1"/>
          <w:i w:val="1"/>
          <w:iCs w:val="1"/>
          <w:color w:val="auto"/>
        </w:rPr>
        <w:t>We or our licensors, or any future strategic partners may become subject to third party claims or litigation alleging infringement of patents or other proprietary rights or seeking to invalidate patents or other proprietary rights, and we may need to resort to litigation to protect or enforce our patents or other proprietary rights, all of which could be costly, time consuming, delay or prevent the development and commercialization of our product candidates, or put our patents and other proprietary rights at risk.</w:t>
      </w:r>
    </w:p>
    <w:p>
      <w:pPr>
        <w:spacing w:after="0" w:line="7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We or our licensors, or any future strategic partners may be subject to third-party claims for infringement or misappropriation of patent or other proprietary rights. We are generally obligated under our license or collaboration agreements to indemnify and hold harmless our licensors or collaborators for damages arising from intellectual property infringement by us. For example, in March 2020, Vytacera Bio, LLC filed a patent infringement lawsuit against the Company in the U.S. District Court for the District of Delaware. The lawsuit alleges that the Company’s use, offers to sell, and/or sales of the Probody technology platform for basic research applications constitutes infringement. The complaint seeks unspecified monetary damages. The Company believes that the lawsuit is without merit and intends to vigorously defend itself. However, there can be no assurance that a court might not rule against us in these proceedings. </w:t>
      </w:r>
      <w:r>
        <w:rPr>
          <w:rFonts w:ascii="Arial" w:cs="Arial" w:eastAsia="Arial" w:hAnsi="Arial"/>
          <w:sz w:val="16"/>
          <w:szCs w:val="16"/>
          <w:u w:val="single" w:color="auto"/>
          <w:color w:val="auto"/>
        </w:rPr>
        <w:t>E</w:t>
      </w:r>
      <w:r>
        <w:rPr>
          <w:rFonts w:ascii="Arial" w:cs="Arial" w:eastAsia="Arial" w:hAnsi="Arial"/>
          <w:sz w:val="16"/>
          <w:szCs w:val="16"/>
          <w:color w:val="auto"/>
        </w:rPr>
        <w:t>ven if we are successful in defending against such claim, this litigation could divert management’s attention, as well as our resources, from our business and any claims paid out of our cash reserves would harm our financial condition and operating results.</w:t>
      </w:r>
    </w:p>
    <w:p>
      <w:pPr>
        <w:spacing w:after="0" w:line="16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If we or our licensors, or any future strategic partners are found to infringe a 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17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we were to initiate legal proceedings against a third party to enforce a patent covering one of our products or our technology, the defendant could counterclaim that our patent is invalid or unenforceable. In patent litigation in the U.S.,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misappropriating or otherwise violating our patents or other intellectual property rights.</w:t>
      </w:r>
    </w:p>
    <w:p>
      <w:pPr>
        <w:spacing w:after="0" w:line="290"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b w:val="1"/>
          <w:bCs w:val="1"/>
          <w:i w:val="1"/>
          <w:iCs w:val="1"/>
          <w:color w:val="auto"/>
        </w:rPr>
        <w:t>Intellectual property rights of third parties could adversely affect our ability to commercialize our product candidates, and we might be required to litigate or obtain licenses from third parties in order to develop or market our product candidates. Such litigation or licenses could be costly or not available on commercially reasonable terms.</w:t>
      </w:r>
    </w:p>
    <w:p>
      <w:pPr>
        <w:spacing w:after="0" w:line="7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Because the antibody landscape is still evolving, including the masked antibody landscape, it is difficult to conclusively assess our freedom to operate without infringing on third-party rights. There are numerous companies that have pending patent applications and issued patents broadly covering antibodies generally or covering antibodies directed against the same targets as, or targets similar to, those we are pursuing. There are many issued patents and patent applications covering antibodies targeted against PD-1 and PD-L1, and the intellectual property covering PD-1 and PD-L1 antibodies has been the subject of litigation and licensing, especially regarding how broadly certain claims should be construed. If the claims were to be construed broadly by the courts, we may need to obtain a license to some of such intellectual property, covering PD-1 and/or PD-L1 antibodies, which would decrease the profits we would realize from the sale of such products. An increasing number of third parties are filing masked antibody patent applications, several of which contain claims that are patterned after our own patent claims. Our competitive position may suffer if patents issued to third parties or other third-party intellectual property rights cover our products or product candidates or elements thereof, or our manufacture or uses relevant to our development plans.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 terms. There may be issued patents of which we are not aware, held by third parties that, if found to be valid and</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3" w:name="page64"/>
    <w:bookmarkEnd w:id="63"/>
    <w:p>
      <w:pPr>
        <w:ind w:right="140"/>
        <w:spacing w:after="0" w:line="301" w:lineRule="auto"/>
        <w:rPr>
          <w:sz w:val="20"/>
          <w:szCs w:val="20"/>
          <w:color w:val="auto"/>
        </w:rPr>
      </w:pPr>
      <w:r>
        <w:rPr>
          <w:rFonts w:ascii="Arial" w:cs="Arial" w:eastAsia="Arial" w:hAnsi="Arial"/>
          <w:sz w:val="16"/>
          <w:szCs w:val="16"/>
          <w:color w:val="auto"/>
        </w:rPr>
        <w:t>enforceable, could be alleged to be infringed by our Probody therapeutic technologies. There also may be pending patent applications of which we are not aware that may result in issued patents, which could be alleged to be infringed by our Probody therapeutic technologies. If such an infringement claim should be brought and be successful, we may be required to pay substantial damages, be forced to abandon our product candidates or seek a license from any patent holders. No assurances can be given that a license will be available on commercially reasonable terms, if at all.</w:t>
      </w:r>
    </w:p>
    <w:p>
      <w:pPr>
        <w:spacing w:after="0" w:line="15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It is also possible that we have failed to identify relevant third-party patents or applications. For example, U.S. applications filed before November 29, 2000 and certain U.S. applications filed after that date that will not be filed outside the U.S. remain confidential until patents issue. Patent applications in the U.S. and elsewhere are published approximately 18 months after the earliest filing for which priority is claimed, with such earliest filing date being commonly referred to as the priority date. Therefore, patent applications covering our products or platform technology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1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Litigation, including the ongoing patent infringement lawsuit brought by Vytacera Bio, LLC (“Vytacera”) against us,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7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misappropriating or otherwise violating or from successfully challenging our intellectual property rights. For example, although we believe the Vytacera lawsuit is without merit and we intend to vigorously defend ourselves, we cannot provide any assurance that we will be successful. Uncertainties resulting from the initiation and continuation of patent litigation or other proceedings could have a material and adverse effect on our ability to compete in the marketplace.</w:t>
      </w:r>
    </w:p>
    <w:p>
      <w:pPr>
        <w:spacing w:after="0" w:line="27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If we fail to comply with our obligations under any license, collaboration or other agreements, we may be required to pay damages and could lose our rights to intellectual property rights that are necessary for developing and protecting our product candidates or we could lose certain rights to grant sublicenses.</w:t>
      </w:r>
    </w:p>
    <w:p>
      <w:pPr>
        <w:spacing w:after="0" w:line="76"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Our licenses from Amgen, ImmunoGen and UCSB impose, and any future licenses we enter into are likely to impose, various development, commercialization, funding, diligence, sublicensing, insurance, patent prosecution and enforcement and/or other obligations on us, including various payment obligations such as milestone and royalty payments and payments based on sublicensing revenues. Our rights under our agreements with our licensors or collaborators may be limited or modified according to their terms. Additionally,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and collaborators may own or control intellectual property that has not been licensed to us and, as a result, we may be subject to claims, regardless of their merit, that we are infringing, misappropriating or otherwise violating the licensor’s rights. In addition, while we cannot currently determine the amount of the royalty or sublicense revenue payment obligations we would be required to pay on development or sales of future products, if any, the amounts may be significant. The amount of our future royalty or sublicense revenue payment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4" w:name="page65"/>
    <w:bookmarkEnd w:id="64"/>
    <w:p>
      <w:pPr>
        <w:jc w:val="both"/>
        <w:ind w:right="160"/>
        <w:spacing w:after="0" w:line="263" w:lineRule="auto"/>
        <w:rPr>
          <w:sz w:val="20"/>
          <w:szCs w:val="20"/>
          <w:color w:val="auto"/>
        </w:rPr>
      </w:pPr>
      <w:r>
        <w:rPr>
          <w:rFonts w:ascii="Arial" w:cs="Arial" w:eastAsia="Arial" w:hAnsi="Arial"/>
          <w:sz w:val="18"/>
          <w:szCs w:val="18"/>
          <w:b w:val="1"/>
          <w:bCs w:val="1"/>
          <w:i w:val="1"/>
          <w:iCs w:val="1"/>
          <w:color w:val="auto"/>
        </w:rPr>
        <w:t>Our intellectual property agreements with our licensors, collaborators and third parties may be subject to disagreements over contract interpretation, which could narrow the scope of, or result in termination of, our rights to the relevant intellectual property or technology or increase our financial or other obligations to such third parties.</w:t>
      </w:r>
    </w:p>
    <w:p>
      <w:pPr>
        <w:spacing w:after="0" w:line="7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Certain provisions in our intellectual property agreements may be susceptible to multiple interpretations. For example, we may disagree with our licensors or collaborators regarding whether, when and to what extent various obligations under these agreements apply to certain of our product candidates and products, including various payment, development, commercialization, funding, diligence, sublicensing, insurance, patent prosecution and enforcement and/or other obligations. The resolution of any contract interpretation disagreement that may arise could affect the scope of our rights to the relevant intellectual property or technology, or affect financial or other obligations under the relevant agreement. In either case, such disagreement could have a material adverse effect on our business, financial condition, results of operations and prospects.</w:t>
      </w:r>
    </w:p>
    <w:p>
      <w:pPr>
        <w:spacing w:after="0" w:line="178" w:lineRule="exact"/>
        <w:rPr>
          <w:sz w:val="20"/>
          <w:szCs w:val="20"/>
          <w:color w:val="auto"/>
        </w:rPr>
      </w:pPr>
    </w:p>
    <w:p>
      <w:pPr>
        <w:ind w:right="120"/>
        <w:spacing w:after="0" w:line="219" w:lineRule="exact"/>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w:t>
      </w:r>
      <w:r>
        <w:rPr>
          <w:rFonts w:ascii="MS PGothic" w:cs="MS PGothic" w:eastAsia="MS PGothic" w:hAnsi="MS PGothic"/>
          <w:sz w:val="18"/>
          <w:szCs w:val="18"/>
          <w:color w:val="auto"/>
        </w:rPr>
        <w:t>‑</w:t>
      </w:r>
      <w:r>
        <w:rPr>
          <w:rFonts w:ascii="Arial" w:cs="Arial" w:eastAsia="Arial" w:hAnsi="Arial"/>
          <w:sz w:val="18"/>
          <w:szCs w:val="18"/>
          <w:color w:val="auto"/>
        </w:rPr>
        <w:t>executing or may be breached, and we may be forced to bring claims against third parties, or defend claims they may bring against us, to determine the ownership of what we regard as our intellectual property.</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to seeking patent protection for certain aspects of our product candidates, we also consider trade secrets, including confidential and unpatented know-how, important to the maintenance of our competitive position. We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w:t>
      </w:r>
    </w:p>
    <w:p>
      <w:pPr>
        <w:spacing w:after="0" w:line="19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spacing w:after="0" w:line="286"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5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30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may be unable to obtain or be delayed in obtaining U.S. or foreign regulatory approval and, as a result, be unable or delayed in being able to commercialize our product candidates.</w:t>
      </w:r>
    </w:p>
    <w:p>
      <w:pPr>
        <w:spacing w:after="0" w:line="6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product candidates that we are currently developing are regulated as therapeutic biologics that are subject to requirements for review and approval of a BLA by the FDA’s Center for Drug Evaluation and Research (“CDER”). Therefore, our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drugs and therapeutic biologics. Rigorous preclinical testing and clinical trials and an extensive regulatory approval process are required to be successfully completed in the U.S. and in many foreign jurisdictions before a new drug or therapeutic biologic can be marketed. Satisfaction of these and other regulatory requirements is costly, time consuming, uncertain and subject to unanticipated delays. For example, at this time it is impossible to predict whether the COVID-19 pandemic will cause regulatory delays in the U.S. or foreign jurisdictions. It is possible that none of the product candidates we may develop will obtain the regulatory approvals necessary for us or our existing or future collaborators to begin selling them.</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a company, we have limited experience in conducting and managing the clinical trials necessary to obtain regulatory approvals, including approval by the FDA. The time required to obtain FDA and other approvals is unpredictable but typically takes many years following the commencement of clinical trials, depending upon the type, complexity and novelty of the product candidate. The standards that the FDA and its foreign counterparts use when regulating us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Further, government shutdowns, such as the partial U.S. federal government shutdown in late 2018 or the uncertain impact of the United Kingdom’s departure from the European Union may impact our ability to access government agencies in a timely manner or otherwise impact our ability to move our product candidates through the regulatory process. It is impossible to predict whether legislative changes will be enacted, or whether FDA or foreign regulations, guidance or interpretations will be changed, or what the impact of such changes, if any, may be.</w:t>
      </w:r>
    </w:p>
    <w:p>
      <w:pPr>
        <w:spacing w:after="0" w:line="18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Moreover, the FDA may respond to our submissions by defining requirements we may not have anticipated. Such responses could lead to significant delays in the clinical development of our product candidates. In addition, because there may be approved treatments for some of the diseases for which we may seek approval, in order to receive regulatory approval, we may need to demonstrate through clinical trials that the product candidates we develop to treat these diseases, if any, are not only safe and effective, but safer or more effective than existing products. Furthermore, in recent years, there has been increased public and political pressure on the FDA with respect to the approval process for new drugs and therapeutic biologics, and the FDA’s standards, especially regarding product safety, appear to have become more stringent.</w:t>
      </w:r>
    </w:p>
    <w:p>
      <w:pPr>
        <w:spacing w:after="0" w:line="17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Any delay or failure in obtaining required approvals could have a material and adverse effect on our ability to generate revenues from the particular product candidate for which we are seeking approval. Furthermore, any regulatory approval to market a product may be subject to limitations on the approved uses for which we may market the product or the labeling or other restrictions. In addition, the FDA has the authority to require a REMS as part of a BLA or after approval, which may impose further requirements or restrictions on the distribution or use of an approved drug or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spacing w:after="0" w:line="19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U.S. and vice versa.</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66" w:name="page67"/>
    <w:bookmarkEnd w:id="66"/>
    <w:p>
      <w:pPr>
        <w:spacing w:after="0" w:line="259" w:lineRule="auto"/>
        <w:rPr>
          <w:sz w:val="20"/>
          <w:szCs w:val="20"/>
          <w:color w:val="auto"/>
        </w:rPr>
      </w:pPr>
      <w:r>
        <w:rPr>
          <w:rFonts w:ascii="Arial" w:cs="Arial" w:eastAsia="Arial" w:hAnsi="Arial"/>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7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Any regulatory approvals that we or our collaborators obtain for our product candidates may also be subject to limitations on the approved indicated uses for which a product may be marketed or to the conditions of approval, or contain requirements for potentially costly post-marketing testing, including “Phase 4” clinical trials, and surveillance to monitor the safety and efficacy of the product candidate. 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good clinical practices for any clinical trials that we conduct post-approval.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73" w:lineRule="exact"/>
        <w:rPr>
          <w:sz w:val="20"/>
          <w:szCs w:val="20"/>
          <w:color w:val="auto"/>
        </w:rPr>
      </w:pPr>
    </w:p>
    <w:p>
      <w:pPr>
        <w:ind w:left="960" w:right="160" w:hanging="480"/>
        <w:spacing w:after="0" w:line="277"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our strategic partners;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suspension or revocation of product license approvals;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also cannot predict the likelihood, nature or extent of government regulation that may arise from future legislation or administrative or executive action, either in the United States or abroad. For example, certain policies of the U.S. government may impact our business and industry. For example, the Executive Branch of the U.S. government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requirements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27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statutory, regulatory, and policy changes, the FDA’s ability to hire and retain key personnel and accept the payment of user fees, and other events that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otherwise affect the FDA’s ability to perform routine functions. Average review times at the agency have fluctuated in recent years as a result. In addition,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government funding of other government agencies that fund research and development activities is inherently fluid and unpredictable. Disruptions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FDA and other agencies may also slow the time necessary for therapeutic biologics or modifications to approved therapeutic biologics to be reviewed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and/or approved by necessary government agencies, which would adversely affect our business. For example, over the last several years, including for 35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days beginning on December 22, 2018, the U.S. government has shut down several times and certain regulatory agencies, such as the FDA, have had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furlough FDA employees and stop critical activities.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7" w:name="page68"/>
    <w:bookmarkEnd w:id="67"/>
    <w:p>
      <w:pPr>
        <w:ind w:right="80"/>
        <w:spacing w:after="0" w:line="254" w:lineRule="auto"/>
        <w:rPr>
          <w:sz w:val="20"/>
          <w:szCs w:val="20"/>
          <w:color w:val="auto"/>
        </w:rPr>
      </w:pPr>
      <w:r>
        <w:rPr>
          <w:rFonts w:ascii="Arial" w:cs="Arial" w:eastAsia="Arial" w:hAnsi="Arial"/>
          <w:sz w:val="18"/>
          <w:szCs w:val="18"/>
          <w:color w:val="auto"/>
        </w:rPr>
        <w:t>Separately, in response to the global pandemic of COVID-19, on March 10, 2020 the FDA announced its intention to postpone most foreign inspections of manufacturing facilities and products through April 2020, and subsequently, on March 18, 2020, the FDA announced its intention to temporarily postpone routine surveillance inspections of domestic manufacturing facilities.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and adverse effect on our business and results of operations.</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(together, the “ACA”), was passed, which substantially changed the way healthcare is financed by both governmental and private insurers, and significantly impacts the U.S. pharmaceutical industry. The ACA, among other things, subjected therapeutic biologics to potential competition by lower-cost biosimilars, addressed a new methodology by which rebates owed by manufacturers under the Medicaid Drug Rebate Program are calculated for drugs and therapeutic biologics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therapeutic biologics, and created a new Medicare Part D coverage gap discount program, in which manufacturers must agree to offer 50% point-of-sale discounts, which, through subsequent legislative amendments, was increased to 70% starting in 2019, off negotiated prices of applicable brand drugs and therapeutic biologics to eligible beneficiaries during their coverage gap period, as a condition for the manufacturer’s outpatient drugs and therapeutic biologics to be covered under Medicare Part D.</w:t>
      </w:r>
    </w:p>
    <w:p>
      <w:pPr>
        <w:spacing w:after="0" w:line="17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Since its enactment, there have been judicial and Congressional challenges to certain aspects of the ACA, and we expect there will be additional challenges and amendments to the ACA in the future. By way of example, the Tax Cuts and Jobs Act of 2017 includes a provision repealing the tax-based shared responsibility payment imposed by the ACA on certain individuals who fail to maintain qualifying health coverage for all or part of a year that is commonly referred to as the “individual mandate.” On December 14, 2018, a U.S. District Court Judge in the Northern District of Texas, ruled that the individual mandate is a critical and inseverable feature of the ACA, and therefore, because it was repealed as part of the Tax Cuts and Jobs Act, the remaining provisions of the ACA are invalid as well. On December 18, 2019, the U.S. Court of Appeals for the 5th Circuit upheld the District Court's decision that the individual mandate was unconstitutional but remanded the case back to the District Court to determine whether the remaining provisions of the ACA are invalid as well. On March 2, 2020, the U.S. Supreme Court granted the petitions for writs of certiorari to review the case, although it is unclear when a decision will be made or how the Supreme Court will rule. In addition, there may be other efforts to challenge, repeal, or replace the ACA. We are continuing to monitor any changes to the Affordable Care Act that, in turn, may potentially impact our business in the future.</w:t>
      </w:r>
    </w:p>
    <w:p>
      <w:pPr>
        <w:spacing w:after="0" w:line="16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to reduce healthcare expenditures. The Budget Control Act of 2011, among other things, included aggregate reductions of Medicare payments to providers of 2% per fiscal year. These reductions went into effect on April 1, 2013 and, due to subsequent legislative amendments to the statute, will remain in effect through 2029 unless additional Congressional action is taken. These reductions will be suspended from May 1, 2020 through December 31, 2020 due to the COVID-19 pandemic.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spacing w:after="0" w:line="192"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 xml:space="preserve">Moreover, payment methodologies, including payment for companion diagnostics, may be subject to changes in healthcare legislation and regulatory initiatives. For example, the Centers for Medicare &amp; Medicaid Services (“CMS”) has begun bundling the Medicare payments for certain laboratory tests ordered while a patient received services in a hospital outpatient setting. Additionally, CMS significantly altered the payment methodology under the Medicare Clinical Laboratory Fee Schedule (CLFS). Effective 2018, the CFLS is based on a weighted average of reported prices that private payors, Medicare Advantage plans, and Medicaid Managed Care plans pay for laboratory services. Further, in March 2018, CMS finalized a national coverage determination extending coverage under the Medicare program for certain diagnostic laboratory tests using next generation sequencing (“NGS”) that are approved by the FDA as a companion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and used in a cancer with an FDA-approved companion diagnostic indication. Under the national coverage determination, diagnostic tests that meet these criteria are covered only in patients with recurrent, metastatic, relapsed, refractory or stages III or IV cancer if the test has an FDA-approved or cleared indication for use in that patient’s cancer and results are provided to the treating physician for management of the patient using a report template to specify treatment options. Although the Medicare program increasingly is used as a model for how private payors and other governmental payors develop their coverage and reimbursement policies, it is difficult to predict at this time what third-party payors will decide with respect to the coverage and reimbursement for any companion diagnostics associated with our product candidates.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8" w:name="page69"/>
    <w:bookmarkEnd w:id="68"/>
    <w:p>
      <w:pPr>
        <w:ind w:right="60"/>
        <w:spacing w:after="0" w:line="269" w:lineRule="auto"/>
        <w:rPr>
          <w:sz w:val="20"/>
          <w:szCs w:val="20"/>
          <w:color w:val="auto"/>
        </w:rPr>
      </w:pPr>
      <w:r>
        <w:rPr>
          <w:rFonts w:ascii="Arial" w:cs="Arial" w:eastAsia="Arial" w:hAnsi="Arial"/>
          <w:sz w:val="17"/>
          <w:szCs w:val="17"/>
          <w:color w:val="auto"/>
        </w:rPr>
        <w:t>In addition, recently there has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For example, the 21st Century Cures Act changed the reimbursement methodology for infusion drugs and biologics furnished through durable medical equipment in an attempt to remedy over- and underpayment of certain products.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companion diagnostics or additional pricing pressures.</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Furthermore, certain candidates for the U.S. Presidential race in 2020 have promoted substantial changes to the healthcare system and drug pricing rules. If some of these changes were implemented, it could have a materially adverse impact on the ability of biotechnology and pharmaceutical companies, like us, to obtain capital to further their research or develop their product candidates make it economically unfeasible for such companies to continue to develop needed new innovative therapies.</w:t>
      </w:r>
    </w:p>
    <w:p>
      <w:pPr>
        <w:spacing w:after="0" w:line="295"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b w:val="1"/>
          <w:bCs w:val="1"/>
          <w:i w:val="1"/>
          <w:iCs w:val="1"/>
          <w:color w:val="auto"/>
        </w:rPr>
        <w:t>If we or our collaborators, manufacturers or service providers fail to comply with healthcare laws and regulations, we or they could be subject to enforcement actions, which could affect our ability to develop, market and sell our products and may harm our reputation.</w:t>
      </w:r>
    </w:p>
    <w:p>
      <w:pPr>
        <w:spacing w:after="0" w:line="1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Although we do not currently have any products on the market, once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In addition, we may be subject to patient data privacy and security regulation by both the U.S. federal government and the states in which we conduct our business. Restrictions under applicable federal and state healthcare laws and regulations, include the following:</w:t>
      </w:r>
    </w:p>
    <w:p>
      <w:pPr>
        <w:spacing w:after="0" w:line="70" w:lineRule="exact"/>
        <w:rPr>
          <w:sz w:val="20"/>
          <w:szCs w:val="20"/>
          <w:color w:val="auto"/>
        </w:rPr>
      </w:pPr>
    </w:p>
    <w:p>
      <w:pPr>
        <w:ind w:left="960" w:right="80" w:hanging="480"/>
        <w:spacing w:after="0" w:line="257" w:lineRule="auto"/>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79" w:lineRule="exact"/>
        <w:rPr>
          <w:rFonts w:ascii="Arial" w:cs="Arial" w:eastAsia="Arial" w:hAnsi="Arial"/>
          <w:sz w:val="18"/>
          <w:szCs w:val="18"/>
          <w:color w:val="auto"/>
        </w:rPr>
      </w:pPr>
    </w:p>
    <w:p>
      <w:pPr>
        <w:ind w:left="960" w:hanging="480"/>
        <w:spacing w:after="0" w:line="255" w:lineRule="auto"/>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84" w:lineRule="exact"/>
        <w:rPr>
          <w:rFonts w:ascii="Arial" w:cs="Arial" w:eastAsia="Arial" w:hAnsi="Arial"/>
          <w:sz w:val="18"/>
          <w:szCs w:val="18"/>
          <w:color w:val="auto"/>
        </w:rPr>
      </w:pPr>
    </w:p>
    <w:p>
      <w:pPr>
        <w:ind w:left="960" w:right="40" w:hanging="480"/>
        <w:spacing w:after="0" w:line="275" w:lineRule="auto"/>
        <w:tabs>
          <w:tab w:leader="none" w:pos="9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U.S.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68" w:lineRule="exact"/>
        <w:rPr>
          <w:rFonts w:ascii="Arial" w:cs="Arial" w:eastAsia="Arial" w:hAnsi="Arial"/>
          <w:sz w:val="17"/>
          <w:szCs w:val="17"/>
          <w:color w:val="auto"/>
        </w:rPr>
      </w:pPr>
    </w:p>
    <w:p>
      <w:pPr>
        <w:ind w:left="960" w:hanging="480"/>
        <w:spacing w:after="0" w:line="275" w:lineRule="auto"/>
        <w:tabs>
          <w:tab w:leader="none" w:pos="9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(“HITECH”), which imposes obligations on certain covered entity healthcare providers, health plans, and healthcare clearinghouse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9" w:name="page70"/>
    <w:bookmarkEnd w:id="69"/>
    <w:p>
      <w:pPr>
        <w:ind w:left="960" w:right="340" w:hanging="480"/>
        <w:spacing w:after="0" w:line="273" w:lineRule="auto"/>
        <w:tabs>
          <w:tab w:leader="none" w:pos="9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CMS information related to certain payments and other transfers of value to physicians (defined to include doctors, dentists, optometrists, podiatrists and chiropractors), teaching hospitals and, beginning in 2022, certain other health care professionals, as well as ownership and investment interests held by the physicians described above and their immediate family members; and</w:t>
      </w:r>
    </w:p>
    <w:p>
      <w:pPr>
        <w:spacing w:after="0" w:line="69" w:lineRule="exact"/>
        <w:rPr>
          <w:rFonts w:ascii="Arial" w:cs="Arial" w:eastAsia="Arial" w:hAnsi="Arial"/>
          <w:sz w:val="17"/>
          <w:szCs w:val="17"/>
          <w:color w:val="auto"/>
        </w:rPr>
      </w:pPr>
    </w:p>
    <w:p>
      <w:pPr>
        <w:ind w:left="960" w:hanging="480"/>
        <w:spacing w:after="0" w:line="272" w:lineRule="auto"/>
        <w:tabs>
          <w:tab w:leader="none" w:pos="9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in addition to requiring drug and therapeutic biologics manufacturers to report information related to payments to physicians and other healthcare providers or marketing expenditures and pricing information; and state laws governing the privacy and security of health information in certain circumstances, many of which differ from each other in significant ways and often are not preempted by HIPAA, thus complicating compliance efforts.</w:t>
      </w:r>
    </w:p>
    <w:p>
      <w:pPr>
        <w:spacing w:after="0" w:line="17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Ensuring that our future business arrangements with third-parties comply with applicable healthcare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such requirements, we may be subject to penalties, including civil or criminal penalties, monetary damages, the curtailment or restructuring of our operations, loss of eligibility to obtain approvals from the FDA, or exclusion from participation in government contracting, healthcare reimbursement or other government programs, including Medicare and Medicaid, any of which could adversely our financial results.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8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If we or future collaborators, manufacturers or service providers fail to comply with applicable federal, state or foreign laws or regulations, we could be subject to enforcement actions, which could affect our ability to develop, market and sell our products successfully and could harm our reputation and lead to reduced acceptance of our products by the market. These enforcement actions include, among others:</w:t>
      </w:r>
    </w:p>
    <w:p>
      <w:pPr>
        <w:spacing w:after="0" w:line="76" w:lineRule="exact"/>
        <w:rPr>
          <w:sz w:val="20"/>
          <w:szCs w:val="20"/>
          <w:color w:val="auto"/>
        </w:rPr>
      </w:pPr>
    </w:p>
    <w:p>
      <w:pPr>
        <w:ind w:left="960" w:hanging="480"/>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adverse regulatory inspection findings;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voluntary or mandatory product recalls or public notification or medical product safety alerts to healthcare professionals;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restrictions on, or prohibitions against, marketing our products;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restrictions on, or prohibitions against, importation or exportation of our products;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suspension of review or refusal to approve pending applications or supplements to approved applications;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exclusion from participation in government-funded healthcare programs;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exclusion from eligibility for the award of government contracts for our products;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suspension or withdrawal of product approvals;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seizures or administrative detention of products;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injunctions; and</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civil and criminal penalties and fines.</w:t>
      </w:r>
    </w:p>
    <w:p>
      <w:pPr>
        <w:spacing w:after="0" w:line="33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fail to comply with U.S. and foreign regulatory requirements, regulatory authorities could limit or withdraw any marketing or commercialization approvals we may receive and subject us to other penalties that could materially harm our business.</w:t>
      </w:r>
    </w:p>
    <w:p>
      <w:pPr>
        <w:spacing w:after="0" w:line="6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Even if we receive marketing and commercialization approval of a product candidate, we will be subject to continuing regulatory requirements, including in relation to adverse patient experiences with the product and clinical results that are reported after a product is made commercially available, both in the U.S. and any foreign jurisdiction in which we seek regulatory approval.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plan after approval, which may impose further requirements or restrictions on the distribution or use of</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0" w:name="page71"/>
    <w:bookmarkEnd w:id="70"/>
    <w:p>
      <w:pPr>
        <w:ind w:right="100"/>
        <w:spacing w:after="0" w:line="269" w:lineRule="auto"/>
        <w:rPr>
          <w:sz w:val="20"/>
          <w:szCs w:val="20"/>
          <w:color w:val="auto"/>
        </w:rPr>
      </w:pPr>
      <w:r>
        <w:rPr>
          <w:rFonts w:ascii="Arial" w:cs="Arial" w:eastAsia="Arial" w:hAnsi="Arial"/>
          <w:sz w:val="17"/>
          <w:szCs w:val="17"/>
          <w:color w:val="auto"/>
        </w:rPr>
        <w:t>an approved drug or therapeutic biologic. The manufacturer and manufacturing facilities we use to make a future product, if any, will also be subject to periodic review and inspection by the FDA and other regulatory agencies, including for continued compliance with cGMP requirements. The discovery of any new or previously unknown problems with our third-party manufacturers, manufacturing processes or facilities may result in restrictions on the product, manufacturer or facility, including withdrawal of the product from the market. If we rely on third-party manufacturers, we will not have control over compliance with applicable rules and regulations by such manufacturers. Any product promotion and advertising will also be subject to regulatory requirements and continuing regulatory review. If we or our collaborators, manufacturers or service providers fail to comply with applicable continuing regulatory requirements in the U.S. or foreign jurisdictions in which we seek to market our products, we or they may be subject to, among other things, fines, warning letters, holds on clinical trials, delay of approval or refusal by the FDA to approve pending applications or supplements to approved applications, suspension or withdrawal of regulatory approval, product recalls and seizures, administrative detention of products, refusal to permit the import or export of products, operating restrictions, injunction, civil penalties and criminal prosecution.</w:t>
      </w:r>
    </w:p>
    <w:p>
      <w:pPr>
        <w:spacing w:after="0" w:line="29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face regulation and potential liability related to the privacy, data protection and information security which may require significant resources and may adversely affect our business, operations and financial performance.</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regulatory environment surrounding information security, data collection and privacy is increasingly demanding. We are subject to numerous U.S. federal and state laws and non-U.S. regulations governing the protection of personal and confidential information of our clinical subjects, clinical investigators, employees and vendors/business contacts, including in relation to medical records, credit card data and financial information. For example, on May 25, 2018, the European General Data Protection Regulation, or GDPR, became effective, implementing more stringent requirements in relation to our use of personal data relating to individuals located in the E.U. (and E.E.A.). The GDPR repeals the Data Protection Directive (95/46/EC) and is directly applicable in all E.U. member states. The GDPR significantly increased fining levels to up to 4% total worldwide annual turnover or up to €20 million (whichever is higher) for non-compliance with its requirements. We will be subject to the GDPR where we have an E.U. presence or “establishment” (</w:t>
      </w:r>
      <w:r>
        <w:rPr>
          <w:rFonts w:ascii="Arial" w:cs="Arial" w:eastAsia="Arial" w:hAnsi="Arial"/>
          <w:sz w:val="17"/>
          <w:szCs w:val="17"/>
          <w:i w:val="1"/>
          <w:iCs w:val="1"/>
          <w:color w:val="auto"/>
        </w:rPr>
        <w:t>e.g</w:t>
      </w:r>
      <w:r>
        <w:rPr>
          <w:rFonts w:ascii="Arial" w:cs="Arial" w:eastAsia="Arial" w:hAnsi="Arial"/>
          <w:sz w:val="17"/>
          <w:szCs w:val="17"/>
          <w:color w:val="auto"/>
        </w:rPr>
        <w:t>., E.U. based subsidiary or operations), when conducting clinical trials with E.U. based data subjects (whether the trials are conducted directly by us or through a clinical vendor or collaborator) or offering approved products or services (if relevant) to E.U. based data subjects (regardless of whether involving our E.U. based subsidiary or operations).</w:t>
      </w:r>
    </w:p>
    <w:p>
      <w:pPr>
        <w:spacing w:after="0" w:line="18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GDPR sets out a number of requirements that must be complied with when handling the personal data of such E.U. based data subjects including: providing expanded disclosures about how their personal data will be used; higher standards for organizations to demonstrate that they have obtained valid consent or have another legal basis in place to justify their data processing activities; the obligation to appoint data protection officers in certain circumstances; new rights for individuals to be “forgotten” and rights to data portability, as well as enhanced current rights (e.g., access requests); the principal of accountability and demonstrating compliance through policies, procedures, training and audit; the new mandatory data breach regime. In particular, medical or health data, genetic data and biometric data where the latter is used to uniquely identify an individual (even, in certain situations, where such data is key coded) are all classified as “special category” data under GDPR and afford greater protection and require additional compliance obligations. Further, E.U. member states have a broad right to impose additional conditions – including restrictions – on these data categories. This is because the GDPR allows E.U. member states to derogate from the requirements of the GDPR mainly in regard to specific processing situations (including special category data and processing for scientific or statistical purposes). As the E.U. member states reframe their national legislation to harmonize with the GDPR, we will need to monitor compliance with all relevant E.U. member states' laws and regulations, including where permitted derogations from the GDPR are introduced.</w:t>
      </w:r>
    </w:p>
    <w:p>
      <w:pPr>
        <w:spacing w:after="0" w:line="179"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We will also be subject to evolving E.U. laws on data export, where we transfer data outside the E.U. (or E.E.A.) to group companies or third parties. The GDPR only permits exports of data outside the E.U. (and E.E.A.) where there is a suitable data transfer solution in place to safeguard personal data (e.g., the EU Commission approved Standard Contractual Clauses). Some of the approved current data transfer mechanisms are under review in the E.U. courts and by the E.U. Commission and therefore we need to monitor this space for any future changes.</w:t>
      </w:r>
    </w:p>
    <w:p>
      <w:pPr>
        <w:spacing w:after="0" w:line="17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Where we rely on third parties to carry out a number of services for us, including processing personal data on our behalf, we are required under GDPR to enter into contractual arrangements to help ensure that these third parties only process such data according to our instructions and have sufficient security measures in place. Any security breach or non-compliance with our contractual terms or breach of applicable law by such third parties could result in enforcement actions, litigation, fines and penalties or adverse publicity and could cause our customers to lose trust in us, which could have an adverse impact on our reputation and business.</w:t>
      </w:r>
    </w:p>
    <w:p>
      <w:pPr>
        <w:spacing w:after="0" w:line="18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recent years, U.S. and European lawmakers and regulators have expressed concern over electronic marketing and the use of third-party cookies, web beacons and similar technology for online behavioral advertising. In the E.U., marketing is defined broadly to include any promotional material and the rules specifically on e-marketing are currently set out in the ePrivacy Directive which will be replaced by a new ePrivacy Regulation. While the ePrivacy Regulation was originally intended to be adopted on May 25, 2018 (alongside the GDPR), it is still going through the European legislative process and commentators now expect it to be adopted during the middle or second half of 2019. The current draft of the ePrivacy Regulation imposes strict opt-in e-marketing rules with limited exceptions to business to business communications and significantly increases fining powers to the same levels as GDPR (see above).</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1" w:name="page72"/>
    <w:bookmarkEnd w:id="71"/>
    <w:p>
      <w:pPr>
        <w:ind w:right="460"/>
        <w:spacing w:after="0" w:line="277" w:lineRule="auto"/>
        <w:rPr>
          <w:sz w:val="20"/>
          <w:szCs w:val="20"/>
          <w:color w:val="auto"/>
        </w:rPr>
      </w:pPr>
      <w:r>
        <w:rPr>
          <w:rFonts w:ascii="Arial" w:cs="Arial" w:eastAsia="Arial" w:hAnsi="Arial"/>
          <w:sz w:val="18"/>
          <w:szCs w:val="18"/>
          <w:color w:val="auto"/>
        </w:rPr>
        <w:t>We may find it necessary or desirable to join self-regulatory bodies or other privacy-related organizations, particularly relating to biopharmacy and/or scientific research, that require compliance with their rules pertaining to privacy and data security.</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introduction of the GDPR, and any resultant changes in E.U. member states’ national laws and regulations and the ePrivacy Regulation, will increase our compliance obligations and will necessitate the review and implementation of policies and processes relating to our collection and use of data. This increase in compliance obligations could also lead to an increase in compliance costs which may have an adverse impact on our business, financial condition or results of operations.</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the United States, California enacted the California Consumer Privacy Act (“CCPA”) on June 28, 2018, which went into effect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privacy legislation in the United States, which could increase our potential liability and adversely affect our business.</w:t>
      </w:r>
    </w:p>
    <w:p>
      <w:pPr>
        <w:spacing w:after="0" w:line="19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any person, including any of our employees, clinical vendors or collaborators or those with whom we share such information, negligently disregards or intentionally breaches our established controls with respect to our clinical subject, clinical investigator or employee data, or otherwise mismanages or misappropriates that data, we could be subject to significant monetary damages, regulatory enforcement actions, fines and/or criminal prosecution in one or more jurisdictions. As above, under the GDPR there are significant new punishments for non-compliance which could result in a penalty of up to 4% of a firm’s global annual revenue. In addition, a data breach could result in negative publicity which could damage our reputation and have an adverse effect on our business, financial condition or results of operations.</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strive to comply with all applicable laws, but they may conflict with each other, and by complying with the laws or regulations of one jurisdiction, we may find that we are violating the laws or regulations of another jurisdiction. Despite our efforts, we may not have fully complied in the past and may not in the future. If we become liable under laws or regulations applicable to us, we could be required to pay significant fines and penalties, our reputation may be harmed and we may be forced to change the way we operate. That could require us to incur significant expenses or to discontinue certain services, which could negatively affect our business.</w:t>
      </w:r>
    </w:p>
    <w:p>
      <w:pPr>
        <w:spacing w:after="0" w:line="29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 such product candidate may become subject to unfavorable pricing regulations or third-party coverage and reimbursement policies, which would harm our business.</w:t>
      </w:r>
    </w:p>
    <w:p>
      <w:pPr>
        <w:spacing w:after="0" w:line="6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spacing w:after="0" w:line="17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Our ability to commercialize any products successfully also will depend in part on the extent to which coverage and reimbursement for these products and related treatments will be available from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Because our programs are in the early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 There may be significant delays in obtaining reimbursement for newly-approved drugs or therapeutic biologics, and coverage may be more limited than the purposes for which the drug or therapeutic biologic is approved by the FDA or similar regulatory authorities outside of the United States. Moreover, eligibility for reimbursement does not imply that any drug or therapeutic biologic will be reimbursed in all cases or at a rate that covers our costs, including research, development, manufacture, sale and distribution. Interim reimbursement levels for new drugs or therapeutic biologics, if applicable, may also not be sufficient to cover our costs and may not be made permanent. Reimbursement rates may be based on payments allowed for lower-cost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U.S. Third-party payors often rely upon Medicare coverage policy and payment limitations in setting their own reimbursement rates. Our inability to promptly obtain coverage and adequate reimbursement rates from both government-funded and private payors for new drugs or therapeutic biologics that we develop and for which we obtain regulatory approval could have a material and adverse effect on our operating results, our ability to raise capital needed to commercialize products and our financial condition.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2" w:name="page73"/>
    <w:bookmarkEnd w:id="72"/>
    <w:p>
      <w:pPr>
        <w:ind w:right="20"/>
        <w:spacing w:after="0" w:line="259" w:lineRule="auto"/>
        <w:rPr>
          <w:sz w:val="20"/>
          <w:szCs w:val="20"/>
          <w:color w:val="auto"/>
        </w:rPr>
      </w:pPr>
      <w:r>
        <w:rPr>
          <w:rFonts w:ascii="Arial" w:cs="Arial" w:eastAsia="Arial" w:hAnsi="Arial"/>
          <w:sz w:val="18"/>
          <w:szCs w:val="18"/>
          <w:b w:val="1"/>
          <w:bCs w:val="1"/>
          <w:i w:val="1"/>
          <w:iCs w:val="1"/>
          <w:color w:val="auto"/>
        </w:rPr>
        <w:t>We may seek and fail to obtain fast track or breakthrough therapy designations for our current or future product candidates. If we are successful, these programs may not lead to a faster development or regulatory review process, and they do not guarantee we will receive approval for any product candidate. We may also seek to obtain accelerated approval for one or more of our product candidates but the FDA may disagree that we have met the requirements for such approval.</w:t>
      </w:r>
    </w:p>
    <w:p>
      <w:pPr>
        <w:spacing w:after="0" w:line="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a product is intended for the treatment of a serious or life-threatening condition and preclinical or clinical data demonstrate the potential to address an unmet medical need for this condition, the product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23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may also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 product candidate we develop qualifies as a breakthrough therapy, the FDA may later decide that the drug no longer meets the conditions for qualification and rescind the designation.</w:t>
      </w:r>
    </w:p>
    <w:p>
      <w:pPr>
        <w:spacing w:after="0" w:line="18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Product candidates may also be eligible for accelerated approval if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requires pre-approval of promotional materials for accelerated approval products, once approved. We cannot guarantee that the FDA will agree any of our product candidates has met the criteria to receive accelerated approval, which would require us to conduct additional clinical testing prior to seeking FDA approval. Even if any of our product candidates received approval through this pathway, the product may fail required post-approval confirmatory clinical trials, and we may be required to remove the product from the market or amend the product label in a way that adversely impacts its marketing.</w:t>
      </w:r>
    </w:p>
    <w:p>
      <w:pPr>
        <w:spacing w:after="0" w:line="27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may seek Orphan Drug Designation for some of our product candidates, and we may be unsuccessful or may be unable to maintain the benefits associated with Orphan Drug Designation, including the potential for market exclusivity.</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part of our business strategy, we may seek Orphan Drug Designation for our product candidates, and we may be unsuccessful. Regulatory authorities in some jurisdictions, including the United States and Europe, may designate drugs and therapeutic biologics for relatively small patient populations as orphan drugs. Under the Orphan Drug Act, the FDA may designate a drug or therapeutic biologic as an orphan drug if it is a drug or therapeutic biologic intended to treat a rare disease or condition, which is generally defined as a patient population of fewer than 200,000 individuals in the United States, or a patient population greater than 200,000 in the United States where there is no reasonable expectation that the cost of developing the drug or therapeutic biologic will be recovered from sales in the United States. In the United States, Orphan Drug Designation entitles a party to financial incentives such as opportunities for grant funding toward clinical trial costs, tax advantages and user-fee waivers. In addition, if a product that has Orphan Drug Designation subsequently receives the first FDA approval for the disease for which it has such designation, the product is entitled to orphan drug exclusivity, which means that the FDA may not approve any other applications, including a full BLA, to market the same product for the same indication for seven years, except in limited circumstances, such as a showing of clinical superiority to the product with orphan drug exclusivity or where the manufacturer is unable to assure sufficient product quantity.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3" w:name="page74"/>
    <w:bookmarkEnd w:id="73"/>
    <w:p>
      <w:pPr>
        <w:spacing w:after="0" w:line="269" w:lineRule="auto"/>
        <w:rPr>
          <w:sz w:val="20"/>
          <w:szCs w:val="20"/>
          <w:color w:val="auto"/>
        </w:rPr>
      </w:pPr>
      <w:r>
        <w:rPr>
          <w:rFonts w:ascii="Arial" w:cs="Arial" w:eastAsia="Arial" w:hAnsi="Arial"/>
          <w:sz w:val="17"/>
          <w:szCs w:val="17"/>
          <w:color w:val="auto"/>
        </w:rPr>
        <w:t>Even if we obtain Orphan Drug Designation for our product candidates in specific indications, we may not be the first to obtain marketing approval of these product candidates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drugs or therapeutic biologics with different active moieties can be approved for the same condition. Even after an orphan product is approved, the FDA can subsequently approve the same drug or therapeutic biologic with the same active moiety for the same condition if the FDA concludes that the later drug or therapeutic biologic is safer, more effective or makes a major contribution to patient care. Orphan Drug Designation neither shortens the development time or regulatory review time of a drug or therapeutic biologic nor gives the drug or therapeutic biologic any advantage in the regulatory review or approval process. In addition, while we may seek Orphan Drug Designation for our product candidates, we may never receive such designations.</w:t>
      </w:r>
    </w:p>
    <w:p>
      <w:pPr>
        <w:spacing w:after="0" w:line="18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Tax reform legislation passed in 2017 reduced the amount of the qualified clinical research costs for a designated orphan product that a sponsor may claim as a credit from 50% to 25%. Thus, further limiting the advantage and may impact our future business strategy of seeking the Orphan Drug Designation.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6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62" w:lineRule="exact"/>
        <w:rPr>
          <w:sz w:val="20"/>
          <w:szCs w:val="20"/>
          <w:color w:val="auto"/>
        </w:rPr>
      </w:pPr>
    </w:p>
    <w:p>
      <w:pPr>
        <w:ind w:left="960" w:right="140" w:hanging="480"/>
        <w:spacing w:after="0" w:line="277" w:lineRule="auto"/>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variations in the level of expense related to the ongoing development of our Probody platform, our product candidates or future development programs;</w:t>
      </w:r>
    </w:p>
    <w:p>
      <w:pPr>
        <w:spacing w:after="0" w:line="62" w:lineRule="exact"/>
        <w:rPr>
          <w:rFonts w:ascii="Arial" w:cs="Arial" w:eastAsia="Arial" w:hAnsi="Arial"/>
          <w:sz w:val="18"/>
          <w:szCs w:val="18"/>
          <w:color w:val="auto"/>
        </w:rPr>
      </w:pPr>
    </w:p>
    <w:p>
      <w:pPr>
        <w:ind w:left="960" w:right="40" w:hanging="480"/>
        <w:spacing w:after="0" w:line="277" w:lineRule="auto"/>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results of clinical trials, or the addition or termination of clinical trials or funding support by us, or existing or future collaborators or licensing partners;</w:t>
      </w:r>
    </w:p>
    <w:p>
      <w:pPr>
        <w:spacing w:after="0" w:line="62" w:lineRule="exact"/>
        <w:rPr>
          <w:rFonts w:ascii="Arial" w:cs="Arial" w:eastAsia="Arial" w:hAnsi="Arial"/>
          <w:sz w:val="18"/>
          <w:szCs w:val="18"/>
          <w:color w:val="auto"/>
        </w:rPr>
      </w:pPr>
    </w:p>
    <w:p>
      <w:pPr>
        <w:ind w:left="960" w:right="240" w:hanging="480"/>
        <w:spacing w:after="0" w:line="277" w:lineRule="auto"/>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62" w:lineRule="exact"/>
        <w:rPr>
          <w:rFonts w:ascii="Arial" w:cs="Arial" w:eastAsia="Arial" w:hAnsi="Arial"/>
          <w:sz w:val="18"/>
          <w:szCs w:val="18"/>
          <w:color w:val="auto"/>
        </w:rPr>
      </w:pPr>
    </w:p>
    <w:p>
      <w:pPr>
        <w:ind w:left="960" w:right="260" w:hanging="480"/>
        <w:spacing w:after="0" w:line="277" w:lineRule="auto"/>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products;</w:t>
      </w:r>
    </w:p>
    <w:p>
      <w:pPr>
        <w:spacing w:after="0" w:line="62" w:lineRule="exact"/>
        <w:rPr>
          <w:rFonts w:ascii="Arial" w:cs="Arial" w:eastAsia="Arial" w:hAnsi="Arial"/>
          <w:sz w:val="18"/>
          <w:szCs w:val="18"/>
          <w:color w:val="auto"/>
        </w:rPr>
      </w:pPr>
    </w:p>
    <w:p>
      <w:pPr>
        <w:ind w:left="960" w:right="480" w:hanging="480"/>
        <w:spacing w:after="0" w:line="277" w:lineRule="auto"/>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intellectual property infringement lawsuit or opposition, interference or cancellation proceeding in which we may become involved, including the ongoing patent infringement lawsuit brought by Vytacera against us;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17" w:lineRule="exact"/>
        <w:rPr>
          <w:rFonts w:ascii="Arial" w:cs="Arial" w:eastAsia="Arial" w:hAnsi="Arial"/>
          <w:sz w:val="18"/>
          <w:szCs w:val="18"/>
          <w:color w:val="auto"/>
        </w:rPr>
      </w:pPr>
    </w:p>
    <w:p>
      <w:pPr>
        <w:ind w:left="960" w:right="320" w:hanging="480"/>
        <w:spacing w:after="0" w:line="277" w:lineRule="auto"/>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62" w:lineRule="exact"/>
        <w:rPr>
          <w:rFonts w:ascii="Arial" w:cs="Arial" w:eastAsia="Arial" w:hAnsi="Arial"/>
          <w:sz w:val="18"/>
          <w:szCs w:val="18"/>
          <w:color w:val="auto"/>
        </w:rPr>
      </w:pPr>
    </w:p>
    <w:p>
      <w:pPr>
        <w:ind w:left="960" w:right="80" w:hanging="480"/>
        <w:spacing w:after="0" w:line="277" w:lineRule="auto"/>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any of our product candidates receives regulatory approval, the terms of such approval and market acceptance and demand for such product candidates;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regulatory developments affecting our product candidates or those of our competitors; and</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general market and economic conditions.</w:t>
      </w:r>
    </w:p>
    <w:p>
      <w:pPr>
        <w:spacing w:after="0" w:line="225"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Our stock price may be volatile and purchasers of our common stock could incur substantial losses.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stock price is volatile. Since our initial public offering (“IPO”), our stock had low and high sales prices in the range of $3.60 and $35.00 per share. The market price for our common stock may be influenced by many factors, including the other risks described in this section titled “Risk Factors” and the following:</w:t>
      </w:r>
    </w:p>
    <w:p>
      <w:pPr>
        <w:spacing w:after="0" w:line="76" w:lineRule="exact"/>
        <w:rPr>
          <w:sz w:val="20"/>
          <w:szCs w:val="20"/>
          <w:color w:val="auto"/>
        </w:rPr>
      </w:pPr>
    </w:p>
    <w:p>
      <w:pPr>
        <w:ind w:left="960" w:hanging="480"/>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results of clinical trials and preclinical studies of our product candidates, or those of our competitors or our collaborators;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regulatory or legal developments in the U.S. and other countries, especially changes in laws or regulations applicable to our products;</w:t>
      </w:r>
    </w:p>
    <w:p>
      <w:pPr>
        <w:spacing w:after="0" w:line="128" w:lineRule="exact"/>
        <w:rPr>
          <w:rFonts w:ascii="Arial" w:cs="Arial" w:eastAsia="Arial" w:hAnsi="Arial"/>
          <w:sz w:val="17"/>
          <w:szCs w:val="17"/>
          <w:color w:val="auto"/>
        </w:rPr>
      </w:pPr>
    </w:p>
    <w:p>
      <w:pPr>
        <w:ind w:left="960" w:hanging="480"/>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960" w:right="220" w:hanging="480"/>
        <w:spacing w:after="0" w:line="277"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our future commercialization partners, or our competitors, and the timing of these introductions or announcements;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actions taken by regulatory agencies with respect to our products, clinical studies, manufacturing process or sales and marketing terms;</w:t>
      </w:r>
    </w:p>
    <w:p>
      <w:pPr>
        <w:spacing w:after="0" w:line="128" w:lineRule="exact"/>
        <w:rPr>
          <w:rFonts w:ascii="Arial" w:cs="Arial" w:eastAsia="Arial" w:hAnsi="Arial"/>
          <w:sz w:val="17"/>
          <w:szCs w:val="17"/>
          <w:color w:val="auto"/>
        </w:rPr>
      </w:pPr>
    </w:p>
    <w:p>
      <w:pPr>
        <w:ind w:left="960" w:hanging="480"/>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actual or anticipated 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success of our efforts to acquire or in-license additional technologies, products or product candidates;</w:t>
      </w:r>
    </w:p>
    <w:p>
      <w:pPr>
        <w:spacing w:after="0" w:line="117" w:lineRule="exact"/>
        <w:rPr>
          <w:rFonts w:ascii="Arial" w:cs="Arial" w:eastAsia="Arial" w:hAnsi="Arial"/>
          <w:sz w:val="18"/>
          <w:szCs w:val="18"/>
          <w:color w:val="auto"/>
        </w:rPr>
      </w:pPr>
    </w:p>
    <w:p>
      <w:pPr>
        <w:ind w:left="960" w:right="220" w:hanging="480"/>
        <w:spacing w:after="0" w:line="277"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developments concerning any existing or future collaborations, including but not limited to those with our sources of manufacturing supply and our commercialization partners;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collaborations, joint ventures or capital commitments;</w:t>
      </w:r>
    </w:p>
    <w:p>
      <w:pPr>
        <w:spacing w:after="0" w:line="128" w:lineRule="exact"/>
        <w:rPr>
          <w:rFonts w:ascii="Arial" w:cs="Arial" w:eastAsia="Arial" w:hAnsi="Arial"/>
          <w:sz w:val="17"/>
          <w:szCs w:val="17"/>
          <w:color w:val="auto"/>
        </w:rPr>
      </w:pPr>
    </w:p>
    <w:p>
      <w:pPr>
        <w:ind w:left="960" w:right="220" w:hanging="480"/>
        <w:spacing w:after="0" w:line="277"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960" w:right="180" w:hanging="480"/>
        <w:spacing w:after="0" w:line="277"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28" w:lineRule="exact"/>
        <w:rPr>
          <w:rFonts w:ascii="Arial" w:cs="Arial" w:eastAsia="Arial" w:hAnsi="Arial"/>
          <w:sz w:val="17"/>
          <w:szCs w:val="17"/>
          <w:color w:val="auto"/>
        </w:rPr>
      </w:pPr>
    </w:p>
    <w:p>
      <w:pPr>
        <w:ind w:left="960" w:hanging="480"/>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announcement and expectation of additional financing efforts;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concentrated ownership of our common stock;</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natural disasters and other calamities; and</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The stock markets in general, and the markets for pharmaceutical, biopharmaceutical and biotechnology stocks in particular, have experienced extreme volatility, including as a result of the COVID-19 pandemic, that has been often unrelated to the operating performance of the issuer. These broad market and industry factors may seriously harm the market price of our common stock, regardless of our operating performance.</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75" w:name="page76"/>
    <w:bookmarkEnd w:id="75"/>
    <w:p>
      <w:pPr>
        <w:ind w:right="20"/>
        <w:spacing w:after="0" w:line="277" w:lineRule="auto"/>
        <w:rPr>
          <w:sz w:val="20"/>
          <w:szCs w:val="20"/>
          <w:color w:val="auto"/>
        </w:rPr>
      </w:pPr>
      <w:r>
        <w:rPr>
          <w:rFonts w:ascii="Arial" w:cs="Arial" w:eastAsia="Arial" w:hAnsi="Arial"/>
          <w:sz w:val="18"/>
          <w:szCs w:val="18"/>
          <w:color w:val="auto"/>
        </w:rPr>
        <w:t>In addition, the spread of COVID-19 coronavirus may negatively impact the trading price of shares of our common stock and could further severely impact our ability to raise additional capital on a timely basis or at all.</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future issuance of equity or of debt securities that are convertible into equity will dilute our share capital.</w:t>
      </w:r>
    </w:p>
    <w:p>
      <w:pPr>
        <w:spacing w:after="0" w:line="11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We may choose to raise additional capital in the future, depending on market conditions, strategic considerations and operational requirements. To the extent that additional capital is raised through the issuance of shares or other securities convertible into shares, our stockholders will be diluted. On February 27, 2020, we entered into an Open Market Sale Agreement (the “Sales Agreement”) with Jefferies LLC (“Jefferies”), to sell shares of our common stock, par value $0.00001 per share, with aggregate gross sales proceeds of up to $75,000,000, from time to time, through an at the market offering under which Jefferies will act as sales agent. Future issuances of our common stock or other equity securities pursuant to the Sales Agreement or otherwise,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spacing w:after="0" w:line="286"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The employment agreements with our executive officers may require us to pay severance benefits to officers in connection with termination of employment or upon a change of control of us, which could harm our financial condition.</w:t>
      </w:r>
    </w:p>
    <w:p>
      <w:pPr>
        <w:spacing w:after="0" w:line="6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Each of our executive officers is entitled to receive a lump sum payment equal to one year or more of his or her base salary as well as continued medical and dental coverage for a period of one year or more plus a prorated portion of his or her target annual bonus for the calendar year in which his or her employment is terminated following his or her termination of employment due to good reason or without cause. In the event of a change in control and a termination of employment without cause or due to good reason, each of our executive officers would similarly receive one year or more of his or her base salary as well as continued medical and dental coverage for a period of one year or more, as well as an additional lump sum payment equal to 100% or more of his or her target annual bonus for the calendar year in which his or her employment is terminated and full vesting of his or her outstanding option awards. The accelerated vesting of options could result in dilution to our existing stockholders and harm the market price of our common stock. Furthermore, the payment of these severance benefits could harm our financial condition. In addition, these potential severance payments may discourage or prevent third parties from seeking a business combination with 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market for our common stock may not be maintained.</w:t>
      </w:r>
    </w:p>
    <w:p>
      <w:pPr>
        <w:spacing w:after="0" w:line="117"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Prior to our IPO in October 2015, there had been no public market for shares of our common stock. Our stock began trading on the Nasdaq Global Select Market in 2015, and we can provide no assurance that we will be able to maintain an active trading market on The Nasdaq Global Select Market or any other exchange in the future. If an active market for our common stock is not maintained, it may be difficult for our stockholders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spacing w:after="0" w:line="2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adverse or misleading opinions regarding our stock, our stock price and trading volume could decline.</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target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9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June 30, 2020, our executive officers, directors, holders of 5% or more of our capital stock based on publicly available filings made with the SEC and their respective affiliates beneficially owned approximately 36% of our outstanding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our stockholders may feel are in their best interest.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76" w:name="page77"/>
    <w:bookmarkEnd w:id="76"/>
    <w:p>
      <w:pPr>
        <w:ind w:right="82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Provisions in our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include:</w:t>
      </w:r>
    </w:p>
    <w:p>
      <w:pPr>
        <w:spacing w:after="0" w:line="80" w:lineRule="exact"/>
        <w:rPr>
          <w:sz w:val="20"/>
          <w:szCs w:val="20"/>
          <w:color w:val="auto"/>
        </w:rPr>
      </w:pPr>
    </w:p>
    <w:p>
      <w:pPr>
        <w:ind w:left="960" w:hanging="480"/>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prohibition on actions by our stockholders by written consent;</w:t>
      </w:r>
    </w:p>
    <w:p>
      <w:pPr>
        <w:spacing w:after="0" w:line="117" w:lineRule="exact"/>
        <w:rPr>
          <w:rFonts w:ascii="Arial" w:cs="Arial" w:eastAsia="Arial" w:hAnsi="Arial"/>
          <w:sz w:val="18"/>
          <w:szCs w:val="18"/>
          <w:color w:val="auto"/>
        </w:rPr>
      </w:pPr>
    </w:p>
    <w:p>
      <w:pPr>
        <w:ind w:left="960" w:right="120" w:hanging="480"/>
        <w:spacing w:after="0" w:line="257" w:lineRule="auto"/>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which our company is not obligated to call more than once per calendar year, be called only by the chairman of our board of directors, our chief executive officer, our board of directors pursuant to a resolution adopted by a majority of the total number of authorized directors, or, subject to certain conditions, by our secretary at the request of the stockholders holding of record, in the aggregate, shares entitled to cast not less than ten percent of the votes at a meeting of the stockholders (assuming all shares entitled to vote at such meeting were present and voted);</w:t>
      </w:r>
    </w:p>
    <w:p>
      <w:pPr>
        <w:spacing w:after="0" w:line="79" w:lineRule="exact"/>
        <w:rPr>
          <w:rFonts w:ascii="Arial" w:cs="Arial" w:eastAsia="Arial" w:hAnsi="Arial"/>
          <w:sz w:val="18"/>
          <w:szCs w:val="18"/>
          <w:color w:val="auto"/>
        </w:rPr>
      </w:pPr>
    </w:p>
    <w:p>
      <w:pPr>
        <w:ind w:left="960" w:hanging="480"/>
        <w:spacing w:after="0"/>
        <w:tabs>
          <w:tab w:leader="none" w:pos="9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advance notice requirements for election to our board of directors and for proposing matters that can be acted upon at stockholder meetings;</w:t>
      </w:r>
    </w:p>
    <w:p>
      <w:pPr>
        <w:spacing w:after="0" w:line="140" w:lineRule="exact"/>
        <w:rPr>
          <w:rFonts w:ascii="Arial" w:cs="Arial" w:eastAsia="Arial" w:hAnsi="Arial"/>
          <w:sz w:val="16"/>
          <w:szCs w:val="16"/>
          <w:color w:val="auto"/>
        </w:rPr>
      </w:pPr>
    </w:p>
    <w:p>
      <w:pPr>
        <w:ind w:left="960" w:hanging="480"/>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division of our board of directors into three classes, serving staggered terms of three years each; and</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authority of the board of directors to issue preferred stock with such terms as the board of directors may determine.</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as amended, which prohibits a person who owns in excess of 15 percent of our outstanding voting stock from merging or combining with us for a period of three years after the date of the transaction in which the person acquired in excess of 15 percent of our outstanding voting stock, unless the merger or combination is approved in a prescribed manner. These provisions would apply even if the proposed merger or acquisition could be considered beneficial by some stockholders.</w:t>
      </w:r>
    </w:p>
    <w:p>
      <w:pPr>
        <w:spacing w:after="0" w:line="29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is required to devote substantial time to new compliance initiatives and corporate governance practices.</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a public company, we incur significant legal, accounting and other expenses. The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Moreover, these rules and regulations increase our legal and financial compliance costs and make some activities more time 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9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are not able to comply with the requirements of Section 404 of the Sarbanes-Oxley Act of 2002 in a timely manner or with adequate compliance, we may be subject to sanctions by regulatory authorities.</w:t>
      </w:r>
    </w:p>
    <w:p>
      <w:pPr>
        <w:spacing w:after="0" w:line="6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Section 404 of the Sarbanes-Oxley Act of 2002 requires that we evaluate and determine the effectiveness of our internal controls over financial reporting and provide a management report on the internal control over financial reporting. If we have a material weakness in our internal controls over financial reporting, we may not detect errors on a timely basis and our financial statements may be materially misstated. We evaluate our internal controls systems to allow management to report on the effectiveness of the operation of our internal controls.</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However, if we are not able to comply with the requirements of Section 404, or if we or our independent registered public accounting firm identify deficiencies in our internal controls that are deemed to be material weaknesses, we could be subject to sanctions or investigations by The Nasdaq Global Select Market, the SEC or other regulatory authorities, which would entail expenditure of additional financial and management resources and could materially adversely affect our stock price. Deficient internal controls could also cause us to fail to meet our reporting obligations or cause investors to lose confidence in our reported financial information, which could have a negative effect on our stock price.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77" w:name="page78"/>
    <w:bookmarkEnd w:id="77"/>
    <w:p>
      <w:pPr>
        <w:ind w:right="34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2"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significant costs from class action litigation due to our expected stock volatility.</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stock price may fluctuate for many reasons, including as a result of public announcements regarding the progress of our development efforts or the development efforts of future collaborators or competitors, the addition or departure of our key personnel, variations in our quarterly operating results and changes in market valuations of biopharmaceutical and biotechnology companies.</w:t>
      </w:r>
    </w:p>
    <w:p>
      <w:pPr>
        <w:spacing w:after="0" w:line="18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This risk is especially relevant to us because biopharmaceutical and biotechnology companies have experienced significant stock price volatility in recent years. When the market price of a stock has been volatile as our stock price may be, holders of that stock have occasionally brought securities class action litigation against the company that issued the stock. For example, in May 2020, a putative securities class action lawsuit was brought against us (“Class Action Lawsuit”). While we believe the Class Action Lawsuit is without merit, we cannot provide any assurance that we will be successful. Stockholder lawsuits of this type against us, even if it is without merit, could cause us to incur substantial costs defending the lawsuit. The lawsuit could also divert the time and attention of our management.</w:t>
      </w:r>
    </w:p>
    <w:p>
      <w:pPr>
        <w:spacing w:after="0" w:line="300"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Our amended and restated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amended and restated bylaws provide that, subject to limited exceptions, the Court of Chancery of the State of Delaware will be the sole and exclusive forum for any derivative action or proceeding brought on our behalf, any action asserting a claim of breach of a fiduciary duty owed by any of our directors, officers or other employees to us or our stockholders, any action asserting a claim against us arising pursuant to any provision of the Delaware General Corporation Law, as amended, our amended and restated certificate of incorporation or our amended and restated bylaws, any action to interpret, apply, enforce or determine the validity of our amended and restated certificate of incorporation or our amended and restated bylaws or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28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Repurchases of Shares or of Company Equity Securities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78" w:name="page79"/>
    <w:bookmarkEnd w:id="78"/>
    <w:p>
      <w:pPr>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ectPr>
          <w:pgSz w:w="11900" w:h="16838" w:orient="portrait"/>
          <w:cols w:equalWidth="0" w:num="1">
            <w:col w:w="11220"/>
          </w:cols>
          <w:pgMar w:left="320" w:top="337" w:right="359" w:bottom="1440" w:gutter="0" w:footer="0" w:header="0"/>
        </w:sectPr>
      </w:pPr>
    </w:p>
    <w:p>
      <w:pPr>
        <w:spacing w:after="0" w:line="200" w:lineRule="exact"/>
        <w:rPr>
          <w:sz w:val="20"/>
          <w:szCs w:val="20"/>
          <w:color w:val="auto"/>
        </w:rPr>
      </w:pP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900" w:type="dxa"/>
            <w:vAlign w:val="bottom"/>
            <w:gridSpan w:val="9"/>
            <w:vMerge w:val="restart"/>
          </w:tcPr>
          <w:p>
            <w:pPr>
              <w:ind w:left="124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5"/>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900" w:type="dxa"/>
            <w:vAlign w:val="bottom"/>
            <w:tcBorders>
              <w:bottom w:val="single" w:sz="8" w:color="auto"/>
            </w:tcBorders>
            <w:gridSpan w:val="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11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6060" w:type="dxa"/>
            <w:vAlign w:val="bottom"/>
            <w:gridSpan w:val="13"/>
          </w:tcPr>
          <w:p>
            <w:pPr>
              <w:spacing w:after="0"/>
              <w:rPr>
                <w:rFonts w:ascii="Arial" w:cs="Arial" w:eastAsia="Arial" w:hAnsi="Arial"/>
                <w:sz w:val="18"/>
                <w:szCs w:val="18"/>
                <w:u w:val="single" w:color="auto"/>
                <w:color w:val="0000EE"/>
              </w:rPr>
            </w:pPr>
            <w:hyperlink r:id="rId101">
              <w:r>
                <w:rPr>
                  <w:rFonts w:ascii="Arial" w:cs="Arial" w:eastAsia="Arial" w:hAnsi="Arial"/>
                  <w:sz w:val="18"/>
                  <w:szCs w:val="18"/>
                  <w:u w:val="single" w:color="auto"/>
                  <w:color w:val="0000EE"/>
                </w:rPr>
                <w:t>Amended and Restated Certificate of Incorporation.</w:t>
              </w:r>
            </w:hyperlink>
          </w:p>
        </w:tc>
        <w:tc>
          <w:tcPr>
            <w:tcW w:w="0" w:type="dxa"/>
            <w:vAlign w:val="bottom"/>
          </w:tcPr>
          <w:p>
            <w:pPr>
              <w:spacing w:after="0"/>
              <w:rPr>
                <w:sz w:val="1"/>
                <w:szCs w:val="1"/>
                <w:color w:val="auto"/>
              </w:rPr>
            </w:pPr>
          </w:p>
        </w:tc>
      </w:tr>
      <w:tr>
        <w:trPr>
          <w:trHeight w:val="283"/>
        </w:trPr>
        <w:tc>
          <w:tcPr>
            <w:tcW w:w="11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4"/>
                <w:szCs w:val="24"/>
                <w:color w:val="auto"/>
              </w:rPr>
            </w:pPr>
          </w:p>
        </w:tc>
        <w:tc>
          <w:tcPr>
            <w:tcW w:w="6060" w:type="dxa"/>
            <w:vAlign w:val="bottom"/>
            <w:gridSpan w:val="13"/>
          </w:tcPr>
          <w:p>
            <w:pPr>
              <w:spacing w:after="0"/>
              <w:rPr>
                <w:rFonts w:ascii="Arial" w:cs="Arial" w:eastAsia="Arial" w:hAnsi="Arial"/>
                <w:sz w:val="16"/>
                <w:szCs w:val="16"/>
                <w:color w:val="0000EE"/>
                <w:w w:val="94"/>
              </w:rPr>
            </w:pPr>
            <w:hyperlink r:id="rId102">
              <w:r>
                <w:rPr>
                  <w:rFonts w:ascii="Arial" w:cs="Arial" w:eastAsia="Arial" w:hAnsi="Arial"/>
                  <w:sz w:val="16"/>
                  <w:szCs w:val="16"/>
                  <w:color w:val="0000EE"/>
                  <w:w w:val="94"/>
                </w:rPr>
                <w:t>Certificate of Amendment to Amended and Restated Certificate of Incorporation of CytomX</w:t>
              </w:r>
            </w:hyperlink>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0" w:type="dxa"/>
            <w:vAlign w:val="bottom"/>
            <w:tcBorders>
              <w:top w:val="single" w:sz="8" w:color="0000EE"/>
            </w:tcBorders>
            <w:gridSpan w:val="12"/>
          </w:tcPr>
          <w:p>
            <w:pPr>
              <w:spacing w:after="0" w:line="183" w:lineRule="exact"/>
              <w:rPr>
                <w:rFonts w:ascii="Arial" w:cs="Arial" w:eastAsia="Arial" w:hAnsi="Arial"/>
                <w:sz w:val="16"/>
                <w:szCs w:val="16"/>
                <w:color w:val="0000EE"/>
              </w:rPr>
            </w:pPr>
            <w:hyperlink r:id="rId102">
              <w:r>
                <w:rPr>
                  <w:rFonts w:ascii="Arial" w:cs="Arial" w:eastAsia="Arial" w:hAnsi="Arial"/>
                  <w:sz w:val="16"/>
                  <w:szCs w:val="16"/>
                  <w:color w:val="0000EE"/>
                </w:rPr>
                <w:t>Therapeutics, Inc.</w:t>
              </w:r>
            </w:hyperlink>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20" w:type="dxa"/>
            <w:vAlign w:val="bottom"/>
          </w:tcPr>
          <w:p>
            <w:pPr>
              <w:spacing w:after="0"/>
              <w:rPr>
                <w:sz w:val="24"/>
                <w:szCs w:val="24"/>
                <w:color w:val="auto"/>
              </w:rPr>
            </w:pPr>
          </w:p>
        </w:tc>
        <w:tc>
          <w:tcPr>
            <w:tcW w:w="6060" w:type="dxa"/>
            <w:vAlign w:val="bottom"/>
            <w:gridSpan w:val="13"/>
          </w:tcPr>
          <w:p>
            <w:pPr>
              <w:spacing w:after="0"/>
              <w:rPr>
                <w:rFonts w:ascii="Arial" w:cs="Arial" w:eastAsia="Arial" w:hAnsi="Arial"/>
                <w:sz w:val="18"/>
                <w:szCs w:val="18"/>
                <w:u w:val="single" w:color="auto"/>
                <w:color w:val="0000EE"/>
              </w:rPr>
            </w:pPr>
            <w:hyperlink r:id="rId103">
              <w:r>
                <w:rPr>
                  <w:rFonts w:ascii="Arial" w:cs="Arial" w:eastAsia="Arial" w:hAnsi="Arial"/>
                  <w:sz w:val="18"/>
                  <w:szCs w:val="18"/>
                  <w:u w:val="single" w:color="auto"/>
                  <w:color w:val="0000EE"/>
                </w:rPr>
                <w:t>Amended and Restated Bylaws.</w:t>
              </w:r>
            </w:hyperlink>
          </w:p>
        </w:tc>
        <w:tc>
          <w:tcPr>
            <w:tcW w:w="0" w:type="dxa"/>
            <w:vAlign w:val="bottom"/>
          </w:tcPr>
          <w:p>
            <w:pPr>
              <w:spacing w:after="0"/>
              <w:rPr>
                <w:sz w:val="1"/>
                <w:szCs w:val="1"/>
                <w:color w:val="auto"/>
              </w:rPr>
            </w:pPr>
          </w:p>
        </w:tc>
      </w:tr>
      <w:tr>
        <w:trPr>
          <w:trHeight w:val="338"/>
        </w:trPr>
        <w:tc>
          <w:tcPr>
            <w:tcW w:w="11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6060" w:type="dxa"/>
            <w:vAlign w:val="bottom"/>
            <w:gridSpan w:val="13"/>
          </w:tcPr>
          <w:p>
            <w:pPr>
              <w:spacing w:after="0"/>
              <w:rPr>
                <w:sz w:val="20"/>
                <w:szCs w:val="20"/>
                <w:color w:val="auto"/>
              </w:rPr>
            </w:pPr>
            <w:r>
              <w:rPr>
                <w:rFonts w:ascii="Arial" w:cs="Arial" w:eastAsia="Arial" w:hAnsi="Arial"/>
                <w:sz w:val="18"/>
                <w:szCs w:val="18"/>
                <w:color w:val="auto"/>
              </w:rPr>
              <w:t>Reference is made to Exhibits 3.1 through 3.2.</w:t>
            </w:r>
          </w:p>
        </w:tc>
        <w:tc>
          <w:tcPr>
            <w:tcW w:w="0" w:type="dxa"/>
            <w:vAlign w:val="bottom"/>
          </w:tcPr>
          <w:p>
            <w:pPr>
              <w:spacing w:after="0"/>
              <w:rPr>
                <w:sz w:val="1"/>
                <w:szCs w:val="1"/>
                <w:color w:val="auto"/>
              </w:rPr>
            </w:pPr>
          </w:p>
        </w:tc>
      </w:tr>
      <w:tr>
        <w:trPr>
          <w:trHeight w:val="338"/>
        </w:trPr>
        <w:tc>
          <w:tcPr>
            <w:tcW w:w="11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6060" w:type="dxa"/>
            <w:vAlign w:val="bottom"/>
            <w:gridSpan w:val="13"/>
          </w:tcPr>
          <w:p>
            <w:pPr>
              <w:spacing w:after="0"/>
              <w:rPr>
                <w:rFonts w:ascii="Arial" w:cs="Arial" w:eastAsia="Arial" w:hAnsi="Arial"/>
                <w:sz w:val="18"/>
                <w:szCs w:val="18"/>
                <w:u w:val="single" w:color="auto"/>
                <w:color w:val="0000EE"/>
              </w:rPr>
            </w:pPr>
            <w:hyperlink r:id="rId104">
              <w:r>
                <w:rPr>
                  <w:rFonts w:ascii="Arial" w:cs="Arial" w:eastAsia="Arial" w:hAnsi="Arial"/>
                  <w:sz w:val="18"/>
                  <w:szCs w:val="18"/>
                  <w:u w:val="single" w:color="auto"/>
                  <w:color w:val="0000EE"/>
                </w:rPr>
                <w:t>Specimen Common Stock Certificate</w:t>
              </w:r>
            </w:hyperlink>
          </w:p>
        </w:tc>
        <w:tc>
          <w:tcPr>
            <w:tcW w:w="0" w:type="dxa"/>
            <w:vAlign w:val="bottom"/>
          </w:tcPr>
          <w:p>
            <w:pPr>
              <w:spacing w:after="0"/>
              <w:rPr>
                <w:sz w:val="1"/>
                <w:szCs w:val="1"/>
                <w:color w:val="auto"/>
              </w:rPr>
            </w:pPr>
          </w:p>
        </w:tc>
      </w:tr>
      <w:tr>
        <w:trPr>
          <w:trHeight w:val="297"/>
        </w:trPr>
        <w:tc>
          <w:tcPr>
            <w:tcW w:w="116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24"/>
                <w:szCs w:val="24"/>
                <w:color w:val="auto"/>
              </w:rPr>
            </w:pPr>
          </w:p>
        </w:tc>
        <w:tc>
          <w:tcPr>
            <w:tcW w:w="6060" w:type="dxa"/>
            <w:vAlign w:val="bottom"/>
            <w:gridSpan w:val="13"/>
          </w:tcPr>
          <w:p>
            <w:pPr>
              <w:spacing w:after="0"/>
              <w:rPr>
                <w:rFonts w:ascii="Arial" w:cs="Arial" w:eastAsia="Arial" w:hAnsi="Arial"/>
                <w:sz w:val="18"/>
                <w:szCs w:val="18"/>
                <w:color w:val="0000EE"/>
                <w:w w:val="91"/>
              </w:rPr>
            </w:pPr>
            <w:hyperlink r:id="rId105">
              <w:r>
                <w:rPr>
                  <w:rFonts w:ascii="Arial" w:cs="Arial" w:eastAsia="Arial" w:hAnsi="Arial"/>
                  <w:sz w:val="18"/>
                  <w:szCs w:val="18"/>
                  <w:color w:val="0000EE"/>
                  <w:w w:val="91"/>
                </w:rPr>
                <w:t>Amended and Restated Investors’ Rights Agreement dated as of June 12, 2015, by</w:t>
              </w:r>
            </w:hyperlink>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40" w:type="dxa"/>
            <w:vAlign w:val="bottom"/>
            <w:tcBorders>
              <w:top w:val="single" w:sz="8" w:color="0000EE"/>
            </w:tcBorders>
            <w:gridSpan w:val="11"/>
          </w:tcPr>
          <w:p>
            <w:pPr>
              <w:spacing w:after="0"/>
              <w:rPr>
                <w:rFonts w:ascii="Arial" w:cs="Arial" w:eastAsia="Arial" w:hAnsi="Arial"/>
                <w:sz w:val="18"/>
                <w:szCs w:val="18"/>
                <w:u w:val="single" w:color="auto"/>
                <w:color w:val="0000EE"/>
              </w:rPr>
            </w:pPr>
            <w:hyperlink r:id="rId105">
              <w:r>
                <w:rPr>
                  <w:rFonts w:ascii="Arial" w:cs="Arial" w:eastAsia="Arial" w:hAnsi="Arial"/>
                  <w:sz w:val="18"/>
                  <w:szCs w:val="18"/>
                  <w:u w:val="single" w:color="auto"/>
                  <w:color w:val="0000EE"/>
                </w:rPr>
                <w:t>and among CytomX Therapeutics, Inc. and the investors named therein.</w:t>
              </w:r>
            </w:hyperlink>
          </w:p>
        </w:tc>
        <w:tc>
          <w:tcPr>
            <w:tcW w:w="1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16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20" w:type="dxa"/>
            <w:vAlign w:val="bottom"/>
          </w:tcPr>
          <w:p>
            <w:pPr>
              <w:spacing w:after="0"/>
              <w:rPr>
                <w:sz w:val="24"/>
                <w:szCs w:val="24"/>
                <w:color w:val="auto"/>
              </w:rPr>
            </w:pPr>
          </w:p>
        </w:tc>
        <w:tc>
          <w:tcPr>
            <w:tcW w:w="6060" w:type="dxa"/>
            <w:vAlign w:val="bottom"/>
            <w:gridSpan w:val="13"/>
          </w:tcPr>
          <w:p>
            <w:pPr>
              <w:spacing w:after="0"/>
              <w:rPr>
                <w:rFonts w:ascii="Arial" w:cs="Arial" w:eastAsia="Arial" w:hAnsi="Arial"/>
                <w:sz w:val="18"/>
                <w:szCs w:val="18"/>
                <w:color w:val="0000EE"/>
                <w:w w:val="96"/>
              </w:rPr>
            </w:pPr>
            <w:hyperlink w:anchor="page81">
              <w:r>
                <w:rPr>
                  <w:rFonts w:ascii="Arial" w:cs="Arial" w:eastAsia="Arial" w:hAnsi="Arial"/>
                  <w:sz w:val="18"/>
                  <w:szCs w:val="18"/>
                  <w:color w:val="0000EE"/>
                  <w:w w:val="96"/>
                </w:rPr>
                <w:t>Description of Registrant’s Securities Registered Pursuant to Section 12 of the</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81">
              <w:r>
                <w:rPr>
                  <w:rFonts w:ascii="Arial" w:cs="Arial" w:eastAsia="Arial" w:hAnsi="Arial"/>
                  <w:sz w:val="18"/>
                  <w:szCs w:val="18"/>
                  <w:color w:val="0000EE"/>
                  <w:w w:val="90"/>
                </w:rPr>
                <w:t>Securities Exchange Act of 1934.</w:t>
              </w:r>
            </w:hyperlink>
          </w:p>
        </w:tc>
        <w:tc>
          <w:tcPr>
            <w:tcW w:w="3220" w:type="dxa"/>
            <w:vAlign w:val="bottom"/>
            <w:tcBorders>
              <w:top w:val="single" w:sz="8" w:color="0000EE"/>
            </w:tcBorders>
          </w:tcPr>
          <w:p>
            <w:pPr>
              <w:spacing w:after="0"/>
              <w:rPr>
                <w:sz w:val="17"/>
                <w:szCs w:val="17"/>
                <w:color w:val="auto"/>
              </w:rPr>
            </w:pPr>
          </w:p>
        </w:tc>
        <w:tc>
          <w:tcPr>
            <w:tcW w:w="4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4"/>
                <w:szCs w:val="24"/>
                <w:color w:val="auto"/>
              </w:rPr>
            </w:pPr>
          </w:p>
        </w:tc>
        <w:tc>
          <w:tcPr>
            <w:tcW w:w="584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86">
              <w:r>
                <w:rPr>
                  <w:rFonts w:ascii="Arial" w:cs="Arial" w:eastAsia="Arial" w:hAnsi="Arial"/>
                  <w:sz w:val="18"/>
                  <w:szCs w:val="18"/>
                  <w:color w:val="0000EE"/>
                  <w:w w:val="92"/>
                </w:rPr>
                <w:t>Certification of Chief Executive Officer required by Rule 13a-14(a) or Rule 15d-</w:t>
              </w:r>
            </w:hyperlink>
          </w:p>
        </w:tc>
        <w:tc>
          <w:tcPr>
            <w:tcW w:w="2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60" w:type="dxa"/>
            <w:vAlign w:val="bottom"/>
            <w:gridSpan w:val="13"/>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14(a).</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4"/>
                <w:szCs w:val="24"/>
                <w:color w:val="auto"/>
              </w:rPr>
            </w:pPr>
          </w:p>
        </w:tc>
        <w:tc>
          <w:tcPr>
            <w:tcW w:w="6060" w:type="dxa"/>
            <w:vAlign w:val="bottom"/>
            <w:gridSpan w:val="13"/>
          </w:tcPr>
          <w:p>
            <w:pPr>
              <w:spacing w:after="0"/>
              <w:rPr>
                <w:rFonts w:ascii="Arial" w:cs="Arial" w:eastAsia="Arial" w:hAnsi="Arial"/>
                <w:sz w:val="18"/>
                <w:szCs w:val="18"/>
                <w:color w:val="0000EE"/>
                <w:w w:val="97"/>
              </w:rPr>
            </w:pPr>
            <w:hyperlink w:anchor="page87">
              <w:r>
                <w:rPr>
                  <w:rFonts w:ascii="Arial" w:cs="Arial" w:eastAsia="Arial" w:hAnsi="Arial"/>
                  <w:sz w:val="18"/>
                  <w:szCs w:val="18"/>
                  <w:color w:val="0000EE"/>
                  <w:w w:val="97"/>
                </w:rPr>
                <w:t>Certification of Chief Financial Officer required by Rule 13a-14(a) or Rule 15d-</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14(a).</w:t>
              </w:r>
            </w:hyperlink>
          </w:p>
        </w:tc>
        <w:tc>
          <w:tcPr>
            <w:tcW w:w="2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32.1*</w:t>
            </w:r>
          </w:p>
        </w:tc>
        <w:tc>
          <w:tcPr>
            <w:tcW w:w="120" w:type="dxa"/>
            <w:vAlign w:val="bottom"/>
          </w:tcPr>
          <w:p>
            <w:pPr>
              <w:spacing w:after="0"/>
              <w:rPr>
                <w:sz w:val="24"/>
                <w:szCs w:val="24"/>
                <w:color w:val="auto"/>
              </w:rPr>
            </w:pPr>
          </w:p>
        </w:tc>
        <w:tc>
          <w:tcPr>
            <w:tcW w:w="6060" w:type="dxa"/>
            <w:vAlign w:val="bottom"/>
            <w:gridSpan w:val="13"/>
          </w:tcPr>
          <w:p>
            <w:pPr>
              <w:spacing w:after="0"/>
              <w:rPr>
                <w:rFonts w:ascii="Arial" w:cs="Arial" w:eastAsia="Arial" w:hAnsi="Arial"/>
                <w:sz w:val="18"/>
                <w:szCs w:val="18"/>
                <w:color w:val="0000EE"/>
                <w:w w:val="96"/>
              </w:rPr>
            </w:pPr>
            <w:hyperlink w:anchor="page88">
              <w:r>
                <w:rPr>
                  <w:rFonts w:ascii="Arial" w:cs="Arial" w:eastAsia="Arial" w:hAnsi="Arial"/>
                  <w:sz w:val="18"/>
                  <w:szCs w:val="18"/>
                  <w:color w:val="0000EE"/>
                  <w:w w:val="96"/>
                </w:rPr>
                <w:t>Certification of Chief Executive Officer required by Rule 13a-14(b) or Rule 15d-</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88">
              <w:r>
                <w:rPr>
                  <w:rFonts w:ascii="Arial" w:cs="Arial" w:eastAsia="Arial" w:hAnsi="Arial"/>
                  <w:sz w:val="18"/>
                  <w:szCs w:val="18"/>
                  <w:color w:val="0000EE"/>
                  <w:w w:val="90"/>
                </w:rPr>
                <w:t>14(b) and Section 1350 of Chapter 63 of Title 18 of the United States Code (18</w:t>
              </w:r>
            </w:hyperlink>
          </w:p>
        </w:tc>
        <w:tc>
          <w:tcPr>
            <w:tcW w:w="140" w:type="dxa"/>
            <w:vAlign w:val="bottom"/>
            <w:tcBorders>
              <w:top w:val="single" w:sz="8" w:color="0000EE"/>
            </w:tcBorders>
            <w:gridSpan w:val="3"/>
          </w:tcPr>
          <w:p>
            <w:pPr>
              <w:spacing w:after="0"/>
              <w:rPr>
                <w:sz w:val="17"/>
                <w:szCs w:val="17"/>
                <w:color w:val="auto"/>
              </w:rPr>
            </w:pPr>
          </w:p>
        </w:tc>
        <w:tc>
          <w:tcPr>
            <w:tcW w:w="2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60" w:type="dxa"/>
            <w:vAlign w:val="bottom"/>
            <w:gridSpan w:val="13"/>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U.S.C. §1350).</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4720" w:type="dxa"/>
            <w:vAlign w:val="bottom"/>
            <w:gridSpan w:val="6"/>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32.2*</w:t>
            </w:r>
          </w:p>
        </w:tc>
        <w:tc>
          <w:tcPr>
            <w:tcW w:w="120" w:type="dxa"/>
            <w:vAlign w:val="bottom"/>
          </w:tcPr>
          <w:p>
            <w:pPr>
              <w:spacing w:after="0"/>
              <w:rPr>
                <w:sz w:val="24"/>
                <w:szCs w:val="24"/>
                <w:color w:val="auto"/>
              </w:rPr>
            </w:pPr>
          </w:p>
        </w:tc>
        <w:tc>
          <w:tcPr>
            <w:tcW w:w="580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89">
              <w:r>
                <w:rPr>
                  <w:rFonts w:ascii="Arial" w:cs="Arial" w:eastAsia="Arial" w:hAnsi="Arial"/>
                  <w:sz w:val="18"/>
                  <w:szCs w:val="18"/>
                  <w:color w:val="0000EE"/>
                  <w:w w:val="93"/>
                </w:rPr>
                <w:t>Certification of Chief Financial Officer required by Rule 13a-14(b) or Rule 15d-</w:t>
              </w:r>
            </w:hyperlink>
          </w:p>
        </w:tc>
        <w:tc>
          <w:tcPr>
            <w:tcW w:w="2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89">
              <w:r>
                <w:rPr>
                  <w:rFonts w:ascii="Arial" w:cs="Arial" w:eastAsia="Arial" w:hAnsi="Arial"/>
                  <w:sz w:val="18"/>
                  <w:szCs w:val="18"/>
                  <w:color w:val="0000EE"/>
                  <w:w w:val="90"/>
                </w:rPr>
                <w:t>14(b) and Section 1350 of Chapter 63 of Title 18 of the United States Code (18</w:t>
              </w:r>
            </w:hyperlink>
          </w:p>
        </w:tc>
        <w:tc>
          <w:tcPr>
            <w:tcW w:w="3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60" w:type="dxa"/>
            <w:vAlign w:val="bottom"/>
            <w:gridSpan w:val="13"/>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U.S.C. §1350).</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498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16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120" w:type="dxa"/>
            <w:vAlign w:val="bottom"/>
          </w:tcPr>
          <w:p>
            <w:pPr>
              <w:spacing w:after="0"/>
              <w:rPr>
                <w:sz w:val="24"/>
                <w:szCs w:val="24"/>
                <w:color w:val="auto"/>
              </w:rPr>
            </w:pPr>
          </w:p>
        </w:tc>
        <w:tc>
          <w:tcPr>
            <w:tcW w:w="6060" w:type="dxa"/>
            <w:vAlign w:val="bottom"/>
            <w:gridSpan w:val="13"/>
          </w:tcPr>
          <w:p>
            <w:pPr>
              <w:spacing w:after="0"/>
              <w:rPr>
                <w:sz w:val="20"/>
                <w:szCs w:val="20"/>
                <w:color w:val="auto"/>
              </w:rPr>
            </w:pPr>
            <w:r>
              <w:rPr>
                <w:rFonts w:ascii="Arial" w:cs="Arial" w:eastAsia="Arial" w:hAnsi="Arial"/>
                <w:sz w:val="18"/>
                <w:szCs w:val="18"/>
                <w:color w:val="auto"/>
                <w:w w:val="94"/>
              </w:rPr>
              <w:t>Inline XBRL Instance Document - the instance document does not appear in the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60" w:type="dxa"/>
            <w:vAlign w:val="bottom"/>
            <w:gridSpan w:val="13"/>
          </w:tcPr>
          <w:p>
            <w:pPr>
              <w:spacing w:after="0"/>
              <w:rPr>
                <w:sz w:val="20"/>
                <w:szCs w:val="20"/>
                <w:color w:val="auto"/>
              </w:rPr>
            </w:pPr>
            <w:r>
              <w:rPr>
                <w:rFonts w:ascii="Arial" w:cs="Arial" w:eastAsia="Arial" w:hAnsi="Arial"/>
                <w:sz w:val="18"/>
                <w:szCs w:val="18"/>
                <w:color w:val="auto"/>
                <w:w w:val="93"/>
              </w:rPr>
              <w:t>Interactive Data File because its XBRL tags are embedded within the Inline XBRL</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60" w:type="dxa"/>
            <w:vAlign w:val="bottom"/>
            <w:gridSpan w:val="13"/>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338"/>
        </w:trPr>
        <w:tc>
          <w:tcPr>
            <w:tcW w:w="116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120" w:type="dxa"/>
            <w:vAlign w:val="bottom"/>
          </w:tcPr>
          <w:p>
            <w:pPr>
              <w:spacing w:after="0"/>
              <w:rPr>
                <w:sz w:val="24"/>
                <w:szCs w:val="24"/>
                <w:color w:val="auto"/>
              </w:rPr>
            </w:pPr>
          </w:p>
        </w:tc>
        <w:tc>
          <w:tcPr>
            <w:tcW w:w="606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38"/>
        </w:trPr>
        <w:tc>
          <w:tcPr>
            <w:tcW w:w="116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120" w:type="dxa"/>
            <w:vAlign w:val="bottom"/>
          </w:tcPr>
          <w:p>
            <w:pPr>
              <w:spacing w:after="0"/>
              <w:rPr>
                <w:sz w:val="24"/>
                <w:szCs w:val="24"/>
                <w:color w:val="auto"/>
              </w:rPr>
            </w:pPr>
          </w:p>
        </w:tc>
        <w:tc>
          <w:tcPr>
            <w:tcW w:w="6060" w:type="dxa"/>
            <w:vAlign w:val="bottom"/>
            <w:gridSpan w:val="13"/>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8"/>
        </w:trPr>
        <w:tc>
          <w:tcPr>
            <w:tcW w:w="116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120" w:type="dxa"/>
            <w:vAlign w:val="bottom"/>
          </w:tcPr>
          <w:p>
            <w:pPr>
              <w:spacing w:after="0"/>
              <w:rPr>
                <w:sz w:val="24"/>
                <w:szCs w:val="24"/>
                <w:color w:val="auto"/>
              </w:rPr>
            </w:pPr>
          </w:p>
        </w:tc>
        <w:tc>
          <w:tcPr>
            <w:tcW w:w="6060" w:type="dxa"/>
            <w:vAlign w:val="bottom"/>
            <w:gridSpan w:val="13"/>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37"/>
        </w:trPr>
        <w:tc>
          <w:tcPr>
            <w:tcW w:w="116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120" w:type="dxa"/>
            <w:vAlign w:val="bottom"/>
          </w:tcPr>
          <w:p>
            <w:pPr>
              <w:spacing w:after="0"/>
              <w:rPr>
                <w:sz w:val="24"/>
                <w:szCs w:val="24"/>
                <w:color w:val="auto"/>
              </w:rPr>
            </w:pPr>
          </w:p>
        </w:tc>
        <w:tc>
          <w:tcPr>
            <w:tcW w:w="6060" w:type="dxa"/>
            <w:vAlign w:val="bottom"/>
            <w:gridSpan w:val="13"/>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38"/>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120" w:type="dxa"/>
            <w:vAlign w:val="bottom"/>
          </w:tcPr>
          <w:p>
            <w:pPr>
              <w:spacing w:after="0"/>
              <w:rPr>
                <w:sz w:val="24"/>
                <w:szCs w:val="24"/>
                <w:color w:val="auto"/>
              </w:rPr>
            </w:pPr>
          </w:p>
        </w:tc>
        <w:tc>
          <w:tcPr>
            <w:tcW w:w="6060" w:type="dxa"/>
            <w:vAlign w:val="bottom"/>
            <w:gridSpan w:val="13"/>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320" w:right="480" w:hanging="840"/>
        <w:spacing w:after="0" w:line="277" w:lineRule="auto"/>
        <w:tabs>
          <w:tab w:leader="none" w:pos="1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Incorporated by Reference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9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vMerge w:val="restart"/>
          </w:tcPr>
          <w:p>
            <w:pPr>
              <w:ind w:left="380"/>
              <w:spacing w:after="0"/>
              <w:rPr>
                <w:sz w:val="20"/>
                <w:szCs w:val="20"/>
                <w:color w:val="auto"/>
              </w:rPr>
            </w:pPr>
            <w:r>
              <w:rPr>
                <w:rFonts w:ascii="Arial" w:cs="Arial" w:eastAsia="Arial" w:hAnsi="Arial"/>
                <w:sz w:val="14"/>
                <w:szCs w:val="14"/>
                <w:b w:val="1"/>
                <w:bCs w:val="1"/>
                <w:color w:val="auto"/>
              </w:rPr>
              <w:t>Date</w:t>
            </w: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ind w:left="180"/>
              <w:spacing w:after="0" w:line="119" w:lineRule="exact"/>
              <w:rPr>
                <w:sz w:val="20"/>
                <w:szCs w:val="20"/>
                <w:color w:val="auto"/>
              </w:rPr>
            </w:pPr>
            <w:r>
              <w:rPr>
                <w:rFonts w:ascii="Arial" w:cs="Arial" w:eastAsia="Arial" w:hAnsi="Arial"/>
                <w:sz w:val="13"/>
                <w:szCs w:val="13"/>
                <w:b w:val="1"/>
                <w:bCs w:val="1"/>
                <w:color w:val="auto"/>
              </w:rPr>
              <w:t>Filed</w:t>
            </w:r>
          </w:p>
        </w:tc>
        <w:tc>
          <w:tcPr>
            <w:tcW w:w="0" w:type="dxa"/>
            <w:vAlign w:val="bottom"/>
          </w:tcPr>
          <w:p>
            <w:pPr>
              <w:spacing w:after="0"/>
              <w:rPr>
                <w:sz w:val="1"/>
                <w:szCs w:val="1"/>
                <w:color w:val="auto"/>
              </w:rPr>
            </w:pPr>
          </w:p>
        </w:tc>
      </w:tr>
      <w:tr>
        <w:trPr>
          <w:trHeight w:val="185"/>
        </w:trPr>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Number   Herewith</w:t>
            </w:r>
          </w:p>
        </w:tc>
        <w:tc>
          <w:tcPr>
            <w:tcW w:w="0" w:type="dxa"/>
            <w:vAlign w:val="bottom"/>
          </w:tcPr>
          <w:p>
            <w:pPr>
              <w:spacing w:after="0"/>
              <w:rPr>
                <w:sz w:val="1"/>
                <w:szCs w:val="1"/>
                <w:color w:val="auto"/>
              </w:rPr>
            </w:pPr>
          </w:p>
        </w:tc>
      </w:tr>
      <w:tr>
        <w:trPr>
          <w:trHeight w:val="331"/>
        </w:trPr>
        <w:tc>
          <w:tcPr>
            <w:tcW w:w="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20" w:type="dxa"/>
            <w:vAlign w:val="bottom"/>
          </w:tcPr>
          <w:p>
            <w:pPr>
              <w:spacing w:after="0"/>
              <w:rPr>
                <w:sz w:val="24"/>
                <w:szCs w:val="24"/>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10/19/2015</w:t>
            </w:r>
          </w:p>
        </w:tc>
        <w:tc>
          <w:tcPr>
            <w:tcW w:w="120" w:type="dxa"/>
            <w:vAlign w:val="bottom"/>
          </w:tcPr>
          <w:p>
            <w:pPr>
              <w:spacing w:after="0"/>
              <w:rPr>
                <w:sz w:val="24"/>
                <w:szCs w:val="24"/>
                <w:color w:val="auto"/>
              </w:rPr>
            </w:pPr>
          </w:p>
        </w:tc>
        <w:tc>
          <w:tcPr>
            <w:tcW w:w="700" w:type="dxa"/>
            <w:vAlign w:val="bottom"/>
            <w:tcBorders>
              <w:top w:val="single" w:sz="8" w:color="auto"/>
            </w:tcBorders>
          </w:tcPr>
          <w:p>
            <w:pPr>
              <w:jc w:val="right"/>
              <w:ind w:right="159"/>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6/23/2020</w:t>
            </w:r>
          </w:p>
        </w:tc>
        <w:tc>
          <w:tcPr>
            <w:tcW w:w="820" w:type="dxa"/>
            <w:vAlign w:val="bottom"/>
            <w:gridSpan w:val="2"/>
          </w:tcPr>
          <w:p>
            <w:pPr>
              <w:jc w:val="right"/>
              <w:ind w:right="179"/>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8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10/19/2015</w:t>
            </w:r>
          </w:p>
        </w:tc>
        <w:tc>
          <w:tcPr>
            <w:tcW w:w="820" w:type="dxa"/>
            <w:vAlign w:val="bottom"/>
            <w:gridSpan w:val="2"/>
          </w:tcPr>
          <w:p>
            <w:pPr>
              <w:jc w:val="right"/>
              <w:ind w:right="159"/>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96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1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9/28/2015</w:t>
            </w:r>
          </w:p>
        </w:tc>
        <w:tc>
          <w:tcPr>
            <w:tcW w:w="820" w:type="dxa"/>
            <w:vAlign w:val="bottom"/>
            <w:gridSpan w:val="2"/>
          </w:tcPr>
          <w:p>
            <w:pPr>
              <w:jc w:val="right"/>
              <w:ind w:right="159"/>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96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1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8/28/2015</w:t>
            </w:r>
          </w:p>
        </w:tc>
        <w:tc>
          <w:tcPr>
            <w:tcW w:w="820" w:type="dxa"/>
            <w:vAlign w:val="bottom"/>
            <w:gridSpan w:val="2"/>
          </w:tcPr>
          <w:p>
            <w:pPr>
              <w:jc w:val="right"/>
              <w:ind w:right="159"/>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X</w:t>
      </w:r>
    </w:p>
    <w:p>
      <w:pPr>
        <w:spacing w:after="0" w:line="347"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X</w:t>
      </w:r>
    </w:p>
    <w:p>
      <w:pPr>
        <w:spacing w:after="0" w:line="347"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55"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X</w:t>
      </w:r>
    </w:p>
    <w:p>
      <w:pPr>
        <w:spacing w:after="0" w:line="347"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X</w:t>
      </w:r>
    </w:p>
    <w:p>
      <w:pPr>
        <w:spacing w:after="0" w:line="239"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X</w:t>
      </w:r>
    </w:p>
    <w:p>
      <w:pPr>
        <w:spacing w:after="0" w:line="332" w:lineRule="exact"/>
        <w:rPr>
          <w:sz w:val="20"/>
          <w:szCs w:val="20"/>
          <w:color w:val="auto"/>
        </w:rPr>
      </w:pPr>
    </w:p>
    <w:p>
      <w:pPr>
        <w:sectPr>
          <w:pgSz w:w="11900" w:h="16838" w:orient="portrait"/>
          <w:cols w:equalWidth="0" w:num="2">
            <w:col w:w="7380" w:space="120"/>
            <w:col w:w="3720"/>
          </w:cols>
          <w:pgMar w:left="320" w:top="337" w:right="359" w:bottom="1440" w:gutter="0" w:footer="0" w:header="0"/>
          <w:type w:val="continuous"/>
        </w:sectPr>
      </w:pPr>
    </w:p>
    <w:p>
      <w:pPr>
        <w:ind w:left="480" w:right="120" w:hanging="472"/>
        <w:spacing w:after="0" w:line="259" w:lineRule="auto"/>
        <w:tabs>
          <w:tab w:leader="none" w:pos="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certifications attached as Exhibit 32.1 and 32.2 that accompany this Quarterly Report on Form 10-Q are not deemed filed with the SEC and are not to be incorporated by reference into any filing of CytomX Therapeutics, Inc. under the Securities Act of 1933, as amended, or the Securities Exchange Act of 1934, as amended, whether made before or after the date of this Form 10-Q, irrespective of any general incorporation language contained in such filing.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7280" w:type="dxa"/>
            <w:vAlign w:val="bottom"/>
            <w:gridSpan w:val="2"/>
          </w:tcPr>
          <w:p>
            <w:pPr>
              <w:ind w:left="2420"/>
              <w:spacing w:after="0"/>
              <w:rPr>
                <w:sz w:val="20"/>
                <w:szCs w:val="20"/>
                <w:color w:val="auto"/>
              </w:rPr>
            </w:pPr>
            <w:r>
              <w:rPr>
                <w:rFonts w:ascii="Arial" w:cs="Arial" w:eastAsia="Arial" w:hAnsi="Arial"/>
                <w:sz w:val="18"/>
                <w:szCs w:val="18"/>
                <w:b w:val="1"/>
                <w:bCs w:val="1"/>
                <w:color w:val="auto"/>
              </w:rPr>
              <w:t>CytomX Therapeutics, Inc.</w:t>
            </w:r>
          </w:p>
        </w:tc>
      </w:tr>
      <w:tr>
        <w:trPr>
          <w:trHeight w:val="459"/>
        </w:trPr>
        <w:tc>
          <w:tcPr>
            <w:tcW w:w="3960" w:type="dxa"/>
            <w:vAlign w:val="bottom"/>
          </w:tcPr>
          <w:p>
            <w:pPr>
              <w:spacing w:after="0"/>
              <w:rPr>
                <w:sz w:val="20"/>
                <w:szCs w:val="20"/>
                <w:color w:val="auto"/>
              </w:rPr>
            </w:pPr>
            <w:r>
              <w:rPr>
                <w:rFonts w:ascii="Arial" w:cs="Arial" w:eastAsia="Arial" w:hAnsi="Arial"/>
                <w:sz w:val="18"/>
                <w:szCs w:val="18"/>
                <w:color w:val="auto"/>
              </w:rPr>
              <w:t>Date: August 6, 2020</w:t>
            </w:r>
          </w:p>
        </w:tc>
        <w:tc>
          <w:tcPr>
            <w:tcW w:w="2800" w:type="dxa"/>
            <w:vAlign w:val="bottom"/>
          </w:tcPr>
          <w:p>
            <w:pPr>
              <w:ind w:left="242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Sean A. McCarthy</w:t>
            </w:r>
          </w:p>
        </w:tc>
      </w:tr>
      <w:tr>
        <w:trPr>
          <w:trHeight w:val="191"/>
        </w:trPr>
        <w:tc>
          <w:tcPr>
            <w:tcW w:w="39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44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Sean A. McCarthy, D. Phil.</w:t>
            </w:r>
          </w:p>
        </w:tc>
      </w:tr>
      <w:tr>
        <w:trPr>
          <w:trHeight w:val="220"/>
        </w:trPr>
        <w:tc>
          <w:tcPr>
            <w:tcW w:w="39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Chief Executive Officer and Director</w:t>
            </w:r>
          </w:p>
        </w:tc>
      </w:tr>
      <w:tr>
        <w:trPr>
          <w:trHeight w:val="230"/>
        </w:trPr>
        <w:tc>
          <w:tcPr>
            <w:tcW w:w="39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459"/>
        </w:trPr>
        <w:tc>
          <w:tcPr>
            <w:tcW w:w="3960" w:type="dxa"/>
            <w:vAlign w:val="bottom"/>
          </w:tcPr>
          <w:p>
            <w:pPr>
              <w:spacing w:after="0"/>
              <w:rPr>
                <w:sz w:val="20"/>
                <w:szCs w:val="20"/>
                <w:color w:val="auto"/>
              </w:rPr>
            </w:pPr>
            <w:r>
              <w:rPr>
                <w:rFonts w:ascii="Arial" w:cs="Arial" w:eastAsia="Arial" w:hAnsi="Arial"/>
                <w:sz w:val="18"/>
                <w:szCs w:val="18"/>
                <w:color w:val="auto"/>
              </w:rPr>
              <w:t>Date: August 6, 2020</w:t>
            </w:r>
          </w:p>
        </w:tc>
        <w:tc>
          <w:tcPr>
            <w:tcW w:w="2800" w:type="dxa"/>
            <w:vAlign w:val="bottom"/>
          </w:tcPr>
          <w:p>
            <w:pPr>
              <w:ind w:left="242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Carlos Campoy</w:t>
            </w:r>
          </w:p>
        </w:tc>
      </w:tr>
      <w:tr>
        <w:trPr>
          <w:trHeight w:val="191"/>
        </w:trPr>
        <w:tc>
          <w:tcPr>
            <w:tcW w:w="39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44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Carlos Campoy</w:t>
            </w:r>
          </w:p>
        </w:tc>
      </w:tr>
      <w:tr>
        <w:trPr>
          <w:trHeight w:val="234"/>
        </w:trPr>
        <w:tc>
          <w:tcPr>
            <w:tcW w:w="39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bl>
    <w:p>
      <w:pPr>
        <w:jc w:val="center"/>
        <w:ind w:left="6740"/>
        <w:spacing w:after="0"/>
        <w:rPr>
          <w:sz w:val="20"/>
          <w:szCs w:val="20"/>
          <w:color w:val="auto"/>
        </w:rPr>
      </w:pPr>
      <w:r>
        <w:rPr>
          <w:rFonts w:ascii="Arial" w:cs="Arial" w:eastAsia="Arial" w:hAnsi="Arial"/>
          <w:sz w:val="18"/>
          <w:szCs w:val="18"/>
          <w:i w:val="1"/>
          <w:iCs w:val="1"/>
          <w:color w:val="auto"/>
        </w:rPr>
        <w:t>(Principal Financial Officer and Principal Accounting</w:t>
      </w:r>
    </w:p>
    <w:p>
      <w:pPr>
        <w:spacing w:after="0" w:line="9" w:lineRule="exact"/>
        <w:rPr>
          <w:sz w:val="20"/>
          <w:szCs w:val="20"/>
          <w:color w:val="auto"/>
        </w:rPr>
      </w:pPr>
    </w:p>
    <w:p>
      <w:pPr>
        <w:jc w:val="center"/>
        <w:ind w:left="6740"/>
        <w:spacing w:after="0"/>
        <w:rPr>
          <w:sz w:val="20"/>
          <w:szCs w:val="20"/>
          <w:color w:val="auto"/>
        </w:rPr>
      </w:pPr>
      <w:r>
        <w:rPr>
          <w:rFonts w:ascii="Arial" w:cs="Arial" w:eastAsia="Arial" w:hAnsi="Arial"/>
          <w:sz w:val="18"/>
          <w:szCs w:val="18"/>
          <w:i w:val="1"/>
          <w:iCs w:val="1"/>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337" w:right="339" w:bottom="1440" w:gutter="0" w:footer="0" w:header="0"/>
        </w:sectPr>
      </w:pPr>
    </w:p>
    <w:bookmarkStart w:id="80" w:name="page81"/>
    <w:bookmarkEnd w:id="80"/>
    <w:p>
      <w:pPr>
        <w:ind w:left="10400"/>
        <w:spacing w:after="0"/>
        <w:rPr>
          <w:sz w:val="20"/>
          <w:szCs w:val="20"/>
          <w:color w:val="auto"/>
        </w:rPr>
      </w:pPr>
      <w:r>
        <w:rPr>
          <w:rFonts w:ascii="Arial" w:cs="Arial" w:eastAsia="Arial" w:hAnsi="Arial"/>
          <w:sz w:val="16"/>
          <w:szCs w:val="16"/>
          <w:b w:val="1"/>
          <w:bCs w:val="1"/>
          <w:color w:val="auto"/>
        </w:rPr>
        <w:t>Exhibit 4.4</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DESCRIPTION OF REGISTRANT’S SECURITIES REGISTERED PURSUANT TO SECTION 12 OF THE SECURITIES EXCHANGE ACT OF 1934</w:t>
      </w:r>
    </w:p>
    <w:p>
      <w:pPr>
        <w:spacing w:after="0" w:line="16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The following summary describes the capital stock of CytomX Therapeutics, Inc. (the “Company,” “we,” “us,” and “our”) and the material provisions of our amended and restated certificate of incorporation and our amended and restated bylaws, the registration rights agreement to which we and a stockholder are parties and of the General Corporation Law of the State of Delaware. Because the following is only a summary, it does not contain all of the information that may be important to you. For a complete description, you should refer to our amended and restated certificate of incorporation, amended and restated bylaws, and registration rights agreement, copies of which are incorporated by reference as exhibits to our Annual Report on Form 10-K.</w:t>
      </w:r>
    </w:p>
    <w:p>
      <w:pPr>
        <w:spacing w:after="0" w:line="30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 of June 30, 2020, CytomX Therapeutics, Inc. (“CytomX”) had common stock, $0.00001 par value per share, registered under Section 12 of the Securities Exchange Act of 1934, as amended (the “Exchange Act”), and listed on The Nasdaq Global Select Market under the trading symbol “CTMX.”</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authorized 150,000,000 shares of common stock, $0.00001 par value per share, and 10,000,000 shares of preferred stock, $0.00001 par value per share under our amended and restated certificate of incorporation. As of June 30, 2020, there were outstanding:</w:t>
      </w:r>
    </w:p>
    <w:p>
      <w:pPr>
        <w:spacing w:after="0" w:line="62" w:lineRule="exact"/>
        <w:rPr>
          <w:sz w:val="20"/>
          <w:szCs w:val="20"/>
          <w:color w:val="auto"/>
        </w:rPr>
      </w:pPr>
    </w:p>
    <w:p>
      <w:pPr>
        <w:ind w:left="840" w:hanging="414"/>
        <w:spacing w:after="0"/>
        <w:tabs>
          <w:tab w:leader="none" w:pos="8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46,190,070 shares of our common stock; and</w:t>
      </w:r>
    </w:p>
    <w:p>
      <w:pPr>
        <w:spacing w:after="0" w:line="346" w:lineRule="exact"/>
        <w:rPr>
          <w:rFonts w:ascii="Arial" w:cs="Arial" w:eastAsia="Arial" w:hAnsi="Arial"/>
          <w:sz w:val="18"/>
          <w:szCs w:val="18"/>
          <w:color w:val="auto"/>
        </w:rPr>
      </w:pPr>
    </w:p>
    <w:p>
      <w:pPr>
        <w:ind w:left="880" w:hanging="440"/>
        <w:spacing w:after="0"/>
        <w:tabs>
          <w:tab w:leader="none" w:pos="8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11,632,550 shares of common stock subject to outstanding stock options.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2020, there were 31 holders on record of our common stock. This number does not include beneficial owners whose shares are held by nominees in street name.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Holders of our common stock are entitled to one vote for each share of common stock held of record for the election of directors and on all matters submitted to a vote of stockholders. In the election of directors, a plurality of the votes cast at a meeting of stockholders is sufficient to elect a director. Our stockholders do not have cumulative voting rights in the election of directors. Accordingly, holders of a majority of the voting shares are able to elect all of the directors. In all other matters, except as noted below under “Anti-Takeover Effects of Delaware Law, Our Certificate of Incorporation and Our Bylaws,” a majority vote of common stockholders is generally required to take action under our certificate of incorporation and bylaws.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Holders of our common stock are entitled to receive dividends ratably, if any, as may be declared by our board of directors out of legally available funds, subject to any preferential dividend rights of any preferred stock then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our dissolution, liquidation or winding up, holders of our common stock are entitled to share ratably in our net assets legally available after the payment of all our debts and other liabilities, subject to the preferential rights of any preferred stock then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Rights and Preferences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jc w:val="both"/>
        <w:spacing w:after="0" w:line="263" w:lineRule="auto"/>
        <w:rPr>
          <w:sz w:val="20"/>
          <w:szCs w:val="20"/>
          <w:color w:val="auto"/>
        </w:rPr>
      </w:pPr>
      <w:r>
        <w:rPr>
          <w:rFonts w:ascii="Arial" w:cs="Arial" w:eastAsia="Arial" w:hAnsi="Arial"/>
          <w:sz w:val="18"/>
          <w:szCs w:val="18"/>
          <w:color w:val="auto"/>
        </w:rPr>
        <w:t>Holders of our common stock have no preemptive, subscription or conversion rights, and there are no redemption or sinking fund provisions applicable to our common stock. The rights, preferences and privileges of holders of common stock are subject to, and may be adversely affected by, the rights of the holders of shares of any series of preferred stock that we may designate and issue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board of directors has the authority, without action by the stockholders, to designate and issue up to an aggregate of 10,000,000 shares of preferred stock in one or more series. The board of directors can fix the rights, preferences and privileges of the shares of each series and any of its qualifications, limitations or restrictions. Our board of directors may authorize the issuance of preferred stock with voting or conversion rights that could adversely affect the voting power or other rights of the holders of common stock. The issuance of preferred stock, while providing flexibility in connection with possible future financings and acquisitions and other corporate purposes could, under certain circumstances, have the effect of delaying or preventing a change in control of our company and might harm the market price of our common stock. As of June 30, 2020, no shares of preferred stock were outstanding, and we have no present plan to issue any shares of preferred stock.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our registration rights agreement, as of June 30, 2020, Amgen Inc. (“Amgen”), the holder of 1,156,069 shares of our common stock, is entitled to require us register the resale of the shares purchased by Amgen pursuant to that certain share purchase agreement, dated September 29, 2017, between the Company and Amgen, on a registration statement to be filed with the Securities and Exchange Commission. The registration rights agreement contains customary indemnification provisions, and terminates if there are no registrable shares outstanding.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Our Certificate of Incorporation and Our Bylaws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certificate of incorporation and bylaws include a number of provisions that may have the effect of encouraging persons considering unsolicited tender offers or other unilateral takeover proposals to negotiate with our board of directors rather than pursue non-negotiated takeover attempts. These provisions include the items described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certificate of incorporation and bylaws provide that subject to any limitations imposed by law and the rights of the holders of any series of our preferred stock, the board of directors or any individual director may be removed from office at any time without cause by the affirmative vote of the holders of a majority of the voting power of all the then-outstanding shares of voting stock of our company entitled to vote at an election of directors.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Written Consent of Stockholders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bylaws provide that all stockholder actions are required to be taken by a vote of the stockholders at an annual or special meeting, and that stockholders may not take any action by written consent in lieu of a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Staggered Board</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board of directors is divided into three staggered classes of directors of the same or nearly the same number and each director will be assigned to one of the three classes. At each annual meeting of the stockholders, a class of directors will be elected for a three-year term to succeed the directors of the same class whose terms are then expiring. Our amended and restated certificate of incorporation provides that the number of our directors shall be fixed from time to time by a resolution of the majority of our board of directors. Any additional directorships resulting from an increase in the number of directors will be distributed among the three classes so that, as nearly as possible, each class shall consist of one third of the board of directors. The division of our board of directors into three classes with staggered three-year terms may delay or prevent stockholder efforts to effect a change of our management or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i w:val="1"/>
          <w:iCs w:val="1"/>
          <w:color w:val="auto"/>
        </w:rPr>
        <w:t>Meetings of Stockholders</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bylaws provide that special meetings of stockholders, which our company is not obligated to call more than once per calendar year, may only be called by the chairman of our board of directors, our chief executive officer, or our board of directors pursuant to a resolution adopted by a majority of the total number of authorized directors. In addition, our bylaws will limit the business that may be conducted at an annual meeting of stockholders to those matters properly brought before the meeting.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Requirements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bylaws include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secretary prior to the meeting at which the action is to be taken. Generally, to be timely, notice must be received at our principal executive offices not later than the close of business on the ninetieth (90th) day nor earlier than the close of business on the one hundred twentieth (120th) day prior to the first anniversary of the annual meeting for the preceding year. The notice must contain certain information specified in the bylaws.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Certificate of Incorporation and Bylaws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certificate of incorporation provides that the affirmative votes of the holders of at least a majority of the voting power of all of the then-outstanding shares of our voting stock will be required to amend certain provisions of our certificate of incorporation, including provisions relating to the size of our board of directors, removal of directors, special meeting of stockholders and actions by written consent. The affirmative votes of the holders of at least a majority of the voting power of all of the then-outstanding shares of our voting stock will be required to amend or repeal our bylaws. In addition, our bylaws may be amended by our board of directors, subject to any limitations set forth in the bylaws.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Blank Check Preferred Stock</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certificate of incorporation provides for 10,000,000 authorized shares of preferred stock. The existence of 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the provisions of Section 203 of the Delaware General Corporation Law, as amended. In 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within three years prior to the determination of interested stockholder status, 15 percent or more of the corporation’s voting stock.</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Under Section 203, a business combination between a corporation and an interested stockholder is prohibited unless it satisfies one of the following conditions:</w:t>
      </w:r>
    </w:p>
    <w:p>
      <w:pPr>
        <w:spacing w:after="0" w:line="62" w:lineRule="exact"/>
        <w:rPr>
          <w:sz w:val="20"/>
          <w:szCs w:val="20"/>
          <w:color w:val="auto"/>
        </w:rPr>
      </w:pPr>
    </w:p>
    <w:p>
      <w:pPr>
        <w:ind w:left="840" w:hanging="414"/>
        <w:spacing w:after="0" w:line="277" w:lineRule="auto"/>
        <w:tabs>
          <w:tab w:leader="none" w:pos="8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before the stockholder became interested, the board of directors of the corporation approved either the business combination or the transaction which resulted in the stockholder becoming an interested stockholder;</w:t>
      </w:r>
    </w:p>
    <w:p>
      <w:pPr>
        <w:spacing w:after="0" w:line="291" w:lineRule="exact"/>
        <w:rPr>
          <w:rFonts w:ascii="Arial" w:cs="Arial" w:eastAsia="Arial" w:hAnsi="Arial"/>
          <w:sz w:val="18"/>
          <w:szCs w:val="18"/>
          <w:color w:val="auto"/>
        </w:rPr>
      </w:pPr>
    </w:p>
    <w:p>
      <w:pPr>
        <w:jc w:val="both"/>
        <w:ind w:left="840" w:hanging="414"/>
        <w:spacing w:after="0" w:line="259" w:lineRule="auto"/>
        <w:tabs>
          <w:tab w:leader="none" w:pos="8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percent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308" w:lineRule="exact"/>
        <w:rPr>
          <w:rFonts w:ascii="Arial" w:cs="Arial" w:eastAsia="Arial" w:hAnsi="Arial"/>
          <w:sz w:val="18"/>
          <w:szCs w:val="18"/>
          <w:color w:val="auto"/>
        </w:rPr>
      </w:pPr>
    </w:p>
    <w:p>
      <w:pPr>
        <w:jc w:val="both"/>
        <w:ind w:left="840" w:hanging="414"/>
        <w:spacing w:after="0" w:line="263" w:lineRule="auto"/>
        <w:tabs>
          <w:tab w:leader="none" w:pos="8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the board of directors of the corporation and authorized at an annual or special meeting of the stockholders by the affirmative vote of at least 66 2/3 percent of the outstanding voting stock which is not owned by the interested stockholder.</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as Sole and Exclusive Forum</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bylaws provide that, unless we consent in writing to an alternative forum, the Court of Chancery of the State of Delaware shall, to the fullest extent permitted by law, be the sole and exclusive forum for (i) any derivative action or proceeding brought on behalf of us, (ii) any action asserting a claim of breach of a fiduciary duty owed by, or otherwise wrongdoing by, any of our directors, officers or other employees to us or our stockholders, (iii) any action asserting a claim against us arising pursuant to any provision of the Delaware General Corporation Law, as amended, or our certificate of incorporation or bylaws, (iv) any action to interpret, apply, enforce or determine the validity of our certificate of incorporation or bylaws, or (v) any action asserting a claim against us or any of our directors, officers or employees governed by the internal affairs doctrine.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Liability and Indemnification</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permitted by the Delaware General Corporation Law, as amended, our amended and restated certificate of incorporation and amended and restated bylaws, in each case, limit or eliminate the personal liability of our directors. Consequently, a director will not be personally liable to us or our stockholders for monetary damages for breach of fiduciary duty as a director, except for liability for:</w:t>
      </w:r>
    </w:p>
    <w:p>
      <w:pPr>
        <w:spacing w:after="0" w:line="76" w:lineRule="exact"/>
        <w:rPr>
          <w:sz w:val="20"/>
          <w:szCs w:val="20"/>
          <w:color w:val="auto"/>
        </w:rPr>
      </w:pPr>
    </w:p>
    <w:p>
      <w:pPr>
        <w:ind w:left="840" w:hanging="414"/>
        <w:spacing w:after="0"/>
        <w:tabs>
          <w:tab w:leader="none" w:pos="8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346" w:lineRule="exact"/>
        <w:rPr>
          <w:rFonts w:ascii="Arial" w:cs="Arial" w:eastAsia="Arial" w:hAnsi="Arial"/>
          <w:sz w:val="18"/>
          <w:szCs w:val="18"/>
          <w:color w:val="auto"/>
        </w:rPr>
      </w:pPr>
    </w:p>
    <w:p>
      <w:pPr>
        <w:ind w:left="840" w:hanging="414"/>
        <w:spacing w:after="0"/>
        <w:tabs>
          <w:tab w:leader="none" w:pos="8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346" w:lineRule="exact"/>
        <w:rPr>
          <w:rFonts w:ascii="Arial" w:cs="Arial" w:eastAsia="Arial" w:hAnsi="Arial"/>
          <w:sz w:val="18"/>
          <w:szCs w:val="18"/>
          <w:color w:val="auto"/>
        </w:rPr>
      </w:pPr>
    </w:p>
    <w:p>
      <w:pPr>
        <w:ind w:left="840" w:hanging="414"/>
        <w:spacing w:after="0"/>
        <w:tabs>
          <w:tab w:leader="none" w:pos="8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unlawful payments related to dividends or unlawful stock repurchases, redemptions or other distributions; or</w:t>
      </w:r>
    </w:p>
    <w:p>
      <w:pPr>
        <w:spacing w:after="0" w:line="346" w:lineRule="exact"/>
        <w:rPr>
          <w:rFonts w:ascii="Arial" w:cs="Arial" w:eastAsia="Arial" w:hAnsi="Arial"/>
          <w:sz w:val="18"/>
          <w:szCs w:val="18"/>
          <w:color w:val="auto"/>
        </w:rPr>
      </w:pPr>
    </w:p>
    <w:p>
      <w:pPr>
        <w:ind w:left="840" w:hanging="414"/>
        <w:spacing w:after="0"/>
        <w:tabs>
          <w:tab w:leader="none" w:pos="8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These limitations of liability do not alter director liability under the U.S. federal securities laws and do not affect the availability of equitable remedies such as an injunction or rescission.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addition, our amended and restated bylaws provide that:</w:t>
      </w:r>
    </w:p>
    <w:p>
      <w:pPr>
        <w:spacing w:after="0" w:line="117" w:lineRule="exact"/>
        <w:rPr>
          <w:sz w:val="20"/>
          <w:szCs w:val="20"/>
          <w:color w:val="auto"/>
        </w:rPr>
      </w:pPr>
    </w:p>
    <w:p>
      <w:pPr>
        <w:ind w:left="840" w:hanging="414"/>
        <w:spacing w:after="0" w:line="277" w:lineRule="auto"/>
        <w:tabs>
          <w:tab w:leader="none" w:pos="8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will indemnify our directors, officers and, at the discretion of our board of directors, certain employees and agents to the fullest extent permitted by the Delaware General Corporation Law,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4" w:name="page85"/>
    <w:bookmarkEnd w:id="84"/>
    <w:p>
      <w:pPr>
        <w:ind w:left="840" w:hanging="414"/>
        <w:spacing w:after="0" w:line="277" w:lineRule="auto"/>
        <w:tabs>
          <w:tab w:leader="none" w:pos="8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will advance expenses, including attorneys’ fees, to our directors and to our officers and certain employees, in connection with legal proceedings, subject to limited exceptions; and</w:t>
      </w:r>
    </w:p>
    <w:p>
      <w:pPr>
        <w:spacing w:after="0" w:line="291" w:lineRule="exact"/>
        <w:rPr>
          <w:rFonts w:ascii="Arial" w:cs="Arial" w:eastAsia="Arial" w:hAnsi="Arial"/>
          <w:sz w:val="18"/>
          <w:szCs w:val="18"/>
          <w:color w:val="auto"/>
        </w:rPr>
      </w:pPr>
    </w:p>
    <w:p>
      <w:pPr>
        <w:jc w:val="both"/>
        <w:ind w:left="840" w:hanging="414"/>
        <w:spacing w:after="0" w:line="263" w:lineRule="auto"/>
        <w:tabs>
          <w:tab w:leader="none" w:pos="8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in our amended and restated bylaws are not exclusive of any other right to which our directors or officers may be entitled under any indemnification agreement we enter into with any individual director, officer, employee or agent.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entered into indemnification agreements with each of our executive officers and directors. The form of these agreements have been approved by our stockholders. These agreements provide that we will indemnify each of our executive officers and directors to the fullest extent permitted by law and advance expenses to each indemnitee in connection with any proceeding in which indemnification is available.</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obtained general liability insurance that covers certain liabilities of our directors and officers arising out of claims based on acts or omissions in their capacities as directors or officers, including liabilities under the Securities Act. Insofar as indemnification for liabilities arising under the Securities Act may be permitted to directors, officers or persons controlling the registrant pursuant to the foregoing provisions, we have been informed that in the opinion of the SEC such indemnification is against public policy as expressed in the Securities Act and is therefore unenforceable.</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above provisions may discourage stockholders from bringing a lawsuit against our directors for breach of their fiduciary duty. The provisions may also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indemnification provisions. We believe that these provisions, the indemnification agreements and the insurance are necessary to attract and retain talented and experienced directors and officers.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present, there is no pending litigation or proceeding involving any of our directors or officers where indemnification will be required or permitted. We are not aware of any threatened litigation or proceedings that might result in a claim for such indemnification.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 and registrar’s address is 462 South 4</w:t>
      </w:r>
      <w:r>
        <w:rPr>
          <w:rFonts w:ascii="Arial" w:cs="Arial" w:eastAsia="Arial" w:hAnsi="Arial"/>
          <w:sz w:val="15"/>
          <w:szCs w:val="15"/>
          <w:color w:val="auto"/>
        </w:rPr>
        <w:t>th</w:t>
      </w:r>
      <w:r>
        <w:rPr>
          <w:rFonts w:ascii="Arial" w:cs="Arial" w:eastAsia="Arial" w:hAnsi="Arial"/>
          <w:sz w:val="18"/>
          <w:szCs w:val="18"/>
          <w:color w:val="auto"/>
        </w:rPr>
        <w:t xml:space="preserve"> Street, Suite 1600, Louisville, KY 40202.</w:t>
      </w:r>
    </w:p>
    <w:p>
      <w:pPr>
        <w:sectPr>
          <w:pgSz w:w="11900" w:h="16838" w:orient="portrait"/>
          <w:cols w:equalWidth="0" w:num="1">
            <w:col w:w="11240"/>
          </w:cols>
          <w:pgMar w:left="320" w:top="125"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Sean A. McCarthy, President and Chief Executive Officer of CytomX Therapeutics, Inc., certify that:</w:t>
      </w:r>
    </w:p>
    <w:p>
      <w:pPr>
        <w:spacing w:after="0" w:line="117" w:lineRule="exact"/>
        <w:rPr>
          <w:sz w:val="20"/>
          <w:szCs w:val="20"/>
          <w:color w:val="auto"/>
        </w:rPr>
      </w:pPr>
    </w:p>
    <w:p>
      <w:pPr>
        <w:ind w:left="760" w:hanging="253"/>
        <w:spacing w:after="0"/>
        <w:tabs>
          <w:tab w:leader="none" w:pos="7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CytomX Therapeutics, Inc.;</w:t>
      </w:r>
    </w:p>
    <w:p>
      <w:pPr>
        <w:spacing w:after="0" w:line="225" w:lineRule="exact"/>
        <w:rPr>
          <w:rFonts w:ascii="Arial" w:cs="Arial" w:eastAsia="Arial" w:hAnsi="Arial"/>
          <w:sz w:val="18"/>
          <w:szCs w:val="18"/>
          <w:color w:val="auto"/>
        </w:rPr>
      </w:pPr>
    </w:p>
    <w:p>
      <w:pPr>
        <w:jc w:val="both"/>
        <w:ind w:left="760" w:right="20" w:hanging="253"/>
        <w:spacing w:after="0" w:line="263" w:lineRule="auto"/>
        <w:tabs>
          <w:tab w:leader="none" w:pos="7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60" w:right="260" w:hanging="253"/>
        <w:spacing w:after="0" w:line="308" w:lineRule="auto"/>
        <w:tabs>
          <w:tab w:leader="none" w:pos="7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60" w:right="20" w:hanging="253"/>
        <w:spacing w:after="0" w:line="220" w:lineRule="exact"/>
        <w:tabs>
          <w:tab w:leader="none" w:pos="7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15d-15(e)) and internal control over financial reporting (as defined in Exchange Act Rules 13a-15(f) and 15d-15(f)) for the registrant and have:</w:t>
      </w:r>
    </w:p>
    <w:p>
      <w:pPr>
        <w:spacing w:after="0" w:line="96" w:lineRule="exact"/>
        <w:rPr>
          <w:rFonts w:ascii="Arial" w:cs="Arial" w:eastAsia="Arial" w:hAnsi="Arial"/>
          <w:sz w:val="18"/>
          <w:szCs w:val="18"/>
          <w:color w:val="auto"/>
        </w:rPr>
      </w:pPr>
    </w:p>
    <w:p>
      <w:pPr>
        <w:ind w:left="1520" w:right="620" w:hanging="500"/>
        <w:spacing w:after="0" w:line="263" w:lineRule="auto"/>
        <w:tabs>
          <w:tab w:leader="none" w:pos="15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520" w:right="200" w:hanging="500"/>
        <w:spacing w:after="0" w:line="263" w:lineRule="auto"/>
        <w:tabs>
          <w:tab w:leader="none" w:pos="15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20" w:right="20" w:hanging="500"/>
        <w:spacing w:after="0" w:line="263" w:lineRule="auto"/>
        <w:tabs>
          <w:tab w:leader="none" w:pos="15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20" w:right="380" w:hanging="500"/>
        <w:spacing w:after="0" w:line="286" w:lineRule="auto"/>
        <w:tabs>
          <w:tab w:leader="none" w:pos="1520" w:val="left"/>
        </w:tabs>
        <w:numPr>
          <w:ilvl w:val="1"/>
          <w:numId w:val="5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760" w:right="180" w:hanging="253"/>
        <w:spacing w:after="0" w:line="342" w:lineRule="auto"/>
        <w:tabs>
          <w:tab w:leader="none" w:pos="7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20" w:right="240" w:hanging="500"/>
        <w:spacing w:after="0" w:line="342" w:lineRule="auto"/>
        <w:tabs>
          <w:tab w:leader="none" w:pos="152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20" w:right="520" w:hanging="500"/>
        <w:spacing w:after="0" w:line="277" w:lineRule="auto"/>
        <w:tabs>
          <w:tab w:leader="none" w:pos="15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380" w:type="dxa"/>
            <w:vAlign w:val="bottom"/>
          </w:tcPr>
          <w:p>
            <w:pPr>
              <w:spacing w:after="0"/>
              <w:rPr>
                <w:sz w:val="20"/>
                <w:szCs w:val="20"/>
                <w:color w:val="auto"/>
              </w:rPr>
            </w:pPr>
            <w:r>
              <w:rPr>
                <w:rFonts w:ascii="Arial" w:cs="Arial" w:eastAsia="Arial" w:hAnsi="Arial"/>
                <w:sz w:val="18"/>
                <w:szCs w:val="18"/>
                <w:color w:val="auto"/>
              </w:rPr>
              <w:t>Date: August 6, 2020</w:t>
            </w:r>
          </w:p>
        </w:tc>
        <w:tc>
          <w:tcPr>
            <w:tcW w:w="2640" w:type="dxa"/>
            <w:vAlign w:val="bottom"/>
          </w:tcPr>
          <w:p>
            <w:pPr>
              <w:ind w:left="186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McCarthy</w:t>
            </w:r>
          </w:p>
        </w:tc>
      </w:tr>
      <w:tr>
        <w:trPr>
          <w:trHeight w:val="222"/>
        </w:trPr>
        <w:tc>
          <w:tcPr>
            <w:tcW w:w="3380" w:type="dxa"/>
            <w:vAlign w:val="bottom"/>
          </w:tcPr>
          <w:p>
            <w:pPr>
              <w:spacing w:after="0"/>
              <w:rPr>
                <w:sz w:val="19"/>
                <w:szCs w:val="19"/>
                <w:color w:val="auto"/>
              </w:rPr>
            </w:pPr>
          </w:p>
        </w:tc>
        <w:tc>
          <w:tcPr>
            <w:tcW w:w="2640" w:type="dxa"/>
            <w:vAlign w:val="bottom"/>
          </w:tcPr>
          <w:p>
            <w:pPr>
              <w:ind w:left="1860"/>
              <w:spacing w:after="0"/>
              <w:rPr>
                <w:sz w:val="20"/>
                <w:szCs w:val="20"/>
                <w:color w:val="auto"/>
              </w:rPr>
            </w:pPr>
            <w:r>
              <w:rPr>
                <w:rFonts w:ascii="Arial" w:cs="Arial" w:eastAsia="Arial" w:hAnsi="Arial"/>
                <w:sz w:val="18"/>
                <w:szCs w:val="18"/>
                <w:color w:val="auto"/>
              </w:rPr>
              <w:t>Name:</w:t>
            </w:r>
          </w:p>
        </w:tc>
        <w:tc>
          <w:tcPr>
            <w:tcW w:w="4640" w:type="dxa"/>
            <w:vAlign w:val="bottom"/>
          </w:tcPr>
          <w:p>
            <w:pPr>
              <w:spacing w:after="0"/>
              <w:rPr>
                <w:sz w:val="20"/>
                <w:szCs w:val="20"/>
                <w:color w:val="auto"/>
              </w:rPr>
            </w:pPr>
            <w:r>
              <w:rPr>
                <w:rFonts w:ascii="Arial" w:cs="Arial" w:eastAsia="Arial" w:hAnsi="Arial"/>
                <w:sz w:val="18"/>
                <w:szCs w:val="18"/>
                <w:color w:val="auto"/>
              </w:rPr>
              <w:t>Sean A. McCarthy</w:t>
            </w:r>
          </w:p>
        </w:tc>
      </w:tr>
      <w:tr>
        <w:trPr>
          <w:trHeight w:val="230"/>
        </w:trPr>
        <w:tc>
          <w:tcPr>
            <w:tcW w:w="3380" w:type="dxa"/>
            <w:vAlign w:val="bottom"/>
          </w:tcPr>
          <w:p>
            <w:pPr>
              <w:spacing w:after="0"/>
              <w:rPr>
                <w:sz w:val="20"/>
                <w:szCs w:val="20"/>
                <w:color w:val="auto"/>
              </w:rPr>
            </w:pPr>
          </w:p>
        </w:tc>
        <w:tc>
          <w:tcPr>
            <w:tcW w:w="2640" w:type="dxa"/>
            <w:vAlign w:val="bottom"/>
          </w:tcPr>
          <w:p>
            <w:pPr>
              <w:ind w:left="1860"/>
              <w:spacing w:after="0"/>
              <w:rPr>
                <w:sz w:val="20"/>
                <w:szCs w:val="20"/>
                <w:color w:val="auto"/>
              </w:rPr>
            </w:pPr>
            <w:r>
              <w:rPr>
                <w:rFonts w:ascii="Arial" w:cs="Arial" w:eastAsia="Arial" w:hAnsi="Arial"/>
                <w:sz w:val="18"/>
                <w:szCs w:val="18"/>
                <w:color w:val="auto"/>
              </w:rPr>
              <w:t>Title:</w:t>
            </w:r>
          </w:p>
        </w:tc>
        <w:tc>
          <w:tcPr>
            <w:tcW w:w="46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135"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Carlos Campoy, Chief Financial Officer of CytomX Therapeutics, Inc., certify that:</w:t>
      </w:r>
    </w:p>
    <w:p>
      <w:pPr>
        <w:spacing w:after="0" w:line="117" w:lineRule="exact"/>
        <w:rPr>
          <w:sz w:val="20"/>
          <w:szCs w:val="20"/>
          <w:color w:val="auto"/>
        </w:rPr>
      </w:pPr>
    </w:p>
    <w:p>
      <w:pPr>
        <w:ind w:left="760" w:hanging="253"/>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CytomX Therapeutics, Inc.;</w:t>
      </w:r>
    </w:p>
    <w:p>
      <w:pPr>
        <w:spacing w:after="0" w:line="225" w:lineRule="exact"/>
        <w:rPr>
          <w:rFonts w:ascii="Arial" w:cs="Arial" w:eastAsia="Arial" w:hAnsi="Arial"/>
          <w:sz w:val="18"/>
          <w:szCs w:val="18"/>
          <w:color w:val="auto"/>
        </w:rPr>
      </w:pPr>
    </w:p>
    <w:p>
      <w:pPr>
        <w:jc w:val="both"/>
        <w:ind w:left="760" w:right="20" w:hanging="253"/>
        <w:spacing w:after="0" w:line="263" w:lineRule="auto"/>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60" w:right="260" w:hanging="253"/>
        <w:spacing w:after="0" w:line="308" w:lineRule="auto"/>
        <w:tabs>
          <w:tab w:leader="none" w:pos="7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60" w:right="20" w:hanging="253"/>
        <w:spacing w:after="0" w:line="220" w:lineRule="exact"/>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15d-15(e)) and internal control over financial reporting (as defined in Exchange Act Rules 13a-15(f) and 15d-15(f)) for the registrant and have:</w:t>
      </w:r>
    </w:p>
    <w:p>
      <w:pPr>
        <w:spacing w:after="0" w:line="96" w:lineRule="exact"/>
        <w:rPr>
          <w:rFonts w:ascii="Arial" w:cs="Arial" w:eastAsia="Arial" w:hAnsi="Arial"/>
          <w:sz w:val="18"/>
          <w:szCs w:val="18"/>
          <w:color w:val="auto"/>
        </w:rPr>
      </w:pPr>
    </w:p>
    <w:p>
      <w:pPr>
        <w:ind w:left="1520" w:right="620" w:hanging="500"/>
        <w:spacing w:after="0" w:line="263" w:lineRule="auto"/>
        <w:tabs>
          <w:tab w:leader="none" w:pos="15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520" w:right="200" w:hanging="500"/>
        <w:spacing w:after="0" w:line="263" w:lineRule="auto"/>
        <w:tabs>
          <w:tab w:leader="none" w:pos="15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20" w:right="20" w:hanging="500"/>
        <w:spacing w:after="0" w:line="263" w:lineRule="auto"/>
        <w:tabs>
          <w:tab w:leader="none" w:pos="15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20" w:right="380" w:hanging="500"/>
        <w:spacing w:after="0" w:line="286" w:lineRule="auto"/>
        <w:tabs>
          <w:tab w:leader="none" w:pos="1520" w:val="left"/>
        </w:tabs>
        <w:numPr>
          <w:ilvl w:val="1"/>
          <w:numId w:val="5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760" w:right="180" w:hanging="253"/>
        <w:spacing w:after="0" w:line="342" w:lineRule="auto"/>
        <w:tabs>
          <w:tab w:leader="none" w:pos="7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20" w:right="240" w:hanging="500"/>
        <w:spacing w:after="0" w:line="342" w:lineRule="auto"/>
        <w:tabs>
          <w:tab w:leader="none" w:pos="1520" w:val="left"/>
        </w:tabs>
        <w:numPr>
          <w:ilvl w:val="1"/>
          <w:numId w:val="5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20" w:right="520" w:hanging="500"/>
        <w:spacing w:after="0" w:line="277" w:lineRule="auto"/>
        <w:tabs>
          <w:tab w:leader="none" w:pos="15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380" w:type="dxa"/>
            <w:vAlign w:val="bottom"/>
          </w:tcPr>
          <w:p>
            <w:pPr>
              <w:spacing w:after="0"/>
              <w:rPr>
                <w:sz w:val="20"/>
                <w:szCs w:val="20"/>
                <w:color w:val="auto"/>
              </w:rPr>
            </w:pPr>
            <w:r>
              <w:rPr>
                <w:rFonts w:ascii="Arial" w:cs="Arial" w:eastAsia="Arial" w:hAnsi="Arial"/>
                <w:sz w:val="18"/>
                <w:szCs w:val="18"/>
                <w:color w:val="auto"/>
              </w:rPr>
              <w:t>Date: August 6, 2020</w:t>
            </w:r>
          </w:p>
        </w:tc>
        <w:tc>
          <w:tcPr>
            <w:tcW w:w="2640" w:type="dxa"/>
            <w:vAlign w:val="bottom"/>
          </w:tcPr>
          <w:p>
            <w:pPr>
              <w:ind w:left="186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Carlos Campoy</w:t>
            </w:r>
          </w:p>
        </w:tc>
      </w:tr>
      <w:tr>
        <w:trPr>
          <w:trHeight w:val="222"/>
        </w:trPr>
        <w:tc>
          <w:tcPr>
            <w:tcW w:w="3380" w:type="dxa"/>
            <w:vAlign w:val="bottom"/>
          </w:tcPr>
          <w:p>
            <w:pPr>
              <w:spacing w:after="0"/>
              <w:rPr>
                <w:sz w:val="19"/>
                <w:szCs w:val="19"/>
                <w:color w:val="auto"/>
              </w:rPr>
            </w:pPr>
          </w:p>
        </w:tc>
        <w:tc>
          <w:tcPr>
            <w:tcW w:w="2640" w:type="dxa"/>
            <w:vAlign w:val="bottom"/>
          </w:tcPr>
          <w:p>
            <w:pPr>
              <w:ind w:left="1860"/>
              <w:spacing w:after="0"/>
              <w:rPr>
                <w:sz w:val="20"/>
                <w:szCs w:val="20"/>
                <w:color w:val="auto"/>
              </w:rPr>
            </w:pPr>
            <w:r>
              <w:rPr>
                <w:rFonts w:ascii="Arial" w:cs="Arial" w:eastAsia="Arial" w:hAnsi="Arial"/>
                <w:sz w:val="18"/>
                <w:szCs w:val="18"/>
                <w:color w:val="auto"/>
              </w:rPr>
              <w:t>Name:</w:t>
            </w:r>
          </w:p>
        </w:tc>
        <w:tc>
          <w:tcPr>
            <w:tcW w:w="4640" w:type="dxa"/>
            <w:vAlign w:val="bottom"/>
          </w:tcPr>
          <w:p>
            <w:pPr>
              <w:spacing w:after="0"/>
              <w:rPr>
                <w:sz w:val="20"/>
                <w:szCs w:val="20"/>
                <w:color w:val="auto"/>
              </w:rPr>
            </w:pPr>
            <w:r>
              <w:rPr>
                <w:rFonts w:ascii="Arial" w:cs="Arial" w:eastAsia="Arial" w:hAnsi="Arial"/>
                <w:sz w:val="18"/>
                <w:szCs w:val="18"/>
                <w:color w:val="auto"/>
              </w:rPr>
              <w:t>Carlos Campoy</w:t>
            </w:r>
          </w:p>
        </w:tc>
      </w:tr>
      <w:tr>
        <w:trPr>
          <w:trHeight w:val="230"/>
        </w:trPr>
        <w:tc>
          <w:tcPr>
            <w:tcW w:w="3380" w:type="dxa"/>
            <w:vAlign w:val="bottom"/>
          </w:tcPr>
          <w:p>
            <w:pPr>
              <w:spacing w:after="0"/>
              <w:rPr>
                <w:sz w:val="20"/>
                <w:szCs w:val="20"/>
                <w:color w:val="auto"/>
              </w:rPr>
            </w:pPr>
          </w:p>
        </w:tc>
        <w:tc>
          <w:tcPr>
            <w:tcW w:w="2640" w:type="dxa"/>
            <w:vAlign w:val="bottom"/>
          </w:tcPr>
          <w:p>
            <w:pPr>
              <w:ind w:left="1860"/>
              <w:spacing w:after="0"/>
              <w:rPr>
                <w:sz w:val="20"/>
                <w:szCs w:val="20"/>
                <w:color w:val="auto"/>
              </w:rPr>
            </w:pPr>
            <w:r>
              <w:rPr>
                <w:rFonts w:ascii="Arial" w:cs="Arial" w:eastAsia="Arial" w:hAnsi="Arial"/>
                <w:sz w:val="18"/>
                <w:szCs w:val="18"/>
                <w:color w:val="auto"/>
              </w:rPr>
              <w:t>Title:</w:t>
            </w:r>
          </w:p>
        </w:tc>
        <w:tc>
          <w:tcPr>
            <w:tcW w:w="46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35"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In connection with the Quarterly Report of CytomX Therapeutics,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quarter ended June 30, 2020,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Sean A. McCarthy, President and Chief Executive Officer of the Company, certify, pursuant to 18 U.S.C. Section 1350, as adopted pursuant to Section 906 of the Sarbanes-Oxley Act of 2002 (the “</w:t>
      </w:r>
      <w:r>
        <w:rPr>
          <w:rFonts w:ascii="Arial" w:cs="Arial" w:eastAsia="Arial" w:hAnsi="Arial"/>
          <w:sz w:val="17"/>
          <w:szCs w:val="17"/>
          <w:u w:val="single" w:color="auto"/>
          <w:color w:val="auto"/>
        </w:rPr>
        <w:t>Act</w:t>
      </w:r>
      <w:r>
        <w:rPr>
          <w:rFonts w:ascii="Arial" w:cs="Arial" w:eastAsia="Arial" w:hAnsi="Arial"/>
          <w:sz w:val="17"/>
          <w:szCs w:val="17"/>
          <w:color w:val="auto"/>
        </w:rPr>
        <w:t>”), that:</w:t>
      </w:r>
    </w:p>
    <w:p>
      <w:pPr>
        <w:spacing w:after="0" w:line="57" w:lineRule="exact"/>
        <w:rPr>
          <w:sz w:val="20"/>
          <w:szCs w:val="20"/>
          <w:color w:val="auto"/>
        </w:rPr>
      </w:pPr>
    </w:p>
    <w:p>
      <w:pPr>
        <w:ind w:left="500" w:hanging="492"/>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Date: August 6, 2020</w:t>
            </w:r>
          </w:p>
        </w:tc>
        <w:tc>
          <w:tcPr>
            <w:tcW w:w="2520" w:type="dxa"/>
            <w:vAlign w:val="bottom"/>
          </w:tcPr>
          <w:p>
            <w:pPr>
              <w:ind w:left="186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McCarthy</w:t>
            </w:r>
          </w:p>
        </w:tc>
      </w:tr>
      <w:tr>
        <w:trPr>
          <w:trHeight w:val="222"/>
        </w:trPr>
        <w:tc>
          <w:tcPr>
            <w:tcW w:w="3420" w:type="dxa"/>
            <w:vAlign w:val="bottom"/>
          </w:tcPr>
          <w:p>
            <w:pPr>
              <w:spacing w:after="0"/>
              <w:rPr>
                <w:sz w:val="19"/>
                <w:szCs w:val="19"/>
                <w:color w:val="auto"/>
              </w:rPr>
            </w:pPr>
          </w:p>
        </w:tc>
        <w:tc>
          <w:tcPr>
            <w:tcW w:w="2520" w:type="dxa"/>
            <w:vAlign w:val="bottom"/>
          </w:tcPr>
          <w:p>
            <w:pPr>
              <w:ind w:left="1860"/>
              <w:spacing w:after="0"/>
              <w:rPr>
                <w:sz w:val="20"/>
                <w:szCs w:val="20"/>
                <w:color w:val="auto"/>
              </w:rPr>
            </w:pPr>
            <w:r>
              <w:rPr>
                <w:rFonts w:ascii="Arial" w:cs="Arial" w:eastAsia="Arial" w:hAnsi="Arial"/>
                <w:sz w:val="18"/>
                <w:szCs w:val="18"/>
                <w:color w:val="auto"/>
              </w:rPr>
              <w:t>Name:</w:t>
            </w:r>
          </w:p>
        </w:tc>
        <w:tc>
          <w:tcPr>
            <w:tcW w:w="4720" w:type="dxa"/>
            <w:vAlign w:val="bottom"/>
          </w:tcPr>
          <w:p>
            <w:pPr>
              <w:spacing w:after="0"/>
              <w:rPr>
                <w:sz w:val="20"/>
                <w:szCs w:val="20"/>
                <w:color w:val="auto"/>
              </w:rPr>
            </w:pPr>
            <w:r>
              <w:rPr>
                <w:rFonts w:ascii="Arial" w:cs="Arial" w:eastAsia="Arial" w:hAnsi="Arial"/>
                <w:sz w:val="18"/>
                <w:szCs w:val="18"/>
                <w:color w:val="auto"/>
              </w:rPr>
              <w:t>Sean A. McCarthy</w:t>
            </w:r>
          </w:p>
        </w:tc>
      </w:tr>
      <w:tr>
        <w:trPr>
          <w:trHeight w:val="230"/>
        </w:trPr>
        <w:tc>
          <w:tcPr>
            <w:tcW w:w="3420" w:type="dxa"/>
            <w:vAlign w:val="bottom"/>
          </w:tcPr>
          <w:p>
            <w:pPr>
              <w:spacing w:after="0"/>
              <w:rPr>
                <w:sz w:val="20"/>
                <w:szCs w:val="20"/>
                <w:color w:val="auto"/>
              </w:rPr>
            </w:pPr>
          </w:p>
        </w:tc>
        <w:tc>
          <w:tcPr>
            <w:tcW w:w="2520" w:type="dxa"/>
            <w:vAlign w:val="bottom"/>
          </w:tcPr>
          <w:p>
            <w:pPr>
              <w:ind w:left="1860"/>
              <w:spacing w:after="0"/>
              <w:rPr>
                <w:sz w:val="20"/>
                <w:szCs w:val="20"/>
                <w:color w:val="auto"/>
              </w:rPr>
            </w:pPr>
            <w:r>
              <w:rPr>
                <w:rFonts w:ascii="Arial" w:cs="Arial" w:eastAsia="Arial" w:hAnsi="Arial"/>
                <w:sz w:val="18"/>
                <w:szCs w:val="18"/>
                <w:color w:val="auto"/>
              </w:rPr>
              <w:t>Title:</w:t>
            </w:r>
          </w:p>
        </w:tc>
        <w:tc>
          <w:tcPr>
            <w:tcW w:w="47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CytomX Therapeutics, Inc. under the Securities Act of 1933, as amended, or the Securities Exchange Act of 1934, as amended (whether made before or after the date of the Form 10-Q), irrespective of any general incorporation language contained in such filing.</w:t>
      </w:r>
    </w:p>
    <w:p>
      <w:pPr>
        <w:sectPr>
          <w:pgSz w:w="11900" w:h="16838" w:orient="portrait"/>
          <w:cols w:equalWidth="0" w:num="1">
            <w:col w:w="11240"/>
          </w:cols>
          <w:pgMar w:left="320" w:top="121"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connection with the Quarterly Report of CytomX Therapeutics,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quarter ended June 30, 2020,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Carlos Campoy, Chief Financial Officer of the Company, certify, pursuant to 18 U.S.C. Section 1350, as adopted pursuant to Section 906 of the Sarbanes-Oxley Act of 2002 (the “</w:t>
      </w:r>
      <w:r>
        <w:rPr>
          <w:rFonts w:ascii="Arial" w:cs="Arial" w:eastAsia="Arial" w:hAnsi="Arial"/>
          <w:sz w:val="17"/>
          <w:szCs w:val="17"/>
          <w:u w:val="single" w:color="auto"/>
          <w:color w:val="auto"/>
        </w:rPr>
        <w:t>Act</w:t>
      </w:r>
      <w:r>
        <w:rPr>
          <w:rFonts w:ascii="Arial" w:cs="Arial" w:eastAsia="Arial" w:hAnsi="Arial"/>
          <w:sz w:val="17"/>
          <w:szCs w:val="17"/>
          <w:color w:val="auto"/>
        </w:rPr>
        <w:t>”), that:</w:t>
      </w:r>
    </w:p>
    <w:p>
      <w:pPr>
        <w:spacing w:after="0" w:line="57" w:lineRule="exact"/>
        <w:rPr>
          <w:sz w:val="20"/>
          <w:szCs w:val="20"/>
          <w:color w:val="auto"/>
        </w:rPr>
      </w:pPr>
    </w:p>
    <w:p>
      <w:pPr>
        <w:ind w:left="500" w:hanging="492"/>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Date: August 6, 2020</w:t>
            </w:r>
          </w:p>
        </w:tc>
        <w:tc>
          <w:tcPr>
            <w:tcW w:w="2520" w:type="dxa"/>
            <w:vAlign w:val="bottom"/>
          </w:tcPr>
          <w:p>
            <w:pPr>
              <w:ind w:left="186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Carlos Campoy</w:t>
            </w:r>
          </w:p>
        </w:tc>
      </w:tr>
      <w:tr>
        <w:trPr>
          <w:trHeight w:val="222"/>
        </w:trPr>
        <w:tc>
          <w:tcPr>
            <w:tcW w:w="3420" w:type="dxa"/>
            <w:vAlign w:val="bottom"/>
          </w:tcPr>
          <w:p>
            <w:pPr>
              <w:spacing w:after="0"/>
              <w:rPr>
                <w:sz w:val="19"/>
                <w:szCs w:val="19"/>
                <w:color w:val="auto"/>
              </w:rPr>
            </w:pPr>
          </w:p>
        </w:tc>
        <w:tc>
          <w:tcPr>
            <w:tcW w:w="2520" w:type="dxa"/>
            <w:vAlign w:val="bottom"/>
          </w:tcPr>
          <w:p>
            <w:pPr>
              <w:ind w:left="1860"/>
              <w:spacing w:after="0"/>
              <w:rPr>
                <w:sz w:val="20"/>
                <w:szCs w:val="20"/>
                <w:color w:val="auto"/>
              </w:rPr>
            </w:pPr>
            <w:r>
              <w:rPr>
                <w:rFonts w:ascii="Arial" w:cs="Arial" w:eastAsia="Arial" w:hAnsi="Arial"/>
                <w:sz w:val="18"/>
                <w:szCs w:val="18"/>
                <w:color w:val="auto"/>
              </w:rPr>
              <w:t>Name:</w:t>
            </w:r>
          </w:p>
        </w:tc>
        <w:tc>
          <w:tcPr>
            <w:tcW w:w="4720" w:type="dxa"/>
            <w:vAlign w:val="bottom"/>
          </w:tcPr>
          <w:p>
            <w:pPr>
              <w:spacing w:after="0"/>
              <w:rPr>
                <w:sz w:val="20"/>
                <w:szCs w:val="20"/>
                <w:color w:val="auto"/>
              </w:rPr>
            </w:pPr>
            <w:r>
              <w:rPr>
                <w:rFonts w:ascii="Arial" w:cs="Arial" w:eastAsia="Arial" w:hAnsi="Arial"/>
                <w:sz w:val="18"/>
                <w:szCs w:val="18"/>
                <w:color w:val="auto"/>
              </w:rPr>
              <w:t>Carlos Campoy</w:t>
            </w:r>
          </w:p>
        </w:tc>
      </w:tr>
      <w:tr>
        <w:trPr>
          <w:trHeight w:val="230"/>
        </w:trPr>
        <w:tc>
          <w:tcPr>
            <w:tcW w:w="3420" w:type="dxa"/>
            <w:vAlign w:val="bottom"/>
          </w:tcPr>
          <w:p>
            <w:pPr>
              <w:spacing w:after="0"/>
              <w:rPr>
                <w:sz w:val="20"/>
                <w:szCs w:val="20"/>
                <w:color w:val="auto"/>
              </w:rPr>
            </w:pPr>
          </w:p>
        </w:tc>
        <w:tc>
          <w:tcPr>
            <w:tcW w:w="2520" w:type="dxa"/>
            <w:vAlign w:val="bottom"/>
          </w:tcPr>
          <w:p>
            <w:pPr>
              <w:ind w:left="1860"/>
              <w:spacing w:after="0"/>
              <w:rPr>
                <w:sz w:val="20"/>
                <w:szCs w:val="20"/>
                <w:color w:val="auto"/>
              </w:rPr>
            </w:pPr>
            <w:r>
              <w:rPr>
                <w:rFonts w:ascii="Arial" w:cs="Arial" w:eastAsia="Arial" w:hAnsi="Arial"/>
                <w:sz w:val="18"/>
                <w:szCs w:val="18"/>
                <w:color w:val="auto"/>
              </w:rPr>
              <w:t>Title:</w:t>
            </w:r>
          </w:p>
        </w:tc>
        <w:tc>
          <w:tcPr>
            <w:tcW w:w="47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CytomX Therapeutics,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1)"/>
      <w:numFmt w:val="decimal"/>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1)"/>
      <w:numFmt w:val="decimal"/>
      <w:start w:val="1"/>
    </w:lvl>
  </w:abstractNum>
  <w:abstractNum w:abstractNumId="8">
    <w:nsid w:val="3006C83E"/>
    <w:multiLevelType w:val="hybridMultilevel"/>
    <w:lvl w:ilvl="0">
      <w:lvlJc w:val="left"/>
      <w:lvlText w:val="(%1)"/>
      <w:numFmt w:val="decimal"/>
      <w:start w:val="1"/>
    </w:lvl>
  </w:abstractNum>
  <w:abstractNum w:abstractNumId="9">
    <w:nsid w:val="614FD4A1"/>
    <w:multiLevelType w:val="hybridMultilevel"/>
    <w:lvl w:ilvl="0">
      <w:lvlJc w:val="left"/>
      <w:lvlText w:val="(%1)"/>
      <w:numFmt w:val="decimal"/>
      <w:start w:val="1"/>
    </w:lvl>
  </w:abstractNum>
  <w:abstractNum w:abstractNumId="10">
    <w:nsid w:val="419AC241"/>
    <w:multiLevelType w:val="hybridMultilevel"/>
    <w:lvl w:ilvl="0">
      <w:lvlJc w:val="left"/>
      <w:lvlText w:val="(%1)"/>
      <w:numFmt w:val="decimal"/>
      <w:start w:val="1"/>
    </w:lvl>
  </w:abstractNum>
  <w:abstractNum w:abstractNumId="11">
    <w:nsid w:val="5577F8E1"/>
    <w:multiLevelType w:val="hybridMultilevel"/>
    <w:lvl w:ilvl="0">
      <w:lvlJc w:val="left"/>
      <w:lvlText w:val="(%1)"/>
      <w:numFmt w:val="decimal"/>
      <w:start w:val="1"/>
    </w:lvl>
  </w:abstractNum>
  <w:abstractNum w:abstractNumId="12">
    <w:nsid w:val="440BADFC"/>
    <w:multiLevelType w:val="hybridMultilevel"/>
    <w:lvl w:ilvl="0">
      <w:lvlJc w:val="left"/>
      <w:lvlText w:val="%1."/>
      <w:numFmt w:val="decimal"/>
      <w:start w:val="6"/>
    </w:lvl>
    <w:lvl w:ilvl="1">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1"/>
      <w:numFmt w:val="decimal"/>
      <w:start w:val="104"/>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lvl w:ilvl="1">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01" Type="http://schemas.openxmlformats.org/officeDocument/2006/relationships/hyperlink" Target="http://www.sec.gov/Archives/edgar/data/0001501989/000119312515347080/d78795dex31.htm" TargetMode="External"/><Relationship Id="rId102" Type="http://schemas.openxmlformats.org/officeDocument/2006/relationships/hyperlink" Target="http://www.sec.gov/Archives/edgar/data/1501989/000119312520176532/d920733dex31.htm" TargetMode="External"/><Relationship Id="rId103" Type="http://schemas.openxmlformats.org/officeDocument/2006/relationships/hyperlink" Target="http://www.sec.gov/Archives/edgar/data/0001501989/000119312515347080/d78795dex32.htm" TargetMode="External"/><Relationship Id="rId104" Type="http://schemas.openxmlformats.org/officeDocument/2006/relationships/hyperlink" Target="http://www.sec.gov/Archives/edgar/data/0001501989/000119312515329662/d948537dex41.htm" TargetMode="External"/><Relationship Id="rId105" Type="http://schemas.openxmlformats.org/officeDocument/2006/relationships/hyperlink" Target="http://www.sec.gov/Archives/edgar/data/0001501989/000119312515307013/d948537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2020-08-06T15:41:30Z</dcterms:created>
  <dcterms:modified xsi:type="dcterms:W3CDTF">2020-08-06T15:41:30Z</dcterms:modified>
</cp:coreProperties>
</file>