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tmx-20260331.htm"/>
      <w:bookmarkStart w:id="1" w:name="ksctmx202603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 to _</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001-37587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CytomX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 Suite 400</w:t>
            </w:r>
          </w:p>
          <w:p>
            <w:pPr>
              <w:pStyle w:val="TableContents"/>
              <w:bidi w:val="0"/>
              <w:jc w:val="center"/>
              <w:rPr>
                <w:rFonts w:ascii="Times New Roman" w:hAnsi="Times New Roman"/>
                <w:b/>
                <w:color w:val="000000"/>
                <w:sz w:val="20"/>
              </w:rPr>
            </w:pPr>
            <w:r>
              <w:rPr>
                <w:rFonts w:ascii="Times New Roman" w:hAnsi="Times New Roman"/>
                <w:b/>
                <w:color w:val="000000"/>
                <w:sz w:val="20"/>
              </w:rPr>
              <w:t>South San Francisco, CA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(650) 515-3185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rFonts w:ascii="Times New Roman" w:hAnsi="Times New Roman"/>
          <w:b/>
          <w:color w:val="000000"/>
          <w:sz w:val="16"/>
        </w:rPr>
      </w:pPr>
      <w:r>
        <w:rPr>
          <w:rFonts w:ascii="Times New Roman" w:hAnsi="Times New Roman"/>
          <w:b/>
          <w:color w:val="000000"/>
          <w:sz w:val="16"/>
        </w:rPr>
        <w:t>__________________________________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55" w:type="dxa"/>
        <w:jc w:val="left"/>
        <w:tblInd w:w="0" w:type="dxa"/>
        <w:tblLayout w:type="fixed"/>
        <w:tblCellMar>
          <w:top w:w="28" w:type="dxa"/>
          <w:left w:w="28" w:type="dxa"/>
          <w:bottom w:w="28" w:type="dxa"/>
          <w:right w:w="28" w:type="dxa"/>
        </w:tblCellMar>
      </w:tblPr>
      <w:tblGrid>
        <w:gridCol w:w="3421"/>
        <w:gridCol w:w="146"/>
        <w:gridCol w:w="1561"/>
        <w:gridCol w:w="146"/>
        <w:gridCol w:w="348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Stock, $0.00001 par value per share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CTMX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2026, the registrant had 217,702,919 shares of common stock, $0.00001 par value per share, outstanding. This number does not include 1,179,245 shares of common stock issuable upon the exercise of pre-funded warrants outstanding as of April 30, 2026 (which are immediately exercisable at an exercise price of $0.00001 per share of common stock, subject to beneficial ownership limitations) sold in the registrant’s underwritten public offering in March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 ENDED MARCH 31,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811"/>
        <w:gridCol w:w="146"/>
        <w:gridCol w:w="73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Income</w:t>
              </w:r>
            </w:hyperlink>
            <w:r>
              <w:rPr>
                <w:rFonts w:ascii="Times New Roman" w:hAnsi="Times New Roman"/>
                <w:color w:val="0000FF"/>
                <w:sz w:val="20"/>
              </w:rPr>
              <w:t>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atements_stockholders_equity">
              <w:r>
                <w:rPr>
                  <w:rStyle w:val="InternetLink"/>
                  <w:rFonts w:ascii="Times New Roman" w:hAnsi="Times New Roman"/>
                  <w:color w:val="0000FF"/>
                  <w:sz w:val="20"/>
                  <w:u w:val="single"/>
                </w:rPr>
                <w:t>Condensed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our expectations regarding the potential benefits, activity, effectiveness and safety of our product candidates and therapeutics developed utilizing our PROBODY</w:t>
      </w:r>
      <w:r>
        <w:rPr>
          <w:rFonts w:ascii="Times New Roman" w:hAnsi="Times New Roman"/>
          <w:color w:val="000000"/>
          <w:sz w:val="13"/>
        </w:rPr>
        <w:t>®</w:t>
      </w:r>
      <w:r>
        <w:rPr>
          <w:color w:val="000000"/>
        </w:rPr>
        <w:t xml:space="preserve"> </w:t>
      </w:r>
      <w:r>
        <w:rPr>
          <w:rFonts w:ascii="Times New Roman" w:hAnsi="Times New Roman"/>
          <w:color w:val="000000"/>
          <w:sz w:val="20"/>
        </w:rPr>
        <w:t>conditionally activated platform technology;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of the completion of our ongoing clinical trials and the timing and availability of clinical data from such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identify and develop additional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dependence on collaborators for developing, obtaining regulatory approval for and commercializing product candidates in the collaboration;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 collaborator’s ability to obtain and maintain regulatory approval of any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receipt and timing of any milestone payments or royalties under any research collaboration and license agreements or arrangements;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and beliefs regarding the evolution of the market and competitive landscape for cancer therapies and development of the oncology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rate and degree of market acceptance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commercialization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establish and maintain collaborations and retain commercial rights for our product candidates in such collaborations;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estimates of our expenses, ongoing losses, future revenue and capital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funds for our operations;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 parties to conduct our preclinical studies or any future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third-party supply and manufacturing partners to supply the materials and components for, and manufacture, our research and development, preclinical and clinical trial product supplies, including third parties in Europe and China;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qualified key management and technical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secure and maintain licenses of intellectual property to protect our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developments relating to our competitors, our industry, international conflict or uncertainties;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in this Quarterly Report on Form 10-Q, “we,” “us,” “our” and the “Company” refer to CytomX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includes trademarks, service marks and trade names owned by us or other companies. All trademarks, service marks and trade names included in this Quarterly Report on Form 10-Q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2" w:name="condensed_financial_statements"/>
      <w:bookmarkEnd w:id="2"/>
      <w:r>
        <w:rPr>
          <w:rFonts w:ascii="Times New Roman" w:hAnsi="Times New Roman"/>
          <w:b/>
          <w:color w:val="000000"/>
          <w:sz w:val="20"/>
        </w:rPr>
        <w:t>Item 1. Condensed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3" w:name="condensed_balance_sheets"/>
      <w:bookmarkEnd w:id="3"/>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6872" w:type="dxa"/>
        <w:jc w:val="left"/>
        <w:tblInd w:w="0" w:type="dxa"/>
        <w:tblLayout w:type="fixed"/>
        <w:tblCellMar>
          <w:top w:w="28" w:type="dxa"/>
          <w:left w:w="28" w:type="dxa"/>
          <w:bottom w:w="28" w:type="dxa"/>
          <w:right w:w="28" w:type="dxa"/>
        </w:tblCellMar>
      </w:tblPr>
      <w:tblGrid>
        <w:gridCol w:w="3786"/>
        <w:gridCol w:w="146"/>
        <w:gridCol w:w="211"/>
        <w:gridCol w:w="931"/>
        <w:gridCol w:w="166"/>
        <w:gridCol w:w="146"/>
        <w:gridCol w:w="219"/>
        <w:gridCol w:w="876"/>
        <w:gridCol w:w="39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condensed balance sheet as of December 31, 2025 was derived from the audited financial statements included in the Company's Annual Report on Form 10-K for the year ended December 31, 2025.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statements_operations_comprehe"/>
      <w:bookmarkEnd w:id="4"/>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209" w:type="dxa"/>
        <w:jc w:val="left"/>
        <w:tblInd w:w="0" w:type="dxa"/>
        <w:tblLayout w:type="fixed"/>
        <w:tblCellMar>
          <w:top w:w="28" w:type="dxa"/>
          <w:left w:w="28" w:type="dxa"/>
          <w:bottom w:w="28" w:type="dxa"/>
          <w:right w:w="28" w:type="dxa"/>
        </w:tblCellMar>
      </w:tblPr>
      <w:tblGrid>
        <w:gridCol w:w="4561"/>
        <w:gridCol w:w="146"/>
        <w:gridCol w:w="211"/>
        <w:gridCol w:w="1141"/>
        <w:gridCol w:w="166"/>
        <w:gridCol w:w="146"/>
        <w:gridCol w:w="211"/>
        <w:gridCol w:w="1036"/>
        <w:gridCol w:w="5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87,121,502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87,150,666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5" w:name="statements_stockholders_equity"/>
      <w:bookmarkEnd w:id="5"/>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2"/>
        <w:gridCol w:w="146"/>
        <w:gridCol w:w="1141"/>
        <w:gridCol w:w="146"/>
        <w:gridCol w:w="261"/>
        <w:gridCol w:w="430"/>
        <w:gridCol w:w="146"/>
        <w:gridCol w:w="211"/>
        <w:gridCol w:w="931"/>
        <w:gridCol w:w="146"/>
        <w:gridCol w:w="404"/>
        <w:gridCol w:w="812"/>
        <w:gridCol w:w="166"/>
        <w:gridCol w:w="211"/>
        <w:gridCol w:w="841"/>
        <w:gridCol w:w="166"/>
        <w:gridCol w:w="232"/>
        <w:gridCol w:w="861"/>
        <w:gridCol w:w="212"/>
      </w:tblGrid>
      <w:tr>
        <w:trPr/>
        <w:tc>
          <w:tcPr>
            <w:tcW w:w="2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170,186,365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follow on offering,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45,990,567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pre-funded warrants in follow on offering,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217,693,878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319,944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80,621,293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93" w:type="dxa"/>
            <w:gridSpan w:val="1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sz w:val="20"/>
        </w:rPr>
      </w:pPr>
      <w:bookmarkStart w:id="6" w:name="condensed_statements_cash_flows"/>
      <w:bookmarkEnd w:id="6"/>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719" w:type="dxa"/>
        <w:jc w:val="left"/>
        <w:tblInd w:w="0" w:type="dxa"/>
        <w:tblLayout w:type="fixed"/>
        <w:tblCellMar>
          <w:top w:w="28" w:type="dxa"/>
          <w:left w:w="28" w:type="dxa"/>
          <w:bottom w:w="28" w:type="dxa"/>
          <w:right w:w="28" w:type="dxa"/>
        </w:tblCellMar>
      </w:tblPr>
      <w:tblGrid>
        <w:gridCol w:w="5646"/>
        <w:gridCol w:w="146"/>
        <w:gridCol w:w="196"/>
        <w:gridCol w:w="751"/>
        <w:gridCol w:w="166"/>
        <w:gridCol w:w="146"/>
        <w:gridCol w:w="196"/>
        <w:gridCol w:w="661"/>
        <w:gridCol w:w="81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discounts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liabilities and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net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pre-funded warrants, net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48,632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issuance costs included in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7" w:name="notes_to_condensed_financial_statements"/>
      <w:bookmarkEnd w:id="7"/>
      <w:r>
        <w:rPr>
          <w:rFonts w:ascii="Times New Roman" w:hAnsi="Times New Roman"/>
          <w:b/>
          <w:color w:val="000000"/>
          <w:sz w:val="20"/>
        </w:rPr>
        <w:t>1. Description of the Business</w:t>
      </w:r>
    </w:p>
    <w:p>
      <w:pPr>
        <w:pStyle w:val="TextBody"/>
        <w:bidi w:val="0"/>
        <w:spacing w:before="120" w:after="283"/>
        <w:jc w:val="left"/>
        <w:rPr>
          <w:rFonts w:ascii="Times New Roman" w:hAnsi="Times New Roman"/>
          <w:sz w:val="20"/>
        </w:rPr>
      </w:pPr>
      <w:r>
        <w:rPr>
          <w:rFonts w:ascii="Times New Roman" w:hAnsi="Times New Roman"/>
          <w:color w:val="000000"/>
          <w:sz w:val="20"/>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w:t>
      </w:r>
      <w:r>
        <w:rPr>
          <w:rFonts w:ascii="Times New Roman" w:hAnsi="Times New Roman"/>
          <w:color w:val="000000"/>
          <w:sz w:val="13"/>
        </w:rPr>
        <w:t>®</w:t>
      </w:r>
      <w:r>
        <w:rPr>
          <w:rFonts w:ascii="Times New Roman" w:hAnsi="Times New Roman"/>
          <w:color w:val="000000"/>
          <w:sz w:val="20"/>
        </w:rPr>
        <w:t xml:space="preserve"> therapeutic technology platform that could meaningfully improve outcomes for cancer patients. Its proprietary and unique PROBODY technology platform is designed to enable “conditional activation” of masked drug candidates in the tumor microenvironment across multiple therapeutic modalities. The Company is located in South San Francisco, California and was incorporated in the state of Delaware in September 2010.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results of operations for this interim period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2025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Significant Accounting Policie</w:t>
      </w:r>
      <w:r>
        <w:rPr>
          <w:rFonts w:ascii="Times New Roman" w:hAnsi="Times New Roman"/>
          <w:b/>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significant accounting policies this interim period as compared to the significant accounting policies disclosed in “Note 2. Basis of Presentation and Summary of Significant Accounting Policies” of the “Notes to Financial Statements” included in Part II, Item 8 of our 2025 Annual Report on Form 10-K for the year ended December 31, 2025 filed with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Financial Accounting Standards Board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for estimating expected credit losses on current accounts receivable and current contract assets arising from transactions accounted for under ASC 606. The Company adopted ASU 2025-05 during the interim period ended March 31, 2026 on a prospective basis and elected to apply the practical expedient to its current accounts receivable. Under this expedient, the Company assumes that current economic conditions as of the balance sheet date remain unchanged for the remaining contractual life of these receivables. The adoption of ASU 2025-05 did not have a material impact on the Company's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the FASB issued Accounting Standards Update (“ASU”) 2024-03, Disaggregation of Income Statement Expenses (“ASU 2024-03”), which enhances transparency in income statement disclosures. ASU 2024-03 requires entities to disclose detailed information about specific components of income statement expenses, such as employee compensation, depreciation, and amortization, as well as other significant expense categories. The objective is to provide financial statement users with greater insight into the nature and variability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expenses, improving their ability to analyze financial performance and make informed decisions. ASU 2024-03 is effective for the annual reporting periods beginning after December 15, 2026 and for interim periods within annual reporting periods beginning after December 15, 2027 with early adoption permitted. The Company expects to adopt this ASU during the year ended December 31, 2027 on a prospective basis and is currently evaluating the impact on its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(loss) per share is calculated by dividing the net income (loss) attributable to common stockholders by the weighted-average number of shares of common stock outstanding for the period. Diluted net income (loss) per share is calculated by using the weighted-average number of shares of common stock outstanding, plus potential dilutive common stock during the period. Diluted net loss per share is the same as basic net loss per share in the period when the effect of the potentially dilutive securities is anti-dilutive. The pre-funded warrants have been included in both the basic and diluted EPS calculation.</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calculation of basic and diluted net income per share:</w:t>
      </w:r>
    </w:p>
    <w:tbl>
      <w:tblPr>
        <w:tblW w:w="10205" w:type="dxa"/>
        <w:jc w:val="left"/>
        <w:tblInd w:w="0" w:type="dxa"/>
        <w:tblLayout w:type="fixed"/>
        <w:tblCellMar>
          <w:top w:w="28" w:type="dxa"/>
          <w:left w:w="28" w:type="dxa"/>
          <w:bottom w:w="28" w:type="dxa"/>
          <w:right w:w="28" w:type="dxa"/>
        </w:tblCellMar>
      </w:tblPr>
      <w:tblGrid>
        <w:gridCol w:w="6205"/>
        <w:gridCol w:w="146"/>
        <w:gridCol w:w="243"/>
        <w:gridCol w:w="1318"/>
        <w:gridCol w:w="191"/>
        <w:gridCol w:w="168"/>
        <w:gridCol w:w="243"/>
        <w:gridCol w:w="1196"/>
        <w:gridCol w:w="495"/>
      </w:tblGrid>
      <w:tr>
        <w:trPr/>
        <w:tc>
          <w:tcPr>
            <w:tcW w:w="6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177,102,665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80,198,376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6,923,126</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177,273,000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87,121,502</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87,121,502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 ESPP &amp;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177,273,000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87,150,666</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outstanding shares of potentially dilutive securities are excluded from the computation of diluted net income (loss) per share for the periods presented, because including them would have been anti-dilutive:</w:t>
      </w:r>
    </w:p>
    <w:tbl>
      <w:tblPr>
        <w:tblW w:w="6889" w:type="dxa"/>
        <w:jc w:val="left"/>
        <w:tblInd w:w="0" w:type="dxa"/>
        <w:tblLayout w:type="fixed"/>
        <w:tblCellMar>
          <w:top w:w="28" w:type="dxa"/>
          <w:left w:w="28" w:type="dxa"/>
          <w:bottom w:w="28" w:type="dxa"/>
          <w:right w:w="28" w:type="dxa"/>
        </w:tblCellMar>
      </w:tblPr>
      <w:tblGrid>
        <w:gridCol w:w="3796"/>
        <w:gridCol w:w="146"/>
        <w:gridCol w:w="146"/>
        <w:gridCol w:w="1036"/>
        <w:gridCol w:w="146"/>
        <w:gridCol w:w="146"/>
        <w:gridCol w:w="146"/>
        <w:gridCol w:w="1036"/>
        <w:gridCol w:w="2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ESPP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18,209,834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16,024,352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2,761,967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27,338,529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30,324,781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III: Unobservable inputs that are supported by little or no market activity and that are significant to the fair value of the assets or liabilities.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including restricted cash, accounts receivable, accounts payable and accrued liabilities, approximate fair value due to their relatively short maturities. The Company’s financial instruments are comprised of Level I and Level II assets, consisting primarily of highly liquid money market funds which are included in cash equivalents and restricted cash, and U.S. Treasury securities which are included in short-term investments. The Company's U.S. Treasury securities are classified as Level II marketable securities and are valued using third-party pricing sources, which can include observable market prices, interest rates and yield curves observable at commonly quoted intervals for similar assets as observable inputs for pricing.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set forth the fair value of the Company’s investments subject to fair value measurements on a recurring basis and the level of inputs used in such measurements:</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3266"/>
        <w:gridCol w:w="856"/>
        <w:gridCol w:w="146"/>
        <w:gridCol w:w="211"/>
        <w:gridCol w:w="781"/>
        <w:gridCol w:w="146"/>
        <w:gridCol w:w="146"/>
        <w:gridCol w:w="295"/>
        <w:gridCol w:w="591"/>
        <w:gridCol w:w="146"/>
        <w:gridCol w:w="146"/>
        <w:gridCol w:w="211"/>
        <w:gridCol w:w="781"/>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159" w:type="dxa"/>
        <w:jc w:val="left"/>
        <w:tblInd w:w="0" w:type="dxa"/>
        <w:tblLayout w:type="fixed"/>
        <w:tblCellMar>
          <w:top w:w="28" w:type="dxa"/>
          <w:left w:w="28" w:type="dxa"/>
          <w:bottom w:w="28" w:type="dxa"/>
          <w:right w:w="28" w:type="dxa"/>
        </w:tblCellMar>
      </w:tblPr>
      <w:tblGrid>
        <w:gridCol w:w="3166"/>
        <w:gridCol w:w="346"/>
        <w:gridCol w:w="856"/>
        <w:gridCol w:w="146"/>
        <w:gridCol w:w="211"/>
        <w:gridCol w:w="781"/>
        <w:gridCol w:w="146"/>
        <w:gridCol w:w="146"/>
        <w:gridCol w:w="295"/>
        <w:gridCol w:w="591"/>
        <w:gridCol w:w="146"/>
        <w:gridCol w:w="146"/>
        <w:gridCol w:w="211"/>
        <w:gridCol w:w="78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interest receivable of $1.5 million and $0.5 million, respectively, primarily related to short- term investments are included in prepaid expenses and other current assets.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March 31, 2026, the remaining contractual terms of the U.S. Treasury securities are less than a year. Based on the scheduled maturities of our marketable securities, the Company determined that it was more likely than not that it will hold these marketable securities to maturity for a recovery of our cost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tbl>
      <w:tblPr>
        <w:tblW w:w="555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60"/>
        <w:gridCol w:w="835"/>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revenue by collaboration partner:</w:t>
      </w:r>
    </w:p>
    <w:p>
      <w:pPr>
        <w:pStyle w:val="TextBody"/>
        <w:bidi w:val="0"/>
        <w:jc w:val="left"/>
        <w:rPr/>
      </w:pPr>
      <w:r>
        <w:rPr/>
        <w:t> </w:t>
      </w:r>
    </w:p>
    <w:tbl>
      <w:tblPr>
        <w:tblW w:w="4864" w:type="dxa"/>
        <w:jc w:val="left"/>
        <w:tblInd w:w="0" w:type="dxa"/>
        <w:tblLayout w:type="fixed"/>
        <w:tblCellMar>
          <w:top w:w="28" w:type="dxa"/>
          <w:left w:w="28" w:type="dxa"/>
          <w:bottom w:w="28" w:type="dxa"/>
          <w:right w:w="28" w:type="dxa"/>
        </w:tblCellMar>
      </w:tblPr>
      <w:tblGrid>
        <w:gridCol w:w="2061"/>
        <w:gridCol w:w="346"/>
        <w:gridCol w:w="211"/>
        <w:gridCol w:w="676"/>
        <w:gridCol w:w="146"/>
        <w:gridCol w:w="1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Amgen,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Amgen Agreement, as amended, the Company and Amgen were co-developing a conditionally activated T-cell engager (“TCE”) targeting epidermal growth factor receptor (the “EGFR Products”). The Company was responsible for early-stage development of EGFR Products and Amgen was to be responsible for late-stage development and commercialization of EGFR Products. Amgen had the right to select a total of up to three targets, including the two additional targets. The Company and Amgen collaborated in the research and development of conditionally activated T-cell engaging bispecifics therapies directed against such targets. Amgen had selected one such target (the “Amgen Other Product”). Except with respect to preclinical activities to be conducted by CytomX, Amgen would have been responsible, at its expense, for the development, manufacture, and commercialization of all Amgen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the IND for the EGFR Products (“CX-904”) was allowed to proceed by the U.S. Food and Drug Administration (“FDA”) and the program progressed into Phase 1 dose escalation. In March 2025, CytomX and Amgen jointly decided to not continue CX-904 development and Amgen terminated its license to the EGFR Products. As a result, all of the remaining deferred revenue of the EGFR Products was recognized in the first quarter of 2025 due to Amgen terminating its license to the EGFR Products effective May 2025. In April 2025, the Amgen Other Product was also terminated with 60 days written notice pursuant to the Amgen Agreement. The Amgen research collaboration remains in effect with the current scope being the preclinical TCE that CytomX selected from Amgen’s preclinical pipeline further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initiation of the collaboration, CytomX had the option to select from programs specified in the Amgen Agreement, an existing preclinical stage TCE product from the Amgen preclinical pipeline. In March 2018, CytomX selected the program and this program, CX-908, a PROBODY T cell engager targeting CDH3 and CD3,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had completed its performance obligations related to the EGFR Products and the Amgen Other Products and recognized all deferred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Astellas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 </w:t>
      </w:r>
    </w:p>
    <w:p>
      <w:pPr>
        <w:pStyle w:val="TextBody"/>
        <w:bidi w:val="0"/>
        <w:spacing w:before="120" w:after="283"/>
        <w:jc w:val="left"/>
        <w:rPr>
          <w:rFonts w:ascii="Times New Roman" w:hAnsi="Times New Roman"/>
          <w:sz w:val="20"/>
        </w:rPr>
      </w:pPr>
      <w:r>
        <w:rPr>
          <w:rFonts w:ascii="Times New Roman" w:hAnsi="Times New Roman"/>
          <w:color w:val="000000"/>
          <w:sz w:val="20"/>
        </w:rPr>
        <w:t>Under the terms of the Astellas Agreement, the Company granted Astellas an exclusive, worldwide right to develop and commercialize PROBODY therapeutics for up to four collaboration targets</w:t>
      </w:r>
      <w:r>
        <w:rPr>
          <w:rFonts w:ascii="Times New Roman" w:hAnsi="Times New Roman"/>
          <w:strike/>
          <w:color w:val="000000"/>
          <w:sz w:val="20"/>
        </w:rPr>
        <w:t xml:space="preserve"> </w:t>
      </w:r>
      <w:r>
        <w:rPr>
          <w:rFonts w:ascii="Times New Roman" w:hAnsi="Times New Roman"/>
          <w:color w:val="000000"/>
          <w:sz w:val="20"/>
        </w:rPr>
        <w:t>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had the option to elect to participate in certain development costs and share in the profits generated in the United States with respect to such product (“Cost Share Option”). The Cost Share Option, if exercised, also provided the option for the Company to co-commercialize such product in the United States. The Company had not considered the Cost Share Option as a performance obligation at the inception of the agreement as participation is at the Company’s discretion.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Astellas Agreement, the consideration from Astellas was comprised of an upfront fee of $80.0 million and total potential contingent payments for development, regulatory and sales milestones of up to an aggregate of approximately $1.2 billion. The Company was also entitled to tiered royalties from high-single digit to mid-teen percentage royalties from potential future sales. Astellas was responsible for all preclinical research costs incurred by either party as set forth in the preclinical research plan and the Company was entitled to receive research and development service fees based on a prescribed full-time employee ("FTE") rate.</w:t>
      </w:r>
    </w:p>
    <w:p>
      <w:pPr>
        <w:pStyle w:val="TextBody"/>
        <w:bidi w:val="0"/>
        <w:jc w:val="left"/>
        <w:rPr>
          <w:rFonts w:ascii="Times New Roman" w:hAnsi="Times New Roman"/>
          <w:color w:val="000000"/>
          <w:sz w:val="20"/>
        </w:rPr>
      </w:pPr>
      <w:r>
        <w:rPr>
          <w:rFonts w:ascii="Times New Roman" w:hAnsi="Times New Roman"/>
          <w:color w:val="000000"/>
          <w:sz w:val="20"/>
        </w:rPr>
        <w:t>In January 2023, the Company achieved a clinical candidate milestone for the first collaboration target nomination under the Astellas Agreement which triggered a $5.0 million milestone payment to the Company which was fully recognized in the first quarter of 2023 as the Company had completed its related performance obligation. In March 2024, the Company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this first collaboration target. Also, in March 2024, the Company achieved a clinical candidate milestone for a second collaboration target nomination under the Astellas Agreement which triggered an additional $5.0 million milestone payment to the Company. The $5.0 million milestone payment for this second nomination was fully recognized in the first quarter of 2024 as the Company had completed its related performance obligation. In the first quarter of 2025, Astellas initiated GLP toxicology studies for the second collaboration target, triggering a $5.0 million milestone payment to CytomX. The $5.0 million milestone payment was fully recognized in the first quarter of 2025 as the Company had completed its related performance obligation of this second collaboration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Astellas chose not to advance the remaining preclinical programs and terminated the Astellas Agreement effective May 12, 2026, which is expected to result in the completion of the Company's performance obligation and recognition of the remaining deferred revenue by the second quarter of 2026. As a result, a cumulative adjustment of $7.1 million of revenue was recognized in the first quarter of 2026, which lowered the loss per share by $0.04 for the three months ended March 31, 2026. As of March 31, 2026 and December 31, 2025, deferred revenue relating to the Astellas Agreement was $47.0 thousand and $8.6 million, respectively. The amount due from Astellas under the Astellas Agreement was $0.4 million as of March 31, 2026 and $0.9 million as of December 31, 2025.</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Bristol 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BMS Agreement, the financial consideration from Bristol Myers Squibb was comprised of an upfront payment of $50.0 million and estimated research and development service fees, and the Company was initially entitled to receive contingent payments of up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$25.0 million for additional targets and contingent payments for development, regulatory and sales milestones as well as royalty payments from potential future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continues to collaborate with Bristol Myers Squibb to discover and conduct preclinical development of PROBODY therapeutics against targets selected by Bristol Myers Squibb over the estimated research period,</w:t>
      </w:r>
      <w:r>
        <w:rPr>
          <w:rFonts w:ascii="Times New Roman" w:hAnsi="Times New Roman"/>
          <w:color w:val="FF0000"/>
          <w:sz w:val="20"/>
        </w:rPr>
        <w:t xml:space="preserve"> </w:t>
      </w:r>
      <w:r>
        <w:rPr>
          <w:rFonts w:ascii="Times New Roman" w:hAnsi="Times New Roman"/>
          <w:color w:val="000000"/>
          <w:sz w:val="20"/>
        </w:rPr>
        <w:t xml:space="preserve">which was projected to end in April 2025. Pursuant to Amendment 2, the Company was eligible to receive contingent payments for development, regulatory and sales milestones as well as royalty payments from potential future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following a Bristol Myers Squibb corporate portfolio prioritization process, Bristol Myers Squibb notified CytomX that it did not intend to continue the development of BMS-986288 beyond the current Phase 2 study and terminated its collaboration license to the CTLA-4 target under the collaboration. BMS-986288 was Bristol Myers Squibb’s leading next generation PROBODY CTLA-4 program that it had previously prioritized over BMS-986249, which was a PROBODY version of ipilimumab.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Bristol Myers Squibb prioritized its pre-clinical research activities under the collaboration and revised the research scope by one collaboration target. The Company determined that it had no further obligations related to the target that was deprioritized and accounted for the reduction of the target as a modification and the related remaining unrecognized transaction price was reallocated to the remaining performance obligations. The Company had received in aggregate $297.0 million in upfront and milestone payments under the agreement. The Company's research efforts on all the ongoing programs were completed in April 2025 upon which the $11.6 million of remaining deferred revenue was fully recognized with Bristol Myers Squibb responsible for further advancement. In May 2026, Bristol Myers Squibb decided to not advance the remaining preclinical programs resulting in a termination of the collaboration.</w:t>
      </w:r>
    </w:p>
    <w:p>
      <w:pPr>
        <w:pStyle w:val="TextBody"/>
        <w:bidi w:val="0"/>
        <w:spacing w:before="360" w:after="283"/>
        <w:jc w:val="left"/>
        <w:rPr>
          <w:rFonts w:ascii="Times New Roman" w:hAnsi="Times New Roman"/>
          <w:sz w:val="20"/>
        </w:rPr>
      </w:pPr>
      <w:r>
        <w:rPr>
          <w:rFonts w:ascii="Times New Roman" w:hAnsi="Times New Roman"/>
          <w:b/>
          <w:i/>
          <w:color w:val="000000"/>
          <w:sz w:val="20"/>
        </w:rPr>
        <w:t>ModernaTX,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Moderna's budget considerations, the Company's remaining activities for its performance obligation are currently paused pending future alignment with Moderna. As of March 31, 2026 and December 31, 2025, deferred revenue relating to the Moderna Agreement was $9.3 million and $9.3 million, respectively. There was no amount due from Moderna under the Moderna Agreement as of March 31,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w:t>
      </w:r>
      <w:r>
        <w:rPr>
          <w:rFonts w:ascii="Times New Roman" w:hAnsi="Times New Roman"/>
          <w:color w:val="000000"/>
          <w:sz w:val="13"/>
        </w:rPr>
        <w:t>®</w:t>
      </w:r>
      <w:r>
        <w:rPr>
          <w:rFonts w:ascii="Times New Roman" w:hAnsi="Times New Roman"/>
          <w:color w:val="000000"/>
          <w:sz w:val="20"/>
        </w:rPr>
        <w:t xml:space="preserve">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and December 31, 2025, deferred revenue relating to the Regeneron Agreement was $9.5 million and $10.5 million, respectively. The amount due from Regeneron under the Regeneron Agreement was $0.2 million and $0.8 million as of March 31, 2026 and December 31, 2025, respectively.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in the Company’s total contract liabilities during the three months ended March 31, 2026 and 2025:</w:t>
      </w:r>
    </w:p>
    <w:p>
      <w:pPr>
        <w:pStyle w:val="TextBody"/>
        <w:bidi w:val="0"/>
        <w:jc w:val="left"/>
        <w:rPr/>
      </w:pPr>
      <w:r>
        <w:rPr/>
        <w:t> </w:t>
      </w:r>
    </w:p>
    <w:tbl>
      <w:tblPr>
        <w:tblW w:w="3392" w:type="dxa"/>
        <w:jc w:val="left"/>
        <w:tblInd w:w="0" w:type="dxa"/>
        <w:tblLayout w:type="fixed"/>
        <w:tblCellMar>
          <w:top w:w="28" w:type="dxa"/>
          <w:left w:w="28" w:type="dxa"/>
          <w:bottom w:w="28" w:type="dxa"/>
          <w:right w:w="28" w:type="dxa"/>
        </w:tblCellMar>
      </w:tblPr>
      <w:tblGrid>
        <w:gridCol w:w="1561"/>
        <w:gridCol w:w="361"/>
        <w:gridCol w:w="1259"/>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2025</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the $18.9 million of deferred revenue related to the following contracts as of March 31, 2026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$9.3</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Moderna Agreement, together with research and development service fees, are expected to be recognized primarily in 2026 and 2027, pending alignment with Moderna's budget considerations.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0"/>
        </w:rPr>
        <w:t>The $9.5</w:t>
      </w:r>
      <w:r>
        <w:rPr>
          <w:rFonts w:ascii="Times New Roman" w:hAnsi="Times New Roman"/>
          <w:color w:val="000000"/>
          <w:sz w:val="24"/>
        </w:rPr>
        <w:t xml:space="preserve"> </w:t>
      </w:r>
      <w:r>
        <w:rPr>
          <w:rFonts w:ascii="Times New Roman" w:hAnsi="Times New Roman"/>
          <w:color w:val="000000"/>
          <w:sz w:val="20"/>
        </w:rPr>
        <w:t>million</w:t>
      </w:r>
      <w:r>
        <w:rPr>
          <w:rFonts w:ascii="Times New Roman" w:hAnsi="Times New Roman"/>
          <w:color w:val="000000"/>
          <w:sz w:val="24"/>
        </w:rPr>
        <w:t xml:space="preserve"> </w:t>
      </w:r>
      <w:r>
        <w:rPr>
          <w:rFonts w:ascii="Times New Roman" w:hAnsi="Times New Roman"/>
          <w:color w:val="000000"/>
          <w:sz w:val="20"/>
        </w:rPr>
        <w:t>of deferred revenue related to the Regeneron Agreement, together with research and development service fees, are expected to be recognized until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License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UCSB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2010, the Company entered into an exclusive, worldwide license agreement with University of California, Santa Barbara (“UCSB”), relating to the use of certain patents and technology, and to patent rights the Company co-owns with UCSB that cover certain conditionally activatable antibodies (the “UCSB Agreement”). Pursuant to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agreed to make an additional annual license maintenance fee of $0.8 million through January 2031. In the event that the Company terminates the agreement due to material concern of the safety or efficacy of the related technology, 50% of all remaining maintenance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will become due immediately. Otherwise, all remaining maintenance fees will become due immediately upon early termination of the agreement unless there is a material breach by UCSB.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2023, the Company incurred $0.2 million of sublicense fees triggered by achieving the clinical candidate milestone under the Astellas Agreement. In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In the first quarter of 2025, the Company incurred $0.2 million of sublicense fees triggered by achieving the GLP toxicology studies milestone for the second clinical candidate which was nominated by Astellas in March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and 2025, the Company incurred sublicense expenses of $0.9 million and $1.1 million, respectively, under the provisions of the UCSB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ImmunoGen (acquired by AbbVie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2024, the Company made a $5.0 million payment of the $35.0 million in potential clinical development milestone payments to AbbVie (formerly ImmunoGen) with respect to achieving the milestone of dosing the first patient for Varseta-M under the ImmunoGen 2019 License Agreement. The remaining $30.0 million of potential development milestone payments under the License Agreement are expected to be triggered by the start of the first Phase 2 study and first Phase 3 study for an EpCAM program (e.g. Varseta-M) in the amounts of $10.0 million and $20.0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Varseta-M, which is currently in Phase 1 development, is covered under the ImmunoGen License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Common Stock</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March 19, 2026, the Company completed an underwritten offering of 45,990,567 shares of common stock at an offering price of $5.30 per share and pre-funded warrants to purchase 1,179,245 shares of common stock (the “Pre-Funded Warrants”) at a price of $5.29999 per share. The Pre-Funded Warrants have an exercise price of $0.00001 per share, subject to adjustments, and are exercisable from the date of issuance until fully exercised, subject to an ownership limitation. The aggregate net proceeds received by the Company from the offering were approximately $234.2 million, after deducting underwriting discounts and commissions of $15.0 million and offering expenses of $0.8 million. In addition, the Company granted the underwriters the option for 30 days to purchase up to an additional 7,075,471 shares of common stock at the public offering price of $5.30 per share. Such option expired unexercised in April 2026.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2025, the Company completed an underwritten public offering of 76,923,076 shares of common stock at a price of $1.30 per share. The aggregate net proceeds received by the Company from the offering were approximately $93.4 million, after deducting underwriting discounts and commissions of $6.0 million and offering expenses of $0.6 million. Longitude Venture Partners V, L.P. (“LVPV”) acquired approximately 11.5 million shares of common stock through the underwritten public offering. Longitude Capital Partners V, LLC (“LCPV”) is a general partner of LVPV. A member of the Company’s board of directors serves as a managing director of LCPV, and therefore, LCPV is considered a related party of the Company. The Company had no other significant related party transactions with LCPV.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Company entered into an agreement with BVF Partners L.P. (“BVF”) for a private placement and received an aggregate net proceeds of approximately $29.7 million in July 2023, after deducting issuance costs of approximately $0.3 million. In the private placement, the Company issued pre-funded warrants to BVF to purchase up to 14,423,077 shares of common stock (the “BVF Pre-Funded Warrants”), accompanying Tranche 1 warrants to purchase up to 5,769,231 shares of common stock and accompanying Tranche 2 warrants to purchase up to 5,769,231 shares of common stock, at a combined price of $2.08 per share. The initial exercise price of the Tranche 1 and Tranche 2 warrants was $4.16 per share and $6.24 per share, respectively. The public offering in May 2025 described above triggered an adjustment provision in the Tranche 1 and Tranche 2 warrants, pursuant to which the exercise prices were reduced to $2.73 and $3.77 per share, respectively. The Tranche 1 warrants expired without being exercised in July 2025 and the Tranche 2 warrants will expire in July 2026. BVF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exercised the BVF Pre-Funded Warrants for 7.5 million shares of common stock in May 2024 and for the remaining 6.9 million shares in May 2025, in each case at an exercise price of $0.00001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outstanding warrants as of March 31, 2026:</w:t>
      </w:r>
    </w:p>
    <w:p>
      <w:pPr>
        <w:pStyle w:val="TextBody"/>
        <w:bidi w:val="0"/>
        <w:jc w:val="left"/>
        <w:rPr/>
      </w:pPr>
      <w:r>
        <w:rPr/>
        <w:t> </w:t>
      </w:r>
    </w:p>
    <w:tbl>
      <w:tblPr>
        <w:tblW w:w="10013" w:type="dxa"/>
        <w:jc w:val="left"/>
        <w:tblInd w:w="0" w:type="dxa"/>
        <w:tblLayout w:type="fixed"/>
        <w:tblCellMar>
          <w:top w:w="28" w:type="dxa"/>
          <w:left w:w="28" w:type="dxa"/>
          <w:bottom w:w="28" w:type="dxa"/>
          <w:right w:w="28" w:type="dxa"/>
        </w:tblCellMar>
      </w:tblPr>
      <w:tblGrid>
        <w:gridCol w:w="2886"/>
        <w:gridCol w:w="246"/>
        <w:gridCol w:w="146"/>
        <w:gridCol w:w="931"/>
        <w:gridCol w:w="246"/>
        <w:gridCol w:w="246"/>
        <w:gridCol w:w="293"/>
        <w:gridCol w:w="1087"/>
        <w:gridCol w:w="246"/>
        <w:gridCol w:w="246"/>
        <w:gridCol w:w="146"/>
        <w:gridCol w:w="931"/>
        <w:gridCol w:w="246"/>
        <w:gridCol w:w="246"/>
        <w:gridCol w:w="430"/>
        <w:gridCol w:w="950"/>
        <w:gridCol w:w="491"/>
      </w:tblGrid>
      <w:tr>
        <w:trPr/>
        <w:tc>
          <w:tcPr>
            <w:tcW w:w="28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Tranche 2 Warrants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in public offering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1,179,245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for the Company’s stock option plans for the three months ended March 31, 2026 were as follows: </w:t>
      </w:r>
    </w:p>
    <w:p>
      <w:pPr>
        <w:pStyle w:val="TextBody"/>
        <w:bidi w:val="0"/>
        <w:jc w:val="left"/>
        <w:rPr/>
      </w:pPr>
      <w:r>
        <w:rPr/>
        <w:t> </w:t>
      </w:r>
    </w:p>
    <w:tbl>
      <w:tblPr>
        <w:tblW w:w="6097" w:type="dxa"/>
        <w:jc w:val="left"/>
        <w:tblInd w:w="0" w:type="dxa"/>
        <w:tblLayout w:type="fixed"/>
        <w:tblCellMar>
          <w:top w:w="28" w:type="dxa"/>
          <w:left w:w="28" w:type="dxa"/>
          <w:bottom w:w="28" w:type="dxa"/>
          <w:right w:w="28" w:type="dxa"/>
        </w:tblCellMar>
      </w:tblPr>
      <w:tblGrid>
        <w:gridCol w:w="2686"/>
        <w:gridCol w:w="146"/>
        <w:gridCol w:w="146"/>
        <w:gridCol w:w="1036"/>
        <w:gridCol w:w="166"/>
        <w:gridCol w:w="146"/>
        <w:gridCol w:w="372"/>
        <w:gridCol w:w="1008"/>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The Company recorded $3.8 million and $1.3 million of stock-based compensation expense related to the stock option plans for the three months ended March 31,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Time-based RSUs ("TRSU")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for the Company’s TRSUs for the three months ended March 31, 2026 were as follows:</w:t>
      </w:r>
    </w:p>
    <w:tbl>
      <w:tblPr>
        <w:tblW w:w="9187" w:type="dxa"/>
        <w:jc w:val="left"/>
        <w:tblInd w:w="0" w:type="dxa"/>
        <w:tblLayout w:type="fixed"/>
        <w:tblCellMar>
          <w:top w:w="28" w:type="dxa"/>
          <w:left w:w="28" w:type="dxa"/>
          <w:bottom w:w="28" w:type="dxa"/>
          <w:right w:w="28" w:type="dxa"/>
        </w:tblCellMar>
      </w:tblPr>
      <w:tblGrid>
        <w:gridCol w:w="2686"/>
        <w:gridCol w:w="146"/>
        <w:gridCol w:w="146"/>
        <w:gridCol w:w="991"/>
        <w:gridCol w:w="166"/>
        <w:gridCol w:w="146"/>
        <w:gridCol w:w="1405"/>
        <w:gridCol w:w="3110"/>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$0.9 million and $0.2 million of stock-based compensation expense related to the TRSUs for the three months ended March 31, 2026 and 2025,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RSUs ("PSUs")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2024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granted 810,000 PSUs to executive employees with an aggregate grant date fair value of approximately $1.3 million. Vesting for 50% of the PSUs granted would occur upon attaining specified milestones by December 2025 (“2024-Tranche-1 PSUs”), and the remaining 50% will vest upon attaining specified milestones by December 2026 (“2024-Tranche-2 PSUs”). The 2024-Tranche-1 PSUs were canceled as the related performance condition was not met by December 2025. As of March 31, 2026, the Company determined that it is not probable that the performance conditions will be satisfied for 2024-Tranche-2 PSUs and hence no compensation cost was recorded for these awards through March 31,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2025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and February 2026, the Company granted a total of 463,350 PSUs to executive employees with an aggregate grant date fair value of approximately $1.5 million. Vesting for one-third of the PSUs granted will occur upon attaining a specified milestone (“2025-Tranche-1 PSUs”), vesting for one-third of the PSUs granted will occur upon attaining a specified milestone (“2025-Tranche-2 PSUs”) on June 30, 2027 or later, and the remaining one-third will vest upon attaining a specified milestone on June 30, 2028 or later (“2025-Tranche-3 PSUs”). As of March 31, 2026, the Company determined that it is not probable that the performance conditions will be satisfied for any of these tranches and hence no compensation cost was recorded for these awards through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Activities for the Company’s PSUs for the three months ended March 31, 2026, were as follows:</w:t>
      </w:r>
    </w:p>
    <w:p>
      <w:pPr>
        <w:pStyle w:val="TextBody"/>
        <w:bidi w:val="0"/>
        <w:jc w:val="left"/>
        <w:rPr/>
      </w:pPr>
      <w:r>
        <w:rPr/>
        <w:t> </w:t>
      </w:r>
    </w:p>
    <w:tbl>
      <w:tblPr>
        <w:tblW w:w="9035" w:type="dxa"/>
        <w:jc w:val="left"/>
        <w:tblInd w:w="0" w:type="dxa"/>
        <w:tblLayout w:type="fixed"/>
        <w:tblCellMar>
          <w:top w:w="28" w:type="dxa"/>
          <w:left w:w="28" w:type="dxa"/>
          <w:bottom w:w="28" w:type="dxa"/>
          <w:right w:w="28" w:type="dxa"/>
        </w:tblCellMar>
      </w:tblPr>
      <w:tblGrid>
        <w:gridCol w:w="2686"/>
        <w:gridCol w:w="146"/>
        <w:gridCol w:w="158"/>
        <w:gridCol w:w="847"/>
        <w:gridCol w:w="146"/>
        <w:gridCol w:w="146"/>
        <w:gridCol w:w="1405"/>
        <w:gridCol w:w="3110"/>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stock-based compensation recorded was as follows:</w:t>
      </w:r>
    </w:p>
    <w:tbl>
      <w:tblPr>
        <w:tblW w:w="6462" w:type="dxa"/>
        <w:jc w:val="left"/>
        <w:tblInd w:w="0" w:type="dxa"/>
        <w:tblLayout w:type="fixed"/>
        <w:tblCellMar>
          <w:top w:w="28" w:type="dxa"/>
          <w:left w:w="28" w:type="dxa"/>
          <w:bottom w:w="28" w:type="dxa"/>
          <w:right w:w="28" w:type="dxa"/>
        </w:tblCellMar>
      </w:tblPr>
      <w:tblGrid>
        <w:gridCol w:w="3851"/>
        <w:gridCol w:w="146"/>
        <w:gridCol w:w="213"/>
        <w:gridCol w:w="577"/>
        <w:gridCol w:w="147"/>
        <w:gridCol w:w="147"/>
        <w:gridCol w:w="213"/>
        <w:gridCol w:w="577"/>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in connection with the extension of consulting arrangements for two former executives, the Company extended the vesting period of unvested options and awards and the exercisable period of vested options, as permitted under the Company's equity incentive plans. As a result, the Company recognized the full amount of the incremental stock-based compensation expense of approximately $2.5 million in the first quarter of 2026.</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maintains a full valuation allowance against its net deferred tax assets through March 31, 2026</w:t>
      </w:r>
      <w:r>
        <w:rPr>
          <w:rFonts w:ascii="Times New Roman" w:hAnsi="Times New Roman"/>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$4.4 million in long term liabilities for the proposed tax assessment, penalties and interest through March 31, 2026. Additional utilization of carryforward attributes and indirect federal tax effects of the assessment would result in a reduction in deferred tax assets of $5.0 million. The Company filed a protest to contest the proposed assessment in November 2023. Due to the ongoing nature of the examination and discussions with the state of California, the Company is unable to estimate a date by which this matter will be resolved.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(loss) that is reported on the Statements of Operations and Comprehensive Income (Loss). Net income (loss) is used to monitor budget versus actual results in assessing performance of the segment and in establishing management's compensation. The measure of segment assets is reported on the Balance Sheets as total assets. All of the Company’s long-lived assets are located in the United States. In addition to the revenue by collaborative partners disclosed in Note 6, the CODM reviews the following significant expenses in making decisions about the allocation of resources and assessing performance (in thousands):</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4641"/>
        <w:gridCol w:w="146"/>
        <w:gridCol w:w="211"/>
        <w:gridCol w:w="736"/>
        <w:gridCol w:w="166"/>
        <w:gridCol w:w="146"/>
        <w:gridCol w:w="211"/>
        <w:gridCol w:w="676"/>
        <w:gridCol w:w="5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costs incurred by product candidate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Varseta-M (EpCAM)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wholly owned and partnered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2025, the Company announced a restructuring plan to streamline its organization and prioritize Varseta-M (EpCAM PROBODY ADC), CX-801 and its activities to support its research collaborations. This plan resulted in a reduction of approximately 40% of its workforce and was substantially completed in the first quarter of 2025. The Company incurred total restructuring charges of $2.8 million during 2025, primarily related to one-time severance payments and other employee-related costs. This includes $1.7 million of research and development expenses and $1.1 million of general and administrative expenses that were recorded during 2025. The restructuring was completed as of March 31,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managements_discussion_and_analysis"/>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2025, included in our Annual Report on Form 10-K as filed with the U.S. Securities and Exchange Commission (“SEC”) on March 16, 2026.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oncology-focused biopharmaceutical company dedicated to developing innovative therapies to address major unmet need in oncology. We have led the field of conditionally activated, masked biologics through the development of our PROBODY technology platform. This versatile, multi-modality platform is built on a strong foundation of tumor biology expertise, including deep knowledge of tumor-associated enzymes known as proteases. Our masking strategy is designed to reduce binding of biologic therapeutics to their targets until the mask is removed by proteases in the tumor microenvironment, providing more selective targeting of the tumor and optimizing the predicted therapeutic index of our clinical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experience and leadership with the PROBODY platform for over 15 years has led to a highly focused strategy for the application of our technology in product development that has resulted in a current pipeline of novel clinical-stage and pre-clinical stage programs. In identifying and designing potential PROBODY therapeutics, we evaluate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 Drug targets that have been validated previously as having clinical anti-tumor activity, but have been limited in their utility due to expression and toxicity in healthy tissues.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Indication: The significance of the clinical unmet need that may be addressed if the target could be targeted systemically and unlocked through masking.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Effector Mechanism: The PROBODY platform is highly versatile and is being applied to a wide range of modalities including antibody-drug conjugates (“ADCs”), T-cell engagers (“TCEs”), and cytokines. In PROBODY therapeutic design, the goal is to align the selected indication with the most validated drug modality (e.g. ADC, TCE) and cancer cell killing mechanism (e.g. cytotoxic payload) to maximize the potential for clinical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two current clinical programs, varsetatug masetecan (“Varseta-M”) and CX-801 are in Phase 1 clinical development and are examples of our focused program development strategy. We aim to continue to advance our clinical pipeline towards later stage development and ultimately build a commercial enterprise to maximize our impact on the treatment of cancer.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(Varseta-M)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clinical-stage program is Varseta-M, an investigational, conditionally activated antibody-drug conjugate (“ADC”) targeting epithelial cell adhesion molecule (“EpCAM”). Varseta-M is initially focused on the lead indication of colorectal cancer (“CRC”). Varseta-M is designed to bring the promise of ADCs, which have made a meaningful clinical difference in other solid tumors such as lung and breast cancer, to CRC by leveraging EpCAM as a potentially ideal CRC antigen to target this disease. Varseta-M is a high affinity EpCAM antibody that is designed to preferentially bind EpCAM in the tumor microenvironment and minimize toxicities in healthy tissues, which have limited prior attempts in the field to target EpCAM systemically. Varseta-M is armed with a topoisomerase-1 inhibitor payload. Topoisomerase-1 inhibitors are known to have clinical activity in CRC, including irinotecan chemotherapy which is a standard component of the approved standard of care in CRC. </w:t>
      </w:r>
    </w:p>
    <w:p>
      <w:pPr>
        <w:pStyle w:val="TextBody"/>
        <w:bidi w:val="0"/>
        <w:spacing w:before="120" w:after="283"/>
        <w:jc w:val="left"/>
        <w:rPr>
          <w:rFonts w:ascii="Times New Roman" w:hAnsi="Times New Roman"/>
          <w:sz w:val="20"/>
        </w:rPr>
      </w:pPr>
      <w:r>
        <w:rPr>
          <w:rFonts w:ascii="Times New Roman" w:hAnsi="Times New Roman"/>
          <w:color w:val="000000"/>
          <w:sz w:val="20"/>
        </w:rPr>
        <w:t>EpCAM is a high potential oncology target based on its documented high expression in many solid tumors, including CRC where it was first discovered due to its very high and uniform expression. Historically, previous efforts across the drug development landscape to target this antigen systemically have been limited by dose-limiting toxicities. For example, high affinity EpCAM antibodies were limited by pancreatitis and liver toxicities and discontinued. However, EpCAM has been validated as a cancer target, including by the drug KORJUNY</w:t>
      </w:r>
      <w:r>
        <w:rPr>
          <w:rFonts w:ascii="Times New Roman" w:hAnsi="Times New Roman"/>
          <w:color w:val="000000"/>
          <w:sz w:val="13"/>
        </w:rPr>
        <w:t>®</w:t>
      </w:r>
      <w:r>
        <w:rPr>
          <w:rFonts w:ascii="Times New Roman" w:hAnsi="Times New Roman"/>
          <w:color w:val="000000"/>
          <w:sz w:val="20"/>
        </w:rPr>
        <w:t>, which is approved for the treatment of malignant ascites in Europe. KORJUNY</w:t>
      </w:r>
      <w:r>
        <w:rPr>
          <w:rFonts w:ascii="Times New Roman" w:hAnsi="Times New Roman"/>
          <w:color w:val="000000"/>
          <w:sz w:val="13"/>
        </w:rPr>
        <w:t>®</w:t>
      </w:r>
      <w:r>
        <w:rPr>
          <w:rFonts w:ascii="Times New Roman" w:hAnsi="Times New Roman"/>
          <w:color w:val="000000"/>
          <w:sz w:val="20"/>
        </w:rPr>
        <w:t xml:space="preserve">, however, must be given directly into the peritoneum due to systemic toxicity, but its approval provides evidence that local delivery of an EpCAM therapeutic to the tumor can be effective.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Varseta-M payload is a topoisomerase-1 inhibitor licensed from AbbVie (formerly ImmunoGen), tailored to have anti-tumor activity against EpCAM-expressing cancer types. The payload-antibody linker is specifically designed to drive bystander killing of neighboring tumor cells, contributing to robust anti-tumor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 design of Varseta-M seeks to establish, for the first time, a clinically meaningful therapeutic window for the systemic treatment of patients with EpCAM-expressing cancers.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Varseta-M is designed to potentially address a broad range of EpCAM-expressing tumors, but is initially focused in CRC which is one of the largest unmet needs in oncology with over 1.9 million cases diagnosed annually around the world. It is also a disease that is expected to grow and estimated that there will be over 3 million cases globally by 2040. CRC is the second leading cause of cancer death worldwide and has a 5 year survival rate in the metastatic setting of only 13%. CRC is also the leading cause of cancer death in the U.S. for patients under the age of 50 and has been growing in incidence in younger patients over the last 3 decades. </w:t>
      </w:r>
    </w:p>
    <w:p>
      <w:pPr>
        <w:pStyle w:val="TextBody"/>
        <w:bidi w:val="0"/>
        <w:spacing w:before="120" w:after="283"/>
        <w:jc w:val="left"/>
        <w:rPr>
          <w:rFonts w:ascii="Times New Roman" w:hAnsi="Times New Roman"/>
          <w:sz w:val="20"/>
        </w:rPr>
      </w:pPr>
      <w:r>
        <w:rPr>
          <w:rFonts w:ascii="Times New Roman" w:hAnsi="Times New Roman"/>
          <w:color w:val="000000"/>
          <w:sz w:val="20"/>
        </w:rPr>
        <w:t>Varseta-M clinical development is initially being focused on late-line metastatic CRC where there is significant unmet need and treatment options are highly inadequate. In third line or later metastatic CRC, patients have typically progressed through multiple chemotherapy-based regimens. Later stage treatment is limited to therapies that provide single digit percentage response rates, median progression free survival of 2 to 5.6 months and overall survival outcomes ranging from approximately 6 to 11 months. It is estimated that there are more than 35,000 patients in the U.S. with 3</w:t>
      </w:r>
      <w:r>
        <w:rPr>
          <w:rFonts w:ascii="Times New Roman" w:hAnsi="Times New Roman"/>
          <w:color w:val="000000"/>
          <w:sz w:val="13"/>
        </w:rPr>
        <w:t xml:space="preserve">rd </w:t>
      </w:r>
      <w:r>
        <w:rPr>
          <w:rFonts w:ascii="Times New Roman" w:hAnsi="Times New Roman"/>
          <w:color w:val="000000"/>
          <w:sz w:val="20"/>
        </w:rPr>
        <w:t>line or later metastatic CRC, with the number expected to grow over the next decade.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Varseta-M is initially being developed in late-line metastatic CRC, the program was developed with the vision to help a broad population of metastatic CRC patients, including those in the first- and second-line settings. Given Varseta-M’s mechanism of action, our longer-term development vision is to make Varseta-M a core component of the CRC treatment landscape in earlier lines of therapy, consistent with the development strategy that has been employed for other solid tumor ADCs. We plan to pursue combination strategies to progress this vision to move Varseta-M to earlier lines of therapy and initiated a Phase 1 combination study with bevacizumab in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given the broad solid tumor expression profile of EpCAM, Varseta-M has the potential to be an innovative new treatment option in a wide range of solid tumors. High expression of EpCAM has been documented in other tumors such as gastric, gastroesophageal, pancreatic, ovarian, endometrial, non-small cell lung and triple negative breast cancers. We plan to potentially initiate development in indications outside of CRC in the second half of 2026, with the ultimate vision to develop Varseta-M as a pan-tumor therapy. </w:t>
      </w:r>
    </w:p>
    <w:p>
      <w:pPr>
        <w:pStyle w:val="TextBody"/>
        <w:bidi w:val="0"/>
        <w:spacing w:before="120" w:after="283"/>
        <w:jc w:val="left"/>
        <w:rPr>
          <w:rFonts w:ascii="Times New Roman" w:hAnsi="Times New Roman"/>
          <w:sz w:val="20"/>
        </w:rPr>
      </w:pPr>
      <w:r>
        <w:rPr>
          <w:rFonts w:ascii="Times New Roman" w:hAnsi="Times New Roman"/>
          <w:i/>
          <w:color w:val="000000"/>
          <w:sz w:val="20"/>
        </w:rPr>
        <w:t>Varsetatug Masetecan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investigational new drug application (“IND”) for Varseta-M was allowed to proceed by the FDA in January 2024, and a Phase 1 clinical trial in patients with EpCAM-expressing solid tumors, with an initial focus on metastatic CRC, commenced in April 2024. No pre-screening of CRC patients by EpCAM expression has been conducted due to the anticipated high and uniform EpCAM expression in CRC. As of May 2025, the Phase 1 study had reached the seventh dose escalation level and had enrolled only mCRC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we announced positive interim Phase 1 data as of an April 7, 2025 data cutoff in advanced metastatic CRC. The data encompassed results from 25 CRC patients treated with Varseta-M at 5 dose levels ranging from 2.4 mg/kg to 10 mg/kg, administered every three weeks (“Q3W”). The 2.4 mg/kg and 4.8 mg/kg doses were single patient dose escalation cohorts not anticipated to be therapeutically active. At the 7.2 mg/kg, 8.6 mg/kg, and 10 mg/kg doses, 23 patients were treated, 18 of whom were efficacy 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KRAS mutations, and 96% were microsatellite stable. Patients were not preselected based on EpCAM expression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18 patients were efficacy-evaluable at doses of 7.2 mg/kg, 8.6 mg/kg, and 10 mg/kg Q3W. Five of eighteen (28%) patients demonstrated confirmed partial responses per RECIST v1.1. Three of seven (43%) efficacy evaluable patients at the dose of 10 mg/kg Q3W demonstrated confirmed partial responses per RECIST v1.1. Seventeen of eighteen patients (94%) had disease control, defined as having an objective response or stable disease. Preliminary median progression free survival (“PFS”) was 5.8 months as of the data cutoff with 10 of 18 patients remaining on study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25 patients were evaluable for safety. Varseta-M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(“SAEs”) in 5 patients (1 Grade 2, 4 Grade 3). The SAEs included Grade 3 Diarrhea (1 patient), Grade 3 Anemia (1 patient), Grade 3 colitis (1 patient), Grade 3 Diarrhea and Acute kidney injury (1 patient) and Grade 2 Asthenia (1 patient). No Grade 4 or 5 TRAEs were observed as of the April 7, 2025 data cutoff. No events of interstitial lung disease or febrile neutropenia were reported as of the data cutoff. On August 13, 2025, we announced that a single Grade 5 treatment-related acute kidney injury occurred in a patient with a complex medical history, including having a solitary kidney. The Grade 5 event was believed to be secondary to nausea, vomiting and diarrhea. We reported the event to the FDA in accordance with regulatory requirements. The CTMX-2051-101 Safety Review Committee reviewed the event and supported continued study execution.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positive interim Phase 1 dose escalation data in May 2025, dose expansions were initiated at the dose levels of 7.2 mg/kg, 8.6 mg/kg, and 10 mg/kg, administered Q3W and are currently ongoing.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March 2026 Interim Data Update from Phase 1 Dose Expansions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announced positive interim results from the ongoing Phase 1 dose expansions as of a January 16, 2026 data cutoff date. As of the data cutoff, a total of 93 patients with late-line metastatic CRC had been enrolled in the study. 60 patients were enrolled across the Phase 1 expansion dose range of 7.2 mg/kg, 8.6 mg/kg, and 10 mg/kg of which 56 were efficacy evaluable as of the data cutoff. </w:t>
      </w:r>
    </w:p>
    <w:p>
      <w:pPr>
        <w:pStyle w:val="TextBody"/>
        <w:bidi w:val="0"/>
        <w:spacing w:before="120" w:after="283"/>
        <w:jc w:val="left"/>
        <w:rPr>
          <w:rFonts w:ascii="Times New Roman" w:hAnsi="Times New Roman"/>
          <w:sz w:val="20"/>
        </w:rPr>
      </w:pPr>
      <w:r>
        <w:rPr>
          <w:rFonts w:ascii="Times New Roman" w:hAnsi="Times New Roman"/>
          <w:color w:val="000000"/>
          <w:sz w:val="20"/>
        </w:rPr>
        <w:t>Starting in October 2025, the expansion doses of 8.6 mg/kg and 10 mg/kg were prioritized for dose optimization utilizing optimized adverse event management guidelines and adjusted ideal body weight (AIBW) dosing. 20 patients had been enrolled in expanded dose optimization as of the January 16</w:t>
      </w:r>
      <w:r>
        <w:rPr>
          <w:rFonts w:ascii="Times New Roman" w:hAnsi="Times New Roman"/>
          <w:color w:val="000000"/>
          <w:sz w:val="13"/>
        </w:rPr>
        <w:t>th</w:t>
      </w:r>
      <w:r>
        <w:rPr>
          <w:rFonts w:ascii="Times New Roman" w:hAnsi="Times New Roman"/>
          <w:color w:val="000000"/>
          <w:sz w:val="20"/>
        </w:rPr>
        <w:t xml:space="preserve"> data cutoff towards an enrollment goal of 40 patients. </w:t>
      </w:r>
    </w:p>
    <w:p>
      <w:pPr>
        <w:pStyle w:val="TextBody"/>
        <w:bidi w:val="0"/>
        <w:spacing w:before="120" w:after="283"/>
        <w:jc w:val="left"/>
        <w:rPr>
          <w:rFonts w:ascii="Times New Roman" w:hAnsi="Times New Roman"/>
          <w:sz w:val="20"/>
        </w:rPr>
      </w:pPr>
      <w:r>
        <w:rPr>
          <w:rFonts w:ascii="Times New Roman" w:hAnsi="Times New Roman"/>
          <w:color w:val="000000"/>
          <w:sz w:val="20"/>
        </w:rPr>
        <w:t>Patients enrolled in the study had previously received a median of 3 prior lines of therapy in the metastatic setting and 96% of patients had previously been treated with irinotecan. 76% of patients had liver metastases and 71% had KRAS mutations. Patients were not preselected based on EpCAM expression levels. All patients with evaluable tumor biopsies had high EpCAM levels as measured by immunohistochemistry.</w:t>
      </w:r>
      <w:r>
        <w:rPr>
          <w:rFonts w:ascii="Times New Roman" w:hAnsi="Times New Roman"/>
          <w:color w:val="000000"/>
          <w:sz w:val="13"/>
        </w:rPr>
        <w:t>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56 patients were efficacy-evaluable at the expansion doses of 7.2 mg/kg, 8.6 mg/kg, and 10 mg/kg Q3W. Median duration of follow-up across the efficacy-evaluable patient population was approximately 8 months. Efficacy data across the Phase 1 Expansion doses are summarized below in Table 1.</w:t>
      </w:r>
    </w:p>
    <w:p>
      <w:pPr>
        <w:pStyle w:val="TextBody"/>
        <w:bidi w:val="0"/>
        <w:spacing w:before="120" w:after="283"/>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1. Varseta-M Efficacy Summary by Phase 1 Expansion Dose</w:t>
      </w:r>
    </w:p>
    <w:tbl>
      <w:tblPr>
        <w:tblW w:w="8224" w:type="dxa"/>
        <w:jc w:val="left"/>
        <w:tblInd w:w="0" w:type="dxa"/>
        <w:tblLayout w:type="fixed"/>
        <w:tblCellMar>
          <w:top w:w="28" w:type="dxa"/>
          <w:left w:w="28" w:type="dxa"/>
          <w:bottom w:w="28" w:type="dxa"/>
          <w:right w:w="28" w:type="dxa"/>
        </w:tblCellMar>
      </w:tblPr>
      <w:tblGrid>
        <w:gridCol w:w="3541"/>
        <w:gridCol w:w="1546"/>
        <w:gridCol w:w="1546"/>
        <w:gridCol w:w="1591"/>
      </w:tblGrid>
      <w:tr>
        <w:trPr/>
        <w:tc>
          <w:tcPr>
            <w:tcW w:w="35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both"/>
              <w:rPr/>
            </w:pPr>
            <w:r>
              <w:rPr/>
              <w:t> </w:t>
            </w:r>
          </w:p>
        </w:tc>
        <w:tc>
          <w:tcPr>
            <w:tcW w:w="15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7.2 mg/kg</w:t>
            </w:r>
          </w:p>
        </w:tc>
        <w:tc>
          <w:tcPr>
            <w:tcW w:w="15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 mg/kg</w:t>
            </w:r>
          </w:p>
        </w:tc>
        <w:tc>
          <w:tcPr>
            <w:tcW w:w="15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 mg/kg</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Confirmed Overall Response Rate (cORR)</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(1/17)</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(4/20)</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 (6/19)</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Median Progression Free Survival (PFS)</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5.5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2.5, NE)</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6.8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2.8, NE)</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7.1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3.9, NE)</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Disease Control Rate (DCR)</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(15/17)</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 (18/20)</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 (16/19)</w:t>
            </w:r>
          </w:p>
        </w:tc>
      </w:tr>
    </w:tbl>
    <w:p>
      <w:pPr>
        <w:pStyle w:val="TextBody"/>
        <w:bidi w:val="0"/>
        <w:spacing w:before="240" w:after="60"/>
        <w:jc w:val="left"/>
        <w:rPr>
          <w:rFonts w:ascii="Times New Roman" w:hAnsi="Times New Roman"/>
          <w:color w:val="000000"/>
          <w:sz w:val="20"/>
        </w:rPr>
      </w:pPr>
      <w:r>
        <w:rPr>
          <w:rFonts w:ascii="Times New Roman" w:hAnsi="Times New Roman"/>
          <w:color w:val="000000"/>
          <w:sz w:val="20"/>
        </w:rPr>
        <w:t xml:space="preserve">At the 8.6 mg/kg dose, the confirmed response rate was 20% with an estimated median PFS of 6.8 months and at the 10 mg/kg dose, the confirmed response rate was 32% with an estimated median PFS of 7.1 months. The disease control rate was 88% (49/56) across the expansion doses of 7.2 – 10 mg/kg.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doses of 8.6 mg/kg and 10 mg/kg have been prioritized for further evaluation with the goal of selecting a dose or doses for a registrational study. Dose optimization at 8.6 mg/kg and 10 mg/kg utilizing AIBW dosing and updated prophylaxis for adverse event management is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doses of 11 mg/kg Q3W and 12 mg/kg Q3W, which were not expanded for further evaluation, the overall response rate was 30% (3/10).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93 patients were evaluable for safety including 80 patients across the expansion dose range of 7.2 mg/kg to 10 mg/kg. Varseta-M’s safety profile was generally consistent with data presented in Phase 1 dose escalation. Most TRAEs were Grade 1 or Grade 2 in severity. No interstitial lung disease, febrile neutropenia or pancreatitis were observed. The most common TRAE was diarrhea which was generally manageable and reversible.</w:t>
      </w:r>
    </w:p>
    <w:p>
      <w:pPr>
        <w:pStyle w:val="TextBody"/>
        <w:bidi w:val="0"/>
        <w:spacing w:before="120" w:after="283"/>
        <w:jc w:val="left"/>
        <w:rPr>
          <w:rFonts w:ascii="Times New Roman" w:hAnsi="Times New Roman"/>
          <w:sz w:val="20"/>
        </w:rPr>
      </w:pPr>
      <w:r>
        <w:rPr>
          <w:rFonts w:ascii="Times New Roman" w:hAnsi="Times New Roman"/>
          <w:color w:val="000000"/>
          <w:sz w:val="20"/>
        </w:rPr>
        <w:t>In Phase 1 dose expansions starting in Q2 2025, prophylactic strategies for diarrhea management were investigated. In dose optimization starting in Q4 2025, an updated prophylaxis regimen of anti-motility medication (loperamide or diphenoxylate/atropine) plus budesonide was implemented.</w:t>
      </w:r>
      <w:r>
        <w:rPr>
          <w:rFonts w:ascii="Times New Roman" w:hAnsi="Times New Roman"/>
          <w:color w:val="000000"/>
          <w:sz w:val="13"/>
        </w:rPr>
        <w:t>2</w:t>
      </w:r>
      <w:r>
        <w:rPr>
          <w:rFonts w:ascii="Times New Roman" w:hAnsi="Times New Roman"/>
          <w:color w:val="000000"/>
          <w:sz w:val="20"/>
        </w:rPr>
        <w:t xml:space="preserve"> In the 20 patients receiving the updated prophylactic regimen at the Varseta-M expansion doses of 8.6 mg/kg and 10 mg/kg, Grade 3 diarrhea was 10%.</w:t>
      </w:r>
      <w:r>
        <w:rPr>
          <w:rFonts w:ascii="Times New Roman" w:hAnsi="Times New Roman"/>
          <w:color w:val="000000"/>
          <w:sz w:val="13"/>
        </w:rPr>
        <w:t>3,4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Overall, as of the January 16, 2026 data cutoff, in the 80 patients treated at expansion and optimization doses ranging between 7.2 mg/kg to 10 mg/kg, the most common TRAEs were diarrhea (68 pts, 19 Gr 3), nausea (44 pts, 4 Gr 3), vomiting (29 pts, 3 Gr 3), fatigue (32 pts, 2 Gr 3), hypokalemia (21 pts, 13 Gr 3+), and anemia (13 pts, 6 Gr 3).</w:t>
      </w:r>
      <w:r>
        <w:rPr>
          <w:rFonts w:ascii="Times New Roman" w:hAnsi="Times New Roman"/>
          <w:color w:val="EE0000"/>
          <w:sz w:val="20"/>
        </w:rPr>
        <w:t xml:space="preserve"> </w:t>
      </w:r>
      <w:r>
        <w:rPr>
          <w:rFonts w:ascii="Times New Roman" w:hAnsi="Times New Roman"/>
          <w:color w:val="000000"/>
          <w:sz w:val="20"/>
        </w:rPr>
        <w:t xml:space="preserve">Serious treatment related adverse events (SAEs) in &gt; 1 patient included diarrhea (4), vomiting (3), hypokalemia (3), dehydration (3), acute kidney injury (2), and colitis (2). </w:t>
      </w:r>
    </w:p>
    <w:p>
      <w:pPr>
        <w:pStyle w:val="TextBody"/>
        <w:bidi w:val="0"/>
        <w:spacing w:before="120" w:after="283"/>
        <w:jc w:val="left"/>
        <w:rPr>
          <w:rFonts w:ascii="Times New Roman" w:hAnsi="Times New Roman"/>
          <w:sz w:val="20"/>
        </w:rPr>
      </w:pPr>
      <w:r>
        <w:rPr>
          <w:rFonts w:ascii="Times New Roman" w:hAnsi="Times New Roman"/>
          <w:color w:val="000000"/>
          <w:sz w:val="20"/>
        </w:rPr>
        <w:t>As previously reported on August 13, 2025, there was one treatment-related grade 5 acute kidney injury (AKI) in a patient treated at the 7.2 mg/kg dose. The patient had a complex medical history including having a solitary kidney, and the AKI was determined to be secondary to Grade 3 nausea and Grade 2 diarrhea. No other Grade 5 TRAEs have been reported as of the January 16</w:t>
      </w:r>
      <w:r>
        <w:rPr>
          <w:rFonts w:ascii="Times New Roman" w:hAnsi="Times New Roman"/>
          <w:color w:val="000000"/>
          <w:sz w:val="13"/>
        </w:rPr>
        <w:t>th</w:t>
      </w:r>
      <w:r>
        <w:rPr>
          <w:rFonts w:ascii="Times New Roman" w:hAnsi="Times New Roman"/>
          <w:color w:val="000000"/>
          <w:sz w:val="20"/>
        </w:rPr>
        <w:t xml:space="preserve"> 2026 data cutoff.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96% of patients with an evaluable biopsy had an H score by immunohistochemistry above 250 and all patients had H scores above 200.</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6"/>
        </w:rPr>
        <w:t>Budesonide is a corticosteroid locally absorbed in the gastrointestinal (GI) tract.</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6"/>
        </w:rPr>
        <w:t>8.6 mg/kg and 10 mg/kg dosed utilizing adjusted ideal body weight (AIBW).</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color w:val="000000"/>
          <w:sz w:val="16"/>
        </w:rPr>
        <w:t>Based on March 2, 2026 data snapshot</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11 mg/kg and 12 mg/kg doses, there were no dose limiting toxicities in dose escalation. The most common TRAEs across the patients in the 11 mg/kg dose (n=8) and 12 mg/kg dose (n=3) were diarrhea (9 pts, 6 GR 3), nausea, (8 pts, 0 Gr 3), and vomiting (8 pts, 1 Gr 3). Patients treated at the 11 and 12 mg/kg doses did not receive the optimized prophylactic regimen or adjusted ideal body weight dosing.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Development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April 2026, enrollment into Varseta-M Dose Optimization cohorts is complete, having reached the goal of 40 total patients across the 8.6 mg/kg Q3W and 10 mg/kg Q3W doses. Additional Phase 1 Varseta-M data, including data from ongoing dose optimization, is anticipated to be presented at a medical meeting in the second half of 2026. This update is expected to support monotherapy dose selection and a potential registrational trial design in late line CRC. FDA interactions are also planned in 2026 with the goal of aligning on potential first registrational study for Varseta-M monotherapy in advanced CRC to start in the first half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1 Varseta-M combination study with bevacizumab in CRC has commenced with an initial focus on determining combination dose(s) for later phase development, including in earlier lines of therapy. Varseta-M doses to be assessed in combination with bevacizumab will include Q2W and Q4W schedules to align with the approved bevacizumab CRC dose of 5 mg/kg Q2W. Initial clinical data are anticipated by the first half of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1/2 combination study including Varseta-M administered with bevacizumab, 5-fluorouracil, and leucovorin is planned to start in the second half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initial Phase 1 expansion cohort(s) in non-CRC indications is planned for the second half of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CX-801</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Varseta-M, our pipeline includes CX-801, an investigational, masked version of interferon alpha-2b (“IFNα2b”), currently in a Phase 1 clinical trial. CX-801 leverages a similarly focused application of the PROBODY technology platform in that it leverages a well validated and high potential mechanism that has been limited by systemic toxicity. Interferon-alpha was one of the first immunotherapies approved, but has fallen out of broad use because of poor tolerability. Like EpCAM, IFNα2b has also been validated as a localized therapy, including the approved therapy ADSTILADRIN</w:t>
      </w:r>
      <w:r>
        <w:rPr>
          <w:rFonts w:ascii="Times New Roman" w:hAnsi="Times New Roman"/>
          <w:color w:val="000000"/>
          <w:sz w:val="13"/>
        </w:rPr>
        <w:t xml:space="preserve">® </w:t>
      </w:r>
      <w:r>
        <w:rPr>
          <w:rFonts w:ascii="Times New Roman" w:hAnsi="Times New Roman"/>
          <w:color w:val="000000"/>
          <w:sz w:val="20"/>
        </w:rPr>
        <w:t xml:space="preserve">for bladder cancer, which is a gene therapy encoding the protein IFNα2b that is administered directly into the bladder as a single agent, providing evidence that localized IFNα2b can be a powerful and effective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IFNα2b is also an attractive cytokine in that it is a potent and multi-faceted modulator of the immune system that also has direct anti-tumor cell killing effects, providing a potentially superior approach to activating anti-tumor immune responses compared with other cytokines such as IL-2, IL-12 or 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our significant masking and protein engineering expertise to the design of CX-801, which is a dually-masked, conditionally activated version of IFNα2b that is designed to be inactive in the periphery. The dual masks on CX-801 include a peptide mask on the cytokine domain designed to limit binding in normal tissues as well as a steric Fc mask designed to further mitigate systemic activity as well as extend CX-801’s half-life.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CX-801, we have also employed a focused initial development strategy in Phase 1, centered on the treatment of late-line melanoma where patient options are limited once they have typically progressed through earlier line checkpoint-based therapies. With CX-801, our initial focus is to treat patients with CX-801 in the late-line setting to potentially re-activate the immune system and improve patient outcomes in combination with PD-1 inhibition. Our ultimate vision for CX-801 is to potentially become a cornerstone of combination immunotherapy for a wide range of tumor types, including cancers beyond melanoma.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CX-801 Development</w:t>
      </w:r>
    </w:p>
    <w:p>
      <w:pPr>
        <w:pStyle w:val="TextBody"/>
        <w:bidi w:val="0"/>
        <w:spacing w:before="120" w:after="283"/>
        <w:jc w:val="left"/>
        <w:rPr>
          <w:rFonts w:ascii="Times New Roman" w:hAnsi="Times New Roman"/>
          <w:sz w:val="20"/>
        </w:rPr>
      </w:pPr>
      <w:r>
        <w:rPr>
          <w:rFonts w:ascii="Times New Roman" w:hAnsi="Times New Roman"/>
          <w:color w:val="000000"/>
          <w:sz w:val="20"/>
        </w:rPr>
        <w:t>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hAnsi="Times New Roman"/>
          <w:color w:val="000000"/>
          <w:sz w:val="13"/>
        </w:rPr>
        <w:t>®</w:t>
      </w:r>
      <w:r>
        <w:rPr>
          <w:rFonts w:ascii="Times New Roman" w:hAnsi="Times New Roman"/>
          <w:color w:val="000000"/>
          <w:sz w:val="20"/>
        </w:rPr>
        <w:t>. In the second quarter of 2024, we announced a clinical collaboration with Merck to supply KEYTRUDA for evaluation of its combination with CX-801 in the Phase 1 study. The Phase 1 study is currently in the fourth monotherapy dose escalation cohort. In May 2025, Phase 1 dose escalation enrollment of CX-801 in combination with KEYTRUDA</w:t>
      </w:r>
      <w:r>
        <w:rPr>
          <w:rFonts w:ascii="Times New Roman" w:hAnsi="Times New Roman"/>
          <w:color w:val="000000"/>
          <w:sz w:val="13"/>
        </w:rPr>
        <w:t xml:space="preserve">® </w:t>
      </w:r>
      <w:r>
        <w:rPr>
          <w:rFonts w:ascii="Times New Roman" w:hAnsi="Times New Roman"/>
          <w:color w:val="000000"/>
          <w:sz w:val="20"/>
        </w:rPr>
        <w:t>(pembrolizumab) in advanced melanoma was initiated and is currently enrolling at the third dose level.</w:t>
      </w:r>
    </w:p>
    <w:p>
      <w:pPr>
        <w:pStyle w:val="TextBody"/>
        <w:bidi w:val="0"/>
        <w:spacing w:before="120" w:after="283"/>
        <w:jc w:val="left"/>
        <w:rPr>
          <w:rFonts w:ascii="Times New Roman" w:hAnsi="Times New Roman"/>
          <w:sz w:val="20"/>
        </w:rPr>
      </w:pPr>
      <w:r>
        <w:rPr>
          <w:rFonts w:ascii="Times New Roman" w:hAnsi="Times New Roman"/>
          <w:color w:val="000000"/>
          <w:sz w:val="20"/>
        </w:rPr>
        <w:t>Phase 1 CX-801 monotherapy translational data in melanoma patients was presented at the Society of Immunotherapy of Cancer (“SITC”) 2025 Annual Meeting in November 2025, providing evidence that the CX-801 mechanism of action was working as designed. As of the November 8, 2025 SITC presentation, CX-801 had been generally well tolerated and the translational data presented suggest consistently increased expression of interferon-stimulated genes in paired tumor biopsies. Upregulation of immune checkpoint genes, including PD-1 and PD-L1, and activation of immune cell populations, was also observed, providing a rationale for evaluating the combination of CX-801 and pembrolizumab. Pharmacokinetics (“PK”) analysis also demonstrated dose-proportional exposure of CX-801, which remained predominantly in its intact (masked) form in circulation. Phase 1 clinical data from the CX-801 and KEYTRUDA</w:t>
      </w:r>
      <w:r>
        <w:rPr>
          <w:rFonts w:ascii="Times New Roman" w:hAnsi="Times New Roman"/>
          <w:color w:val="000000"/>
          <w:sz w:val="13"/>
        </w:rPr>
        <w:t xml:space="preserve">® </w:t>
      </w:r>
      <w:r>
        <w:rPr>
          <w:rFonts w:ascii="Times New Roman" w:hAnsi="Times New Roman"/>
          <w:color w:val="000000"/>
          <w:sz w:val="20"/>
        </w:rPr>
        <w:t>combination dose escalation portion of the study are expected by the end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PROBODY Program and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clinical program focus on PROBODY ADCs such as Varseta-M and PROBODY cytokines such as CX-801, we view the field of masked biologics as having broad potential applicability across a range of therapeutic modalities, reflecting the versatility of our platform technology. A key focus of our current work with collaboration partners is T-cell engaging bispecific therapies (“TCEs”) where we have significant ongoing efforts with Regeneron and maintain significant research expertise.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at SITC 2025, we presented preclinical data for CX-908, a dually-masked PROBODY TCE targeting CDH3 and CD3. CX-908 potently induced tumor regressions in established breast and lung cancer xenograft tumor models and demonstrated a 100-fold improvement in tolerability, including significantly reduced cytokine release vs. an unmasked CDH3xCD3 molecule. We view masking as a key strategy to widen a therapeutic window for TCEs and view strategic partnering in this area as an important way to extend the reach of the PROBODY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approved for sale, and we continue to incur significant research and development as well as general and administrative expenses related to our operations. As of March 31, 2026 and December 31, 2025, we had an accumulated deficit of $730.2 million and $711.9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2025. Except as noted in the revenue discussion below, there have been no material changes to our critical accounting policies and estimates for the three months ended March 31,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Astellas, Regeneron, Bristol Myers Squibb, Moderna and any other collaboration partners, and as a result of the fluctuations in the research and development expenses we incur in the performance of assigned activities under these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costs incurred to conduct research, such as the discovery and development of our product candidates, clinical development, including activities with third parties, and contract development and manufacturing organizations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bidi w:val="0"/>
        <w:jc w:val="left"/>
        <w:rPr>
          <w:rFonts w:ascii="Times New Roman" w:hAnsi="Times New Roman"/>
          <w:color w:val="000000"/>
          <w:sz w:val="20"/>
        </w:rPr>
      </w:pPr>
      <w:r>
        <w:rPr>
          <w:rFonts w:ascii="Times New Roman" w:hAnsi="Times New Roman"/>
          <w:color w:val="000000"/>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income from our cash equivalents and investments, and accretion of discounts or amortization of premiums on our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gains and losses resulting from changes to currency exchange rates.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revenue by collaboration partner during the respective periods:</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2061"/>
        <w:gridCol w:w="146"/>
        <w:gridCol w:w="211"/>
        <w:gridCol w:w="676"/>
        <w:gridCol w:w="146"/>
        <w:gridCol w:w="146"/>
        <w:gridCol w:w="211"/>
        <w:gridCol w:w="676"/>
        <w:gridCol w:w="146"/>
        <w:gridCol w:w="146"/>
        <w:gridCol w:w="211"/>
        <w:gridCol w:w="736"/>
        <w:gridCol w:w="41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revenue of $40.7 million for the three months ended March 31, 2026, compared to the corresponding period of 2025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BMS Agreement driven by the completion of our performance obligations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recognition of all remaining deferred revenue under the Amgen Agreement resulting from Amgen terminating its license to the EGFR Products effective May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Astellas Agreement primarily driven by a $5.0 million preclinical milestone payment and higher research activities in the first quarter of 2025 compared to the corresponding period of 2026, partially offset by a $7.1 million accelerated recognition of its deferred revenue due to Astellas' notice of termination of the Astellas Agreement in the first quarter of 2026. The completion of our performance obligation under the Astellas Agreement is expected by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primary focus on the lead preclinical program in 2026 under the Regeneron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pause of the programs under the Moderna Agreement, driven by Moderna's budget considerations. The remaining research and development activities are pending Moderna's budget considerations.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incurred during the respective periods presented:</w:t>
      </w:r>
    </w:p>
    <w:p>
      <w:pPr>
        <w:pStyle w:val="TextBody"/>
        <w:bidi w:val="0"/>
        <w:jc w:val="left"/>
        <w:rPr/>
      </w:pPr>
      <w:r>
        <w:rPr/>
        <w:t> </w:t>
      </w:r>
    </w:p>
    <w:tbl>
      <w:tblPr>
        <w:tblW w:w="8423" w:type="dxa"/>
        <w:jc w:val="left"/>
        <w:tblInd w:w="0" w:type="dxa"/>
        <w:tblLayout w:type="fixed"/>
        <w:tblCellMar>
          <w:top w:w="28" w:type="dxa"/>
          <w:left w:w="28" w:type="dxa"/>
          <w:bottom w:w="28" w:type="dxa"/>
          <w:right w:w="28" w:type="dxa"/>
        </w:tblCellMar>
      </w:tblPr>
      <w:tblGrid>
        <w:gridCol w:w="4666"/>
        <w:gridCol w:w="146"/>
        <w:gridCol w:w="211"/>
        <w:gridCol w:w="676"/>
        <w:gridCol w:w="146"/>
        <w:gridCol w:w="146"/>
        <w:gridCol w:w="211"/>
        <w:gridCol w:w="676"/>
        <w:gridCol w:w="146"/>
        <w:gridCol w:w="146"/>
        <w:gridCol w:w="211"/>
        <w:gridCol w:w="631"/>
        <w:gridCol w:w="4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 incurred by product candidate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Varseta-M (EpCAM)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wholly owned and partnered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$0.4 million for the three months ended March 31, 2026, compared to the corresponding period of 2025 primarily due to a $3.5 million increase in external costs for Varseta-M manufacturing and clinical activities, partially offset by a $2.3 million decrease in internal costs reflecting the absence of $1.7 million of restructuring expenses incurred in the first quarter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2025. We expect program development expenses in future quarters to be primarily focused on Varseta-M with expected continued growth in Varseta-M development spend.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tbl>
      <w:tblPr>
        <w:tblW w:w="568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$1.3 million for the three months ended March 31, 2026, compared to the corresponding period of 2025, primarily driven by increased consulting expenses and stock based compensation expenses in the first quarter of 2026, partially offset by $1.1 million of restructuring expenses incurred in the first quarter of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 and Other Income (Expense), Net</w:t>
      </w:r>
    </w:p>
    <w:tbl>
      <w:tblPr>
        <w:tblW w:w="6577" w:type="dxa"/>
        <w:jc w:val="left"/>
        <w:tblInd w:w="0" w:type="dxa"/>
        <w:tblLayout w:type="fixed"/>
        <w:tblCellMar>
          <w:top w:w="28" w:type="dxa"/>
          <w:left w:w="28" w:type="dxa"/>
          <w:bottom w:w="28" w:type="dxa"/>
          <w:right w:w="28" w:type="dxa"/>
        </w:tblCellMar>
      </w:tblPr>
      <w:tblGrid>
        <w:gridCol w:w="3361"/>
        <w:gridCol w:w="146"/>
        <w:gridCol w:w="211"/>
        <w:gridCol w:w="571"/>
        <w:gridCol w:w="166"/>
        <w:gridCol w:w="146"/>
        <w:gridCol w:w="211"/>
        <w:gridCol w:w="421"/>
        <w:gridCol w:w="146"/>
        <w:gridCol w:w="146"/>
        <w:gridCol w:w="220"/>
        <w:gridCol w:w="441"/>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income and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$0.5 million during the three months ended March 31, 2026 compared to the corresponding period of 2025. The increase was primarily driven by the increase in cash and cash equivalents and short-term investments position in the first quarter of 2026 as a result of the underwritten public offering in March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cash, cash equivalents and short-term investments of $346.7 million and an accumulated deficit of $730.2 million, compared to cash, cash equivalents and short-term investments of $137.1 million and an accumulated deficit of $711.9 million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2025, we completed an underwritten public offering of 76,923,076 shares of common stock at a price of $1.30 per share and received net proceeds of approximately $93.4 million, after deducting underwriting discounts and commissions of $6.0 million and offering expenses of $0.6 million. In March 2026, we completed an underwritten public offering of 45,990,567 shares of common stock at an offering price of $5.30 per share and pre-funded warrants to purchase 1,179,245 shares of common stock (the “Pre-Funded Warrants”) at a price of $5.29999 per Pre-Funded Warrant and received the aggregate net proceeds of approximately $234.2 million, after deducting underwriting discounts and commissions of $15.0 million and offering expenses of $0.8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an at-the-market offering program (“ATM Program”) pursuant to a sales agreement with Jefferies, LLC (as amended on March 4, 2022 and August 9, 2024, the “Sales Agreement”). In 2025, we sold 4,872,861 shares at a weighted average price of $3.44 per share under our ATM offering for net proceeds of approximately $16.3 million after deducting sales commissions and related issuance costs. As of March 31, 2026, we had an aggregate of $39.4 million remaining for issuance under our ATM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upon our current operating plan and liquidity requirements, we expect our existing capital resources will be sufficient to fund operations into at least the second half of 2028.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clinical development, the initiating of clinical trials for additional product candidates, the identification of more promising product candidates in our research efforts or unexpected operating costs and expenditures. We will need to raise additional capital to fund our operations in the future. There can be no assurance, however, that such efforts will be successful; or if they are successful, that the terms and conditions of such financing will be favorable to us.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Statement of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4711"/>
        <w:gridCol w:w="146"/>
        <w:gridCol w:w="211"/>
        <w:gridCol w:w="841"/>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$25.5 million and $21.0 million for the three months ended March 31, 2026 and 2025, respectively, was largely due to ongoing research and development activities and general and administrative expenses to support those activities. Net loss for the three months ended March 31, 2026 and net income for the three months ended March 31, 2025 included, among other items, non-cash charges of stock-based compensation, non-cash lease expense, depreciation and amortization, partially offset by net accretion of discounts on short-term investments.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used in investing activities was $192.8 million, primarily due to increased purchases of short-term investments following the funds received from our equity via the underwritten public offering in March 2026. These purchases were partially offset by proceeds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provided by investing activities was $30.6 million, primarily due to proceeds from the maturities of short-term investments, partially offset by purchases of short-term investments.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provided by financing activities of $234.5 million was primarily due to net proceeds from equity issuance via the underwritten public offering in March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there was no cash used in or provided by financing activities.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there were no material changes in contractual obligations from the amounts disclosed in our Annual Report on Form 10-K for the year ended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quantitative_and_qualitative_disclosure"/>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relate to interest rate fluctuations. We had cash, cash equivalents and short-term investments of $346.7 million and $137.1 million as of March 31, 2026 and December 31, 2025, respectively, which consist of bank deposits, money market funds and U.S. Treasury securities. Such interest-bearing instruments carry a degree of interest rate risk; however, historical fluctuations of interest income have not been significant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March 31, 2026, a hypothetical 100 basis point change in interest rates would not have a material effect on the fair value of the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foreign currency exchange risk related to foreign currency-based expenses. To date, foreign currency transaction gains and losses have not been material to our financial statements. We do not currently hedge our foreign currency exposure.</w:t>
      </w:r>
    </w:p>
    <w:p>
      <w:pPr>
        <w:pStyle w:val="TextBody"/>
        <w:bidi w:val="0"/>
        <w:spacing w:before="360" w:after="283"/>
        <w:jc w:val="left"/>
        <w:rPr>
          <w:rFonts w:ascii="Times New Roman" w:hAnsi="Times New Roman"/>
          <w:b/>
          <w:color w:val="000000"/>
          <w:sz w:val="20"/>
        </w:rPr>
      </w:pPr>
      <w:bookmarkStart w:id="10" w:name="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March 31, 2026, the end of the period covered by this Quarterly Report on Form 10-Q. Based on their evaluation, the Principal Executive Officer and Principal Financial Officer concluded that our disclosure controls and procedures were effective at the reasonable assurance level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our fiscal quarter ended March 31,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bidi w:val="0"/>
        <w:spacing w:before="24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initial and preliminary data from our clinical trials, including the ongoing Phase 1 clinical trials of varsetatug masetecan (Varseta-M) and CX-801,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the discovery and development of our therapeutic treatments is based on novel technologies that are unproven and may not result in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based on a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entered, and may in the future seek to enter, into collaborations with third parties for the development and commercialization of our product candidates using our PROBODY</w:t>
      </w:r>
      <w:r>
        <w:rPr>
          <w:rFonts w:ascii="Times New Roman" w:hAnsi="Times New Roman"/>
          <w:color w:val="000000"/>
          <w:sz w:val="13"/>
        </w:rPr>
        <w:t>®</w:t>
      </w:r>
      <w:r>
        <w:rPr>
          <w:color w:val="000000"/>
        </w:rPr>
        <w:t xml:space="preserve"> </w:t>
      </w:r>
      <w:r>
        <w:rPr>
          <w:rFonts w:ascii="Times New Roman" w:hAnsi="Times New Roman"/>
          <w:color w:val="000000"/>
          <w:sz w:val="20"/>
        </w:rPr>
        <w:t xml:space="preserve">platform. If we fail to enter into such collaborations, or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are not successful, we may not be able to capitalize on the market potential of our PROBODY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and commercialization goals in our expected or our announced timeframes, the commercialization of any of our product candidates may be delayed, or never attained, and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pandemic could adversely impact our business, including our research, development, including clinical trials, manufacturing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may also materially adversely affect our business, financial condition, results of operations and/or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developing a novel class of therapeutic product candidates, based on our proprietary biologic PROBODY conditionally activated technology platform. Since our inception, we have devoted our resources to the development of PROBODY therapeutics. We have had significant operating losses since our inception. As of March 31, 2026 and December 31, 2025, we had an accumulated deficit of $730.2 million and $711.9 million, respectively. Substantially all of our losses have resulted from expenses incurred in connection with our research and development programs and from general and administrative costs associated with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In May 2025 and March 2026, we raised approximately $93.4 million and $234.2 million, respectively, of net proceeds through underwritten public offerings of our equity securities. As a result, we believe we have sufficient capital to operate into the second half of 2028. We will need to raise additional funds to continue our efforts. However, financial market conditions, including the public equity markets, and government regulation, including legislative and regulatory uncertainties affecting the biopharmaceutical industry, may continue to make it difficult for biotechnology companies to raise additional funds. We cannot predict when or if market conditions will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we had cash, cash equivalents and short-term investments of $346.7 million. We believe that our existing capital resources will be sufficient to fund our planned operations into the second half of 2028.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and progress of our ongoing clinical trials as well as any other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type of clinical trials and preclinical studies that we may be required to complete for our product candidates, as well as the cost and time of such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prioritization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produce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scale our manufacturing capabilities prior to or following regulatory approval and commercial launch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the development efforts of parties with whom we have entered or may in the future enter into collaborations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payments we may receive or are obligated to pay under our collaboration agreements and license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and research and development programs and to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any existing or future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and commercialization of our product candidates and satisfy our obligations as a public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in the first quarter of 2025 terminated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through the sales of our equity securities in July 2023, May 2025 and March 2026.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we and Amgen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validating any companion diagnostic to be used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requiring us to submit additional data or imposing other requirements before permitting us to initiate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authority clearance to commence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our product candidates in sufficient quality and quantity for use in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electing to not pursue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very early in our development efforts, including with </w:t>
      </w:r>
      <w:r>
        <w:rPr>
          <w:rFonts w:ascii="Times New Roman" w:hAnsi="Times New Roman"/>
          <w:color w:val="000000"/>
          <w:sz w:val="22"/>
        </w:rPr>
        <w:t>Varseta-M</w:t>
      </w:r>
      <w:r>
        <w:rPr>
          <w:rFonts w:ascii="Times New Roman" w:hAnsi="Times New Roman"/>
          <w:color w:val="000000"/>
          <w:sz w:val="20"/>
        </w:rPr>
        <w:t xml:space="preserve">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purity and potency (or efficacy) of our product candidates in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our clinical trials, the clinical trials of our collaborators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or allowances from regulators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or our collaborators’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the development or approval of companion diagnostic tests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manufacturing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could find that the therapeutics we or our collaborators pursue are not safe, pure, potent (or efficacious). For example, in March 2025, based on clinical observations to date and CytomX pipeline priorities, we and Amgen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in the first quarter of 2025 terminated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initial and preliminary data from our clinical trials, including the ongoing Phase 1 clinical trials of Varseta-M and CX-801, that we announce or publish from time to time may change as more patient data become available and are subject to audit and verification procedures that could result in material changes in the final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For example, in May 2024, we disclosed initial data from our ongoing Phase 1a dose escalation clinical trial of CX-904. In March 2025, based on clinical observations to date and CytomX pipeline priorities, we and Amgen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Varseta-M and CX-801. Our lead program, Varseta-M, is an antibody-drug conjugate which is in a class of therapy known to drive potent anti-cancer activity, but that often have side effects or adverse events that need to be managed in order for patients to derive benefits from treatment. There can be no assurance that unexpected adverse events will not occur in our ongoing trials, including the ongoing Phase 1 clinical trials of Varseta-M or CX-801, or in future trials involving our product candidates or the product candidates of our collaborators. Undesirable side effects may appear in later trials that were not observed in our earlier trials or may be more severe in later trials than earlier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May 2025 and in March 2026, we announced positive interim data from our ongoing Phase 1 clinical trial with Varseta-M. While we believe interim data supports the potential to reach a favorable therapeutic index, we also reported treatment related adverse events, including diarrhea, nausea, vomiting, and anemia, and in August 2025, we announced that a single Grade 5 treatment-related acute kidney injury occurred in a patient with a complex medical history, including having a solitary kidney. We cannot provide assurance that we will reach an acceptable or tolerable dose for Varseta-M or CX-801. Furthermore, any ongoing or future clinical trials of our product candidates, including those for Varseta-M and CX-801, could face risks related to undesirable side effects, including unacceptable toxicity.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be required to recall the product or change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adverse side effects caused by any drugs of other companies utilizing the same or similar therapeutic agents of our product candidates, or that are similar in nature to our product candidates could delay or prevent regulatory approval of our product candidates, limit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commercial profile of an approved label for our product candidates, or result in significant negative consequences following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appropriate genomic screening test;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efficacy of approved therapies for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a trial;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Varseta-M and CX-801 study patients who have one or a select number of specific tumor types rather than patients suffering from any cancer, which limits the rate of enrollment of the trial. In addition, some of our clinical trials may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Varseta-M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enrolled or are planning to enroll patients in our clinical trials outside the United States, including in Europe.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addition, we currently contract manufacturing operations to third parties, and certain of our product candidates are manufactured by and will in the future be manufactured by third parties outside the U.S., including in Europe and China. For example, we have a contract with a third-party manufacturer located in China for product candidates, including </w:t>
      </w:r>
      <w:r>
        <w:rPr>
          <w:rFonts w:ascii="Times New Roman" w:hAnsi="Times New Roman"/>
          <w:color w:val="000000"/>
          <w:sz w:val="22"/>
        </w:rPr>
        <w:t>Varseta-M</w:t>
      </w:r>
      <w:r>
        <w:rPr>
          <w:rFonts w:ascii="Times New Roman" w:hAnsi="Times New Roman"/>
          <w:color w:val="000000"/>
          <w:sz w:val="20"/>
        </w:rPr>
        <w:t xml:space="preserve"> and CX-801, and accordingly we are exposed to the possibility of drug product supply disruption, delay and increased costs in the event of changes in the policies of the U.S., European or Chinese governments, including political unrest or unstable economic conditions in China or elsewhere.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in 2025, the BIOSECURE Act was enacted into law, and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Conducting clinical trials and contracting with third-party manufacturers outside the United States also exposes us to additional risks, including risks associated with additional foreign regulatory requirements; foreign exchange fluctuations; tariffs;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w:t>
      </w:r>
      <w:r>
        <w:rPr>
          <w:rFonts w:ascii="Times New Roman" w:hAnsi="Times New Roman"/>
          <w:color w:val="000000"/>
          <w:sz w:val="22"/>
        </w:rPr>
        <w:t xml:space="preserve">Varseta-M </w:t>
      </w:r>
      <w:r>
        <w:rPr>
          <w:rFonts w:ascii="Times New Roman" w:hAnsi="Times New Roman"/>
          <w:color w:val="000000"/>
          <w:sz w:val="20"/>
        </w:rPr>
        <w:t xml:space="preserve">and CX-801 our manufacturing supply chain includes several contract manufacturers, and failure by any of these manufacturers could result in interruptions of our clinical studies. Although we are taking steps to manage our long-term supply of </w:t>
      </w:r>
      <w:r>
        <w:rPr>
          <w:rFonts w:ascii="Times New Roman" w:hAnsi="Times New Roman"/>
          <w:color w:val="000000"/>
          <w:sz w:val="22"/>
        </w:rPr>
        <w:t>Varseta-M</w:t>
      </w:r>
      <w:r>
        <w:rPr>
          <w:rFonts w:ascii="Times New Roman" w:hAnsi="Times New Roman"/>
          <w:color w:val="000000"/>
          <w:sz w:val="20"/>
        </w:rPr>
        <w:t xml:space="preserve">, there can be no assurance that we will not have production failures in the future, which could affect our ability to conduct our trials for </w:t>
      </w:r>
      <w:r>
        <w:rPr>
          <w:rFonts w:ascii="Times New Roman" w:hAnsi="Times New Roman"/>
          <w:color w:val="000000"/>
          <w:sz w:val="22"/>
        </w:rPr>
        <w:t>Varseta-M</w:t>
      </w:r>
      <w:r>
        <w:rPr>
          <w:rFonts w:ascii="Times New Roman" w:hAnsi="Times New Roman"/>
          <w:color w:val="000000"/>
          <w:sz w:val="20"/>
        </w:rPr>
        <w:t xml:space="preserve">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addition, we may encounter issues with transferring technology to a new third-party manufacturer, and we may encounter regulatory delays if we need to move the manufacturing of our products from one third-party manufacturer to another</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w:t>
      </w:r>
      <w:r>
        <w:rPr>
          <w:rFonts w:ascii="Times New Roman" w:hAnsi="Times New Roman"/>
          <w:color w:val="000000"/>
          <w:sz w:val="22"/>
        </w:rPr>
        <w:t>Varseta-M</w:t>
      </w:r>
      <w:r>
        <w:rPr>
          <w:rFonts w:ascii="Times New Roman" w:hAnsi="Times New Roman"/>
          <w:color w:val="000000"/>
          <w:sz w:val="20"/>
        </w:rPr>
        <w:t xml:space="preserve">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a collaborator;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It may prove more challenging than we anticipate to manufacture products that incorporate our PROBODY therapeutic technology. In order to conduct clinical trials of our product candidates, including our clinical trials for </w:t>
      </w:r>
      <w:r>
        <w:rPr>
          <w:rFonts w:ascii="Times New Roman" w:hAnsi="Times New Roman"/>
          <w:color w:val="000000"/>
          <w:sz w:val="22"/>
        </w:rPr>
        <w:t>Varseta-M</w:t>
      </w:r>
      <w:r>
        <w:rPr>
          <w:rFonts w:ascii="Times New Roman" w:hAnsi="Times New Roman"/>
          <w:color w:val="000000"/>
          <w:sz w:val="20"/>
        </w:rPr>
        <w:t xml:space="preserve"> and CX-801, we will need to manufacture them in large quantities. There can be no assurance that we will not have future production failures, which could affect our ability to conduct our trials for </w:t>
      </w:r>
      <w:r>
        <w:rPr>
          <w:rFonts w:ascii="Times New Roman" w:hAnsi="Times New Roman"/>
          <w:color w:val="000000"/>
          <w:sz w:val="22"/>
        </w:rPr>
        <w:t>Varseta-M</w:t>
      </w:r>
      <w:r>
        <w:rPr>
          <w:rFonts w:ascii="Times New Roman" w:hAnsi="Times New Roman"/>
          <w:color w:val="000000"/>
          <w:sz w:val="20"/>
        </w:rPr>
        <w:t xml:space="preserve">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extend the life of our drug stability of product candidates, or successfully complete the FDA’s bridging requirements,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development, testing, and clinical trials of that product candidate may be delayed or infeasible, and regulatory approval or commercial launch of any resulting product may be delayed or not obtained, which could significantly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the discovery and development of our therapeutic treatments is based on novel technologies that are unproven and may not result in marketable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w:t>
      </w:r>
      <w:r>
        <w:rPr>
          <w:rFonts w:ascii="Times New Roman" w:hAnsi="Times New Roman"/>
          <w:color w:val="000000"/>
          <w:sz w:val="22"/>
        </w:rPr>
        <w:t>Varseta-M</w:t>
      </w:r>
      <w:r>
        <w:rPr>
          <w:rFonts w:ascii="Times New Roman" w:hAnsi="Times New Roman"/>
          <w:color w:val="000000"/>
          <w:sz w:val="20"/>
        </w:rPr>
        <w:t xml:space="preserve"> and CX-801.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entered into a collaboration with Moderna for the development of mRNA based product candidates. We do not know whether our PROBODY platform will be able to successfully develop product candidates utilizing this mRNA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may not be receptive to our product candidates based on a novel therapeutic modality, and we may not generate any future revenue from the sale or licensing of product candidates.</w:t>
      </w:r>
    </w:p>
    <w:p>
      <w:pPr>
        <w:pStyle w:val="TextBody"/>
        <w:bidi w:val="0"/>
        <w:jc w:val="left"/>
        <w:rPr>
          <w:rFonts w:ascii="Times New Roman" w:hAnsi="Times New Roman"/>
          <w:color w:val="000000"/>
          <w:sz w:val="20"/>
        </w:rPr>
      </w:pPr>
      <w:r>
        <w:rPr>
          <w:rFonts w:ascii="Times New Roman" w:hAnsi="Times New Roman"/>
          <w:color w:val="000000"/>
          <w:sz w:val="20"/>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purity, potency (or efficacy) of our product candidates, including those being developed by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effective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government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alternative effective treatments for the disease indications our product candidates are intended to treat and the relative risks, benefits and costs of those treatments.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 including the preclinical collaboration programs with Regeneron and Moderna;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designing any clinical trials they operate pursuant to our collaboration agreements and may release data from such clinical trials, including with respect to our PROBODY therapeutics, without consulting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January 2023, we announced topline results of the Phase 2 expansion cohorts of CX-2029 and in March 2023, AbbVie decided not to continue the future development of CX-2029. We re-acquired full rights to CX-2029, however, in the fourth quarter of 2023, we decided not to make any further significant investments in the solid tumor CX-2029 program and terminated the program in the first quarter of 2025. Additionally, in March 2025, based on clinical observations to date and our pipeline priorities, we and Amgen jointly decided to terminate the CX-904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all of our revenue to date has been derived from our existing collaboration agreements and a significant portion of our future revenue and cash resources is expected to be derived from these agreements or other similar agreements we may enter into in the future. Revenue from research and development collaborations depends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collaboration agreements or individual programs within a collaboration agreement could result in a change to our business plan and may have a material adverse effect on our business, financial condition, results of operations and prospects. If a collaboration or program is terminated, we would not be eligible to receive the milestone, royalty or other payments that would have been payable under the collaboration agreement. For example, in March 2025, based on clinical observations to date and our pipeline priorities, we and Amgen jointly decided to terminate the CX-904 program and we will not receive any milestone or other payments from them on this program.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our expected or our announced timeframes, the commercialization of any of our product candidates may be delayed, or never attained, and our business will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and other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in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and supply clinical trial materials to our clinical sites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commercialization of any of our product candidates may be delayed or never attained, and our business and results of operations may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result in the delay or rejection by the FDA of any BLA we submit. Any such delay or rejection could prevent us from commercializing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and indications. For example, in July 2022, we announced that we would not continue the development of praluzatamab ravtansine without a partner. Additionally, in the first quarter of 2025, we terminated the CX-2029 program.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managing our growth and expanding when needed.</w:t>
      </w:r>
    </w:p>
    <w:p>
      <w:pPr>
        <w:pStyle w:val="TextBody"/>
        <w:bidi w:val="0"/>
        <w:jc w:val="left"/>
        <w:rPr>
          <w:rFonts w:ascii="Times New Roman" w:hAnsi="Times New Roman"/>
          <w:color w:val="000000"/>
          <w:sz w:val="20"/>
        </w:rPr>
      </w:pPr>
      <w:r>
        <w:rPr>
          <w:rFonts w:ascii="Times New Roman" w:hAnsi="Times New Roman"/>
          <w:color w:val="000000"/>
          <w:sz w:val="20"/>
        </w:rPr>
        <w:t>Since 2022 we have maintained a relatively steady number of employees in our workforce and maintained activities to manage our pipeline, including research activities and efforts to establish and run clinical trials for Varseta-M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Varseta-M and CX-801,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Vir Biotechnology, Werewolf Therapeutics and Xilio are exploring antibody masking and/or conditional activation strategies, which could compete with our PROBODY platform. We are also aware of several companies that are developing ADCs, such as AbbVie, ADC Therapeutics, AstraZeneca, Bristol Myers Squibb, Daiichi Sankyo, Gilead, Merck &amp; Co., Pfizer, Roche Holding Ltd. and Takeda. Companies like Gilead and Jazz are pursuing development programs in the cytokine space.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CRC, there are an increasing number of experimental therapies with different mechanisms of action under investigation, including therapies that are directed against CRC subtypes defined by biologic features including, but not limited to, KRAS mutational status, BRAF mutational status, MSI, and surface protein expression (e.g., cMET, CECAM5, HER2, EGFR). For example, AbbVie is developing ABBV-400 for a subset of CRC patients in a Phase 3 clinical trial. These novel competitor agents, alone or in combination with other anti-cancer agents, may potentially impact the approval of or adoption of therapeutics for the treatment of CRC.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inability to attract and retain qualified key management and technical personnel would impair our ability to implement our business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the expansion of remote-work arrangements in the biotechnology industry has increased the geographic scope of competition for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in the biotechnology industry across the country and especially in the San Francisco Bay Area.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no sales, marketing or distribution capabilities or experience. If any of our product candidates is approved, we will need to develop internal sales, marketing and distribution capabilities to commercialize such products, which would be expensive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Price controls imposed in foreign markets may adversely affect our future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significant product liability risks inherent in the development, testing, manufacturing and marketing of therapeutic treatments, including as a result of the clinical testing of our prior clinical candidates, our current clinical candidates, including Varseta-M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and independent contractors may engage in misconduct or other improper activities, including noncompliance with regulatory standards and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material and adverse effect on our business, financial condition, results of operations and prospects, including the imposition of significant fines or other sanctions.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operations are located in our facilities in South San Francisco, California and in September 2026 we are moving all of our operations to facilities in Emeryville,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reported financial results may be adversely affected by changes in accounting principles generally accepted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us.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obtain and enforce patent protection for our technologies or product candidates, development and commercialization of our product candidates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 technology and products as well as methods of use and production thereof; we have exclusively licensed UCSB’s interest in the patent family co-owned with UCSB that covers certain conditionally activatable antibodies in the fields of therapeutics, </w:t>
      </w:r>
      <w:r>
        <w:rPr>
          <w:rFonts w:ascii="Times New Roman" w:hAnsi="Times New Roman"/>
          <w:i/>
          <w:color w:val="000000"/>
          <w:sz w:val="20"/>
        </w:rPr>
        <w:t xml:space="preserve">in vivo </w:t>
      </w:r>
      <w:r>
        <w:rPr>
          <w:rFonts w:ascii="Times New Roman" w:hAnsi="Times New Roman"/>
          <w:color w:val="000000"/>
          <w:sz w:val="20"/>
        </w:rPr>
        <w:t>diagnostics and prophylactics. In addition, we have exclusively licensed a patent portfolio of three patent families from UCSB that includes patents that cover methods related to the screening for and identification of the masks that we use to design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There could also be delays at the USPTO caused by staffing cuts and other U.S. government actions as a result of executive actions to reduce the size of the U.S. government.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in 2011 involves significant changes in patent legislation. However, there remains many subsisting issued patents and some pending patent applications in the U.S. that were filed prior to its enactment and are therefore subject to the pre-AIA U.S. patent laws and that may have relevance to our freedom-to-operate or ability to obtain patent issuances. The Supreme Court has ruled on several patent cases in recent years, some of which cases either narrow the scope of patent protection available in certain circumstances or weaken the rights of patent owners in certain situations. We can make no assurance that our interpretations of Supreme Court decisions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granted, patents may be subject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a court would hold that our patents are valid, enforceable and infringed.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Conditionally-activated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therapeutic compositions of matter as well as their methods of manufacturing and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xml:space="preserve">, Brazil, China, Hong Kong, India, Indonesia, Israel, Malaysia, Mexico, New Zealand, Russia or Eurasian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on June 1, 2023, the European Union Patent Package regulations were implemented with the goal of providing a single pan-European Unitary Patent and a new European Unified Patent Court (the “UPC”) for litigation involving European patents, which has become a common forum for challenging patents in the pharmaceutical space. The UPC provides our competitors with a new forum to centrally revoke our European patents, and allow for the possibility of a competitor to obtain a pan-European injunction.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our licensors,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us in the U.S. District Court for the District of Delaware. The lawsuit alleged that our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intellectual property rights also will not protect our technology if competitors design around our protected technology without legally infringing, misappropriating or otherwise violating our patents or other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the therapeutic landscape is still evolving, including the masked biologics landscape, it is difficult to conclusively assess our freedom to operate without infringing on third-party rights. There are numerous companies that have pending patent applications and issued patents broadly covering masked therapeutics generally or covering masked therapeutics directed against the same targets as, or targets similar to, those we are pursuing. An increasing number of third parties are filing masked therapeutics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licenses from Amgen, AbbVie (formerly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or be delayed in obtaining U.S. or foreign regulatory approval and, as a result, be unable or delayed in being able to commercialize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or execution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us regarding the formulation, labeling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or other government actions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staff turnover, and it remains unclear the degree to which these efforts may limit or otherwise adversely affect the FDA’s ability to conduct routine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 prolonged government shutdown occurs, or if policy changes, funding shortages, or staffing limitations prevent the FDA or other regulatory authorities from conducting their regular inspections, reviews or other activities, such events could significantly impact the ability of the FDA or other regulatory authorities to timely review and process our regulatory submissions, which could have a material adverse effect on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may have a material and adverse effect on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ACA. On June 17, 2021, the U.S. Supreme Court dismissed the most recent judicial challenge to the ACA brought by several states without specifically ruling on the constitutionality of the ACA. However, the ACA continues to be discussed in Congress and future changes to the ACA could negatively impact our potential business and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cap on drug manufacturers’ Medicaid drug rebate liability, previously set at 100% of a drug’s average manufacturer price, beginning January 1, 2024. In August 2022, the Inflation Reduction Act of 2022, or IRA, was signed into law. Among other things, the IRA requires manufacturers of certain drugs to engage in price negotiations with Medicare,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went into effect in 2026 and the subsequent 15 drugs, which will first be effective in 2027, as well as the list of the next set of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investigational products that receive approval.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inspection findings;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marketing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importation or exportation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eligibility for the award of government contracts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seizures or administrative detention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 and fines.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abroad may also be subject to increased scrutiny or attention from data protection authorities. For example, we may be subject to the General Data Protection Regulation (“EU GDPR”) and to the United Kingdom General Data Protection Regulation and Data Protection Act 2018 (collectively, the “UK GDPR”) (the EU GDPR and UK GDPR together referred to as the “GDPR”). The GDPR imposes stringent requirements for processing the personal data of individuals within the EEA and the UK. Companies that must comply with the GDPR face increased compliance obligations and risk, including more robust regulatory enforcement of data protection requirements and potential fines for noncompliance of up to 4% total worldwide annual turnover or €20 million / £17.5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which we operate, it could affect the manner in which we operate our business, the geographical location or segregation of our relevant systems and operations, and could adversely affect our financial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bidi w:val="0"/>
        <w:jc w:val="left"/>
        <w:rPr>
          <w:rFonts w:ascii="Times New Roman" w:hAnsi="Times New Roman"/>
          <w:color w:val="000000"/>
          <w:sz w:val="20"/>
        </w:rPr>
      </w:pPr>
      <w:r>
        <w:rPr>
          <w:rFonts w:ascii="Times New Roman" w:hAnsi="Times New Roman"/>
          <w:color w:val="000000"/>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the candidate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approved indication or use within such rare disease or condition for seven years, except in limited circumstances, such as a showing of clinical superiority to the product with orphan drug exclusivity in the relevant indication or use or where the manufacturer is unable to assure sufficient product quantity.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relevant rare disease or condition. Further, even if we obtain orphan drug exclusivity for a product, that exclusivity may not effectively protect the product from competition because different biologics can be approved for the same uses or indications within the same rare disease or condition. Even after an orphan product is approved, the FDA can subsequently approve the same drug or therapeutic biologic for the same indication or use within the relevant disease or condition if the FDA concludes that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PROBODY platform,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or the addition or termination of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our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large portion of the revenue recognized relates to up-front payments received in earlier years, so the current cash flows from operations may be significantly different from the net income (loss) reported;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to be recognized in 2026 and future years may be significantly lower than 2025 as collaboration research terms come to an 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Section 404 of the Sarbanes-Oxley Act of 2002 requires that we evaluate and determine the effectiveness of our internal controls over financial reporting, provide a management report on the internal control over financial reporting and obtain</w:t>
      </w:r>
      <w:r>
        <w:rPr>
          <w:rFonts w:ascii="Times New Roman" w:hAnsi="Times New Roman"/>
          <w:color w:val="001D35"/>
          <w:sz w:val="20"/>
        </w:rPr>
        <w:t xml:space="preserve"> </w:t>
      </w:r>
      <w:r>
        <w:rPr>
          <w:rFonts w:ascii="Times New Roman" w:hAnsi="Times New Roman"/>
          <w:color w:val="000000"/>
          <w:sz w:val="20"/>
        </w:rPr>
        <w:t xml:space="preserve">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accepted accounting principles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purchasers of our common stock could incur substantial losses.</w:t>
      </w:r>
    </w:p>
    <w:p>
      <w:pPr>
        <w:pStyle w:val="TextBody"/>
        <w:bidi w:val="0"/>
        <w:jc w:val="left"/>
        <w:rPr>
          <w:rFonts w:ascii="Times New Roman" w:hAnsi="Times New Roman"/>
          <w:color w:val="000000"/>
          <w:sz w:val="20"/>
        </w:rPr>
      </w:pPr>
      <w:r>
        <w:rPr>
          <w:rFonts w:ascii="Times New Roman" w:hAnsi="Times New Roman"/>
          <w:color w:val="000000"/>
          <w:sz w:val="20"/>
        </w:rPr>
        <w:t>Our stock price is volatile. Since our initial public offering (“IPO”), our stock had low and high sales prices in the range of $0.40 and $35.00 per share. The market price for our common stock may be influenced by many factors, including the other risks described in this section titled “Risk Factors”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existing or future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We have issued securities under our ATM Program and through other equity offerings of common stock and warrants, and may do so in the future.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bidi w:val="0"/>
        <w:jc w:val="left"/>
        <w:rPr>
          <w:rFonts w:ascii="Times New Roman" w:hAnsi="Times New Roman"/>
          <w:color w:val="000000"/>
          <w:sz w:val="20"/>
        </w:rPr>
      </w:pPr>
      <w:r>
        <w:rPr>
          <w:rFonts w:ascii="Times New Roman" w:hAnsi="Times New Roman"/>
          <w:color w:val="000000"/>
          <w:sz w:val="20"/>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market for our common stock may not be maintained.</w:t>
      </w:r>
    </w:p>
    <w:p>
      <w:pPr>
        <w:pStyle w:val="TextBody"/>
        <w:bidi w:val="0"/>
        <w:jc w:val="left"/>
        <w:rPr>
          <w:rFonts w:ascii="Times New Roman" w:hAnsi="Times New Roman"/>
          <w:color w:val="000000"/>
          <w:sz w:val="20"/>
        </w:rPr>
      </w:pPr>
      <w:r>
        <w:rPr>
          <w:rFonts w:ascii="Times New Roman" w:hAnsi="Times New Roman"/>
          <w:color w:val="000000"/>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March 31, 2026, our executive officers, directors, holders of 5% or more of our capital stock based on publicly available filings made with the SEC and their respective affiliates beneficially owned approximately 24% of our outstanding common stock. These stockholders, acting together, would have significant influence over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jc w:val="left"/>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 and corporate governance practices.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meet the continued listing requirements of the Nasdaq Global Select Market, including minimum stock price requirements, could result in a delisting of our common stock</w:t>
      </w:r>
      <w:r>
        <w:rPr>
          <w:rFonts w:ascii="Times New Roman" w:hAnsi="Times New Roman"/>
          <w:b/>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satisfy the continued listing requirements of the Nasdaq Global Select Market (“Nasdaq”), such as the corporate governance requirements or the minimum closing bid price requirement, Nasdaq may take steps to delist our common stock. For example, on February 24, 2025, we received notice from Nasdaq that we failed to meet Nasdaq’s minimum closing bid price requirement of $1.00 per share. Although we subsequently regained compliance, we cannot provide any assurance that we will be able to maintain compliance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significant costs from class action litigation due to our expected stock volatility.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us that issued the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Any future pandemic could adversely impact our business, including our research, development, including clinical trials, manufacturing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impact of future pandemics could severely impact the business, research, development and manufacturing for us and our partners including ongoing or planned clinical trials for Varseta-M and CX-801, and any clinical trials of our partners. We previously experienced operational disruptions from the COVID-19 pandemic and could face similar or more severe disruptions from any future pandemic. These disruptions and impacts may include: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research activities or obtaining necessary supplies to enable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for any clinical trials we or our partners decide to initiate, including Varseta-M and CX-801, including difficulties in recruiting clinical site investigators and clinical site staff and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interpreting clinical data due to patients being infected by pandemic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or our partners’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be certain of the impact of any future pandemic on our business or make any assurance that research, development or manufacturing of our product candidates will not be delayed, discontinued or otherwise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 pandemic may negatively impact the trading price of shares of our common stock and could further severely impact our ability to raise additional capital on a timely basis or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U.S. and multi-national financial market conditions may adversely affect our business and financial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acquire assets or form strategic alliances in the future, and we may not realize the benefits of such acquisitions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we continue to mature our PROBODY platform and our clinical stage pipeline, we may seek to acquire and/or in-license other oncology products, product candidates, programs or companies that we consider complementary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acquisition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incur substantial debt or engage in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disruption of our historical business and our activities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strain on, and need to expand, our existing operational, technical, financial and administrative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experience in late-stage product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assimilating employees and corporate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hiring qualified personnel and establishing necessary development and/or commercialization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retain key management and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challenges in controlling additional costs and expenses in connection with and as a result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write down assets or recognize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to integration of operations and corporate and administrative infrastructures;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unanticipated liabilities for activities of or related to the acquired business or its operations, products or product candidates.</w:t>
      </w:r>
    </w:p>
    <w:p>
      <w:pPr>
        <w:pStyle w:val="TextBody"/>
        <w:bidi w:val="0"/>
        <w:jc w:val="left"/>
        <w:rPr>
          <w:rFonts w:ascii="Times New Roman" w:hAnsi="Times New Roman"/>
          <w:color w:val="000000"/>
          <w:sz w:val="20"/>
        </w:rPr>
      </w:pPr>
      <w:r>
        <w:rPr>
          <w:rFonts w:ascii="Times New Roman" w:hAnsi="Times New Roman"/>
          <w:color w:val="000000"/>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In the ordinary course of our business, we collect and store confidential and sensitive electronic information on our networks and in our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Confidential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Furthermore, any integration of artificial intelligence in our or any third party’s operations, products or services is expected to pose new or unknown cybersecurity risks and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recovery of our data could take a prolonged period of time,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Ongoing or future international conflicts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Armed conflicts that arise from time to time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comply with laws regulating the protection of the environment and health and human safety, our business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foreign tax laws or regulations that are applied adversely to us may have a material adverse effect on our business, cash flow,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Repurchases of Shares or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Trading Arrangement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27, 2026, Sean McCarthy, our Chief Executive Officer and Chairman, adopted a Rule 10b5-1 trading arrangement that is intended to satisfy the affirmative defense of Rule 10b5-1(c) for the sale of up to 200,000 shares of the Company’s common stock between January 4, 2027 and June 30, 2027. The plan will expire on June 30,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our underwritten public offering in March 2026, Mr. McCarthy entered into a lock-up agreement pursuant to which he agreed, among other things, not to sell or transfer any securities for the period ending 45 days following the offering, subject to certain exceptions. No sales will be made pursuant to such plan during the lock-up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146"/>
        <w:gridCol w:w="5959"/>
        <w:gridCol w:w="146"/>
        <w:gridCol w:w="532"/>
        <w:gridCol w:w="146"/>
        <w:gridCol w:w="683"/>
        <w:gridCol w:w="146"/>
        <w:gridCol w:w="691"/>
        <w:gridCol w:w="146"/>
        <w:gridCol w:w="845"/>
      </w:tblGrid>
      <w:tr>
        <w:trPr/>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Exhibit Description</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Filed</w:t>
              <w:br/>
              <w:t>Herewith</w:t>
            </w:r>
            <w:r>
              <w:rPr>
                <w:rFonts w:ascii="Times New Roman" w:hAnsi="Times New Roman"/>
                <w:color w:val="000000"/>
                <w:sz w:val="16"/>
              </w:rPr>
              <w:t xml:space="preserve">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5/17/2024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CytomX Therapeutics, Inc., effective March 20,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Reference is made to Exhibits 3.1 and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Registrant’s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w:anchor="ctmx-ex19_1.htm">
              <w:r>
                <w:rPr>
                  <w:rStyle w:val="InternetLink"/>
                  <w:rFonts w:ascii="Times New Roman" w:hAnsi="Times New Roman"/>
                  <w:color w:val="0000FF"/>
                  <w:sz w:val="20"/>
                  <w:u w:val="single"/>
                </w:rPr>
                <w:t>Corporate Securities Trading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w:anchor="ctmx-ex31_1.htm">
              <w:r>
                <w:rPr>
                  <w:rStyle w:val="InternetLink"/>
                  <w:rFonts w:ascii="Times New Roman" w:hAnsi="Times New Roman"/>
                  <w:color w:val="0000FF"/>
                  <w:sz w:val="20"/>
                  <w:u w:val="single"/>
                </w:rPr>
                <w:t>Certification of Principal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w:anchor="ctmx-ex31_2.htm">
              <w:r>
                <w:rPr>
                  <w:rStyle w:val="InternetLink"/>
                  <w:rFonts w:ascii="Times New Roman" w:hAnsi="Times New Roman"/>
                  <w:color w:val="0000FF"/>
                  <w:sz w:val="20"/>
                  <w:u w:val="single"/>
                </w:rPr>
                <w:t>Certification of Principal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w:anchor="ctmx-ex32_1.htm">
              <w:r>
                <w:rPr>
                  <w:rStyle w:val="InternetLink"/>
                  <w:rFonts w:ascii="Times New Roman" w:hAnsi="Times New Roman"/>
                  <w:color w:val="0000FF"/>
                  <w:sz w:val="20"/>
                  <w:u w:val="single"/>
                </w:rPr>
                <w:t>Certification of Chief Executive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hyperlink w:anchor="ctmx-ex32_2.htm">
              <w:r>
                <w:rPr>
                  <w:rStyle w:val="InternetLink"/>
                  <w:rFonts w:ascii="Times New Roman" w:hAnsi="Times New Roman"/>
                  <w:color w:val="0000FF"/>
                  <w:sz w:val="20"/>
                  <w:u w:val="single"/>
                </w:rPr>
                <w:t>Certification of Chief Financial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1636"/>
        <w:gridCol w:w="146"/>
        <w:gridCol w:w="406"/>
        <w:gridCol w:w="146"/>
        <w:gridCol w:w="53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CytomX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8"/>
        </w:rPr>
      </w:pPr>
      <w:bookmarkStart w:id="19" w:name="ctmx-ex19_1.htm"/>
      <w:bookmarkStart w:id="20" w:name="ksctmxex19_1"/>
      <w:bookmarkEnd w:id="19"/>
      <w:bookmarkEnd w:id="20"/>
      <w:r>
        <w:rPr>
          <w:rFonts w:ascii="sans-serif" w:hAnsi="sans-serif"/>
          <w:b/>
          <w:color w:val="000000"/>
          <w:sz w:val="28"/>
        </w:rPr>
        <w:t>Exhibit 19.1</w:t>
      </w:r>
      <w:r>
        <w:br w:type="page"/>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24"/>
          <w:u w:val="single"/>
        </w:rPr>
        <w:t>Purpose:</w:t>
      </w:r>
      <w:r>
        <w:rPr>
          <w:rFonts w:ascii="Times New Roman" w:hAnsi="Times New Roman"/>
          <w:color w:val="000000"/>
          <w:sz w:val="20"/>
        </w:rPr>
        <w:t xml:space="preserve"> </w:t>
      </w:r>
      <w:r>
        <w:rPr>
          <w:rFonts w:ascii="Times New Roman" w:hAnsi="Times New Roman"/>
          <w:color w:val="000000"/>
          <w:sz w:val="24"/>
        </w:rPr>
        <w:t>CytomX Therapeutics, Inc. (“CytomX” or “Company”) is committed to establishing rules and guidelines for all employees, directors, consultants and contractors that require compliance with all applicable laws with respect to their trading of securities of CytomX and other companies with whom we do business.</w:t>
      </w:r>
    </w:p>
    <w:p>
      <w:pPr>
        <w:pStyle w:val="TextBody"/>
        <w:bidi w:val="0"/>
        <w:jc w:val="both"/>
        <w:rPr/>
      </w:pPr>
      <w:r>
        <w:rPr/>
        <w:t> </w:t>
      </w:r>
    </w:p>
    <w:p>
      <w:pPr>
        <w:pStyle w:val="Heading1"/>
        <w:bidi w:val="0"/>
        <w:spacing w:before="91" w:after="283"/>
        <w:jc w:val="both"/>
        <w:rPr>
          <w:rFonts w:ascii="Times New Roman" w:hAnsi="Times New Roman"/>
          <w:sz w:val="20"/>
        </w:rPr>
      </w:pPr>
      <w:r>
        <w:rPr>
          <w:rFonts w:ascii="Times New Roman" w:hAnsi="Times New Roman"/>
          <w:color w:val="000000"/>
          <w:sz w:val="24"/>
          <w:u w:val="single"/>
        </w:rPr>
        <w:t>Scope:</w:t>
      </w:r>
      <w:r>
        <w:rPr>
          <w:rFonts w:ascii="Times New Roman" w:hAnsi="Times New Roman"/>
          <w:color w:val="000000"/>
          <w:sz w:val="20"/>
        </w:rPr>
        <w:t xml:space="preserve"> </w:t>
      </w:r>
      <w:r>
        <w:rPr>
          <w:rFonts w:ascii="Times New Roman" w:hAnsi="Times New Roman"/>
          <w:b w:val="false"/>
          <w:color w:val="000000"/>
          <w:sz w:val="24"/>
        </w:rPr>
        <w:t>This policy applies to all employees and directors, and to certain consultants and contractors designated by the Company (such employees, directors, consultants and contractors are collectively referred to as "employees") of CytomX.</w:t>
      </w:r>
    </w:p>
    <w:p>
      <w:pPr>
        <w:pStyle w:val="TextBody"/>
        <w:bidi w:val="0"/>
        <w:jc w:val="both"/>
        <w:rPr/>
      </w:pPr>
      <w:r>
        <w:rPr/>
        <w:t> </w:t>
      </w:r>
    </w:p>
    <w:p>
      <w:pPr>
        <w:pStyle w:val="TextBody"/>
        <w:bidi w:val="0"/>
        <w:spacing w:before="91" w:after="160"/>
        <w:jc w:val="both"/>
        <w:rPr>
          <w:rFonts w:ascii="Times New Roman" w:hAnsi="Times New Roman"/>
          <w:b/>
          <w:color w:val="000000"/>
          <w:sz w:val="24"/>
          <w:u w:val="single"/>
        </w:rPr>
      </w:pPr>
      <w:r>
        <w:rPr>
          <w:rFonts w:ascii="Times New Roman" w:hAnsi="Times New Roman"/>
          <w:b/>
          <w:color w:val="000000"/>
          <w:sz w:val="24"/>
          <w:u w:val="single"/>
        </w:rPr>
        <w:t>Policy:</w:t>
      </w:r>
    </w:p>
    <w:p>
      <w:pPr>
        <w:pStyle w:val="TextBody"/>
        <w:bidi w:val="0"/>
        <w:spacing w:before="80" w:after="240"/>
        <w:jc w:val="both"/>
        <w:rPr>
          <w:rFonts w:ascii="Times New Roman" w:hAnsi="Times New Roman"/>
          <w:sz w:val="20"/>
        </w:rPr>
      </w:pPr>
      <w:r>
        <w:rPr>
          <w:rFonts w:ascii="Times New Roman" w:hAnsi="Times New Roman"/>
          <w:color w:val="000000"/>
          <w:sz w:val="24"/>
        </w:rPr>
        <w:t>Because the Company’s stock is publicly traded, employees must comply with the provisions of federal and state securities laws, including the rules and regulations of the Securities Exchange Commission (the “SEC”), and this policy. From time to time some or all employees may be in possession of material non-public information.</w:t>
      </w:r>
      <w:r>
        <w:rPr>
          <w:rFonts w:ascii="Times New Roman" w:hAnsi="Times New Roman"/>
          <w:color w:val="000000"/>
          <w:sz w:val="20"/>
        </w:rPr>
        <w:t xml:space="preserve"> </w:t>
      </w:r>
      <w:r>
        <w:rPr>
          <w:rFonts w:ascii="Times New Roman" w:hAnsi="Times New Roman"/>
          <w:b/>
          <w:color w:val="000000"/>
          <w:sz w:val="24"/>
        </w:rPr>
        <w:t>No employee may buy or sell stock or other securities of CytomX while in the possession of information about CytomX that is both material and non-public.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Furthermore, it is illegal and a violation of this policy for you to buy or sell the stock or other securities of companies working with the Company, on the basis of material, non-public information about those companies. It is also illegal and against Company policy for you to pass such material non-public information on to others (also known as tipping) who use it to decide whether to buy or sell our stock or the stock of companies whose material non-public information you pass on.</w:t>
      </w:r>
    </w:p>
    <w:p>
      <w:pPr>
        <w:pStyle w:val="TextBody"/>
        <w:bidi w:val="0"/>
        <w:spacing w:before="240" w:after="240"/>
        <w:jc w:val="both"/>
        <w:rPr>
          <w:rFonts w:ascii="Times New Roman" w:hAnsi="Times New Roman"/>
          <w:sz w:val="20"/>
        </w:rPr>
      </w:pPr>
      <w:r>
        <w:rPr>
          <w:rFonts w:ascii="Times New Roman" w:hAnsi="Times New Roman"/>
          <w:color w:val="000000"/>
          <w:sz w:val="24"/>
        </w:rPr>
        <w:t>This policy also prohibits or limits not only illegal activities, but also other stock trading activities that may not be illegal. These additional restrictions are designed to protect both you and the Company from even the appearance of improper activity.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reserves the right to take whatever disciplinary or other measure(s) it determines in its sole discretion to be appropriate in any particular situation, including disclosure of wrongdoing to governmental authorities.</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w:t>
      </w:r>
    </w:p>
    <w:p>
      <w:pPr>
        <w:pStyle w:val="TextBody"/>
        <w:bidi w:val="0"/>
        <w:jc w:val="both"/>
        <w:rPr>
          <w:rFonts w:ascii="Times New Roman" w:hAnsi="Times New Roman"/>
          <w:b/>
          <w:color w:val="000000"/>
          <w:sz w:val="24"/>
        </w:rPr>
      </w:pPr>
      <w:r>
        <w:rPr>
          <w:rFonts w:ascii="Times New Roman" w:hAnsi="Times New Roman"/>
          <w:b/>
          <w:color w:val="000000"/>
          <w:sz w:val="24"/>
        </w:rPr>
        <w:t>Material Non-Public Information</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1</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Material information is information that a reasonable person would consider important in deciding whether to buy or sell our stock or other securities.</w:t>
      </w:r>
      <w:r>
        <w:rPr>
          <w:rFonts w:ascii="Times New Roman" w:hAnsi="Times New Roman"/>
          <w:color w:val="000000"/>
          <w:sz w:val="20"/>
        </w:rPr>
        <w:t xml:space="preserve"> </w:t>
      </w:r>
      <w:r>
        <w:rPr>
          <w:rFonts w:ascii="Times New Roman" w:hAnsi="Times New Roman"/>
          <w:color w:val="000000"/>
          <w:sz w:val="24"/>
        </w:rPr>
        <w:t>For example, material information may include (but is not limited to) news concerning product development and sales, partnerships, clinical trial or research data or information, manufacturing information, positive or negative news concerning a relationship with one of our corporate partners, strategic plans, financial results, merger or acquisition news, patent or other significant intellectual property developments, significant litigation or regulatory actions, cybersecurity of data security incidents, or key personnel hires or departures.</w:t>
      </w:r>
    </w:p>
    <w:p>
      <w:pPr>
        <w:pStyle w:val="TextBody"/>
        <w:bidi w:val="0"/>
        <w:spacing w:before="0" w:after="240"/>
        <w:jc w:val="both"/>
        <w:rPr>
          <w:rFonts w:ascii="Times New Roman" w:hAnsi="Times New Roman"/>
          <w:sz w:val="20"/>
        </w:rPr>
      </w:pPr>
      <w:r>
        <w:rPr>
          <w:rFonts w:ascii="Times New Roman" w:hAnsi="Times New Roman"/>
          <w:color w:val="000000"/>
          <w:sz w:val="24"/>
        </w:rPr>
        <w:t>It can sometimes be difficult to know whether information would be considered “material.” The determination of whether information is material or not is almost always made after the fact, when the effect of that information on the market can be quantified. Although you may be aware of information that you do not consider to be material, federal regulators and others may conclude that such information was material. Therefore, trading in a company’s securities based on such information can be risky. When doubt exists, the information should be presumed to be material until you are informed otherwise.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Non-public information is information that has not been announced publicly, such as by press release, conference call, public filing or similar means of public dissemination. </w:t>
      </w:r>
      <w:r>
        <w:rPr>
          <w:rFonts w:ascii="Times New Roman" w:hAnsi="Times New Roman"/>
          <w:color w:val="000000"/>
          <w:sz w:val="24"/>
        </w:rPr>
        <w:t>Only specifically authorized individuals are permitted to release non-public information to the public. If you are unsure whether information of which you are aware is material or non-public, you should consult with our Chief Financial Officer (or Principal Financial Officer) or General Counsel.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Notwithstanding any pre-clearance or trading in an open window the determination of whether a person has non-public material information is the sole responsibility of the person trading in the stock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Trading After Release of Material Information.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You must wait until the opening of trading on Nasdaq of the </w:t>
      </w:r>
      <w:r>
        <w:rPr>
          <w:rFonts w:ascii="Times New Roman" w:hAnsi="Times New Roman"/>
          <w:b/>
          <w:color w:val="000000"/>
          <w:sz w:val="24"/>
          <w:u w:val="single"/>
        </w:rPr>
        <w:t>second</w:t>
      </w:r>
      <w:r>
        <w:rPr>
          <w:rFonts w:ascii="Times New Roman" w:hAnsi="Times New Roman"/>
          <w:color w:val="000000"/>
          <w:sz w:val="20"/>
        </w:rPr>
        <w:t xml:space="preserve"> </w:t>
      </w:r>
      <w:r>
        <w:rPr>
          <w:rFonts w:ascii="Times New Roman" w:hAnsi="Times New Roman"/>
          <w:b/>
          <w:color w:val="000000"/>
          <w:sz w:val="24"/>
        </w:rPr>
        <w:t>trading day after the material information is publicly announced</w:t>
      </w:r>
      <w:r>
        <w:rPr>
          <w:rFonts w:ascii="Times New Roman" w:hAnsi="Times New Roman"/>
          <w:color w:val="000000"/>
          <w:sz w:val="20"/>
        </w:rPr>
        <w:t xml:space="preserve"> </w:t>
      </w:r>
      <w:r>
        <w:rPr>
          <w:rFonts w:ascii="Times New Roman" w:hAnsi="Times New Roman"/>
          <w:color w:val="000000"/>
          <w:sz w:val="24"/>
        </w:rPr>
        <w:t>(if you were previously restricted by the Company or otherwise aware of the information)</w:t>
      </w:r>
      <w:r>
        <w:rPr>
          <w:rFonts w:ascii="Times New Roman" w:hAnsi="Times New Roman"/>
          <w:color w:val="000000"/>
          <w:sz w:val="20"/>
        </w:rPr>
        <w:t xml:space="preserve"> </w:t>
      </w:r>
      <w:r>
        <w:rPr>
          <w:rFonts w:ascii="Times New Roman" w:hAnsi="Times New Roman"/>
          <w:b/>
          <w:color w:val="000000"/>
          <w:sz w:val="24"/>
        </w:rPr>
        <w:t>before you can trade.</w:t>
      </w:r>
      <w:r>
        <w:rPr>
          <w:rFonts w:ascii="Times New Roman" w:hAnsi="Times New Roman"/>
          <w:color w:val="000000"/>
          <w:sz w:val="20"/>
        </w:rPr>
        <w:t xml:space="preserve"> </w:t>
      </w:r>
      <w:r>
        <w:rPr>
          <w:rFonts w:ascii="Times New Roman" w:hAnsi="Times New Roman"/>
          <w:color w:val="000000"/>
          <w:sz w:val="24"/>
        </w:rPr>
        <w:t>For example, if the information is publicly announced late on a Tuesday, you cannot trade until Thursday (assuming no intervening holidays during that week when the market is closed).</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jc w:val="both"/>
        <w:rPr>
          <w:rFonts w:ascii="Times New Roman" w:hAnsi="Times New Roman"/>
          <w:b/>
          <w:color w:val="000000"/>
          <w:sz w:val="24"/>
        </w:rPr>
      </w:pPr>
      <w:r>
        <w:rPr>
          <w:rFonts w:ascii="Times New Roman" w:hAnsi="Times New Roman"/>
          <w:b/>
          <w:color w:val="000000"/>
          <w:sz w:val="24"/>
        </w:rPr>
        <w:t>Restricted Persons and Other Employee Restrictions</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From time to time the Company will determine that certain individuals (“Restricted Persons”) may buy or sell our stock only at certain times when the “trading window” period is open. You are a “Restricted Person” if you are: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2</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10" w:after="283"/>
        <w:jc w:val="both"/>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A member of the Board of Directors of CytomX (the “Board”).</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An employee of CytomX with a title of vice president or above.</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An employee who works in the legal, finance or investor relations department of CytomX, unless specifically told otherwise in writing by the General Counsel or Chief Financial Officer (or Principal Financial Officer).</w:t>
      </w:r>
    </w:p>
    <w:p>
      <w:pPr>
        <w:pStyle w:val="TextBody"/>
        <w:bidi w:val="0"/>
        <w:spacing w:before="1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10" w:after="240"/>
        <w:jc w:val="both"/>
        <w:rPr>
          <w:rFonts w:ascii="Times New Roman" w:hAnsi="Times New Roman"/>
          <w:color w:val="000000"/>
          <w:sz w:val="24"/>
        </w:rPr>
      </w:pPr>
      <w:r>
        <w:rPr>
          <w:rFonts w:ascii="Times New Roman" w:hAnsi="Times New Roman"/>
          <w:color w:val="000000"/>
          <w:sz w:val="24"/>
        </w:rPr>
        <w:t xml:space="preserve">Any individual designated as a Restricted Person by the Chief Financial Officer (or Principal Financial Officer) or the General Counsel, in their sole discretion. </w:t>
      </w:r>
    </w:p>
    <w:p>
      <w:pPr>
        <w:pStyle w:val="TextBody"/>
        <w:bidi w:val="0"/>
        <w:spacing w:before="0" w:after="240"/>
        <w:jc w:val="both"/>
        <w:rPr>
          <w:rFonts w:ascii="Times New Roman" w:hAnsi="Times New Roman"/>
          <w:sz w:val="20"/>
        </w:rPr>
      </w:pPr>
      <w:r>
        <w:rPr>
          <w:rFonts w:ascii="Times New Roman" w:hAnsi="Times New Roman"/>
          <w:b/>
          <w:color w:val="000000"/>
          <w:sz w:val="24"/>
        </w:rPr>
        <w:t>From time to time, the Company may determine that in addition to Restricted Persons, all employees or certain specific employees are restricted from trading and that the trading window is closed.</w:t>
      </w:r>
      <w:r>
        <w:rPr>
          <w:rFonts w:ascii="Times New Roman" w:hAnsi="Times New Roman"/>
          <w:color w:val="000000"/>
          <w:sz w:val="20"/>
        </w:rPr>
        <w:t xml:space="preserve"> </w:t>
      </w:r>
      <w:r>
        <w:rPr>
          <w:rFonts w:ascii="Times New Roman" w:hAnsi="Times New Roman"/>
          <w:color w:val="000000"/>
          <w:sz w:val="24"/>
        </w:rPr>
        <w:t>During those times all employees or those specific employees are prohibited from trading in CytomX stock until notified that the window is open. A restriction on trading in effect for any person subject to the restriction will remain applicable even if the person leaves the employment of the Company until the restriction is removed. If you have any question about whether a restriction is in place, contact the General Counsel.</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rFonts w:ascii="Times New Roman" w:hAnsi="Times New Roman"/>
          <w:b/>
          <w:color w:val="000000"/>
          <w:sz w:val="24"/>
        </w:rPr>
      </w:pPr>
      <w:r>
        <w:rPr>
          <w:rFonts w:ascii="Times New Roman" w:hAnsi="Times New Roman"/>
          <w:b/>
          <w:color w:val="000000"/>
          <w:sz w:val="24"/>
        </w:rPr>
        <w:t>Trading Windows/ Blackout Periods</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 xml:space="preserve">Trading window periods are those periods of time during which Restricted Persons and other employees are permitted to trade our stock or other securities. At these times, the “window” is said to be “open.” Occasionally the Company may inform all employees or a sub-set of designated personnel, including Restricted Persons, that in the abundance of caution, it has closed the trading window to prevent even the appearance of trading with material non-public information. A period of time when the trading window is “closed” is referred to as a “Blackout Period.” </w:t>
      </w:r>
      <w:r>
        <w:rPr>
          <w:rFonts w:ascii="Times New Roman" w:hAnsi="Times New Roman"/>
          <w:b/>
          <w:color w:val="000000"/>
          <w:sz w:val="24"/>
        </w:rPr>
        <w:t>There will also be routine quarterly Blackout Periods for Restricted Persons which will run from the end of the last day of the month in which each fiscal quarter ends until the opening of the second trading day following the public release of the Company’s earnings relating to such period (“Quarterly Blackout Period”)</w:t>
      </w:r>
      <w:r>
        <w:rPr>
          <w:rFonts w:ascii="Times New Roman" w:hAnsi="Times New Roman"/>
          <w:color w:val="000000"/>
          <w:sz w:val="24"/>
        </w:rPr>
        <w:t xml:space="preserve">. </w:t>
      </w:r>
      <w:r>
        <w:rPr>
          <w:rFonts w:ascii="Times New Roman" w:hAnsi="Times New Roman"/>
          <w:b/>
          <w:color w:val="000000"/>
          <w:sz w:val="24"/>
        </w:rPr>
        <w:t>Restricted Persons, or any immediate family member or any member of the household of any such person, may not trade during the Quarterly Blackout Period even if they don’t possess any material, non-public information.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restriction on trading securities during a Blackout Period does not apply to:</w:t>
      </w:r>
    </w:p>
    <w:p>
      <w:pPr>
        <w:pStyle w:val="TextBody"/>
        <w:bidi w:val="0"/>
        <w:spacing w:before="240" w:after="240"/>
        <w:jc w:val="both"/>
        <w:rPr>
          <w:rFonts w:ascii="Times New Roman" w:hAnsi="Times New Roman"/>
          <w:sz w:val="20"/>
        </w:rPr>
      </w:pPr>
      <w:r>
        <w:rPr>
          <w:rFonts w:ascii="Times New Roman" w:hAnsi="Times New Roman"/>
          <w:b/>
          <w:color w:val="000000"/>
          <w:sz w:val="24"/>
        </w:rPr>
        <w:t>4.1</w:t>
      </w:r>
      <w:r>
        <w:rPr>
          <w:rFonts w:ascii="Times New Roman" w:hAnsi="Times New Roman"/>
          <w:color w:val="000000"/>
          <w:sz w:val="20"/>
        </w:rPr>
        <w:t xml:space="preserve"> </w:t>
      </w:r>
      <w:r>
        <w:rPr>
          <w:rFonts w:ascii="Times New Roman" w:hAnsi="Times New Roman"/>
          <w:color w:val="000000"/>
          <w:sz w:val="24"/>
        </w:rPr>
        <w:t xml:space="preserve">Company </w:t>
      </w:r>
      <w:r>
        <w:rPr>
          <w:rFonts w:ascii="Times New Roman" w:hAnsi="Times New Roman"/>
          <w:i/>
          <w:color w:val="000000"/>
          <w:sz w:val="24"/>
        </w:rPr>
        <w:t>Purchases &amp; Sales</w:t>
      </w:r>
      <w:r>
        <w:rPr>
          <w:rFonts w:ascii="Times New Roman" w:hAnsi="Times New Roman"/>
          <w:color w:val="000000"/>
          <w:sz w:val="24"/>
        </w:rPr>
        <w:t>: Purchases of the Company’s securities from the Company or sales of the Company’s securities to the Company or by the Company are not prohibited during a Blackout Period.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3</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b/>
          <w:color w:val="000000"/>
          <w:sz w:val="24"/>
        </w:rPr>
        <w:t>4.2</w:t>
      </w:r>
      <w:r>
        <w:rPr>
          <w:rFonts w:ascii="Times New Roman" w:hAnsi="Times New Roman"/>
          <w:color w:val="000000"/>
          <w:sz w:val="20"/>
        </w:rPr>
        <w:t xml:space="preserve"> </w:t>
      </w:r>
      <w:r>
        <w:rPr>
          <w:rFonts w:ascii="Times New Roman" w:hAnsi="Times New Roman"/>
          <w:i/>
          <w:color w:val="000000"/>
          <w:sz w:val="24"/>
        </w:rPr>
        <w:t>Stock Option Exercises</w:t>
      </w:r>
      <w:r>
        <w:rPr>
          <w:rFonts w:ascii="Times New Roman" w:hAnsi="Times New Roman"/>
          <w:color w:val="000000"/>
          <w:sz w:val="24"/>
        </w:rPr>
        <w:t xml:space="preserve">: The exercise of employee stock options of the Company is not prohibited during a Blackout Period </w:t>
      </w:r>
      <w:r>
        <w:rPr>
          <w:rFonts w:ascii="Times New Roman" w:hAnsi="Times New Roman"/>
          <w:color w:val="000000"/>
          <w:sz w:val="24"/>
          <w:u w:val="single"/>
        </w:rPr>
        <w:t>as long as the exercise does not involve a sale of securities of the Company</w:t>
      </w:r>
      <w:r>
        <w:rPr>
          <w:rFonts w:ascii="Times New Roman" w:hAnsi="Times New Roman"/>
          <w:color w:val="000000"/>
          <w:sz w:val="20"/>
        </w:rPr>
        <w:t xml:space="preserve"> </w:t>
      </w:r>
      <w:r>
        <w:rPr>
          <w:rFonts w:ascii="Times New Roman" w:hAnsi="Times New Roman"/>
          <w:color w:val="000000"/>
          <w:sz w:val="24"/>
        </w:rPr>
        <w:t>(e.g. the cashless exercise of a stock option of the Company involves a sale of securities of the Company and therefore would not qualify under that exception). For the avoidance of doubt, Restricted Persons and other employees who are restricted from trading are permitted to exercise and hold employee stock options of the Company, even during Blackout Periods. Employees subject to a Blackout Period may not sell any stock acquired through the exercise of an option during the Blackout Period, including the Quarterly Blackout Period, where they are restricted.</w:t>
      </w:r>
    </w:p>
    <w:p>
      <w:pPr>
        <w:pStyle w:val="TextBody"/>
        <w:bidi w:val="0"/>
        <w:spacing w:before="0" w:after="240"/>
        <w:jc w:val="both"/>
        <w:rPr>
          <w:rFonts w:ascii="Times New Roman" w:hAnsi="Times New Roman"/>
          <w:sz w:val="20"/>
        </w:rPr>
      </w:pPr>
      <w:r>
        <w:rPr>
          <w:rFonts w:ascii="Times New Roman" w:hAnsi="Times New Roman"/>
          <w:b/>
          <w:color w:val="000000"/>
          <w:sz w:val="24"/>
        </w:rPr>
        <w:t>4.3</w:t>
      </w:r>
      <w:r>
        <w:rPr>
          <w:rFonts w:ascii="Times New Roman" w:hAnsi="Times New Roman"/>
          <w:color w:val="000000"/>
          <w:sz w:val="20"/>
        </w:rPr>
        <w:t xml:space="preserve"> </w:t>
      </w:r>
      <w:r>
        <w:rPr>
          <w:rFonts w:ascii="Times New Roman" w:hAnsi="Times New Roman"/>
          <w:i/>
          <w:color w:val="000000"/>
          <w:sz w:val="24"/>
        </w:rPr>
        <w:t>Gifts</w:t>
      </w:r>
      <w:r>
        <w:rPr>
          <w:rFonts w:ascii="Times New Roman" w:hAnsi="Times New Roman"/>
          <w:color w:val="000000"/>
          <w:sz w:val="24"/>
        </w:rPr>
        <w:t>: Bona fide gifts of the Company’s securities are not prohibited during a Blackout Period, unless the individual making the gift knows, or is reckless in not knowing, the recipient intends to sell the securities while the donor is in possession of material non-public information about the Company.</w:t>
      </w:r>
    </w:p>
    <w:p>
      <w:pPr>
        <w:pStyle w:val="TextBody"/>
        <w:bidi w:val="0"/>
        <w:spacing w:before="0" w:after="240"/>
        <w:jc w:val="both"/>
        <w:rPr>
          <w:rFonts w:ascii="Times New Roman" w:hAnsi="Times New Roman"/>
          <w:sz w:val="20"/>
        </w:rPr>
      </w:pPr>
      <w:r>
        <w:rPr>
          <w:rFonts w:ascii="Times New Roman" w:hAnsi="Times New Roman"/>
          <w:b/>
          <w:color w:val="000000"/>
          <w:sz w:val="24"/>
        </w:rPr>
        <w:t>4.4</w:t>
      </w:r>
      <w:r>
        <w:rPr>
          <w:rFonts w:ascii="Times New Roman" w:hAnsi="Times New Roman"/>
          <w:color w:val="000000"/>
          <w:sz w:val="20"/>
        </w:rPr>
        <w:t xml:space="preserve"> </w:t>
      </w:r>
      <w:r>
        <w:rPr>
          <w:rFonts w:ascii="Times New Roman" w:hAnsi="Times New Roman"/>
          <w:i/>
          <w:color w:val="000000"/>
          <w:sz w:val="24"/>
        </w:rPr>
        <w:t>10b5-1 Plans</w:t>
      </w:r>
      <w:r>
        <w:rPr>
          <w:rFonts w:ascii="Times New Roman" w:hAnsi="Times New Roman"/>
          <w:color w:val="000000"/>
          <w:sz w:val="24"/>
        </w:rPr>
        <w:t>: Purchases or sales of the Company’s securities made pursuant to any plan adopted to comply with the Exchange Act Rule 10b5-1 (a “10b5-1 Plan”).</w:t>
      </w:r>
    </w:p>
    <w:p>
      <w:pPr>
        <w:pStyle w:val="TextBody"/>
        <w:bidi w:val="0"/>
        <w:jc w:val="left"/>
        <w:rPr>
          <w:rFonts w:ascii="Times New Roman" w:hAnsi="Times New Roman"/>
          <w:color w:val="000000"/>
          <w:sz w:val="24"/>
        </w:rPr>
      </w:pPr>
      <w:r>
        <w:rPr>
          <w:rFonts w:ascii="Times New Roman" w:hAnsi="Times New Roman"/>
          <w:color w:val="000000"/>
          <w:sz w:val="24"/>
        </w:rPr>
        <w:t>Exceptions to the Blackout Period policy may be approved by the General Counsel or Chief Financial Officer (or Principal Financial Officer), or in the case of exceptions for directors, the Lead Independent Director of the Board or Chair of the Audit Committee.</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5.</w:t>
      </w:r>
    </w:p>
    <w:p>
      <w:pPr>
        <w:pStyle w:val="TextBody"/>
        <w:bidi w:val="0"/>
        <w:jc w:val="left"/>
        <w:rPr>
          <w:rFonts w:ascii="Times New Roman" w:hAnsi="Times New Roman"/>
          <w:b/>
          <w:color w:val="000000"/>
          <w:sz w:val="24"/>
        </w:rPr>
      </w:pPr>
      <w:r>
        <w:rPr>
          <w:rFonts w:ascii="Times New Roman" w:hAnsi="Times New Roman"/>
          <w:b/>
          <w:color w:val="000000"/>
          <w:sz w:val="24"/>
        </w:rPr>
        <w:t>Mandatory Pre-Clearance by Officers &amp; Directors</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officers (vice presidents and up) and members of the Board must receive pre-clearance from the Chief Financial Officer (or Principal Financial Officer), General Counsel or his/her designee prior to commencing any transactions in the Company’s stock or other securities (including without limitation, acquisitions and dispositions of Company stock, the “net” or “cashless” exercise of stock options and the sale of Company stock issued upon exercise of stock options) not covered by a 10b5-1 Plan.</w:t>
      </w:r>
    </w:p>
    <w:p>
      <w:pPr>
        <w:pStyle w:val="TextBody"/>
        <w:bidi w:val="0"/>
        <w:spacing w:before="0" w:after="240"/>
        <w:jc w:val="left"/>
        <w:rPr>
          <w:rFonts w:ascii="Times New Roman" w:hAnsi="Times New Roman"/>
          <w:sz w:val="20"/>
        </w:rPr>
      </w:pPr>
      <w:r>
        <w:rPr>
          <w:rFonts w:ascii="Times New Roman" w:hAnsi="Times New Roman"/>
          <w:color w:val="000000"/>
          <w:sz w:val="24"/>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individual becomes aware of</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4</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material nonpublic information, or becomes subject to a blackout period before the transaction is effected, the transaction may not be completed.</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rFonts w:ascii="Times New Roman" w:hAnsi="Times New Roman"/>
          <w:b/>
          <w:color w:val="000000"/>
          <w:sz w:val="24"/>
        </w:rPr>
      </w:pPr>
      <w:r>
        <w:rPr>
          <w:rFonts w:ascii="Times New Roman" w:hAnsi="Times New Roman"/>
          <w:b/>
          <w:color w:val="000000"/>
          <w:sz w:val="24"/>
        </w:rPr>
        <w:t>Post-Termination Transactions</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If an individual is in possession of material non-public information when the individual’s service terminates, the individual may not trade in the Company’s securities until that information has become public or is no longer material.</w:t>
      </w:r>
    </w:p>
    <w:p>
      <w:pPr>
        <w:pStyle w:val="TextBody"/>
        <w:bidi w:val="0"/>
        <w:spacing w:before="10" w:after="283"/>
        <w:jc w:val="both"/>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No Tipping</w:t>
      </w:r>
    </w:p>
    <w:p>
      <w:pPr>
        <w:pStyle w:val="TextBody"/>
        <w:bidi w:val="0"/>
        <w:spacing w:before="10" w:after="283"/>
        <w:jc w:val="both"/>
        <w:rPr/>
      </w:pPr>
      <w:r>
        <w:rPr/>
        <w:t> </w:t>
      </w:r>
    </w:p>
    <w:p>
      <w:pPr>
        <w:pStyle w:val="TextBody"/>
        <w:bidi w:val="0"/>
        <w:spacing w:before="10" w:after="240"/>
        <w:jc w:val="both"/>
        <w:rPr>
          <w:rFonts w:ascii="Times New Roman" w:hAnsi="Times New Roman"/>
          <w:color w:val="000000"/>
          <w:sz w:val="24"/>
        </w:rPr>
      </w:pPr>
      <w:r>
        <w:rPr>
          <w:rFonts w:ascii="Times New Roman" w:hAnsi="Times New Roman"/>
          <w:color w:val="000000"/>
          <w:sz w:val="24"/>
        </w:rPr>
        <w:t>Employees may not disclose (“tip”) material, non-public information to any other person (including family members) where such information may be used by such person to trade in the Company’s securities (or the securities of any other entity). The concept of unlawful tipping includes passing on such information to friends, family members, or acquaintances under circumstances that suggest you were trying to help them make a profit or avoid a loss. Tipping also includes making recommendations, “signaling,” or expressing opinions about trading, while aware of inside information. You may, of course, provide such information to other employees of the Company on a “need to know” basis in the course of performing your job at the Company. It should be noted that trading by members of an officer’s, director’s or employee’s household can be the responsibility of such officer, director or employee under certain circumstances and could give rise to legal and Company-imposed sanctions.</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rFonts w:ascii="Times New Roman" w:hAnsi="Times New Roman"/>
          <w:b/>
          <w:color w:val="000000"/>
          <w:sz w:val="24"/>
        </w:rPr>
      </w:pPr>
      <w:r>
        <w:rPr>
          <w:rFonts w:ascii="Times New Roman" w:hAnsi="Times New Roman"/>
          <w:b/>
          <w:color w:val="000000"/>
          <w:sz w:val="24"/>
        </w:rPr>
        <w:t>No Trading in Derivative Securities</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You may not trade derivative securities of CytomX at any time. Derivative securities are securities other than common stock that are speculative in nature because they permit a person to leverage his or her investment using a relatively small amount of money. Examples of derivative securities include put and call options, zero cost collars and forward sale contracts. These are different from employee stock options, which are not derivative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Short Selling</w:t>
      </w:r>
    </w:p>
    <w:p>
      <w:pPr>
        <w:pStyle w:val="TextBody"/>
        <w:bidi w:val="0"/>
        <w:spacing w:before="10" w:after="283"/>
        <w:jc w:val="both"/>
        <w:rPr/>
      </w:pPr>
      <w:r>
        <w:rPr/>
        <w:t> </w:t>
      </w:r>
    </w:p>
    <w:p>
      <w:pPr>
        <w:pStyle w:val="TextBody"/>
        <w:bidi w:val="0"/>
        <w:spacing w:before="10" w:after="240"/>
        <w:jc w:val="both"/>
        <w:rPr>
          <w:rFonts w:ascii="Times New Roman" w:hAnsi="Times New Roman"/>
          <w:color w:val="000000"/>
          <w:sz w:val="24"/>
        </w:rPr>
      </w:pPr>
      <w:r>
        <w:rPr>
          <w:rFonts w:ascii="Times New Roman" w:hAnsi="Times New Roman"/>
          <w:color w:val="000000"/>
          <w:sz w:val="24"/>
        </w:rPr>
        <w:t>You may not engage in short selling of our securities. Selling short includes transactions in which you borrow stock from a broker, sell it, and eventually buy it back on the market to return the borrowed shares to the broker. Profit is anticipated through the expectation that the stock price will decrease during the period of borrowing.</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rFonts w:ascii="Times New Roman" w:hAnsi="Times New Roman"/>
          <w:b/>
          <w:color w:val="000000"/>
          <w:sz w:val="24"/>
        </w:rPr>
      </w:pPr>
      <w:r>
        <w:rPr>
          <w:rFonts w:ascii="Times New Roman" w:hAnsi="Times New Roman"/>
          <w:b/>
          <w:color w:val="000000"/>
          <w:sz w:val="24"/>
        </w:rPr>
        <w:t>No Purchasing on Margin or Pledging Stock as Loan Security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5</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You may not purchase CytomX stock on margin at any time. Purchasing securities on margin is the use of borrowed money from a brokerage to purchase securities. You may, however, hold CytomX stock in a margin account, i.e., an account that allows you to borrow money against your stock, including CytomX stock so long as you have, at all times, sufficient cash or securities other than CytomX stock to meet a margin call. You may not allow a "margin call" to be covered by the sale of CytomX securities while in possession of material, non-public information or if the trading window has been closed to you by CytomX pursuant to a Blackout Period. Additionally, you may not pledge CytomX stock as security for any loan or borrowing.</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w:t>
      </w:r>
    </w:p>
    <w:p>
      <w:pPr>
        <w:pStyle w:val="TextBody"/>
        <w:bidi w:val="0"/>
        <w:jc w:val="both"/>
        <w:rPr>
          <w:rFonts w:ascii="Times New Roman" w:hAnsi="Times New Roman"/>
          <w:b/>
          <w:color w:val="000000"/>
          <w:sz w:val="24"/>
        </w:rPr>
      </w:pPr>
      <w:r>
        <w:rPr>
          <w:rFonts w:ascii="Times New Roman" w:hAnsi="Times New Roman"/>
          <w:b/>
          <w:color w:val="000000"/>
          <w:sz w:val="24"/>
        </w:rPr>
        <w:t>No Hedging Transactions</w:t>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Hedging transactions involving CytomX’s securities, such as prepaid variable forward contracts, equity swaps, collars and exchange funds, or other transactions that hedge or offset, or are designed to hedge or offset, any decrease in the market value of CytomX’s equity securities, are prohibited by this policy. Such transactions allow the individual to continue to own the covered securities, but without the full risks and rewards of ownership. When that occurs, the individual may no longer have the same objectives as CytomX’s other stockholders.</w:t>
      </w:r>
    </w:p>
    <w:p>
      <w:pPr>
        <w:pStyle w:val="TextBody"/>
        <w:bidi w:val="0"/>
        <w:spacing w:before="240" w:after="283"/>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12.</w:t>
      </w:r>
    </w:p>
    <w:p>
      <w:pPr>
        <w:pStyle w:val="TextBody"/>
        <w:bidi w:val="0"/>
        <w:jc w:val="both"/>
        <w:rPr>
          <w:rFonts w:ascii="Times New Roman" w:hAnsi="Times New Roman"/>
          <w:b/>
          <w:color w:val="000000"/>
          <w:sz w:val="24"/>
        </w:rPr>
      </w:pPr>
      <w:r>
        <w:rPr>
          <w:rFonts w:ascii="Times New Roman" w:hAnsi="Times New Roman"/>
          <w:b/>
          <w:color w:val="000000"/>
          <w:sz w:val="24"/>
        </w:rPr>
        <w:t>Restrictions on Trading in the Securities of Other Companies</w:t>
      </w:r>
    </w:p>
    <w:p>
      <w:pPr>
        <w:pStyle w:val="TextBody"/>
        <w:bidi w:val="0"/>
        <w:spacing w:before="24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The prohibition on insider trading in this policy is not limited to trading in CytomX’s securities. You are also prohibited from trading in the securities of other companies (such as our suppliers, and those with which we may be negotiating major transactions, such as an acquisition, investment or sale) while in possession of material, non-public information about these companies obtained as a result of your employment by or delivery of services to CytomX. Information that is not material to CytomX may nevertheless be material to one of those other companies. Before trading in the securities of other companies with whom we do business, you should consult with the General Counsel, to determine whether there are any restrictions on doing so.</w:t>
      </w:r>
    </w:p>
    <w:p>
      <w:pPr>
        <w:pStyle w:val="TextBody"/>
        <w:bidi w:val="0"/>
        <w:jc w:val="left"/>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10b5-1 Plans</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The Securities and Exchange Commission permits trades to be executed even if the trader is aware of material, non-public information if the trade is executed pursuant to a previously established plan that meets the requirements of Rule 10b5-1 under the Securities Exchange Act of 1934.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6</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Rule 10b5-1 requires that a 10b5-1 Plan:</w:t>
      </w:r>
    </w:p>
    <w:p>
      <w:pPr>
        <w:pStyle w:val="TextBody"/>
        <w:bidi w:val="0"/>
        <w:spacing w:before="240" w:after="240"/>
        <w:jc w:val="both"/>
        <w:rPr>
          <w:rFonts w:ascii="Times New Roman" w:hAnsi="Times New Roman"/>
          <w:sz w:val="20"/>
        </w:rPr>
      </w:pPr>
      <w:r>
        <w:rPr>
          <w:rFonts w:ascii="Times New Roman" w:hAnsi="Times New Roman"/>
          <w:b/>
          <w:color w:val="000000"/>
          <w:sz w:val="24"/>
        </w:rPr>
        <w:t>13.1</w:t>
      </w:r>
      <w:r>
        <w:rPr>
          <w:rFonts w:ascii="Times New Roman" w:hAnsi="Times New Roman"/>
          <w:color w:val="000000"/>
          <w:sz w:val="20"/>
        </w:rPr>
        <w:t xml:space="preserve"> </w:t>
      </w:r>
      <w:r>
        <w:rPr>
          <w:rFonts w:ascii="Times New Roman" w:hAnsi="Times New Roman"/>
          <w:color w:val="000000"/>
          <w:sz w:val="24"/>
        </w:rPr>
        <w:t>Has been submitted to and pre-approved by the General Counsel or Chief Financial Officer (or Principal Financial Officer);</w:t>
      </w:r>
    </w:p>
    <w:p>
      <w:pPr>
        <w:pStyle w:val="TextBody"/>
        <w:bidi w:val="0"/>
        <w:spacing w:before="0" w:after="240"/>
        <w:jc w:val="both"/>
        <w:rPr>
          <w:rFonts w:ascii="Times New Roman" w:hAnsi="Times New Roman"/>
          <w:sz w:val="20"/>
        </w:rPr>
      </w:pPr>
      <w:r>
        <w:rPr>
          <w:rFonts w:ascii="Times New Roman" w:hAnsi="Times New Roman"/>
          <w:b/>
          <w:color w:val="000000"/>
          <w:sz w:val="24"/>
        </w:rPr>
        <w:t>13.2</w:t>
      </w:r>
      <w:r>
        <w:rPr>
          <w:rFonts w:ascii="Times New Roman" w:hAnsi="Times New Roman"/>
          <w:color w:val="000000"/>
          <w:sz w:val="20"/>
        </w:rPr>
        <w:t xml:space="preserve"> </w:t>
      </w:r>
      <w:r>
        <w:rPr>
          <w:rFonts w:ascii="Times New Roman" w:hAnsi="Times New Roman"/>
          <w:color w:val="000000"/>
          <w:sz w:val="24"/>
        </w:rPr>
        <w:t>Includes a cooling off period (a “Cooling-Off Period”) for:</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16 reporting persons (i.e., directors, officers and the Company’s 10% stockholders) that extends to the later of 90 days after adoption or modification of the 10b5-1 Plan or two business days after filing the Form 10-K or Form 10-Q covering the fiscal quarter in which the 10b5-1 Plan was adopted, up to a maximum of 120 days;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employees and any other persons, other than the Company, that extends 30 days after adoption or modification of the 10b5-1 Plan;</w:t>
      </w:r>
    </w:p>
    <w:p>
      <w:pPr>
        <w:pStyle w:val="TextBody"/>
        <w:bidi w:val="0"/>
        <w:spacing w:before="0" w:after="240"/>
        <w:jc w:val="both"/>
        <w:rPr>
          <w:rFonts w:ascii="Times New Roman" w:hAnsi="Times New Roman"/>
          <w:sz w:val="20"/>
        </w:rPr>
      </w:pPr>
      <w:r>
        <w:rPr>
          <w:rFonts w:ascii="Times New Roman" w:hAnsi="Times New Roman"/>
          <w:b/>
          <w:color w:val="000000"/>
          <w:sz w:val="24"/>
        </w:rPr>
        <w:t>13.3</w:t>
      </w:r>
      <w:r>
        <w:rPr>
          <w:rFonts w:ascii="Times New Roman" w:hAnsi="Times New Roman"/>
          <w:color w:val="000000"/>
          <w:sz w:val="20"/>
        </w:rPr>
        <w:t xml:space="preserve"> </w:t>
      </w:r>
      <w:r>
        <w:rPr>
          <w:rFonts w:ascii="Times New Roman" w:hAnsi="Times New Roman"/>
          <w:color w:val="000000"/>
          <w:sz w:val="24"/>
        </w:rPr>
        <w:t>For Section 16 reporting persons, includes a representation in the 10b5-1 Plan that the Section 16 reporting person is (1) not aware of any material non-public information about the Company or its securities; and (2) adopting the 10b5-1 Plan in good faith and not as part of a plan or scheme to evade Rule 10b-5;</w:t>
      </w:r>
    </w:p>
    <w:p>
      <w:pPr>
        <w:pStyle w:val="TextBody"/>
        <w:bidi w:val="0"/>
        <w:spacing w:before="0" w:after="240"/>
        <w:jc w:val="both"/>
        <w:rPr>
          <w:rFonts w:ascii="Times New Roman" w:hAnsi="Times New Roman"/>
          <w:sz w:val="20"/>
        </w:rPr>
      </w:pPr>
      <w:r>
        <w:rPr>
          <w:rFonts w:ascii="Times New Roman" w:hAnsi="Times New Roman"/>
          <w:b/>
          <w:color w:val="000000"/>
          <w:sz w:val="24"/>
        </w:rPr>
        <w:t>13.4</w:t>
      </w:r>
      <w:r>
        <w:rPr>
          <w:rFonts w:ascii="Times New Roman" w:hAnsi="Times New Roman"/>
          <w:color w:val="000000"/>
          <w:sz w:val="20"/>
        </w:rPr>
        <w:t xml:space="preserve"> </w:t>
      </w:r>
      <w:r>
        <w:rPr>
          <w:rFonts w:ascii="Times New Roman" w:hAnsi="Times New Roman"/>
          <w:color w:val="000000"/>
          <w:sz w:val="24"/>
        </w:rPr>
        <w:t>Has been entered into in good faith at a time when the individual was not in possession of material non-public information about the Company and not otherwise in a Blackout Period, and the person who entered into the 10b5-1 Plan has acted in good faith with respect to the 10b5-1 Plan;</w:t>
      </w:r>
    </w:p>
    <w:p>
      <w:pPr>
        <w:pStyle w:val="TextBody"/>
        <w:bidi w:val="0"/>
        <w:spacing w:before="0" w:after="240"/>
        <w:jc w:val="both"/>
        <w:rPr>
          <w:rFonts w:ascii="Times New Roman" w:hAnsi="Times New Roman"/>
          <w:sz w:val="20"/>
        </w:rPr>
      </w:pPr>
      <w:r>
        <w:rPr>
          <w:rFonts w:ascii="Times New Roman" w:hAnsi="Times New Roman"/>
          <w:b/>
          <w:color w:val="000000"/>
          <w:sz w:val="24"/>
        </w:rPr>
        <w:t>13.5</w:t>
      </w:r>
      <w:r>
        <w:rPr>
          <w:rFonts w:ascii="Times New Roman" w:hAnsi="Times New Roman"/>
          <w:color w:val="000000"/>
          <w:sz w:val="20"/>
        </w:rPr>
        <w:t xml:space="preserve"> </w:t>
      </w:r>
      <w:r>
        <w:rPr>
          <w:rFonts w:ascii="Times New Roman" w:hAnsi="Times New Roman"/>
          <w:color w:val="000000"/>
          <w:sz w:val="24"/>
        </w:rPr>
        <w:t>Either (1) specifies the amounts, prices, and dates of all security transactions under the10b5-1 Plan; or (2) provides a written formula, algorithm, or computer program for determining the amount, price, and date of the transactions, and (3) prohibits the individual from exercising any subsequent influence over the transactions.; and</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13.6</w:t>
      </w:r>
    </w:p>
    <w:p>
      <w:pPr>
        <w:pStyle w:val="TextBody"/>
        <w:bidi w:val="0"/>
        <w:jc w:val="both"/>
        <w:rPr>
          <w:rFonts w:ascii="Times New Roman" w:hAnsi="Times New Roman"/>
          <w:color w:val="000000"/>
          <w:sz w:val="24"/>
        </w:rPr>
      </w:pPr>
      <w:r>
        <w:rPr>
          <w:rFonts w:ascii="Times New Roman" w:hAnsi="Times New Roman"/>
          <w:color w:val="000000"/>
          <w:sz w:val="24"/>
        </w:rPr>
        <w:t xml:space="preserve">Complies with all other applicable requirements of Rule 10b5-1. </w:t>
      </w:r>
    </w:p>
    <w:p>
      <w:pPr>
        <w:pStyle w:val="TextBody"/>
        <w:bidi w:val="0"/>
        <w:jc w:val="both"/>
        <w:rPr>
          <w:rFonts w:ascii="Times New Roman" w:hAnsi="Times New Roman"/>
          <w:sz w:val="20"/>
        </w:rPr>
      </w:pPr>
      <w:r>
        <w:rPr>
          <w:rFonts w:ascii="Times New Roman" w:hAnsi="Times New Roman"/>
          <w:color w:val="000000"/>
          <w:sz w:val="24"/>
        </w:rPr>
        <w:t>The General Counsel may impose such other conditions on the implementation and operation of the 10b5-1 Plan as the General Counsel deems necessary or advisable. Individuals may not adopt more than one 10b5-1 Plan at a time except under the limited circumstances permitted by Rule 10b5-1 as in effect at the time of adoption and subject to pre-clearance by the General Counsel.</w:t>
      </w:r>
      <w:r>
        <w:rPr>
          <w:rFonts w:ascii="Times New Roman" w:hAnsi="Times New Roman"/>
          <w:color w:val="000000"/>
          <w:sz w:val="20"/>
        </w:rPr>
        <w:t xml:space="preserve"> </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An individual may only modify a 10b5-1 Plan outside of a Blackout Period and, in any event, when the individual does not possess material non-public information. Modifications to and terminations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7</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of a 10b5-1 Plan are subject to pre-clearance by the General Counsel and modifications of a 10b5-1 Plan that change the amount, price, or timing of the purchase or sale of the securities underlying a 10b5-1 Plan will trigger a new Cooling-Off Period.</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An individual that adopts a new 10b5-1 Plan (“Successor Plan”) under which trades will not begin until the completion or expiration of an existing 10b5-1 Plan (“Predecessor Plan”), as permitted by Rule 10b5-1, will be subject to a Cooling-Off Period. If the Predecessor Plan is terminated early, trading under the Successor Plan may not commence until the applicable Cooling-Off Period has run from the termination date of the Predecessor Plan.</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The Company reserves the right to publicly disclose, announce, or respond to inquiries from the media regarding the adoption, modification, or termination of a 10b5-1 Plan and non-Rule 10b5-1 trading arrangements, or the execution of transactions made under a 10b5-1 Plan. The Company also reserves the right from time to time to suspend, discontinue, or otherwise prohibit transactions under a 10b5-1 Plan if the General Counsel or Board, in its discretion, determines that such suspension, discontinuation, or other prohibition is in the best interests of the Company.</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Although you are required to submit your plan for review, it is your responsibility to assure that the plan meets the requirements of Rule 10b5-1. You should consult with your own counsel and investment advisor in setting up the plan to make sure that it complies with the requirements of the rule.</w:t>
      </w:r>
      <w:r>
        <w:rPr>
          <w:rFonts w:ascii="Times New Roman" w:hAnsi="Times New Roman"/>
          <w:color w:val="000000"/>
          <w:sz w:val="20"/>
        </w:rPr>
        <w:t xml:space="preserve"> </w:t>
      </w:r>
    </w:p>
    <w:p>
      <w:pPr>
        <w:pStyle w:val="TextBody"/>
        <w:bidi w:val="0"/>
        <w:spacing w:before="10" w:after="283"/>
        <w:jc w:val="both"/>
        <w:rPr/>
      </w:pPr>
      <w:r>
        <w:rPr/>
        <w:t> </w:t>
      </w:r>
    </w:p>
    <w:p>
      <w:pPr>
        <w:pStyle w:val="TextBody"/>
        <w:bidi w:val="0"/>
        <w:spacing w:before="10" w:after="283"/>
        <w:jc w:val="both"/>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Ultimate Responsibility for Insider Trading</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b/>
          <w:color w:val="000000"/>
          <w:sz w:val="24"/>
        </w:rPr>
        <w:t>Notwithstanding any pre-clearance or trading in an open window, the determination of whether a person trades with material non-public information is solely the responsibility of the person trading.</w:t>
      </w:r>
      <w:r>
        <w:rPr>
          <w:rFonts w:ascii="Times New Roman" w:hAnsi="Times New Roman"/>
          <w:color w:val="000000"/>
          <w:sz w:val="20"/>
        </w:rPr>
        <w:t xml:space="preserve"> </w:t>
      </w:r>
      <w:r>
        <w:rPr>
          <w:rFonts w:ascii="Times New Roman" w:hAnsi="Times New Roman"/>
          <w:color w:val="000000"/>
          <w:sz w:val="24"/>
        </w:rPr>
        <w:t>The Company cannot always know what is in the mind of the person trading, whether it is material or might be deemed material in hindsight.</w:t>
      </w:r>
    </w:p>
    <w:p>
      <w:pPr>
        <w:pStyle w:val="TextBody"/>
        <w:bidi w:val="0"/>
        <w:spacing w:before="10" w:after="283"/>
        <w:jc w:val="both"/>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Policy Amendments</w:t>
      </w:r>
    </w:p>
    <w:p>
      <w:pPr>
        <w:pStyle w:val="TextBody"/>
        <w:bidi w:val="0"/>
        <w:spacing w:before="10" w:after="283"/>
        <w:jc w:val="both"/>
        <w:rPr/>
      </w:pPr>
      <w:r>
        <w:rPr/>
        <w:t> </w:t>
      </w:r>
    </w:p>
    <w:p>
      <w:pPr>
        <w:pStyle w:val="TextBody"/>
        <w:bidi w:val="0"/>
        <w:spacing w:before="10" w:after="283"/>
        <w:jc w:val="both"/>
        <w:rPr>
          <w:rFonts w:ascii="Times New Roman" w:hAnsi="Times New Roman"/>
          <w:color w:val="000000"/>
          <w:sz w:val="24"/>
        </w:rPr>
      </w:pPr>
      <w:r>
        <w:rPr>
          <w:rFonts w:ascii="Times New Roman" w:hAnsi="Times New Roman"/>
          <w:color w:val="000000"/>
          <w:sz w:val="24"/>
        </w:rPr>
        <w:t>No amendments to this policy, other than amendments to comply with applicable law or amendments that are procedural or non-substantive (collectively, “Permitted Amendments”), may be made without the approval of the Board or a committee of the Board. Permitted Amendments may be authorized by the General Counsel and the Chief Financial Officer (or Principal Financial Officer).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8</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10" w:after="283"/>
        <w:jc w:val="both"/>
        <w:rPr/>
      </w:pPr>
      <w:r>
        <w:rPr/>
        <w:t> </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10" w:after="283"/>
        <w:jc w:val="both"/>
        <w:rPr>
          <w:rFonts w:ascii="Times New Roman" w:hAnsi="Times New Roman"/>
          <w:b/>
          <w:color w:val="000000"/>
          <w:sz w:val="24"/>
        </w:rPr>
      </w:pPr>
      <w:r>
        <w:rPr>
          <w:rFonts w:ascii="Times New Roman" w:hAnsi="Times New Roman"/>
          <w:b/>
          <w:color w:val="000000"/>
          <w:sz w:val="24"/>
        </w:rPr>
        <w:t>Certification</w:t>
      </w:r>
    </w:p>
    <w:p>
      <w:pPr>
        <w:pStyle w:val="TextBody"/>
        <w:bidi w:val="0"/>
        <w:spacing w:before="10" w:after="283"/>
        <w:jc w:val="both"/>
        <w:rPr/>
      </w:pPr>
      <w:r>
        <w:rPr/>
        <w:t> </w:t>
      </w:r>
    </w:p>
    <w:p>
      <w:pPr>
        <w:pStyle w:val="TextBody"/>
        <w:bidi w:val="0"/>
        <w:spacing w:before="10" w:after="283"/>
        <w:jc w:val="both"/>
        <w:rPr>
          <w:rFonts w:ascii="Times New Roman" w:hAnsi="Times New Roman"/>
          <w:sz w:val="20"/>
        </w:rPr>
      </w:pPr>
      <w:r>
        <w:rPr>
          <w:rFonts w:ascii="Times New Roman" w:hAnsi="Times New Roman"/>
          <w:color w:val="000000"/>
          <w:sz w:val="24"/>
        </w:rPr>
        <w:t>From time to time the Company may require employees, directors, consultants and contractors</w:t>
      </w:r>
      <w:r>
        <w:rPr>
          <w:rFonts w:ascii="Times New Roman" w:hAnsi="Times New Roman"/>
          <w:color w:val="000000"/>
          <w:sz w:val="20"/>
        </w:rPr>
        <w:t xml:space="preserve"> </w:t>
      </w:r>
      <w:r>
        <w:rPr>
          <w:rFonts w:ascii="sans-serif" w:hAnsi="sans-serif"/>
          <w:color w:val="000000"/>
          <w:sz w:val="24"/>
        </w:rPr>
        <w:t xml:space="preserve">subject to </w:t>
      </w:r>
      <w:r>
        <w:rPr>
          <w:rFonts w:ascii="Times New Roman" w:hAnsi="Times New Roman"/>
          <w:color w:val="000000"/>
          <w:sz w:val="24"/>
        </w:rPr>
        <w:t>this policy to certify their</w:t>
      </w:r>
      <w:r>
        <w:rPr>
          <w:rFonts w:ascii="Times New Roman" w:hAnsi="Times New Roman"/>
          <w:color w:val="000000"/>
          <w:sz w:val="20"/>
        </w:rPr>
        <w:t xml:space="preserve"> </w:t>
      </w:r>
      <w:r>
        <w:rPr>
          <w:rFonts w:ascii="sans-serif" w:hAnsi="sans-serif"/>
          <w:color w:val="000000"/>
          <w:sz w:val="24"/>
        </w:rPr>
        <w:t xml:space="preserve">compliance with the </w:t>
      </w:r>
      <w:r>
        <w:rPr>
          <w:rFonts w:ascii="Times New Roman" w:hAnsi="Times New Roman"/>
          <w:color w:val="000000"/>
          <w:sz w:val="24"/>
        </w:rPr>
        <w:t>terms</w:t>
      </w:r>
      <w:r>
        <w:rPr>
          <w:rFonts w:ascii="Times New Roman" w:hAnsi="Times New Roman"/>
          <w:color w:val="000000"/>
          <w:sz w:val="20"/>
        </w:rPr>
        <w:t xml:space="preserve"> </w:t>
      </w:r>
      <w:r>
        <w:rPr>
          <w:rFonts w:ascii="sans-serif" w:hAnsi="sans-serif"/>
          <w:color w:val="000000"/>
          <w:sz w:val="24"/>
        </w:rPr>
        <w:t xml:space="preserve">and </w:t>
      </w:r>
      <w:r>
        <w:rPr>
          <w:rFonts w:ascii="Times New Roman" w:hAnsi="Times New Roman"/>
          <w:color w:val="000000"/>
          <w:sz w:val="24"/>
        </w:rPr>
        <w:t>provisions</w:t>
      </w:r>
      <w:r>
        <w:rPr>
          <w:rFonts w:ascii="Times New Roman" w:hAnsi="Times New Roman"/>
          <w:color w:val="000000"/>
          <w:sz w:val="20"/>
        </w:rPr>
        <w:t xml:space="preserve"> </w:t>
      </w:r>
      <w:r>
        <w:rPr>
          <w:rFonts w:ascii="sans-serif" w:hAnsi="sans-serif"/>
          <w:color w:val="000000"/>
          <w:sz w:val="24"/>
        </w:rPr>
        <w:t xml:space="preserve">of this </w:t>
      </w:r>
      <w:r>
        <w:rPr>
          <w:rFonts w:ascii="Times New Roman" w:hAnsi="Times New Roman"/>
          <w:color w:val="000000"/>
          <w:sz w:val="24"/>
        </w:rPr>
        <w:t>policy.</w:t>
      </w:r>
    </w:p>
    <w:p>
      <w:pPr>
        <w:pStyle w:val="TextBody"/>
        <w:bidi w:val="0"/>
        <w:spacing w:before="10" w:after="283"/>
        <w:jc w:val="center"/>
        <w:rPr/>
      </w:pPr>
      <w:r>
        <w:rPr/>
        <w:t> </w:t>
      </w:r>
    </w:p>
    <w:p>
      <w:pPr>
        <w:pStyle w:val="TextBody"/>
        <w:bidi w:val="0"/>
        <w:spacing w:before="10" w:after="283"/>
        <w:jc w:val="left"/>
        <w:rPr/>
      </w:pPr>
      <w:r>
        <w:rPr/>
        <w:t> </w:t>
      </w:r>
    </w:p>
    <w:p>
      <w:pPr>
        <w:pStyle w:val="TextBody"/>
        <w:bidi w:val="0"/>
        <w:spacing w:before="10" w:after="283"/>
        <w:jc w:val="left"/>
        <w:rPr/>
      </w:pPr>
      <w:r>
        <w:rPr/>
        <w:t> </w:t>
      </w:r>
    </w:p>
    <w:p>
      <w:pPr>
        <w:pStyle w:val="TextBody"/>
        <w:bidi w:val="0"/>
        <w:spacing w:before="10" w:after="283"/>
        <w:jc w:val="left"/>
        <w:rPr/>
      </w:pPr>
      <w:r>
        <w:rPr/>
        <w:t> </w:t>
      </w:r>
    </w:p>
    <w:p>
      <w:pPr>
        <w:pStyle w:val="TextBody"/>
        <w:bidi w:val="0"/>
        <w:spacing w:before="10" w:after="283"/>
        <w:jc w:val="center"/>
        <w:rPr/>
      </w:pPr>
      <w:r>
        <w:rPr/>
        <w:t> </w:t>
      </w:r>
    </w:p>
    <w:p>
      <w:pPr>
        <w:pStyle w:val="TextBody"/>
        <w:bidi w:val="0"/>
        <w:spacing w:before="10" w:after="283"/>
        <w:jc w:val="center"/>
        <w:rPr/>
      </w:pPr>
      <w:r>
        <w:rPr/>
        <w:t> </w:t>
      </w:r>
    </w:p>
    <w:p>
      <w:pPr>
        <w:pStyle w:val="TextBody"/>
        <w:bidi w:val="0"/>
        <w:spacing w:before="10" w:after="283"/>
        <w:jc w:val="center"/>
        <w:rPr/>
      </w:pPr>
      <w:r>
        <w:rPr/>
        <w:t> </w:t>
      </w:r>
    </w:p>
    <w:p>
      <w:pPr>
        <w:pStyle w:val="TextBody"/>
        <w:bidi w:val="0"/>
        <w:spacing w:before="10" w:after="283"/>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9</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298" w:type="dxa"/>
        <w:jc w:val="left"/>
        <w:tblInd w:w="0" w:type="dxa"/>
        <w:tblLayout w:type="fixed"/>
        <w:tblCellMar>
          <w:top w:w="28" w:type="dxa"/>
          <w:left w:w="28" w:type="dxa"/>
          <w:bottom w:w="28" w:type="dxa"/>
          <w:right w:w="28" w:type="dxa"/>
        </w:tblCellMar>
      </w:tblPr>
      <w:tblGrid>
        <w:gridCol w:w="1661"/>
        <w:gridCol w:w="2881"/>
        <w:gridCol w:w="1756"/>
      </w:tblGrid>
      <w:tr>
        <w:trPr/>
        <w:tc>
          <w:tcPr>
            <w:tcW w:w="16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61" w:type="dxa"/>
            <w:vMerge w:val="restart"/>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TableContents"/>
              <w:bidi w:val="0"/>
              <w:spacing w:before="0" w:after="120"/>
              <w:jc w:val="center"/>
              <w:rPr/>
            </w:pPr>
            <w:r>
              <w:rPr/>
              <w:drawing>
                <wp:inline distT="0" distB="0" distL="0" distR="0">
                  <wp:extent cx="990600" cy="561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990600" cy="561975"/>
                          </a:xfrm>
                          <a:prstGeom prst="rect">
                            <a:avLst/>
                          </a:prstGeom>
                        </pic:spPr>
                      </pic:pic>
                    </a:graphicData>
                  </a:graphic>
                </wp:inline>
              </w:drawing>
            </w:r>
          </w:p>
        </w:tc>
        <w:tc>
          <w:tcPr>
            <w:tcW w:w="2881" w:type="dxa"/>
            <w:vMerge w:val="restart"/>
            <w:tcBorders>
              <w:top w:val="single" w:sz="18" w:space="0" w:color="000000"/>
              <w:bottom w:val="single" w:sz="4" w:space="0" w:color="000000"/>
              <w:right w:val="single" w:sz="6" w:space="0" w:color="000000"/>
            </w:tcBorders>
            <w:tcMar>
              <w:left w:w="0"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Corporate Policy</w:t>
            </w:r>
          </w:p>
          <w:p>
            <w:pPr>
              <w:pStyle w:val="TableContents"/>
              <w:bidi w:val="0"/>
              <w:spacing w:before="0" w:after="120"/>
              <w:jc w:val="center"/>
              <w:rPr>
                <w:rFonts w:ascii="Arial" w:hAnsi="Arial"/>
                <w:color w:val="000000"/>
                <w:sz w:val="24"/>
              </w:rPr>
            </w:pPr>
            <w:r>
              <w:rPr>
                <w:rFonts w:ascii="Arial" w:hAnsi="Arial"/>
                <w:color w:val="000000"/>
                <w:sz w:val="24"/>
              </w:rPr>
              <w:t>Document No: CORP-003</w:t>
            </w:r>
          </w:p>
        </w:tc>
        <w:tc>
          <w:tcPr>
            <w:tcW w:w="1756" w:type="dxa"/>
            <w:tcBorders>
              <w:top w:val="single" w:sz="18" w:space="0" w:color="000000"/>
              <w:bottom w:val="single" w:sz="4" w:space="0" w:color="000000"/>
              <w:right w:val="single" w:sz="18" w:space="0" w:color="000000"/>
            </w:tcBorders>
            <w:tcMar>
              <w:left w:w="0" w:type="dxa"/>
            </w:tcMar>
            <w:vAlign w:val="center"/>
          </w:tcPr>
          <w:p>
            <w:pPr>
              <w:pStyle w:val="TableContents"/>
              <w:bidi w:val="0"/>
              <w:spacing w:before="0" w:after="120"/>
              <w:jc w:val="left"/>
              <w:rPr>
                <w:rFonts w:ascii="Arial" w:hAnsi="Arial"/>
                <w:color w:val="000000"/>
                <w:sz w:val="24"/>
              </w:rPr>
            </w:pPr>
            <w:r>
              <w:rPr>
                <w:rFonts w:ascii="Arial" w:hAnsi="Arial"/>
                <w:color w:val="000000"/>
                <w:sz w:val="24"/>
              </w:rPr>
              <w:t>Revision: 2.0</w:t>
            </w:r>
          </w:p>
        </w:tc>
      </w:tr>
      <w:tr>
        <w:trPr/>
        <w:tc>
          <w:tcPr>
            <w:tcW w:w="1661" w:type="dxa"/>
            <w:vMerge w:val="continue"/>
            <w:tcBorders>
              <w:top w:val="single" w:sz="18" w:space="0" w:color="000000"/>
              <w:left w:val="single" w:sz="18" w:space="0" w:color="000000"/>
              <w:bottom w:val="single" w:sz="4" w:space="0" w:color="000000"/>
              <w:right w:val="single" w:sz="6" w:space="0" w:color="000000"/>
            </w:tcBorders>
            <w:tcMar>
              <w:left w:w="108" w:type="dxa"/>
              <w:right w:w="108" w:type="dxa"/>
            </w:tcMar>
            <w:vAlign w:val="center"/>
          </w:tcPr>
          <w:p>
            <w:pPr>
              <w:pStyle w:val="Normal"/>
              <w:bidi w:val="0"/>
              <w:jc w:val="left"/>
              <w:rPr/>
            </w:pPr>
            <w:r>
              <w:rPr/>
            </w:r>
          </w:p>
        </w:tc>
        <w:tc>
          <w:tcPr>
            <w:tcW w:w="2881" w:type="dxa"/>
            <w:vMerge w:val="continue"/>
            <w:tcBorders>
              <w:top w:val="single" w:sz="18" w:space="0" w:color="000000"/>
              <w:bottom w:val="single" w:sz="4" w:space="0" w:color="000000"/>
              <w:right w:val="single" w:sz="6" w:space="0" w:color="000000"/>
            </w:tcBorders>
            <w:tcMar>
              <w:left w:w="0" w:type="dxa"/>
              <w:right w:w="108" w:type="dxa"/>
            </w:tcMar>
            <w:vAlign w:val="center"/>
          </w:tcPr>
          <w:p>
            <w:pPr>
              <w:pStyle w:val="Normal"/>
              <w:bidi w:val="0"/>
              <w:jc w:val="left"/>
              <w:rPr/>
            </w:pPr>
            <w:r>
              <w:rPr/>
            </w:r>
          </w:p>
        </w:tc>
        <w:tc>
          <w:tcPr>
            <w:tcW w:w="1756" w:type="dxa"/>
            <w:tcBorders>
              <w:bottom w:val="single" w:sz="4" w:space="0" w:color="000000"/>
              <w:right w:val="single" w:sz="18" w:space="0" w:color="000000"/>
            </w:tcBorders>
            <w:tcMar>
              <w:top w:w="0" w:type="dxa"/>
              <w:left w:w="0" w:type="dxa"/>
            </w:tcMar>
            <w:vAlign w:val="center"/>
          </w:tcPr>
          <w:p>
            <w:pPr>
              <w:pStyle w:val="TableContents"/>
              <w:bidi w:val="0"/>
              <w:spacing w:before="0" w:after="120"/>
              <w:jc w:val="left"/>
              <w:rPr>
                <w:rFonts w:ascii="Times New Roman" w:hAnsi="Times New Roman"/>
                <w:sz w:val="24"/>
              </w:rPr>
            </w:pPr>
            <w:r>
              <w:rPr>
                <w:rFonts w:ascii="Arial" w:hAnsi="Arial"/>
                <w:color w:val="000000"/>
                <w:sz w:val="24"/>
              </w:rPr>
              <w:t>Effective Date:</w:t>
            </w:r>
            <w:r>
              <w:rPr>
                <w:rFonts w:ascii="Times New Roman" w:hAnsi="Times New Roman"/>
                <w:color w:val="000000"/>
                <w:sz w:val="24"/>
              </w:rPr>
              <w:t xml:space="preserve"> </w:t>
            </w:r>
          </w:p>
          <w:p>
            <w:pPr>
              <w:pStyle w:val="TableContents"/>
              <w:bidi w:val="0"/>
              <w:spacing w:before="0" w:after="120"/>
              <w:jc w:val="left"/>
              <w:rPr>
                <w:rFonts w:ascii="Arial" w:hAnsi="Arial"/>
                <w:color w:val="000000"/>
                <w:sz w:val="24"/>
              </w:rPr>
            </w:pPr>
            <w:r>
              <w:rPr>
                <w:rFonts w:ascii="Arial" w:hAnsi="Arial"/>
                <w:color w:val="000000"/>
                <w:sz w:val="24"/>
              </w:rPr>
              <w:t>June 12, 2024</w:t>
            </w:r>
          </w:p>
        </w:tc>
      </w:tr>
      <w:tr>
        <w:trPr/>
        <w:tc>
          <w:tcPr>
            <w:tcW w:w="6298" w:type="dxa"/>
            <w:gridSpan w:val="3"/>
            <w:tcBorders>
              <w:left w:val="single" w:sz="18" w:space="0" w:color="000000"/>
              <w:bottom w:val="single" w:sz="18" w:space="0" w:color="000000"/>
              <w:right w:val="single" w:sz="18" w:space="0" w:color="000000"/>
            </w:tcBorders>
            <w:tcMar>
              <w:top w:w="0" w:type="dxa"/>
              <w:left w:w="108" w:type="dxa"/>
              <w:right w:w="108" w:type="dxa"/>
            </w:tcMar>
            <w:vAlign w:val="center"/>
          </w:tcPr>
          <w:p>
            <w:pPr>
              <w:pStyle w:val="TableContents"/>
              <w:bidi w:val="0"/>
              <w:spacing w:before="0" w:after="120"/>
              <w:jc w:val="center"/>
              <w:rPr>
                <w:rFonts w:ascii="Arial" w:hAnsi="Arial"/>
                <w:color w:val="000000"/>
                <w:sz w:val="24"/>
              </w:rPr>
            </w:pPr>
            <w:r>
              <w:rPr>
                <w:rFonts w:ascii="Arial" w:hAnsi="Arial"/>
                <w:color w:val="000000"/>
                <w:sz w:val="24"/>
              </w:rPr>
              <w:t>Title: Securities Trading</w:t>
            </w:r>
          </w:p>
        </w:tc>
      </w:tr>
    </w:tbl>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Corporate Policy and Procedure Approval Sheet</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2"/>
        </w:rPr>
        <w:t>Document Author:</w:t>
      </w:r>
      <w:r>
        <w:rPr>
          <w:rFonts w:ascii="Times New Roman" w:hAnsi="Times New Roman"/>
          <w:color w:val="000000"/>
          <w:sz w:val="20"/>
        </w:rPr>
        <w:t xml:space="preserve"> </w:t>
      </w:r>
      <w:r>
        <w:rPr>
          <w:rFonts w:ascii="Times New Roman" w:hAnsi="Times New Roman"/>
          <w:color w:val="000000"/>
          <w:sz w:val="22"/>
        </w:rPr>
        <w:t xml:space="preserve">Lloyd Rowland, General Counsel, Chief Compliance Officer and Secretary </w:t>
      </w:r>
    </w:p>
    <w:p>
      <w:pPr>
        <w:pStyle w:val="TextBody"/>
        <w:bidi w:val="0"/>
        <w:spacing w:before="0" w:after="160"/>
        <w:jc w:val="both"/>
        <w:rPr>
          <w:rFonts w:ascii="Times New Roman" w:hAnsi="Times New Roman"/>
          <w:sz w:val="20"/>
        </w:rPr>
      </w:pPr>
      <w:r>
        <w:rPr>
          <w:rFonts w:ascii="Times New Roman" w:hAnsi="Times New Roman"/>
          <w:b/>
          <w:color w:val="000000"/>
          <w:sz w:val="22"/>
        </w:rPr>
        <w:t>Originating Department:</w:t>
      </w:r>
      <w:r>
        <w:rPr>
          <w:rFonts w:ascii="Times New Roman" w:hAnsi="Times New Roman"/>
          <w:color w:val="000000"/>
          <w:sz w:val="20"/>
        </w:rPr>
        <w:t xml:space="preserve"> </w:t>
      </w:r>
      <w:r>
        <w:rPr>
          <w:rFonts w:ascii="Times New Roman" w:hAnsi="Times New Roman"/>
          <w:color w:val="000000"/>
          <w:sz w:val="22"/>
        </w:rPr>
        <w:t xml:space="preserve">Corporate Compliance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For new policies or revisions, check one of the following and complete the communication and/or training plan information.</w:t>
      </w:r>
    </w:p>
    <w:p>
      <w:pPr>
        <w:pStyle w:val="TextBody"/>
        <w:bidi w:val="0"/>
        <w:spacing w:before="0" w:after="0"/>
        <w:ind w:left="0" w:right="0" w:hanging="490"/>
        <w:jc w:val="both"/>
        <w:rPr/>
      </w:pPr>
      <w:r>
        <w:rPr/>
        <w:t>☐</w:t>
      </w:r>
      <w:r>
        <w:rPr>
          <w:rFonts w:ascii="Times New Roman" w:hAnsi="Times New Roman"/>
          <w:b/>
          <w:color w:val="000000"/>
          <w:sz w:val="22"/>
        </w:rPr>
        <w:t>New</w:t>
      </w:r>
    </w:p>
    <w:p>
      <w:pPr>
        <w:pStyle w:val="TextBody"/>
        <w:bidi w:val="0"/>
        <w:spacing w:before="120" w:after="283"/>
        <w:ind w:left="0" w:right="0" w:hanging="490"/>
        <w:jc w:val="left"/>
        <w:rPr/>
      </w:pPr>
      <w:r>
        <w:rPr/>
        <w:t>☒</w:t>
      </w:r>
      <w:r>
        <w:rPr>
          <w:rFonts w:ascii="Times New Roman" w:hAnsi="Times New Roman"/>
          <w:b/>
          <w:color w:val="000000"/>
          <w:sz w:val="22"/>
        </w:rPr>
        <w:t>Revision.</w:t>
      </w:r>
      <w:r>
        <w:rPr>
          <w:color w:val="000000"/>
        </w:rPr>
        <w:t xml:space="preserve"> </w:t>
      </w:r>
      <w:r>
        <w:rPr>
          <w:rFonts w:ascii="Times New Roman" w:hAnsi="Times New Roman"/>
          <w:color w:val="000000"/>
          <w:sz w:val="22"/>
        </w:rPr>
        <w:t>Identify existing policy being revised and briefly state reason for revision:</w:t>
      </w:r>
    </w:p>
    <w:p>
      <w:pPr>
        <w:pStyle w:val="TextBody"/>
        <w:bidi w:val="0"/>
        <w:spacing w:before="120" w:after="283"/>
        <w:ind w:left="0" w:right="0" w:hanging="490"/>
        <w:jc w:val="left"/>
        <w:rPr/>
      </w:pPr>
      <w:r>
        <w:rPr/>
        <w:t>☐</w:t>
      </w:r>
      <w:r>
        <w:rPr>
          <w:rFonts w:ascii="Times New Roman" w:hAnsi="Times New Roman"/>
          <w:b/>
          <w:color w:val="000000"/>
          <w:sz w:val="22"/>
        </w:rPr>
        <w:t>Administrative Change.</w:t>
      </w:r>
      <w:r>
        <w:rPr>
          <w:color w:val="000000"/>
        </w:rPr>
        <w:t xml:space="preserve"> </w:t>
      </w:r>
      <w:r>
        <w:rPr>
          <w:rFonts w:ascii="Times New Roman" w:hAnsi="Times New Roman"/>
          <w:color w:val="000000"/>
          <w:sz w:val="22"/>
        </w:rPr>
        <w:t xml:space="preserve">Check only if non-substantive, grammatical or typographical changes are needed </w:t>
      </w:r>
    </w:p>
    <w:p>
      <w:pPr>
        <w:pStyle w:val="TextBody"/>
        <w:bidi w:val="0"/>
        <w:spacing w:before="120" w:after="283"/>
        <w:ind w:left="0" w:right="0" w:hanging="490"/>
        <w:jc w:val="left"/>
        <w:rPr/>
      </w:pPr>
      <w:r>
        <w:rPr/>
        <w:t>☐</w:t>
      </w:r>
      <w:r>
        <w:rPr>
          <w:rFonts w:ascii="Times New Roman" w:hAnsi="Times New Roman"/>
          <w:b/>
          <w:color w:val="000000"/>
          <w:sz w:val="22"/>
        </w:rPr>
        <w:t xml:space="preserve">Inactivate </w:t>
      </w:r>
    </w:p>
    <w:p>
      <w:pPr>
        <w:pStyle w:val="TextBody"/>
        <w:bidi w:val="0"/>
        <w:spacing w:before="120" w:after="283"/>
        <w:ind w:left="0" w:right="0" w:hanging="490"/>
        <w:jc w:val="left"/>
        <w:rPr/>
      </w:pPr>
      <w:r>
        <w:rPr/>
        <w:t>☐</w:t>
      </w:r>
      <w:r>
        <w:rPr>
          <w:rFonts w:ascii="Times New Roman" w:hAnsi="Times New Roman"/>
          <w:b/>
          <w:color w:val="000000"/>
          <w:sz w:val="22"/>
        </w:rPr>
        <w:t>Communications/Training Plan for New/Revised Policy:</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(Not needed for Administrative Change)</w:t>
      </w:r>
    </w:p>
    <w:p>
      <w:pPr>
        <w:pStyle w:val="TextBody"/>
        <w:bidi w:val="0"/>
        <w:jc w:val="left"/>
        <w:rPr/>
      </w:pPr>
      <w:r>
        <w:rPr/>
        <w:t>☒</w:t>
      </w:r>
      <w:r>
        <w:rPr>
          <w:color w:val="000000"/>
        </w:rPr>
        <w:t xml:space="preserve"> </w:t>
      </w:r>
      <w:r>
        <w:rPr>
          <w:rFonts w:ascii="Times New Roman" w:hAnsi="Times New Roman"/>
          <w:color w:val="000000"/>
          <w:sz w:val="22"/>
        </w:rPr>
        <w:t>Working at CytomX Guidebook</w:t>
      </w:r>
    </w:p>
    <w:p>
      <w:pPr>
        <w:pStyle w:val="TextBody"/>
        <w:bidi w:val="0"/>
        <w:jc w:val="left"/>
        <w:rPr/>
      </w:pPr>
      <w:r>
        <w:rPr/>
        <w:t>☐</w:t>
      </w:r>
      <w:r>
        <w:rPr>
          <w:color w:val="000000"/>
        </w:rPr>
        <w:t xml:space="preserve"> </w:t>
      </w:r>
      <w:r>
        <w:rPr>
          <w:rFonts w:ascii="Times New Roman" w:hAnsi="Times New Roman"/>
          <w:color w:val="000000"/>
          <w:sz w:val="22"/>
        </w:rPr>
        <w:t>Employee Curriculum with Quiz</w:t>
      </w:r>
    </w:p>
    <w:p>
      <w:pPr>
        <w:pStyle w:val="TextBody"/>
        <w:bidi w:val="0"/>
        <w:jc w:val="left"/>
        <w:rPr/>
      </w:pPr>
      <w:r>
        <w:rPr/>
        <w:t>☐</w:t>
      </w:r>
      <w:r>
        <w:rPr>
          <w:color w:val="000000"/>
        </w:rPr>
        <w:t xml:space="preserve"> </w:t>
      </w:r>
      <w:r>
        <w:rPr>
          <w:rFonts w:ascii="Times New Roman" w:hAnsi="Times New Roman"/>
          <w:color w:val="000000"/>
          <w:sz w:val="22"/>
        </w:rPr>
        <w:t>E-Learning</w:t>
      </w:r>
    </w:p>
    <w:p>
      <w:pPr>
        <w:pStyle w:val="TextBody"/>
        <w:bidi w:val="0"/>
        <w:jc w:val="left"/>
        <w:rPr/>
      </w:pPr>
      <w:r>
        <w:rPr/>
        <w:t>☐</w:t>
      </w:r>
      <w:r>
        <w:rPr>
          <w:color w:val="000000"/>
        </w:rPr>
        <w:t xml:space="preserve"> </w:t>
      </w:r>
      <w:r>
        <w:rPr>
          <w:rFonts w:ascii="Times New Roman" w:hAnsi="Times New Roman"/>
          <w:color w:val="000000"/>
          <w:sz w:val="22"/>
        </w:rPr>
        <w:t>Classroom Training</w:t>
      </w:r>
      <w:r>
        <w:rPr>
          <w:rFonts w:ascii="Times New Roman" w:hAnsi="Times New Roman"/>
          <w:color w:val="000000"/>
          <w:sz w:val="20"/>
        </w:rPr>
        <w:t xml:space="preserve"> </w:t>
      </w:r>
    </w:p>
    <w:p>
      <w:pPr>
        <w:pStyle w:val="TextBody"/>
        <w:bidi w:val="0"/>
        <w:spacing w:before="0" w:after="160"/>
        <w:jc w:val="left"/>
        <w:rPr/>
      </w:pPr>
      <w:r>
        <w:rPr/>
        <w:t>☒</w:t>
      </w:r>
      <w:r>
        <w:rPr>
          <w:color w:val="000000"/>
        </w:rPr>
        <w:t xml:space="preserve"> </w:t>
      </w:r>
      <w:r>
        <w:rPr>
          <w:rFonts w:ascii="Times New Roman" w:hAnsi="Times New Roman"/>
          <w:color w:val="000000"/>
          <w:sz w:val="22"/>
        </w:rPr>
        <w:t>Other (provide description)</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Approvals</w:t>
      </w:r>
    </w:p>
    <w:p>
      <w:pPr>
        <w:pStyle w:val="TextBody"/>
        <w:bidi w:val="0"/>
        <w:jc w:val="left"/>
        <w:rPr/>
      </w:pPr>
      <w:r>
        <w:rPr/>
        <w:t> </w:t>
      </w:r>
    </w:p>
    <w:p>
      <w:pPr>
        <w:pStyle w:val="TextBody"/>
        <w:bidi w:val="0"/>
        <w:spacing w:before="0" w:after="160"/>
        <w:jc w:val="left"/>
        <w:rPr>
          <w:rFonts w:ascii="Times New Roman" w:hAnsi="Times New Roman"/>
          <w:color w:val="000000"/>
          <w:sz w:val="22"/>
          <w:u w:val="single"/>
        </w:rPr>
      </w:pPr>
      <w:r>
        <w:rPr>
          <w:rFonts w:ascii="Times New Roman" w:hAnsi="Times New Roman"/>
          <w:color w:val="000000"/>
          <w:sz w:val="22"/>
          <w:u w:val="single"/>
        </w:rPr>
        <w:t xml:space="preserve">/s/ Lloyd Rowland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Lloyd Rowland, General Counsel, Chief Compliance Officer and Secretary Date</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u w:val="single"/>
        </w:rPr>
      </w:pPr>
      <w:r>
        <w:rPr>
          <w:rFonts w:ascii="Times New Roman" w:hAnsi="Times New Roman"/>
          <w:color w:val="000000"/>
          <w:sz w:val="22"/>
          <w:u w:val="single"/>
        </w:rPr>
        <w:t xml:space="preserve">/s/ Sean McCarthy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Sean McCarthy, Chief Executive Officer Date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CytomX Therapeutics Effective: June 12, 2024 Page </w:t>
      </w:r>
      <w:r>
        <w:rPr>
          <w:rFonts w:ascii="Arial" w:hAnsi="Arial"/>
          <w:b/>
          <w:color w:val="000000"/>
          <w:sz w:val="22"/>
        </w:rPr>
        <w:t>10</w:t>
      </w:r>
    </w:p>
    <w:p>
      <w:pPr>
        <w:pStyle w:val="TextBody"/>
        <w:bidi w:val="0"/>
        <w:jc w:val="left"/>
        <w:rPr>
          <w:rFonts w:ascii="Arial" w:hAnsi="Arial"/>
          <w:color w:val="000000"/>
          <w:sz w:val="22"/>
        </w:rPr>
      </w:pPr>
      <w:r>
        <w:rPr>
          <w:rFonts w:ascii="Arial" w:hAnsi="Arial"/>
          <w:color w:val="000000"/>
          <w:sz w:val="22"/>
        </w:rPr>
        <w:t>CORP-003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ctmx-ex31_1.htm"/>
      <w:bookmarkStart w:id="22" w:name="ksctmx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A. McCarthy, Chief Executive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1636"/>
        <w:gridCol w:w="146"/>
        <w:gridCol w:w="631"/>
        <w:gridCol w:w="246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tmx-ex31_2.htm"/>
      <w:bookmarkStart w:id="24" w:name="ksctmx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W. Ogden, Chief Financial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80" w:type="dxa"/>
        <w:jc w:val="left"/>
        <w:tblInd w:w="0" w:type="dxa"/>
        <w:tblLayout w:type="fixed"/>
        <w:tblCellMar>
          <w:top w:w="28" w:type="dxa"/>
          <w:left w:w="28" w:type="dxa"/>
          <w:bottom w:w="28" w:type="dxa"/>
          <w:right w:w="28" w:type="dxa"/>
        </w:tblCellMar>
      </w:tblPr>
      <w:tblGrid>
        <w:gridCol w:w="1636"/>
        <w:gridCol w:w="146"/>
        <w:gridCol w:w="631"/>
        <w:gridCol w:w="24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tmx-ex32_1.htm"/>
      <w:bookmarkStart w:id="26" w:name="ksctmxex32_1"/>
      <w:bookmarkEnd w:id="25"/>
      <w:bookmarkEnd w:id="26"/>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Quarterly Report of CytomX Therapeutics, Inc. (the “Company”) on Form 10-Q for the quarter ended March 31, 2026, as filed with the Securities and Exchange Commission on the date hereof (the “Report”), I, Sean A. McCarthy, Chief Executive Officer of the Company, certify, pursuant to 18 U.S.C. Section 1350, as adopted pursuant to Section 906 of the Sarbanes-Oxley Act of 2002 (the “Act”),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1636"/>
        <w:gridCol w:w="146"/>
        <w:gridCol w:w="631"/>
        <w:gridCol w:w="246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tmx-ex32_2.htm"/>
      <w:bookmarkStart w:id="28" w:name="ksctmxex32_2"/>
      <w:bookmarkEnd w:id="27"/>
      <w:bookmarkEnd w:id="2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Quarterly Report of CytomX Therapeutics, Inc. (the “Company”) on Form 10-Q for the quarter ended March 31, 2026, as filed with the Securities and Exchange Commission on the date hereof (the “Report”), I, Christopher W. Ogden, Chief Financial Officer of the Company, certify, pursuant to 18 U.S.C. Section 1350, as adopted pursuant to Section 906 of the Sarbanes-Oxley Act of 2002 (the “Act”),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080" w:type="dxa"/>
        <w:jc w:val="left"/>
        <w:tblInd w:w="0" w:type="dxa"/>
        <w:tblLayout w:type="fixed"/>
        <w:tblCellMar>
          <w:top w:w="28" w:type="dxa"/>
          <w:left w:w="28" w:type="dxa"/>
          <w:bottom w:w="28" w:type="dxa"/>
          <w:right w:w="28" w:type="dxa"/>
        </w:tblCellMar>
      </w:tblPr>
      <w:tblGrid>
        <w:gridCol w:w="1636"/>
        <w:gridCol w:w="146"/>
        <w:gridCol w:w="631"/>
        <w:gridCol w:w="24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01989/000119312524141699/d816353d8k.htm" TargetMode="External"/><Relationship Id="rId3" Type="http://schemas.openxmlformats.org/officeDocument/2006/relationships/hyperlink" Target="https://www.sec.gov/ix?doc=/Archives/edgar/data/0001501989/000119312524075211/d803852d8k.htm" TargetMode="External"/><Relationship Id="rId4" Type="http://schemas.openxmlformats.org/officeDocument/2006/relationships/hyperlink" Target="https://www.sec.gov/Archives/edgar/data/0001501989/000119312515329662/d948537dex41.htm" TargetMode="External"/><Relationship Id="rId5" Type="http://schemas.openxmlformats.org/officeDocument/2006/relationships/hyperlink" Target="https://www.sec.gov/Archives/edgar/data/1501989/000119312526107146/ctmx-ex4_4.htm" TargetMode="External"/><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59809</Words>
  <Characters>335413</Characters>
  <CharactersWithSpaces>395440</CharactersWithSpaces>
  <Paragraphs>5233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