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tmx-20260630.htm"/>
      <w:bookmarkStart w:id="1" w:name="ksctmx20260630"/>
      <w:bookmarkEnd w:id="0"/>
      <w:bookmarkEnd w:id="1"/>
      <w:r>
        <w:rPr/>
        <w:t> </w:t>
      </w:r>
      <w:r>
        <mc:AlternateContent>
          <mc:Choice Requires="wps">
            <w:drawing>
              <wp:anchor behindDoc="0" distT="0" distB="0" distL="0" distR="0" simplePos="0" locked="0" layoutInCell="1" allowOverlap="1" relativeHeight="2">
                <wp:simplePos x="0" y="0"/>
                <wp:positionH relativeFrom="page">
                  <wp:posOffset>4381500</wp:posOffset>
                </wp:positionH>
                <wp:positionV relativeFrom="page">
                  <wp:posOffset>571500</wp:posOffset>
                </wp:positionV>
                <wp:extent cx="2576830" cy="184150"/>
                <wp:effectExtent l="0" t="0" r="0" b="0"/>
                <wp:wrapNone/>
                <wp:docPr id="1" name="Frame1"/>
                <a:graphic xmlns:a="http://schemas.openxmlformats.org/drawingml/2006/main">
                  <a:graphicData uri="http://schemas.microsoft.com/office/word/2010/wordprocessingShape">
                    <wps:wsp>
                      <wps:cNvSpPr txBox="1"/>
                      <wps:spPr>
                        <a:xfrm>
                          <a:off x="0" y="0"/>
                          <a:ext cx="2576830" cy="184150"/>
                        </a:xfrm>
                        <a:prstGeom prst="rect"/>
                        <a:solidFill>
                          <a:srgbClr val="FFFFFF"/>
                        </a:solidFill>
                      </wps:spPr>
                      <wps:txbx>
                        <w:txbxContent>
                          <w:p>
                            <w:pPr>
                              <w:pStyle w:val="TextBody"/>
                              <w:bidi w:val="0"/>
                              <w:spacing w:before="14" w:after="283"/>
                              <w:ind w:left="20" w:right="0" w:hanging="0"/>
                              <w:jc w:val="right"/>
                              <w:rPr/>
                            </w:pPr>
                            <w:r>
                              <w:rPr/>
                              <w:t> </w:t>
                            </w:r>
                          </w:p>
                        </w:txbxContent>
                      </wps:txbx>
                      <wps:bodyPr anchor="t" lIns="0" tIns="0" rIns="0" bIns="0">
                        <a:noAutofit/>
                      </wps:bodyPr>
                    </wps:wsp>
                  </a:graphicData>
                </a:graphic>
              </wp:anchor>
            </w:drawing>
          </mc:Choice>
          <mc:Fallback>
            <w:pict>
              <v:rect style="position:absolute;rotation:-0;width:202.9pt;height:14.5pt;mso-wrap-distance-left:0pt;mso-wrap-distance-right:0pt;mso-wrap-distance-top:0pt;mso-wrap-distance-bottom:0pt;margin-top:45pt;mso-position-vertical-relative:page;margin-left:345pt;mso-position-horizontal-relative:page">
                <v:textbox inset="0in,0in,0in,0in">
                  <w:txbxContent>
                    <w:p>
                      <w:pPr>
                        <w:pStyle w:val="TextBody"/>
                        <w:bidi w:val="0"/>
                        <w:spacing w:before="14" w:after="283"/>
                        <w:ind w:left="20" w:right="0" w:hanging="0"/>
                        <w:jc w:val="right"/>
                        <w:rPr/>
                      </w:pPr>
                      <w:r>
                        <w:rPr/>
                        <w:t> </w:t>
                      </w:r>
                    </w:p>
                  </w:txbxContent>
                </v:textbox>
                <w10:wrap type="none"/>
              </v:rect>
            </w:pict>
          </mc:Fallback>
        </mc:AlternateConten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QUARTERLY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 to _</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001-37587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CytomX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27-3521219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151 Oyster Point Blvd., Suite 400</w:t>
            </w:r>
          </w:p>
          <w:p>
            <w:pPr>
              <w:pStyle w:val="TableContents"/>
              <w:bidi w:val="0"/>
              <w:jc w:val="center"/>
              <w:rPr>
                <w:rFonts w:ascii="Times New Roman" w:hAnsi="Times New Roman"/>
                <w:b/>
                <w:color w:val="000000"/>
                <w:sz w:val="20"/>
              </w:rPr>
            </w:pPr>
            <w:r>
              <w:rPr>
                <w:rFonts w:ascii="Times New Roman" w:hAnsi="Times New Roman"/>
                <w:b/>
                <w:color w:val="000000"/>
                <w:sz w:val="20"/>
              </w:rPr>
              <w:t>South San Francisco, CA</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94080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(650) 515-3185</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center"/>
        <w:rPr>
          <w:rFonts w:ascii="Times New Roman" w:hAnsi="Times New Roman"/>
          <w:b/>
          <w:color w:val="000000"/>
          <w:sz w:val="16"/>
        </w:rPr>
      </w:pPr>
      <w:r>
        <w:rPr>
          <w:rFonts w:ascii="Times New Roman" w:hAnsi="Times New Roman"/>
          <w:b/>
          <w:color w:val="000000"/>
          <w:sz w:val="16"/>
        </w:rPr>
        <w:t>__________________________________</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55" w:type="dxa"/>
        <w:jc w:val="left"/>
        <w:tblInd w:w="0" w:type="dxa"/>
        <w:tblLayout w:type="fixed"/>
        <w:tblCellMar>
          <w:top w:w="28" w:type="dxa"/>
          <w:left w:w="28" w:type="dxa"/>
          <w:bottom w:w="28" w:type="dxa"/>
          <w:right w:w="28" w:type="dxa"/>
        </w:tblCellMar>
      </w:tblPr>
      <w:tblGrid>
        <w:gridCol w:w="3421"/>
        <w:gridCol w:w="146"/>
        <w:gridCol w:w="1561"/>
        <w:gridCol w:w="146"/>
        <w:gridCol w:w="348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Stock, $0.00001 par value per share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CTMX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2026, the registrant had 217,899,284 shares of common stock, $0.00001 par value per share, outstanding. This number does not include 1,179,245 shares of common stock issuable upon the exercise of pre-funded warrants outstanding as of July 31, 2026 (which are immediately exercisable at an exercise price of $0.00001 per share of common stock, subject to beneficial ownership limitations) sold in the registrant’s underwritten public offering in March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FORM 10-Q FOR THE QUARTER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811"/>
        <w:gridCol w:w="146"/>
        <w:gridCol w:w="7366"/>
        <w:gridCol w:w="14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000FF"/>
                  <w:sz w:val="20"/>
                  <w:u w:val="single"/>
                </w:rPr>
                <w:t>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Income</w:t>
              </w:r>
            </w:hyperlink>
            <w:r>
              <w:rPr>
                <w:rFonts w:ascii="Times New Roman" w:hAnsi="Times New Roman"/>
                <w:color w:val="0000FF"/>
                <w:sz w:val="20"/>
              </w:rPr>
              <w:t> (Loss)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tatements_stockholders_equity">
              <w:r>
                <w:rPr>
                  <w:rStyle w:val="InternetLink"/>
                  <w:rFonts w:ascii="Times New Roman" w:hAnsi="Times New Roman"/>
                  <w:color w:val="0000FF"/>
                  <w:sz w:val="20"/>
                  <w:u w:val="single"/>
                </w:rPr>
                <w:t>Condensed Statements of Stockholders’ Equity (Deficit)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our expectations regarding the potential benefits, activity, effectiveness and safety of our product candidates and therapeutics developed utilizing our PROBODY</w:t>
      </w:r>
      <w:r>
        <w:rPr>
          <w:rFonts w:ascii="Times New Roman" w:hAnsi="Times New Roman"/>
          <w:color w:val="000000"/>
          <w:sz w:val="13"/>
        </w:rPr>
        <w:t>®</w:t>
      </w:r>
      <w:r>
        <w:rPr>
          <w:color w:val="000000"/>
        </w:rPr>
        <w:t xml:space="preserve"> </w:t>
      </w:r>
      <w:r>
        <w:rPr>
          <w:rFonts w:ascii="Times New Roman" w:hAnsi="Times New Roman"/>
          <w:color w:val="000000"/>
          <w:sz w:val="20"/>
        </w:rPr>
        <w:t>conditionally activated platform technology;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of the completion of our ongoing clinical trials and the timing and availability of clinical data from such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identify and develop additional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dependence on collaborators for developing, obtaining regulatory approval for and commercializing product candidates in the collaboration;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 collaborator’s ability to obtain and maintain regulatory approval of any of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receipt and timing of any milestone payments or royalties under any research collaboration and license agreements or arrangements;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and beliefs regarding the evolution of the market and competitive landscape for cancer therapies and development of the oncology industry;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rate and degree of market acceptance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commercialization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establish and maintain collaborations and retain commercial rights for our product candidates in such collaborations;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estimates of our expenses, ongoing losses, future revenue and capital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additional funds for our operations;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any collaborator’s ability to obtain and maintain intellectual property protection for our technologies and product candidates and our ability to operate our business without infringing the intellectual property rights of others;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 parties to conduct our preclinical studies or any future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third-party supply and manufacturing partners to supply the materials and components for, and manufacture, our research and development, preclinical and clinical trial product supplies, including third parties in Europe and China;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attract and retain qualified key management and technical personnel;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secure and maintain licenses of intellectual property to protect our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developments relating to our competitors, our industry, international conflict or uncertainties;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where the context otherwise requires, in this Quarterly Report on Form 10-Q, “we,” “us,” “our” and the “Company” refer to CytomX Therapeutics,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includes trademarks, service marks and trade names owned by us or other companies. All trademarks, service marks and trade names included in this Quarterly Report on Form 10-Q are the property of their respective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2" w:name="condensed_financial_statements"/>
      <w:bookmarkEnd w:id="2"/>
      <w:r>
        <w:rPr>
          <w:rFonts w:ascii="Times New Roman" w:hAnsi="Times New Roman"/>
          <w:b/>
          <w:color w:val="000000"/>
          <w:sz w:val="20"/>
        </w:rPr>
        <w:t>Item 1. Condensed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3" w:name="condensed_balance_sheets"/>
      <w:bookmarkEnd w:id="3"/>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3786"/>
        <w:gridCol w:w="146"/>
        <w:gridCol w:w="211"/>
        <w:gridCol w:w="931"/>
        <w:gridCol w:w="166"/>
        <w:gridCol w:w="146"/>
        <w:gridCol w:w="252"/>
        <w:gridCol w:w="1008"/>
        <w:gridCol w:w="39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condensed balance sheet as of December 31, 2025 was derived from the audited financial statements included in the Company's Annual Report on Form 10-K for the year ended December 31, 2025.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4" w:name="condensed_statements_operations_comprehe"/>
      <w:bookmarkEnd w:id="4"/>
      <w:r>
        <w:rPr>
          <w:rFonts w:ascii="Times New Roman" w:hAnsi="Times New Roman"/>
          <w:b/>
          <w:color w:val="000000"/>
          <w:sz w:val="20"/>
        </w:rPr>
        <w:t>CONDENSED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270"/>
        <w:gridCol w:w="211"/>
        <w:gridCol w:w="1141"/>
        <w:gridCol w:w="166"/>
        <w:gridCol w:w="146"/>
        <w:gridCol w:w="211"/>
        <w:gridCol w:w="1141"/>
        <w:gridCol w:w="166"/>
        <w:gridCol w:w="146"/>
        <w:gridCol w:w="211"/>
        <w:gridCol w:w="1141"/>
        <w:gridCol w:w="166"/>
        <w:gridCol w:w="146"/>
        <w:gridCol w:w="211"/>
        <w:gridCol w:w="1141"/>
        <w:gridCol w:w="591"/>
      </w:tblGrid>
      <w:tr>
        <w:trPr/>
        <w:tc>
          <w:tcPr>
            <w:tcW w:w="3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investments, net of tax</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(loss) per share</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218,939,423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198,221,312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108,214,373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218,939,423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198,221,312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108,928,284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5" w:name="statements_stockholders_equity"/>
      <w:bookmarkEnd w:id="5"/>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0"/>
        <w:gridCol w:w="146"/>
        <w:gridCol w:w="1141"/>
        <w:gridCol w:w="146"/>
        <w:gridCol w:w="295"/>
        <w:gridCol w:w="486"/>
        <w:gridCol w:w="146"/>
        <w:gridCol w:w="211"/>
        <w:gridCol w:w="931"/>
        <w:gridCol w:w="146"/>
        <w:gridCol w:w="433"/>
        <w:gridCol w:w="993"/>
        <w:gridCol w:w="166"/>
        <w:gridCol w:w="243"/>
        <w:gridCol w:w="973"/>
        <w:gridCol w:w="166"/>
        <w:gridCol w:w="257"/>
        <w:gridCol w:w="954"/>
        <w:gridCol w:w="212"/>
      </w:tblGrid>
      <w:tr>
        <w:trPr/>
        <w:tc>
          <w:tcPr>
            <w:tcW w:w="2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170,186,365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follow on offering, net of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45,990,567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pre-funded warrants in follow on offering, net of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217,693,878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217,899,284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302,068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80,099,889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follow-on offering, net of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164,911,115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sz w:val="20"/>
        </w:rPr>
      </w:pPr>
      <w:bookmarkStart w:id="6" w:name="condensed_statements_cash_flows"/>
      <w:bookmarkEnd w:id="6"/>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 and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pre-funded warrants, net of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net of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 and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issuance costs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7" w:name="notes_to_condensed_financial_statements"/>
      <w:bookmarkEnd w:id="7"/>
      <w:r>
        <w:rPr>
          <w:rFonts w:ascii="Times New Roman" w:hAnsi="Times New Roman"/>
          <w:b/>
          <w:color w:val="000000"/>
          <w:sz w:val="20"/>
        </w:rPr>
        <w:t>1. 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 therapeutic technology platform that could meaningfully improve outcomes for cancer patients. Its proprietary and unique PROBODY technology platform is designed to enable “conditional activation” of masked drug candidates in the tumor microenvironment across multiple therapeutic modalities. The Company is located in South San Francisco, California and was incorporated in the state of Delaware in September 2010.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results of operations for this interim period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2025 filed with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arrangements include lease and non-lease components which are generally accounted for separately.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Significant Accounting Policie</w:t>
      </w:r>
      <w:r>
        <w:rPr>
          <w:rFonts w:ascii="Times New Roman" w:hAnsi="Times New Roman"/>
          <w:b/>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significant accounting policies this interim period as compared to the significant accounting policies disclosed in “Note 2. Basis of Presentation and Summary of Significant Accounting Policies” of the “Notes to Financial Statements” included in Part II, Item 8 of our 2025 Annual Report on Form 10-K for the year ended December 31, 2025 filed with the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November 2024, the FASB issued Accounting Standards Update (“ASU”) 2024-03, Disaggregation of Income Statement Expenses (“ASU 2024-03”), which enhances transparency in income statement disclosures. ASU 2024-03 requires entities to disclose detailed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about specific components of income statement expenses, such as employee compensation, depreciation, and amortization, as well as other significant expense categories. The objective is to provide financial statement users with greater insight into the nature and variability of expenses, improving their ability to analyze financial performance and make informed decisions. ASU 2024-03 is effective for the annual reporting periods beginning after December 15, 2026 and for interim periods within annual reporting periods beginning after December 15, 2027 with early adoption permitted. The Company expects to adopt this ASU during the year ended December 31, 2027 on a prospective basis and is currently evaluating the impact on its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(loss) per share is calculated by dividing the net income (loss) attributable to common stockholders by the weighted-average number of shares of common stock outstanding for the period. Diluted net income (loss) per share is calculated by using the weighted-average number of shares of common stock outstanding, plus potential dilutive common stock during the period. Diluted net loss per share is the same as basic net loss per share in the period when the effect of the potentially dilutive securities is anti-dilutive. The pre-funded warrants have been included in both the basic and diluted EPS calculation.</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calculation of basic and diluted net income per share:</w:t>
      </w:r>
    </w:p>
    <w:tbl>
      <w:tblPr>
        <w:tblW w:w="10205" w:type="dxa"/>
        <w:jc w:val="left"/>
        <w:tblInd w:w="0" w:type="dxa"/>
        <w:tblLayout w:type="fixed"/>
        <w:tblCellMar>
          <w:top w:w="28" w:type="dxa"/>
          <w:left w:w="28" w:type="dxa"/>
          <w:bottom w:w="28" w:type="dxa"/>
          <w:right w:w="28" w:type="dxa"/>
        </w:tblCellMar>
      </w:tblPr>
      <w:tblGrid>
        <w:gridCol w:w="3370"/>
        <w:gridCol w:w="211"/>
        <w:gridCol w:w="1141"/>
        <w:gridCol w:w="166"/>
        <w:gridCol w:w="146"/>
        <w:gridCol w:w="211"/>
        <w:gridCol w:w="1141"/>
        <w:gridCol w:w="166"/>
        <w:gridCol w:w="146"/>
        <w:gridCol w:w="211"/>
        <w:gridCol w:w="1141"/>
        <w:gridCol w:w="166"/>
        <w:gridCol w:w="146"/>
        <w:gridCol w:w="211"/>
        <w:gridCol w:w="1141"/>
        <w:gridCol w:w="491"/>
      </w:tblGrid>
      <w:tr>
        <w:trPr/>
        <w:tc>
          <w:tcPr>
            <w:tcW w:w="3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data)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Basic</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217,760,178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197,543,735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108,214,373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pre-funded warrants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(loss)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218,939,423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198,221,312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108,214,373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Diluted</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(loss) 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218,939,423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108,214,373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options, ESPP &amp;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diluted net income (loss) per share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218,939,423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198,221,312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108,928,284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weighted-average outstanding shares of potentially dilutive securities are excluded from the computation of diluted net income (loss) per share for the periods presented, because including them would have been anti-dilutive:</w:t>
      </w:r>
    </w:p>
    <w:tbl>
      <w:tblPr>
        <w:tblW w:w="9691" w:type="dxa"/>
        <w:jc w:val="left"/>
        <w:tblInd w:w="0" w:type="dxa"/>
        <w:tblLayout w:type="fixed"/>
        <w:tblCellMar>
          <w:top w:w="28" w:type="dxa"/>
          <w:left w:w="28" w:type="dxa"/>
          <w:bottom w:w="28" w:type="dxa"/>
          <w:right w:w="28" w:type="dxa"/>
        </w:tblCellMar>
      </w:tblPr>
      <w:tblGrid>
        <w:gridCol w:w="3796"/>
        <w:gridCol w:w="146"/>
        <w:gridCol w:w="1036"/>
        <w:gridCol w:w="146"/>
        <w:gridCol w:w="146"/>
        <w:gridCol w:w="146"/>
        <w:gridCol w:w="1036"/>
        <w:gridCol w:w="146"/>
        <w:gridCol w:w="146"/>
        <w:gridCol w:w="146"/>
        <w:gridCol w:w="1036"/>
        <w:gridCol w:w="146"/>
        <w:gridCol w:w="146"/>
        <w:gridCol w:w="146"/>
        <w:gridCol w:w="1036"/>
        <w:gridCol w:w="2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and ESPP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19,034,383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16,657,828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16,272,951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27,484,528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31,321,630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27,412,016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28,242,201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Fair Value Measurements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financial and non-financial assets and liabilities using the fair value hierarchy, which establishes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III: Unobservable inputs that are supported by little or no market activity and that are significant to the fair value of the assets or liabilities.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instruments, including restricted cash, accounts receivable, accounts payable and accrued liabilities, approximate fair value due to their relatively short maturities. The Company’s financial instruments are comprised of Level I and Level II assets, consisting primarily of highly liquid money market funds which are included in cash equivalents and restricted cash, and U.S. Treasury securities which are included in short-term investments. The Company's U.S. Treasury securities are classified as Level II marketable securities and are valued using third-party pricing sources, which can include observable market prices, interest rates and yield curves observable at commonly quoted intervals for similar assets as observable inputs for pricing.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set forth the fair value of the Company’s investments subject to fair value measurements on a recurring basis and the level of inputs used in such measurements:</w:t>
      </w:r>
    </w:p>
    <w:p>
      <w:pPr>
        <w:pStyle w:val="TextBody"/>
        <w:bidi w:val="0"/>
        <w:jc w:val="left"/>
        <w:rPr/>
      </w:pPr>
      <w:r>
        <w:rPr/>
        <w:t> </w:t>
      </w:r>
    </w:p>
    <w:tbl>
      <w:tblPr>
        <w:tblW w:w="8644" w:type="dxa"/>
        <w:jc w:val="left"/>
        <w:tblInd w:w="0" w:type="dxa"/>
        <w:tblLayout w:type="fixed"/>
        <w:tblCellMar>
          <w:top w:w="28" w:type="dxa"/>
          <w:left w:w="28" w:type="dxa"/>
          <w:bottom w:w="28" w:type="dxa"/>
          <w:right w:w="28" w:type="dxa"/>
        </w:tblCellMar>
      </w:tblPr>
      <w:tblGrid>
        <w:gridCol w:w="3266"/>
        <w:gridCol w:w="991"/>
        <w:gridCol w:w="146"/>
        <w:gridCol w:w="213"/>
        <w:gridCol w:w="793"/>
        <w:gridCol w:w="146"/>
        <w:gridCol w:w="146"/>
        <w:gridCol w:w="401"/>
        <w:gridCol w:w="919"/>
        <w:gridCol w:w="166"/>
        <w:gridCol w:w="146"/>
        <w:gridCol w:w="217"/>
        <w:gridCol w:w="803"/>
        <w:gridCol w:w="291"/>
      </w:tblGrid>
      <w:tr>
        <w:trPr/>
        <w:tc>
          <w:tcPr>
            <w:tcW w:w="32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 xml:space="preserve">Unrealized </w:t>
              <w:br/>
              <w:t>Gains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(money market funds)</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313,056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331,614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970" w:type="dxa"/>
        <w:jc w:val="left"/>
        <w:tblInd w:w="0" w:type="dxa"/>
        <w:tblLayout w:type="fixed"/>
        <w:tblCellMar>
          <w:top w:w="28" w:type="dxa"/>
          <w:left w:w="28" w:type="dxa"/>
          <w:bottom w:w="28" w:type="dxa"/>
          <w:right w:w="28" w:type="dxa"/>
        </w:tblCellMar>
      </w:tblPr>
      <w:tblGrid>
        <w:gridCol w:w="3266"/>
        <w:gridCol w:w="346"/>
        <w:gridCol w:w="991"/>
        <w:gridCol w:w="146"/>
        <w:gridCol w:w="213"/>
        <w:gridCol w:w="793"/>
        <w:gridCol w:w="146"/>
        <w:gridCol w:w="146"/>
        <w:gridCol w:w="439"/>
        <w:gridCol w:w="881"/>
        <w:gridCol w:w="146"/>
        <w:gridCol w:w="146"/>
        <w:gridCol w:w="217"/>
        <w:gridCol w:w="803"/>
        <w:gridCol w:w="291"/>
      </w:tblGrid>
      <w:tr>
        <w:trPr/>
        <w:tc>
          <w:tcPr>
            <w:tcW w:w="32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 xml:space="preserve">Unrealized </w:t>
              <w:br/>
              <w:t>Gains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interest receivable of $1.5 million and $0.5 million, respectively, primarily related to short- term investments are included in prepaid expenses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15 debt securities available-for-sale in an unrealized loss position as of June 30, 2026 and none as of December 31, 2025. During the three and six months ended June 30, 2026, the Company did not record an allowance for credit losses or other impairment charges on our marketable securities. Based upon the quarterly impairment review, the Company determined that the unrealized losses were not attributed to credit risk but were primarily associated with changes in interest rates and market liquidity. As of June 30, 2026, the contractual maturities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short-term U.S. Treasury securities were less than one year. Based on the scheduled maturities of these marketable securities, the Company determined that it is more likely than not that it will hold the securities to maturity and recover its amortized cost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tbl>
      <w:tblPr>
        <w:tblW w:w="5722"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99"/>
        <w:gridCol w:w="961"/>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Collaboration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revenue by collaboration partner:</w:t>
      </w:r>
    </w:p>
    <w:p>
      <w:pPr>
        <w:pStyle w:val="TextBody"/>
        <w:bidi w:val="0"/>
        <w:jc w:val="left"/>
        <w:rPr/>
      </w:pPr>
      <w:r>
        <w:rPr/>
        <w:t> </w:t>
      </w:r>
    </w:p>
    <w:tbl>
      <w:tblPr>
        <w:tblW w:w="7171" w:type="dxa"/>
        <w:jc w:val="left"/>
        <w:tblInd w:w="0" w:type="dxa"/>
        <w:tblLayout w:type="fixed"/>
        <w:tblCellMar>
          <w:top w:w="28" w:type="dxa"/>
          <w:left w:w="28" w:type="dxa"/>
          <w:bottom w:w="28" w:type="dxa"/>
          <w:right w:w="28" w:type="dxa"/>
        </w:tblCellMar>
      </w:tblPr>
      <w:tblGrid>
        <w:gridCol w:w="2061"/>
        <w:gridCol w:w="211"/>
        <w:gridCol w:w="571"/>
        <w:gridCol w:w="146"/>
        <w:gridCol w:w="146"/>
        <w:gridCol w:w="211"/>
        <w:gridCol w:w="676"/>
        <w:gridCol w:w="346"/>
        <w:gridCol w:w="346"/>
        <w:gridCol w:w="211"/>
        <w:gridCol w:w="676"/>
        <w:gridCol w:w="146"/>
        <w:gridCol w:w="146"/>
        <w:gridCol w:w="211"/>
        <w:gridCol w:w="676"/>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Amgen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Bristol Myers Squibb</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Regeneron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Moderna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Amgen,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2017, the Company entered into a Collaboration and License Agreement with Amgen, Inc. (the "Amgen Agreement") pursuant to which the parties collaborated on the research, development, and commercialization of conditionally activated T-cell engager ("TCE") therapies, including CX-904, an EGFR-targeting TCE candidate. In connection with the agreement, the Company received a $40.0 million upfront payment and $20.0 million from Amgen's purchase of the Company's common stock, with CytomX responsible for certain early-stage development activities and Amgen responsible for late-stage development and commercialization of selected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FDA clearance of the IND for CX-904 in 2022 and advancement into Phase 1 clinical development, CytomX and Amgen jointly discontinued the program in March 2025. Effective the second quarter of 2025, Amgen terminated its rights to both the EGFR program and an additional Amgen-selected target, resulting in the recognition of all remaining deferred revenue associated with these programs by June 30, 2025. As of June 30, 2025, the Company had completed its performance obligations under the Amgen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initiation of the collaboration, CytomX had the option to select from programs specified in the Amgen Agreement, an existing preclinical stage TCE product from the Amgen preclinical pipeline. In March 2018, CytomX selected the program and this program, CX-908, a PROBODY T cell engager targeting CDH3 and CD3,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Astellas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23, 2020, the Company entered into a Collaboration and License Agreement with Astellas Pharma Inc. ("Astellas") to research, develop, and commercialize PROBODY therapeutic candidates against up to six oncology targets, including an initial target and potential additional targets. Under the agreement, the Company received an $80.0 million upfront payment and is eligible to receive development, regulatory and commercial milestone payments, as well as tiered royalties on future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of the collaboration, the Company has achieved multiple development milestones on selected the collaboration targets, including a $5.0 million payment for the initiation of GLP toxicology studies by Astellas, which was fully recognized in the first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2026, Astellas chose not to advance the remaining preclinical programs and terminated the Astellas Agreement effective May 12, 2026, which resulted in the completion of the Company's performance obligation and recognition of the remaining deferred revenue by the second quarter of 2026. As a result, a cumulative adjustment of $7.1 million of revenue was recognized in the first quarter of 2026, which lowered the net loss per share by $0.04 for the six months ended June 30, 2026. It has no impact on the net loss per share of the current quarter. As of June 30, 2026, there was no deferred revenue relating to the Astellas Agreement. Deferred revenue was $8.6 million as of December 31, 2025. The amount due from Astellas under the Astellas Agreement was $30 thousand as of June 30, 2026 and $0.9 million as of December 31, 2025.</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Bristol Myers Squibb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July 7, 2014, the Company entered into a collaboration and license agreement with Bristol Myers Squibb Company ("Bristol Myers Squibb") to discover, develop, and commercialize PROBODY therapeutics against multiple oncology targets, including CTLA-4, which was subsequently expanded in 2017 and amended in 2021 to include additional targets and extended research activities. Under the collaboration, the Company received aggregate upfront and milestone payments of $297.0 million and was eligible for additional development, regulatory, commercial milestone payments, and royalties on future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Bristol Myers Squibb discontinued development of its lead CTLA-4 program, BMS-986288, and reduced the scope of certain preclinical research activities under the collaboration. The Company's research obligations for the remaining programs were completed in April 2025, resulting in recognition of the remaining deferred revenue of $11.6 million, and Bristol Myers Squibb subsequently terminated the collaboration in May 2026 after electing not to advance the remaining preclinical programs.</w:t>
      </w:r>
    </w:p>
    <w:p>
      <w:pPr>
        <w:pStyle w:val="TextBody"/>
        <w:bidi w:val="0"/>
        <w:spacing w:before="360" w:after="283"/>
        <w:jc w:val="left"/>
        <w:rPr>
          <w:rFonts w:ascii="Times New Roman" w:hAnsi="Times New Roman"/>
          <w:sz w:val="20"/>
        </w:rPr>
      </w:pPr>
      <w:r>
        <w:rPr>
          <w:rFonts w:ascii="Times New Roman" w:hAnsi="Times New Roman"/>
          <w:b/>
          <w:i/>
          <w:color w:val="000000"/>
          <w:sz w:val="20"/>
        </w:rPr>
        <w:t>ModernaTX,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Moderna's budget considerations, the Company's remaining activities for its performance obligation are currently paused pending future alignment with Moderna. As of June 30, 2026 and December 31, 2025, deferred revenue relating to the Moderna Agreement was $9.3 million and $9.3 million, respectively. There was no amount due from Moderna under the Moderna Agreement as of June 30,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left"/>
        <w:rPr/>
      </w:pPr>
      <w:r>
        <w:rPr>
          <w:rFonts w:ascii="Times New Roman" w:hAnsi="Times New Roman"/>
          <w:color w:val="000000"/>
          <w:sz w:val="20"/>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w:t>
      </w:r>
      <w:r>
        <w:rPr>
          <w:rFonts w:ascii="Times New Roman" w:hAnsi="Times New Roman"/>
          <w:color w:val="000000"/>
          <w:sz w:val="13"/>
        </w:rPr>
        <w:t>®</w:t>
      </w:r>
      <w:r>
        <w:rPr>
          <w:rFonts w:ascii="Times New Roman" w:hAnsi="Times New Roman"/>
          <w:color w:val="000000"/>
          <w:sz w:val="20"/>
        </w:rPr>
        <w:t xml:space="preserve">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r>
        <w:rPr>
          <w:rFonts w:cs="Tahoma;sans-serif"/>
          <w:color w:val="000000"/>
          <w:szCs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Regeneron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Regeneron Agreement, the consideration from Regeneron was comprised of an upfront fee of $30.0 million, contingent payments for development and regulatory milestones and commercial milestone payments of up to an aggregate of approximately $0.8 billion. If Regeneron exercised its Additional Collaboration Program Option, the Company would have been eligible to receive additional upfront and milestone payments aggregating up to approximately $1.2 billion.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May 2026, the Company and Regeneron amended the Regeneron Agreement (the "Amendment") primarily to (1) extend the program selection period for Regeneron to select its additional Collaboration Programs for research and development, and (2) expand the total number of additional Collaboration Programs from three to eight targets. Of the eight Collaboration Programs and pursuant to the Amendment, two targets were selected in June 2026 for an aggregate upfront fee of $37.0 million, with contingent payments for development and regulatory milestones and commercial milestone payments of up to an aggregate of approximately $0.8 billion.</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Amendment, if Regeneron exercises all Additional Collaboration Program Options, the Company is eligible to receive total upfront, development, regulatory and commercial milestone payments aggregating up to approximately $4.0 billion. The Company is also entitled to tiered royalties from high-single digit to low-teen percentage royalties from potential future sales. In addition, the Company will receive research and development service fees based on a prescribed FTE 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each selected Collaboration Program was a distinct performance obligation consisting of an exclusive research, development and commercialization license, research and development services and participation in the joint research committee. The Company concluded that as of the effective date of the Amendment, the final two targets were material rights and performance obligations. The Company accounted for the Amendment as a contract modification and allocated the total unrecognized transaction price among the identified performance obligations using the relative standalone selling price (“SSP”) of each performance obligation. The total unrecognized transaction price as of the effective date of the Amendment was $56.4 million, consisting of the upfront fee of $37.0 million, estimated research and development service fees of $10.0 million and unrecognized transaction price at the time of the modification of $9.4 million. To determine the SSP, the Company considered observable collaboration transactions, adjusted for differences in stage of development, modality, scope of rights transferred, expected research effort, market conditions, and Company-specific circumstances known as of the modification date. The transaction price allocated to each performance obligation is recognized using an input measure over the estimated research service period of four years consistent with the Company’s related accounting policy. The Company determined that the contingent milestone payments were fully constrained due to the uncertainty in achieving them as of the inception of the Amendment.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deferred revenue relating to the Regeneron Agreement was $45.4 million and $10.5 million, respectively. The amount due from Regeneron under the Regeneron Agreement was $37.5 million and $0.8 million as of June 30, 2026 and December 31, 2025, respectively. The $37.0 million upfront fee was collected in July 2026.</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in the Company’s total contract liabilities during the six months ended June 30, 2026 and 2025:</w:t>
      </w:r>
    </w:p>
    <w:p>
      <w:pPr>
        <w:pStyle w:val="TextBody"/>
        <w:bidi w:val="0"/>
        <w:jc w:val="left"/>
        <w:rPr/>
      </w:pPr>
      <w:r>
        <w:rPr/>
        <w:t> </w:t>
      </w:r>
    </w:p>
    <w:tbl>
      <w:tblPr>
        <w:tblW w:w="3617" w:type="dxa"/>
        <w:jc w:val="left"/>
        <w:tblInd w:w="0" w:type="dxa"/>
        <w:tblLayout w:type="fixed"/>
        <w:tblCellMar>
          <w:top w:w="28" w:type="dxa"/>
          <w:left w:w="28" w:type="dxa"/>
          <w:bottom w:w="28" w:type="dxa"/>
          <w:right w:w="28" w:type="dxa"/>
        </w:tblCellMar>
      </w:tblPr>
      <w:tblGrid>
        <w:gridCol w:w="1786"/>
        <w:gridCol w:w="361"/>
        <w:gridCol w:w="1259"/>
        <w:gridCol w:w="211"/>
      </w:tblGrid>
      <w:tr>
        <w:trPr/>
        <w:tc>
          <w:tcPr>
            <w:tcW w:w="17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2025</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expects that the $54.7 million of deferred revenue related to the following contracts as of June 30, 2026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development, resources assigned to the contracts by the Company or its collaboration partners or other factors outside of the Company’s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$9.3 million of deferred revenue related to the Moderna Agreement, together with research and development service fees, are expected to be recognized primarily in 2026 and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$45.4 million of deferred revenue related to the Regeneron Agreement, together with research and development service fees, are expected to be recognized until 2030.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License Agreement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UCSB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August 2010, the Company entered into an exclusive, worldwide license agreement with University of California, Santa Barbara (“UCSB”), relating to the use of certain patents and technology, and to patent rights the Company co-owns with UCSB that cover certain conditionally activatable antibodies (the “UCSB Agreement”). Pursuant to the UCSB Agreement, the Company has annual minimum royalty obligations of $0.2 million under the terms of certain exclusive licensed patent rights. In April 2019, the Company entered into Amendment No. 3 to the UCSB Agreement to adjust and clarify certain sublicense terms (“Amendment No. 3”). Under the terms of Amendment No. 3, the Company agreed to make an additional annual license maintenance fee of $0.8 million through January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license or sublicense expenses were incurred during the three months ended June 30, 2026 and 2025. For the six months ended June 30, 2026 and 2025, the Company incurred license and sublicense expenses of $0.9 million and $1.1 million, respectively, under the UCSB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ImmunoGen (acquired by AbbVie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 In exchange, the Company made an upfront license payment of $7.5 million, and will pay up to $35.0 million in certain clinical development milestones and up to $320.0 million in regulatory approval and commercial milestone payments, if achieved. ImmunoGen is also entitled to royalties on product sales ranging from the mid-to-high single digits percentages.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April 2024, the Company made a $5.0 million payment of the $35.0 million in potential clinical development milestone payments to AbbVie (formerly ImmunoGen) with respect to achieving the milestone of dosing the first patient for Varseta-M under the ImmunoGen 2019 License. The remaining $30.0 million of potential development milestone payments under the License Agreement are expected to be triggered by the start of the first Phase 2 study and first Phase 3 study for an EpCAM program (e.g. Varseta-M) in the amounts of $10.0 million and $20.0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Varseta-M, which is currently in Phase 1 development, is covered under the ImmunoGen License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Common Stock</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March 19, 2026, the Company completed an underwritten offering of 45,990,567 shares of common stock at an offering price of $5.30 per share and pre-funded warrants to purchase 1,179,245 shares of common stock (the “Pre-Funded Warrants”) at a price of $5.29999 per share. The Pre-Funded Warrants have an exercise price of $0.00001 per share, subject to adjustments, and are exercisable from the date of issuance until fully exercised, subject to an ownership limitation. The aggregate net proceeds received by the Company from the offering were approximately $234.2 million, after deducting underwriting discounts and commissions of $15.0 million and offering expenses of $0.8 million. In addition, the Company granted the underwriters the option for 30 days to purchase up to an additional 7,075,471 shares of common stock at the public offering price of $5.30 per share. Such option expired unexercised in April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the Company completed an underwritten public offering of 76,923,076 shares of common stock at a price of $1.30 per share. The aggregate net proceeds received by the Company from the offering were approximately $93.4 million, after deducting underwriting discounts and commissions of $6.0 million and offering expenses of $0.6 million. Longitude Venture Partners V, L.P. (“LVPV”) acquired approximately 11.5 million shares of common stock through the underwritten public offering. Longitude Capital Partners V, LLC (“LCPV”) is a general partner of LVPV. A member of the Company’s board of directors serves as a managing director of LCPV, and therefore, LCPV is considered a related party of the Company. The Company had no other significant related party transactions with LCPV.</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2023, the Company entered into an agreement with BVF Partners L.P. (“BVF”) for a private placement and received aggregate net proceeds of approximately $29.7 million in July 2023, after deducting issuance costs of approximately $0.3 million. In the private placement, the Company issued pre-funded warrants to BVF to purchase up to 14,423,077 shares of common stock (the “BVF Pre-Funded Warrants”), accompanying Tranche 1 warrants to purchase up to 5,769,231 shares of common stock and accompanying Tranche 2 warrants to purchase up to 5,769,231 shares of common stock, at a combined price of $2.08 per share. The initial exercise price of the Tranche 1 and Tranche 2 warrants was $4.16 per share and $6.24 per share, respectively. The public offering in May 2025 described above triggered an adjustment provision in the Tranche 1 and Tranche 2 warrants, pursuant to which the exercise prices were reduced to $2.73 and $3.77 per share, respectively. The Tranche 1 and Tranche 2 warrants expired without being exercised in July 2025 and July 2026, respectively. BVF exercised the BVF Pre-Funded Warrants for 7.5 million shares of common stock in May 2024 and for the remaining 6.9 million shares in May 2025, in each case at an exercise price of $0.00001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outstanding warrants as of June 30, 2026:</w:t>
      </w:r>
    </w:p>
    <w:p>
      <w:pPr>
        <w:pStyle w:val="TextBody"/>
        <w:bidi w:val="0"/>
        <w:jc w:val="left"/>
        <w:rPr/>
      </w:pPr>
      <w:r>
        <w:rPr/>
        <w:t> </w:t>
      </w:r>
    </w:p>
    <w:tbl>
      <w:tblPr>
        <w:tblW w:w="9233" w:type="dxa"/>
        <w:jc w:val="left"/>
        <w:tblInd w:w="0" w:type="dxa"/>
        <w:tblLayout w:type="fixed"/>
        <w:tblCellMar>
          <w:top w:w="28" w:type="dxa"/>
          <w:left w:w="28" w:type="dxa"/>
          <w:bottom w:w="28" w:type="dxa"/>
          <w:right w:w="28" w:type="dxa"/>
        </w:tblCellMar>
      </w:tblPr>
      <w:tblGrid>
        <w:gridCol w:w="2686"/>
        <w:gridCol w:w="286"/>
        <w:gridCol w:w="146"/>
        <w:gridCol w:w="931"/>
        <w:gridCol w:w="146"/>
        <w:gridCol w:w="146"/>
        <w:gridCol w:w="293"/>
        <w:gridCol w:w="1087"/>
        <w:gridCol w:w="146"/>
        <w:gridCol w:w="146"/>
        <w:gridCol w:w="146"/>
        <w:gridCol w:w="931"/>
        <w:gridCol w:w="146"/>
        <w:gridCol w:w="146"/>
        <w:gridCol w:w="430"/>
        <w:gridCol w:w="950"/>
        <w:gridCol w:w="471"/>
      </w:tblGrid>
      <w:tr>
        <w:trPr/>
        <w:tc>
          <w:tcPr>
            <w:tcW w:w="26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Tranche 2 Warrants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Price </w:t>
              <w:br/>
              <w:t>Per Share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Issuance in public offering</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June 2026 annual meeting of stockholders, the Company's authorized shares of common stock were approved to increase from 300,000,000 shares to 600,000,000 shares.</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Activities for the Company’s stock option plans for the six months ended June 30, 2026 were as follows: </w:t>
      </w:r>
    </w:p>
    <w:p>
      <w:pPr>
        <w:pStyle w:val="TextBody"/>
        <w:bidi w:val="0"/>
        <w:jc w:val="left"/>
        <w:rPr/>
      </w:pPr>
      <w:r>
        <w:rPr/>
        <w:t> </w:t>
      </w:r>
    </w:p>
    <w:tbl>
      <w:tblPr>
        <w:tblW w:w="6097" w:type="dxa"/>
        <w:jc w:val="left"/>
        <w:tblInd w:w="0" w:type="dxa"/>
        <w:tblLayout w:type="fixed"/>
        <w:tblCellMar>
          <w:top w:w="28" w:type="dxa"/>
          <w:left w:w="28" w:type="dxa"/>
          <w:bottom w:w="28" w:type="dxa"/>
          <w:right w:w="28" w:type="dxa"/>
        </w:tblCellMar>
      </w:tblPr>
      <w:tblGrid>
        <w:gridCol w:w="2686"/>
        <w:gridCol w:w="146"/>
        <w:gridCol w:w="146"/>
        <w:gridCol w:w="1036"/>
        <w:gridCol w:w="166"/>
        <w:gridCol w:w="146"/>
        <w:gridCol w:w="372"/>
        <w:gridCol w:w="1008"/>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Exercise Price </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19,474,901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$1.7 million and $0.8 million of stock-based compensation expense related to the stock option plans for the three months ended June 30, 2026 and 2025,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$5.4 million and $2.0 million of stock-based compensation expense related to the stock option plans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Time-based RSUs ("TRSU")</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Activities for the Company’s TRSUs for the six months ended June 30, 2026 were as follows:</w:t>
      </w:r>
    </w:p>
    <w:tbl>
      <w:tblPr>
        <w:tblW w:w="9187" w:type="dxa"/>
        <w:jc w:val="left"/>
        <w:tblInd w:w="0" w:type="dxa"/>
        <w:tblLayout w:type="fixed"/>
        <w:tblCellMar>
          <w:top w:w="28" w:type="dxa"/>
          <w:left w:w="28" w:type="dxa"/>
          <w:bottom w:w="28" w:type="dxa"/>
          <w:right w:w="28" w:type="dxa"/>
        </w:tblCellMar>
      </w:tblPr>
      <w:tblGrid>
        <w:gridCol w:w="2686"/>
        <w:gridCol w:w="146"/>
        <w:gridCol w:w="146"/>
        <w:gridCol w:w="991"/>
        <w:gridCol w:w="166"/>
        <w:gridCol w:w="146"/>
        <w:gridCol w:w="1405"/>
        <w:gridCol w:w="3110"/>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$0.8 million and $0.5 million of stock-based compensation expense related to the TRSUs for the three months ended June 30, 2026 and 2025,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$1.7 million and $0.6 million of stock-based compensation expense related to the TRSUs for the six months ended June 30, 2026 and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RSUs ("PSUs")</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2024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granted 810,000 PSUs to executive employees with an aggregate grant date fair value of approximately $1.3 million. Vesting for 50% of the PSUs granted would occur upon attaining specified milestones by December 2025 (“2024-Tranche-1 PSUs”), and the remaining 50% will vest upon attaining specified milestones by December 2026 (“2024-Tranche-2 PSUs”). The 2024-Tranche-1 PSUs were canceled as the related performance condition was not met by December 2025. As of June 30, 2026, the Company determined that it is not probable that the performance conditions will be satisfied for 2024-Tranche-2 PSUs and hence no compensation cost was recorded for these awards through June 30, 2026.</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2025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and February 2026, the Company granted a total of 463,350 PSUs to executive employees with an aggregate grant date fair value of approximately $1.5 million. Vesting for one-third of the PSUs granted will occur upon attaining a specified milestone (“2025-Tranche-1 PSUs”), vesting for one-third of the PSUs granted will occur upon attaining a specified milestone (“2025-Tranche-2 PSUs”) on June 30, 2027 or later, and the remaining one-third will vest upon attaining a specified milestone on June 30, 2028 or later (“2025-Tranche-3 PSUs”). As of June 30, 2026, the Company determined that it is not probable that the performance conditions will be satisfied for any of these tranches and hence no compensation cost was recorded for these awards through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Activities for the Company’s PSUs for the six months ended June 30, 2026, were as follows:</w:t>
      </w:r>
    </w:p>
    <w:p>
      <w:pPr>
        <w:pStyle w:val="TextBody"/>
        <w:bidi w:val="0"/>
        <w:jc w:val="left"/>
        <w:rPr/>
      </w:pPr>
      <w:r>
        <w:rPr/>
        <w:t> </w:t>
      </w:r>
    </w:p>
    <w:tbl>
      <w:tblPr>
        <w:tblW w:w="9435" w:type="dxa"/>
        <w:jc w:val="left"/>
        <w:tblInd w:w="0" w:type="dxa"/>
        <w:tblLayout w:type="fixed"/>
        <w:tblCellMar>
          <w:top w:w="28" w:type="dxa"/>
          <w:left w:w="28" w:type="dxa"/>
          <w:bottom w:w="28" w:type="dxa"/>
          <w:right w:w="28" w:type="dxa"/>
        </w:tblCellMar>
      </w:tblPr>
      <w:tblGrid>
        <w:gridCol w:w="2686"/>
        <w:gridCol w:w="146"/>
        <w:gridCol w:w="158"/>
        <w:gridCol w:w="847"/>
        <w:gridCol w:w="346"/>
        <w:gridCol w:w="346"/>
        <w:gridCol w:w="1405"/>
        <w:gridCol w:w="3110"/>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755,850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stock-based compensation recorded was as follows:</w:t>
      </w:r>
    </w:p>
    <w:tbl>
      <w:tblPr>
        <w:tblW w:w="9010" w:type="dxa"/>
        <w:jc w:val="left"/>
        <w:tblInd w:w="0" w:type="dxa"/>
        <w:tblLayout w:type="fixed"/>
        <w:tblCellMar>
          <w:top w:w="28" w:type="dxa"/>
          <w:left w:w="28" w:type="dxa"/>
          <w:bottom w:w="28" w:type="dxa"/>
          <w:right w:w="28" w:type="dxa"/>
        </w:tblCellMar>
      </w:tblPr>
      <w:tblGrid>
        <w:gridCol w:w="3851"/>
        <w:gridCol w:w="546"/>
        <w:gridCol w:w="213"/>
        <w:gridCol w:w="577"/>
        <w:gridCol w:w="147"/>
        <w:gridCol w:w="147"/>
        <w:gridCol w:w="213"/>
        <w:gridCol w:w="577"/>
        <w:gridCol w:w="146"/>
        <w:gridCol w:w="146"/>
        <w:gridCol w:w="211"/>
        <w:gridCol w:w="571"/>
        <w:gridCol w:w="146"/>
        <w:gridCol w:w="146"/>
        <w:gridCol w:w="211"/>
        <w:gridCol w:w="571"/>
        <w:gridCol w:w="591"/>
      </w:tblGrid>
      <w:tr>
        <w:trPr/>
        <w:tc>
          <w:tcPr>
            <w:tcW w:w="38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stock-based compensation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in connection with the extension of consulting arrangements for two former executives, the Company extended the vesting period of unvested options and awards and the exercisable period of vested options, as permitted under the Company's equity incentive plans. As a result, the Company recognized the full amount of the incremental stock-based compensation expense of approximately $2.5 million in the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2016 Lease 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2015, the Company entered into a lease (the “2016 Lease”) of office and laboratory space located in South San Francisco, California for the Company’s corporate headquarters. The 2016 Lease has an initial term of ten years through September 2026 and the Company had an option to extend the initial term for an additional five years at the then fair rental value as determined pursuant to the 2016 Lease. In addition, the Company obtained a standby letter of credit (the “Letter of Credit”) in an amount of approximately $0.9 million, which may be drawn by the Landlord prior to its expiration on December 31, 2026, to be applied for certain purposes upon the Company’s breach of any provisions under the 2016 Lease. The Company recorded $0.9 million of cash securing the Letter of Credit as current restricted cash and non-current restricted cash on its balance sheets as of June 30, 2026 and December 31, 2025, respectively. In January 2026, the Company and the sublease tenant entered into a sublease termination agreement, resulting in an early termination of the sublease in February 2026. Pursuant to the sublease termination agreement, the sublessee paid an aggregate of $0.6 million as final settlement of the sublease, of which $0.2 million was included as an offset against operating lease cost for the first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under the 2016 Lease, rent expense was $1.2 million and $2.2 million, respectively and related variable lease cost was $0.7 million and $1.4 million, respectively. As of June 30, 2026 and December 31, 2025, the operating lease ROU asset was $1.1 million and $3.4 million, respectively. The lease liability all due within 2026 was $1.4 million and $4.2 million as of June 30, 2026 and December 31,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2026 Lease Operating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Company entered into a lease (the “2026 Lease”) of office and laboratory space located in Emeryville, California for the Company’s corporate headquarters. The contractual term for the 2026 Lease is October 1, 2026 to December 31, 2029. The Company determined that the lease commencement date for accounting purposes is April 1, 2026, when the office and laboratory space is available for use by the Company to begin construction of its leasehold improvements, and resulted in recognition of approximately $4.1 million lease liabilities and the related right of use assets. The Company expects to utilize the full amount of the one-time tenant improvement allowance of $0.4 million receivable from landlord. The Company has two options to extend the term, each for an additional two years, at the then fair market rent as determined under the term of the 2026 Lease. In addition, the Company has provided a security deposit of $0.5 million or letter of credit with anticipated reduction to $0.3 million at the end of December 2026, which may be drawn by the Landlord to be applied for certain purposes upon the Company’s breach of any provisions under the 2026 Lease. The Company has recorded the $0.5 million Letter of Credit as non-current restricted cash on its balance sheet as of June 30, 2026 and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Rent expense is recognized on a straight-line basis over the term of the lease and accordingly the Company records the difference between cash rent payments and the recognition of rent expense against the operating lease ROU asset. Rent expense under the 2026 Lease during the three months ended June 30, 2026 was $0.4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information related to the 2026 Lease are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tbl>
      <w:tblPr>
        <w:tblW w:w="8538" w:type="dxa"/>
        <w:jc w:val="left"/>
        <w:tblInd w:w="0" w:type="dxa"/>
        <w:tblLayout w:type="fixed"/>
        <w:tblCellMar>
          <w:top w:w="28" w:type="dxa"/>
          <w:left w:w="28" w:type="dxa"/>
          <w:bottom w:w="28" w:type="dxa"/>
          <w:right w:w="28" w:type="dxa"/>
        </w:tblCellMar>
      </w:tblPr>
      <w:tblGrid>
        <w:gridCol w:w="6001"/>
        <w:gridCol w:w="346"/>
        <w:gridCol w:w="506"/>
        <w:gridCol w:w="1369"/>
        <w:gridCol w:w="316"/>
      </w:tblGrid>
      <w:tr>
        <w:trPr/>
        <w:tc>
          <w:tcPr>
            <w:tcW w:w="60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balance sheet information related to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(in years)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488" w:type="dxa"/>
        <w:jc w:val="left"/>
        <w:tblInd w:w="0" w:type="dxa"/>
        <w:tblLayout w:type="fixed"/>
        <w:tblCellMar>
          <w:top w:w="28" w:type="dxa"/>
          <w:left w:w="28" w:type="dxa"/>
          <w:bottom w:w="28" w:type="dxa"/>
          <w:right w:w="28" w:type="dxa"/>
        </w:tblCellMar>
      </w:tblPr>
      <w:tblGrid>
        <w:gridCol w:w="4456"/>
        <w:gridCol w:w="346"/>
        <w:gridCol w:w="319"/>
        <w:gridCol w:w="956"/>
        <w:gridCol w:w="411"/>
      </w:tblGrid>
      <w:tr>
        <w:trPr/>
        <w:tc>
          <w:tcPr>
            <w:tcW w:w="4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Undiscounted future non-cancelable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Tenant improvement allowance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maintains a full valuation allowance against its net deferred tax assets through June 30, 2026</w:t>
      </w:r>
      <w:r>
        <w:rPr>
          <w:rFonts w:ascii="Times New Roman" w:hAnsi="Times New Roman"/>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$4.5 million in long-term liabilities for the proposed tax assessment, penalties and interest through June 30, 2026. Additional utilization of carryforward attributes and indirect federal tax effects of the assessment would result in a reduction in deferred tax assets of $5.0 million. The Company filed a protest to contest the proposed assessment in November 2023. Due to the ongoing nature of the examination and discussions with the state of California, the Company is unable to estimate a date by which this matter will be resolved.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a single operating segment. The Chief Executive Officer is identified as the Chief Operating Decision Maker (“CODM”). The CODM primarily reviews the Company’s financial information on an aggregate basis. The CODM utilizes the aggregated financial information to make strategic decisions, assess performance, and allocate resources across the Company. The aggregate information includes the revenue by collaboration partner, research and development expense by program, as well as net income (loss) that is reported on the Statements of Operations and Comprehensive Income (Loss). Net income (loss) is used to monitor budget versus actual results in assessing performance of the segment and in establishing management's compensation. The measure of segment assets is reported on the Balance Sheets as total assets. All of the Company’s long-lived assets are located in the United States. In addition to the revenue by collaborative partners disclosed in Note 6, the CODM reviews the following significant expenses in making decisions about the allocation of resources and assessing performance (in thousands):</w:t>
      </w:r>
    </w:p>
    <w:p>
      <w:pPr>
        <w:pStyle w:val="TextBody"/>
        <w:bidi w:val="0"/>
        <w:jc w:val="left"/>
        <w:rPr/>
      </w:pPr>
      <w:r>
        <w:rPr/>
        <w:t> </w:t>
      </w:r>
    </w:p>
    <w:tbl>
      <w:tblPr>
        <w:tblW w:w="9982" w:type="dxa"/>
        <w:jc w:val="left"/>
        <w:tblInd w:w="0" w:type="dxa"/>
        <w:tblLayout w:type="fixed"/>
        <w:tblCellMar>
          <w:top w:w="28" w:type="dxa"/>
          <w:left w:w="28" w:type="dxa"/>
          <w:bottom w:w="28" w:type="dxa"/>
          <w:right w:w="28" w:type="dxa"/>
        </w:tblCellMar>
      </w:tblPr>
      <w:tblGrid>
        <w:gridCol w:w="4641"/>
        <w:gridCol w:w="146"/>
        <w:gridCol w:w="211"/>
        <w:gridCol w:w="736"/>
        <w:gridCol w:w="166"/>
        <w:gridCol w:w="146"/>
        <w:gridCol w:w="211"/>
        <w:gridCol w:w="676"/>
        <w:gridCol w:w="166"/>
        <w:gridCol w:w="146"/>
        <w:gridCol w:w="211"/>
        <w:gridCol w:w="736"/>
        <w:gridCol w:w="166"/>
        <w:gridCol w:w="146"/>
        <w:gridCol w:w="211"/>
        <w:gridCol w:w="676"/>
        <w:gridCol w:w="5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costs incurred by product candidate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Varseta-M (EpCAM)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CX-801 (IFNα2b)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CX-904 (EGFRxCD3)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wholly owned and partnered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managements_discussion_and_analysis"/>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2025, included in our Annual Report on Form 10-K as filed with the U.S. Securities and Exchange Commission (“SEC”) on March 16, 2026.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oncology-focused biopharmaceutical company dedicated to developing innovative therapies to address major unmet need in oncology. We have led the field of conditionally activated, masked biologics through the development of our PROBODY technology platform. This versatile, multi-modality platform is built on a strong foundation of tumor biology expertise, including deep knowledge of tumor-associated enzymes known as proteases. Our masking strategy is designed to reduce binding of biologic therapeutics to their targets until the mask is removed by proteases in the tumor microenvironment, providing more selective targeting of the tumor and optimizing the predicted therapeutic index of our clinical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experience and leadership with the PROBODY platform for over 15 years has led to a highly focused strategy for the application of our technology in product development that has resulted in a current pipeline of novel clinical-stage and preclinical stage programs. In identifying and designing potential PROBODY therapeutics, we evaluate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Target: Drug targets that have been validated previously as having clinical anti-tumor activity, but have been limited in their utility due to expression and toxicity in healthy tissues.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Indication: The significance of the clinical unmet need that may be addressed if the target could be targeted systemically and unlocked through masking.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Effector Mechanism: The PROBODY platform is highly versatile and is being applied to a wide range of modalities including antibody-drug conjugates (“ADCs”), T-cell engagers (“TCEs”), and cytokines. In PROBODY therapeutic design, the goal is to align the selected indication with the most validated drug modality (e.g., ADC, TCE) and cancer cell killing mechanism (e.g., cytotoxic payload) to maximize the potential for clinical activity.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two current clinical programs, varsetatug masetecan (“Varseta-M”) and CX-801 are examples of our focused program development strategy. We aim to continue to advance our clinical pipeline towards later stage development and ultimately build a commercial enterprise to maximize our impact on the treatment of cancer.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Varsetatug Masetecan (Varseta-M)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clinical-stage program is Varseta-M, an investigational, conditionally activated antibody-drug conjugate (“ADC”) targeting epithelial cell adhesion molecule (“EpCAM”). Varseta-M is initially focused on the lead indication of colorectal cancer (“CRC”). Varseta-M is designed to bring the promise of ADCs, which have made a meaningful clinical difference in other solid tumors such as lung and breast cancer, to CRC by leveraging EpCAM as a potentially ideal CRC antigen to target this disease. Varseta-M is a high affinity EpCAM antibody that is designed to preferentially bind EpCAM in the tumor microenvironment and minimize toxicities in healthy tissues, which have limited prior attempts in the field to target EpCAM systemically. Varseta-M is armed with a topoisomerase-1 inhibitor payload. Topoisomerase-1 inhibitors are known to have clinical activity in CRC, including irinotecan chemotherapy which is a standard component of the approved standard of care in CRC. </w:t>
      </w:r>
    </w:p>
    <w:p>
      <w:pPr>
        <w:pStyle w:val="TextBody"/>
        <w:bidi w:val="0"/>
        <w:spacing w:before="120" w:after="283"/>
        <w:jc w:val="left"/>
        <w:rPr>
          <w:rFonts w:ascii="Times New Roman" w:hAnsi="Times New Roman"/>
          <w:sz w:val="20"/>
        </w:rPr>
      </w:pPr>
      <w:r>
        <w:rPr>
          <w:rFonts w:ascii="Times New Roman" w:hAnsi="Times New Roman"/>
          <w:color w:val="000000"/>
          <w:sz w:val="20"/>
        </w:rPr>
        <w:t>EpCAM is a high potential oncology target based on its documented high expression in many solid tumors, including CRC where it was first discovered due to its very high and uniform expression. Historically, previous efforts across the drug development landscape to target this antigen systemically have been limited by dose-limiting toxicities. For example, high affinity EpCAM antibodies were limited by pancreatitis and liver toxicities and were discontinued. However, EpCAM has been validated as a cancer target, including by the drug KORJUNY</w:t>
      </w:r>
      <w:r>
        <w:rPr>
          <w:rFonts w:ascii="Times New Roman" w:hAnsi="Times New Roman"/>
          <w:color w:val="000000"/>
          <w:sz w:val="13"/>
        </w:rPr>
        <w:t>®</w:t>
      </w:r>
      <w:r>
        <w:rPr>
          <w:rFonts w:ascii="Times New Roman" w:hAnsi="Times New Roman"/>
          <w:color w:val="000000"/>
          <w:sz w:val="20"/>
        </w:rPr>
        <w:t xml:space="preserve">, which is approved for the treatment of malignant ascites in Europe. KORJUNY, however, must be given directly into the peritoneum due to systemic toxicity, but its approval provides evidence that local delivery of an EpCAM therapeutic to the tumor can be effective.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Varseta-M payload is a topoisomerase-1 inhibitor licensed from AbbVie (formerly ImmunoGen), tailored to have anti-tumor activity against EpCAM-expressing cancer types. The payload-antibody linker is specifically designed to drive bystander killing of neighboring tumor cells, contributing to robust anti-tumor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the design of Varseta-M seeks to establish, for the first time, a clinically meaningful therapeutic window for the systemic treatment of patients with EpCAM-expressing cancers.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Varseta-M is designed to potentially address a broad range of EpCAM-expressing tumors, but our current development had been initially focused in CRC, which is one of the largest unmet needs in oncology with over 1.9 million cases diagnosed annually around the world. It is also a disease that is expected to grow and estimated that there will be over 3 million cases globally by 2040. CRC is the second leading cause of cancer death worldwide and has a 5-year survival rate in the metastatic setting of only 13%. CRC is also the leading cause of cancer death in the U.S. for patients under the age of 50 and has been growing in incidence in younger patients over the last 3 decades. </w:t>
      </w:r>
    </w:p>
    <w:p>
      <w:pPr>
        <w:pStyle w:val="TextBody"/>
        <w:bidi w:val="0"/>
        <w:spacing w:before="120" w:after="283"/>
        <w:jc w:val="left"/>
        <w:rPr>
          <w:rFonts w:ascii="Times New Roman" w:hAnsi="Times New Roman"/>
          <w:sz w:val="20"/>
        </w:rPr>
      </w:pPr>
      <w:r>
        <w:rPr>
          <w:rFonts w:ascii="Times New Roman" w:hAnsi="Times New Roman"/>
          <w:color w:val="000000"/>
          <w:sz w:val="20"/>
        </w:rPr>
        <w:t>Varseta-M clinical development has primarily been focused on late-line metastatic CRC where there is significant unmet need and treatment options are highly inadequate. In third line or later metastatic CRC, patients have typically progressed through multiple chemotherapy-based regimens. Later stage treatment is limited to therapies that provide single digit percentage response rates, median progression free survival of 2 to 5.6 months and overall survival outcomes ranging from approximately 6 to 11 months. It is estimated that there are more than 35,000 patients in the U.S. with 3</w:t>
      </w:r>
      <w:r>
        <w:rPr>
          <w:rFonts w:ascii="Times New Roman" w:hAnsi="Times New Roman"/>
          <w:color w:val="000000"/>
          <w:sz w:val="13"/>
        </w:rPr>
        <w:t xml:space="preserve">rd </w:t>
      </w:r>
      <w:r>
        <w:rPr>
          <w:rFonts w:ascii="Times New Roman" w:hAnsi="Times New Roman"/>
          <w:color w:val="000000"/>
          <w:sz w:val="20"/>
        </w:rPr>
        <w:t>line or later metastatic CRC, with the number expected to grow over the next decade.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Varseta-M has initially been developed in late-line metastatic CRC, the program was developed with the vision to help a broad population of metastatic CRC patients, including those in the first- and second-line settings. Given Varseta-M’s mechanism of action, our longer-term development vision is to make Varseta-M a core component of the CRC treatment landscape in earlier lines of therapy, consistent with the development strategy that has been employed for other solid tumor ADCs. We plan to pursue combination strategies to progress this vision of moving Varseta-M to earlier lines of therapy, and we therefore initiated a Phase 1 combination study with bevacizumab in the first quarter of 2026. Varseta-M doses to be assessed in combination with bevacizumab include Q2W and Q4W schedules to align with the approved bevacizumab CRC dose and schedule of 5 mg/kg Q2W. The Phase 1 combination study with bevacizumab continues with initial clinical data anticipated by first half of 2027.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Also, toward the longer-term goal for Varseta-M to potentially replace chemotherapy in first and second line mCRC treatment, a Varseta-M Phase 1/2 chemotherapy combination study is expected to start by the fourth quarter of 2026 and to administer Varseta-M with bevacizumab, 5-fluorouracil, and leucovorin in 2nd line mCRC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given the broad solid tumor expression profile of EpCAM, Varseta-M has the potential to be an innovative new treatment option in a wide range of solid tumors. High expression of EpCAM has been documented in other tumors such as gastric, gastroesophageal, pancreatic, ovarian, endometrial, non-small cell lung and triple negative breast cancers. In the third quarter of 2026, we are initiating Varseta-M Phase 1 expansion cohorts in gastric and gastroesophageal junction (“GEJ”), EpCAM selected pancreatic ductal adenocarcinoma (“PDAC”), and EpCAM selected biliary tract cancer (“BTC”). Development of Varseta-M in multiple, EpCAM-expressing gastrointestinal (“GI”) cancers is aligned with the long-term vision of potentially commercializing Varseta-M as a pan-tumor, multi-indication ADC. </w:t>
      </w:r>
    </w:p>
    <w:p>
      <w:pPr>
        <w:pStyle w:val="TextBody"/>
        <w:bidi w:val="0"/>
        <w:spacing w:before="120" w:after="283"/>
        <w:jc w:val="left"/>
        <w:rPr>
          <w:rFonts w:ascii="Times New Roman" w:hAnsi="Times New Roman"/>
          <w:sz w:val="20"/>
        </w:rPr>
      </w:pPr>
      <w:r>
        <w:rPr>
          <w:rFonts w:ascii="Times New Roman" w:hAnsi="Times New Roman"/>
          <w:i/>
          <w:color w:val="000000"/>
          <w:sz w:val="20"/>
        </w:rPr>
        <w:t>Varsetatug Masetecan May 2025 Phase 1 Dose Escalation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investigational new drug application (“IND”) for Varseta-M was allowed to proceed by the FDA in January 2024, and a Phase 1 clinical trial in patients with EpCAM-expressing solid tumors, with an initial focus on metastatic CRC, commenced in April 2024. No pre-screening of CRC patients by EpCAM expression has been conducted due to the anticipated high and uniform EpCAM expression in CRC. As of May 2025, the Phase 1 study had reached the seventh dose escalation level and had enrolled only mCRC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we announced positive interim Phase 1 data as of an April 7, 2025 data cutoff in advanced metastatic CRC. The data encompassed results from 25 CRC patients treated with Varseta-M at 5 dose levels ranging from 2.4 mg/kg to 10 mg/kg, administered every three weeks (“Q3W”). The 2.4 mg/kg and 4.8 mg/kg doses were single patient dose escalation cohorts not anticipated to be therapeutically active. At the 7.2 mg/kg, 8.6 mg/kg, and 10 mg/kg doses, 23 patients were treated, 18 of whom were efficacy evaluable, having had at least one post-baseline tumor assessment as of the data cutoff. Patients enrolled in the study at the time of data cutoff had previously received a median of 4 prior lines of therapy and all patients had previously been treated with irinotecan. 64% of patients had liver metastases, 64% had disease with KRAS mutations, and 96% had disease that was microsatellite stable. Patients were not preselected based on EpCAM expression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data cutoff, 18 patients were efficacy-evaluable at doses of 7.2 mg/kg, 8.6 mg/kg, and 10 mg/kg Q3W. Five of eighteen (28%) patients demonstrated confirmed partial responses per RECIST v1.1. Three of seven (43%) efficacy evaluable patients at the dose of 10 mg/kg Q3W demonstrated confirmed partial responses per RECIST v1.1. Seventeen of eighteen patients (94%) had disease control, defined as having an objective response or stable disease. Preliminary median progression free survival (“PFS”) was 5.8 months as of the data cutoff with 10 of 18 patients remaining on study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data cutoff, 25 patients were evaluable for safety. Varseta-M was generally well-tolerated as of the data cutoff with manageable adverse events, with no dose limiting toxicities. Most treatment related adverse events (“TRAEs”) were Grade 1 or Grade 2 in severity. The most common reported TRAEs were diarrhea (18 patients, 5 Grade 3), nausea (11 patients, 1 Grade 3), vomiting (8 patients, No Grade 3), fatigue (8 patients, 1 Grade 3), anemia (5 patients, 3 Grade 3), hypokalemia (3 patients, 1 Grade 3), neutrophil count decrease (2 patients, 2 Grade 3) and neutropenia (2 patients, 1 Grade 3). TRAEs included serious adverse events (“SAEs”) in 5 patients (1 Grade 2, 4 Grade 3). The SAEs included Grade 3 Diarrhea (1 patient), Grade 3 Anemia (1 patient), Grade 3 colitis (1 patient), Grade 3 Diarrhea and Acute kidney injury (1 patient) and Grade 2 Asthenia (1 patient). No Grade 4 or 5 TRAEs were observed as of the April 7, 2025 data cutoff. No events of interstitial lung disease or febrile neutropenia were reported as of the data cutoff. On August 13, 2025, we announced that a single Grade 5 treatment-related acute kidney injury occurred in a patient with a complex medical history, including having a solitary kidney. The Grade 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 was believed to be secondary to nausea, vomiting and diarrhea. We reported the event to the FDA in accordance with regulatory requirements. The CTMX-2051-101 Safety Review Committee reviewed the event and supported continued study execution.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positive interim Phase 1 dose escalation data in May 2025, dose expansions were initiated at the dose levels of 7.2 mg/kg, 8.6 mg/kg, and 10 mg/kg, administered Q3W.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Varsetatug Masetecan March 2026 Interim Data Update from Phase 1 Dose Expansions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we announced positive interim results from the ongoing Phase 1 dose expansions as of a January 16, 2026 data cutoff date. As of the data cutoff, a total of 93 patients with late-line metastatic CRC had been enrolled in the study. 60 patients were enrolled across the Phase 1 expansion dose range of 7.2 mg/kg, 8.6 mg/kg, and 10 mg/kg of which 56 were efficacy evaluable as of the data cutoff. </w:t>
      </w:r>
    </w:p>
    <w:p>
      <w:pPr>
        <w:pStyle w:val="TextBody"/>
        <w:bidi w:val="0"/>
        <w:spacing w:before="120" w:after="283"/>
        <w:jc w:val="left"/>
        <w:rPr>
          <w:rFonts w:ascii="Times New Roman" w:hAnsi="Times New Roman"/>
          <w:sz w:val="20"/>
        </w:rPr>
      </w:pPr>
      <w:r>
        <w:rPr>
          <w:rFonts w:ascii="Times New Roman" w:hAnsi="Times New Roman"/>
          <w:color w:val="000000"/>
          <w:sz w:val="20"/>
        </w:rPr>
        <w:t>Starting in October 2025, the expansion doses of 8.6 mg/kg and 10 mg/kg were prioritized for dose optimization utilizing optimized adverse event management guidelines and adjusted ideal body weight (AIBW) dosing. 20 patients had been enrolled in expanded dose optimization as of the January 16</w:t>
      </w:r>
      <w:r>
        <w:rPr>
          <w:rFonts w:ascii="Times New Roman" w:hAnsi="Times New Roman"/>
          <w:color w:val="000000"/>
          <w:sz w:val="13"/>
        </w:rPr>
        <w:t>th</w:t>
      </w:r>
      <w:r>
        <w:rPr>
          <w:rFonts w:ascii="Times New Roman" w:hAnsi="Times New Roman"/>
          <w:color w:val="000000"/>
          <w:sz w:val="20"/>
        </w:rPr>
        <w:t xml:space="preserve"> data cutoff towards an enrollment goal of 40 patients. </w:t>
      </w:r>
    </w:p>
    <w:p>
      <w:pPr>
        <w:pStyle w:val="TextBody"/>
        <w:bidi w:val="0"/>
        <w:spacing w:before="120" w:after="283"/>
        <w:jc w:val="left"/>
        <w:rPr>
          <w:rFonts w:ascii="Times New Roman" w:hAnsi="Times New Roman"/>
          <w:sz w:val="20"/>
        </w:rPr>
      </w:pPr>
      <w:r>
        <w:rPr>
          <w:rFonts w:ascii="Times New Roman" w:hAnsi="Times New Roman"/>
          <w:color w:val="000000"/>
          <w:sz w:val="20"/>
        </w:rPr>
        <w:t>Patients enrolled in the study had previously received a median of 3 prior lines of therapy in the metastatic setting and 96% of patients had previously been treated with irinotecan. 76% of patients had liver metastases and 71% had KRAS mutations. Patients were not preselected based on EpCAM expression levels. All patients with evaluable tumor biopsies had high EpCAM levels as measured by immunohistochemistry.</w:t>
      </w:r>
      <w:r>
        <w:rPr>
          <w:rFonts w:ascii="Times New Roman" w:hAnsi="Times New Roman"/>
          <w:color w:val="000000"/>
          <w:sz w:val="13"/>
        </w:rPr>
        <w:t>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data cutoff, 56 patients were efficacy-evaluable at the expansion doses of 7.2 mg/kg, 8.6 mg/kg, and 10 mg/kg Q3W. Median duration of follow-up across the efficacy-evaluable patient population was approximately 8 months. Efficacy data across the Phase 1 Expansion doses are summarized below in Table 1.</w:t>
      </w:r>
    </w:p>
    <w:p>
      <w:pPr>
        <w:pStyle w:val="TextBody"/>
        <w:bidi w:val="0"/>
        <w:spacing w:before="120" w:after="283"/>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1. Varseta-M Efficacy Summary by Phase 1 Expansion Dose</w:t>
      </w:r>
    </w:p>
    <w:tbl>
      <w:tblPr>
        <w:tblW w:w="8224" w:type="dxa"/>
        <w:jc w:val="left"/>
        <w:tblInd w:w="0" w:type="dxa"/>
        <w:tblLayout w:type="fixed"/>
        <w:tblCellMar>
          <w:top w:w="28" w:type="dxa"/>
          <w:left w:w="28" w:type="dxa"/>
          <w:bottom w:w="28" w:type="dxa"/>
          <w:right w:w="28" w:type="dxa"/>
        </w:tblCellMar>
      </w:tblPr>
      <w:tblGrid>
        <w:gridCol w:w="3541"/>
        <w:gridCol w:w="1546"/>
        <w:gridCol w:w="1546"/>
        <w:gridCol w:w="1591"/>
      </w:tblGrid>
      <w:tr>
        <w:trPr/>
        <w:tc>
          <w:tcPr>
            <w:tcW w:w="354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both"/>
              <w:rPr/>
            </w:pPr>
            <w:r>
              <w:rPr/>
              <w:t> </w:t>
            </w:r>
          </w:p>
        </w:tc>
        <w:tc>
          <w:tcPr>
            <w:tcW w:w="15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7.2 mg/kg</w:t>
            </w:r>
          </w:p>
        </w:tc>
        <w:tc>
          <w:tcPr>
            <w:tcW w:w="15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 mg/kg</w:t>
            </w:r>
          </w:p>
        </w:tc>
        <w:tc>
          <w:tcPr>
            <w:tcW w:w="159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 mg/kg</w:t>
            </w:r>
          </w:p>
        </w:tc>
      </w:tr>
      <w:tr>
        <w:trPr/>
        <w:tc>
          <w:tcPr>
            <w:tcW w:w="35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Confirmed Overall Response Rate (cORR)</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(1/17)</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(4/20)</w:t>
            </w:r>
          </w:p>
        </w:tc>
        <w:tc>
          <w:tcPr>
            <w:tcW w:w="15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 (6/19)</w:t>
            </w:r>
          </w:p>
        </w:tc>
      </w:tr>
      <w:tr>
        <w:trPr/>
        <w:tc>
          <w:tcPr>
            <w:tcW w:w="35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Median Progression Free Survival (PFS)</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5.5 mo.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CI: 2.5, NE)</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6.8 mo.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CI: 2.8, NE)</w:t>
            </w:r>
          </w:p>
        </w:tc>
        <w:tc>
          <w:tcPr>
            <w:tcW w:w="1591"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7.1 mo.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 CI: 3.9, NE)</w:t>
            </w:r>
          </w:p>
        </w:tc>
      </w:tr>
      <w:tr>
        <w:trPr/>
        <w:tc>
          <w:tcPr>
            <w:tcW w:w="35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Disease Control Rate (DCR)</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(15/17)</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 (18/20)</w:t>
            </w:r>
          </w:p>
        </w:tc>
        <w:tc>
          <w:tcPr>
            <w:tcW w:w="15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 (16/19)</w:t>
            </w:r>
          </w:p>
        </w:tc>
      </w:tr>
    </w:tbl>
    <w:p>
      <w:pPr>
        <w:pStyle w:val="TextBody"/>
        <w:bidi w:val="0"/>
        <w:spacing w:before="240" w:after="60"/>
        <w:jc w:val="left"/>
        <w:rPr>
          <w:rFonts w:ascii="Times New Roman" w:hAnsi="Times New Roman"/>
          <w:color w:val="000000"/>
          <w:sz w:val="20"/>
        </w:rPr>
      </w:pPr>
      <w:r>
        <w:rPr>
          <w:rFonts w:ascii="Times New Roman" w:hAnsi="Times New Roman"/>
          <w:color w:val="000000"/>
          <w:sz w:val="20"/>
        </w:rPr>
        <w:t xml:space="preserve">At the 8.6 mg/kg dose, the confirmed response rate was 20% with an estimated median PFS of 6.8 months and at the 10 mg/kg dose, the confirmed response rate was 32% with an estimated median PFS of 7.1 months. The disease control rate was 88% (49/56) across the expansion doses of 7.2 – 10 mg/kg.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doses of 8.6 mg/kg and 10 mg/kg have been prioritized for further evaluation with the goal of selecting a dose or doses for a registrational study. Dose optimization at 8.6 mg/kg and 10 mg/kg utilizing AIBW dosing and updated prophylaxis for adverse event management is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doses of 11 mg/kg Q3W and 12 mg/kg Q3W, which were not expanded for further evaluation, the overall response rate was 30% (3/10).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data cutoff, 93 patients were evaluable for safety including 80 patients across the expansion dose range of 7.2 mg/kg to 10 mg/kg. Varseta-M’s safety profile was generally consistent with data presented in Phase 1 dose escalation. Most TRAEs were Grade 1 or Grade 2 in severity. No interstitial lung disease, febrile neutropenia or pancreatitis were observed. The most common TRAE was diarrhea which was generally manageable and reversible.</w:t>
      </w:r>
    </w:p>
    <w:p>
      <w:pPr>
        <w:pStyle w:val="TextBody"/>
        <w:bidi w:val="0"/>
        <w:spacing w:before="120" w:after="283"/>
        <w:jc w:val="left"/>
        <w:rPr>
          <w:rFonts w:ascii="Times New Roman" w:hAnsi="Times New Roman"/>
          <w:sz w:val="20"/>
        </w:rPr>
      </w:pPr>
      <w:r>
        <w:rPr>
          <w:rFonts w:ascii="Times New Roman" w:hAnsi="Times New Roman"/>
          <w:color w:val="000000"/>
          <w:sz w:val="20"/>
        </w:rPr>
        <w:t>In Phase 1 dose expansions starting in Q2 2025, prophylactic strategies for diarrhea management were investigated. In dose optimization starting in Q4 2025, an updated prophylaxis regimen of anti-motility medication (loperamide or diphenoxylate/atropine) plus budesonide was implemented.</w:t>
      </w:r>
      <w:r>
        <w:rPr>
          <w:rFonts w:ascii="Times New Roman" w:hAnsi="Times New Roman"/>
          <w:color w:val="000000"/>
          <w:sz w:val="13"/>
        </w:rPr>
        <w:t>2</w:t>
      </w:r>
      <w:r>
        <w:rPr>
          <w:rFonts w:ascii="Times New Roman" w:hAnsi="Times New Roman"/>
          <w:color w:val="000000"/>
          <w:sz w:val="20"/>
        </w:rPr>
        <w:t xml:space="preserve"> In the 20 patients receiving the updated prophylactic regimen at the Varseta-M expansion doses of 8.6 mg/kg and 10 mg/kg, Grade 3 diarrhea was 10% after 2 months of follow up post treatment initiation.</w:t>
      </w:r>
      <w:r>
        <w:rPr>
          <w:rFonts w:ascii="Times New Roman" w:hAnsi="Times New Roman"/>
          <w:color w:val="000000"/>
          <w:sz w:val="13"/>
        </w:rPr>
        <w:t>3,4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Overall, as of the January 16, 2026 data cutoff, in the 80 patients treated at expansion and optimization doses ranging between 7.2 mg/kg to 10 mg/kg, the most common TRAEs were diarrhea (68 pts, 19 Gr 3), nausea (44 pts, 4 Gr 3), vomiting (29 pts, 3 Gr 3), fatigue (32 pts, 2 Gr 3), hypokalemia (21 pts, 13 Gr 3+), and anemia (13 pts, 6 Gr 3).</w:t>
      </w:r>
      <w:r>
        <w:rPr>
          <w:rFonts w:ascii="Times New Roman" w:hAnsi="Times New Roman"/>
          <w:color w:val="EE0000"/>
          <w:sz w:val="20"/>
        </w:rPr>
        <w:t xml:space="preserve"> </w:t>
      </w:r>
      <w:r>
        <w:rPr>
          <w:rFonts w:ascii="Times New Roman" w:hAnsi="Times New Roman"/>
          <w:color w:val="000000"/>
          <w:sz w:val="20"/>
        </w:rPr>
        <w:t xml:space="preserve">Serious treatment related adverse events (SAEs) in &gt; 1 patient included diarrhea (4), vomiting (3), hypokalemia (3), dehydration (3), acute kidney injury (2), and colitis (2).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6"/>
        </w:rPr>
        <w:t>96% of patients with an evaluable biopsy had an H score by immunohistochemistry above 250 and all patients had H scores above 200.</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6"/>
        </w:rPr>
        <w:t>Budesonide is a corticosteroid locally absorbed in the gastrointestinal (GI) tract.</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color w:val="000000"/>
          <w:sz w:val="16"/>
        </w:rPr>
        <w:t>8.6 mg/kg and 10 mg/kg dosed utilizing adjusted ideal body weight (AIBW).</w:t>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w:t>
      </w:r>
      <w:r>
        <w:rPr>
          <w:rFonts w:ascii="Times New Roman" w:hAnsi="Times New Roman"/>
          <w:color w:val="000000"/>
          <w:sz w:val="16"/>
        </w:rPr>
        <w:t>Based on March 2, 2026 data snapshot</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As previously reported on August 13, 2025, there was one treatment-related grade 5 acute kidney injury (AKI) in a patient treated at the 7.2 mg/kg dose. The patient had a complex medical history including having a solitary kidney, and the AKI was determined to be secondary to Grade 3 nausea and Grade 2 diarrhea. No other Grade 5 TRAEs have been reported as of the January 16</w:t>
      </w:r>
      <w:r>
        <w:rPr>
          <w:rFonts w:ascii="Times New Roman" w:hAnsi="Times New Roman"/>
          <w:color w:val="000000"/>
          <w:sz w:val="13"/>
        </w:rPr>
        <w:t>th</w:t>
      </w:r>
      <w:r>
        <w:rPr>
          <w:rFonts w:ascii="Times New Roman" w:hAnsi="Times New Roman"/>
          <w:color w:val="000000"/>
          <w:sz w:val="20"/>
        </w:rPr>
        <w:t xml:space="preserve"> 2026 data cutoff.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11 mg/kg and 12 mg/kg doses, there were no dose limiting toxicities in dose escalation. The most common TRAEs across the patients in the 11 mg/kg dose (n=8) and 12 mg/kg dose (n=3) were diarrhea (9 pts, 6 GR 3), nausea, (8 pts, 0 Gr 3), and vomiting (8 pts, 1 Gr 3). Patients treated at the 11 and 12 mg/kg doses did not receive the optimized prophylactic regimen or adjusted ideal body weight dosing.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Varsetatug Masetecan Development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April 2026, enrollment into Varseta-M Dose Optimization cohorts is complete, having reached the goal of 40 total patients across the 8.6 mg/kg Q3W and 10 mg/kg Q3W doses. Additional Phase 1 Varseta-M data, including data from ongoing dose optimization, is anticipated to be presented by the end of 2026. This update is expected to support monotherapy dose selection and a potential registrational trial design in late line CRC. FDA interactions are also planned in 2026 with the goal of aligning on potential first registrational study for Varseta-M monotherapy in advanced CRC to start in the first half of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Phase 1 Varseta-M combination study with bevacizumab in CRC has commenced with an initial focus on determining combination dose(s) for later phase development, including in earlier lines of therapy. Varseta-M doses to be assessed in combination with bevacizumab include Q2W and Q4W schedules to align with the approved bevacizumab CRC dose of 5 mg/kg Q2W. The study continues with initial clinical data from the Varseta-M combination with bevacizumab anticipated by the first half of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1/2 combination study including Varseta-M administered with bevacizumab, 5-fluorouracil, and leucovorin is planned to start in the fourth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1 expansion cohort(s) in non-CRC indications including GEJ, EpCAM selected PDAC and EpCAM selected BTC are initiating in the third quarter of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CX-801</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Varseta-M, our pipeline includes CX-801, an investigational, masked version of interferon alpha-2b (“IFNα2b”), currently in a Phase 1 clinical trial. CX-801 leverages a similarly focused application of the PROBODY technology platform in that it leverages a well validated and high potential mechanism that has been limited by systemic toxicity. Interferon-alpha was one of the first immunotherapies approved, but has fallen out of broad use because of poor tolerability. Like EpCAM, IFNα2b has also been validated as a localized therapy, including the approved therapy ADSTILADRIN</w:t>
      </w:r>
      <w:r>
        <w:rPr>
          <w:rFonts w:ascii="Times New Roman" w:hAnsi="Times New Roman"/>
          <w:color w:val="000000"/>
          <w:sz w:val="13"/>
        </w:rPr>
        <w:t xml:space="preserve">® </w:t>
      </w:r>
      <w:r>
        <w:rPr>
          <w:rFonts w:ascii="Times New Roman" w:hAnsi="Times New Roman"/>
          <w:color w:val="000000"/>
          <w:sz w:val="20"/>
        </w:rPr>
        <w:t xml:space="preserve">for bladder cancer, which is a gene therapy encoding the protein IFNα2b that is administered directly into the bladder as a single agent, providing evidence that localized IFNα2b can be a powerful and effective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IFNα2b is also an attractive cytokine in that it is a potent and multi-faceted modulator of the immune system that also has direct anti-tumor cell killing effects, providing a potentially superior approach to activating anti-tumor immune responses compared with other cytokines such as IL-2, IL-12 or 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applied our significant masking and protein engineering expertise to the design of CX-801, which is a dually-masked, conditionally activated version of IFNα2b that is designed to be inactive in the periphery. The dual masks on CX-801 include a peptide mask on the cytokine domain designed to limit binding in normal tissues as well as a steric Fc mask designed to further mitigate systemic activity as well as extend CX-801’s half-life.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CX-801, we have also employed a focused initial development strategy in Phase 1, centered on the treatment of late-line melanoma where patient options are limited once they have typically progressed through earlier line checkpoint-based therapies. With CX-801, our initial focus is to treat patients with CX-801 in the late-line setting to potentially re-activate the immune system and improve patient outcomes in combination with PD-1 inhibition. Our ultimate vision for CX-801 is to potentially become a cornerstone of combination immunotherapy for a wide range of tumor types, including cancers beyond melanoma.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CX-801 Development</w:t>
      </w:r>
    </w:p>
    <w:p>
      <w:pPr>
        <w:pStyle w:val="TextBody"/>
        <w:bidi w:val="0"/>
        <w:spacing w:before="120" w:after="283"/>
        <w:jc w:val="left"/>
        <w:rPr>
          <w:rFonts w:ascii="Times New Roman" w:hAnsi="Times New Roman"/>
          <w:sz w:val="20"/>
        </w:rPr>
      </w:pPr>
      <w:r>
        <w:rPr>
          <w:rFonts w:ascii="Times New Roman" w:hAnsi="Times New Roman"/>
          <w:color w:val="000000"/>
          <w:sz w:val="20"/>
        </w:rPr>
        <w:t>The IND for CX-801 was allowed to proceed by the FDA in January 2024, and in the third quarter of 2024 the first patient was dosed in the CX-801 Phase 1 dose escalation study in solid tumors. The Phase 1 dose escalation study is focused on patients with advanced melanoma. In Phase 1 dose escalation, the study will evaluate safety, translational biomarkers and signs of clinical activity for CX-801 monotherapy and in combination with KEYTRUDA</w:t>
      </w:r>
      <w:r>
        <w:rPr>
          <w:rFonts w:ascii="Times New Roman" w:hAnsi="Times New Roman"/>
          <w:color w:val="000000"/>
          <w:sz w:val="13"/>
        </w:rPr>
        <w:t>®</w:t>
      </w:r>
      <w:r>
        <w:rPr>
          <w:rFonts w:ascii="Times New Roman" w:hAnsi="Times New Roman"/>
          <w:color w:val="000000"/>
          <w:sz w:val="20"/>
        </w:rPr>
        <w:t>. In the second quarter of 2024, we announced a clinical collaboration with Merck to supply KEYTRUDA for evaluation of its combination with CX-801 in the Phase 1 study. The Phase 1 study is currently in the fourth monotherapy dose escalation cohort. In May 2025, Phase 1 dose escalation enrollment of CX-801 in combination with KEYTRUDA (pembrolizumab) in advanced melanoma was initiated and is currently enrolling and has cleared the third dose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CX-801 monotherapy translational data in melanoma patients was presented at the Society of Immunotherapy of Cancer (“SITC”) 2025 Annual Meeting in November 2025, providing evidence that the CX-801 mechanism of action was working as designed. As of the November 8, 2025 SITC presentation, CX-801 had been generally well tolerated and the translational data presented suggest consistently increased expression of interferon-stimulated genes in paired tumor biopsies. Upregulation of immune checkpoint genes, including PD-1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PD-L1, and activation of immune cell populations, was also observed, providing a rationale for evaluating the combination of CX-801 and pembrolizumab. Pharmacokinetics (“PK”) analysis also demonstrated dose-proportional exposure of CX-801, which remained predominantly in its intact (masked) form in circulation. Phase 1 clinical data from the CX-801 and KEYTRUDA combination dose escalation portion of the study are expected in the first half of 2027.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Preclinical PROBODY Program and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clinical program focus on PROBODY ADCs such as Varseta-M and PROBODY cytokines such as CX-801, we view the field of masked biologics as having broad potential applicability across a range of therapeutic modalities, reflecting the versatility of our platform technology. A key focus of our current work with collaboration partners is T-cell engaging bispecific therapies (“TCEs”) where we have significant ongoing efforts with Regeneron and maintain significant research expertise.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May 2026, we and Regeneron amended the Regeneron Agreement to expand our collaboration, building upon the research momentum in developing next-generation bispecific immunotherapies using CytomX’s PROBODY and Regeneron's Veloci-Bi platforms. In July 2026, we received $37.0 million target selection payment for two additional programs selected in June 2026 and Regeneron secured the option to select up to six additional future targets for additional target nomination fees, bringing the total potential target nomination, research, development, regulatory and sales-based milestones covered under the collaboration to up to approximately $4.0 billion.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view masking as a key strategy to widen a therapeutic window for TCEs and view strategic partnering in this area as an important way to extend the reach of the PROBODY platform.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Business operations and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approved for sale, and we continue to incur significant research and development as well as general and administrative expenses related to our operations. As of June 30, 2026 and December 31, 2025, we had an accumulated deficit of $750.9 million and $711.9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2025. Except as noted in the revenue discussion below, there have been no material changes to our critical accounting policies and estimates from the Annual Report on Form 10-K for the year ended December 31,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is also recognized over the performance period based on a similar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May 2026 Regeneron Amendment, the Company applied significant judgment to estimate the standalone selling price of the newly added Collaboration Programs. The Company considered observable collaboration transactions, adjusted for differences in stage of development, modality, scope of rights transferred, expected research effort, market conditions, and Company-specific circumstances when allocating $56.4 million of the unrecognized transaction price. Changes in these assumptions could materially affect the timing of revenue recognized over the estimated research service period of four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Regeneron, Moderna and any other collaboration partners, and as a result of the fluctuations in the research and development expenses we incur in the performance of assigned activities under these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pStyle w:val="TextBody"/>
        <w:bidi w:val="0"/>
        <w:jc w:val="left"/>
        <w:rPr>
          <w:rFonts w:ascii="Times New Roman" w:hAnsi="Times New Roman"/>
          <w:color w:val="000000"/>
          <w:sz w:val="20"/>
        </w:rPr>
      </w:pPr>
      <w:r>
        <w:rPr>
          <w:rFonts w:ascii="Times New Roman" w:hAnsi="Times New Roman"/>
          <w:color w:val="000000"/>
          <w:sz w:val="20"/>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primarily consists of interest income from our cash equivalents and investments, and accretion of discounts or amortization of premiums on our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gains and losses resulting from changes to currency exchange rates.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revenue by collaboration partner during the respective periods:</w:t>
      </w:r>
    </w:p>
    <w:p>
      <w:pPr>
        <w:pStyle w:val="TextBody"/>
        <w:bidi w:val="0"/>
        <w:jc w:val="left"/>
        <w:rPr/>
      </w:pPr>
      <w:r>
        <w:rPr/>
        <w:t> </w:t>
      </w:r>
    </w:p>
    <w:tbl>
      <w:tblPr>
        <w:tblW w:w="9435" w:type="dxa"/>
        <w:jc w:val="left"/>
        <w:tblInd w:w="0" w:type="dxa"/>
        <w:tblLayout w:type="fixed"/>
        <w:tblCellMar>
          <w:top w:w="28" w:type="dxa"/>
          <w:left w:w="28" w:type="dxa"/>
          <w:bottom w:w="28" w:type="dxa"/>
          <w:right w:w="28" w:type="dxa"/>
        </w:tblCellMar>
      </w:tblPr>
      <w:tblGrid>
        <w:gridCol w:w="2061"/>
        <w:gridCol w:w="146"/>
        <w:gridCol w:w="211"/>
        <w:gridCol w:w="571"/>
        <w:gridCol w:w="146"/>
        <w:gridCol w:w="146"/>
        <w:gridCol w:w="211"/>
        <w:gridCol w:w="676"/>
        <w:gridCol w:w="146"/>
        <w:gridCol w:w="146"/>
        <w:gridCol w:w="211"/>
        <w:gridCol w:w="736"/>
        <w:gridCol w:w="166"/>
        <w:gridCol w:w="146"/>
        <w:gridCol w:w="211"/>
        <w:gridCol w:w="676"/>
        <w:gridCol w:w="146"/>
        <w:gridCol w:w="146"/>
        <w:gridCol w:w="211"/>
        <w:gridCol w:w="676"/>
        <w:gridCol w:w="146"/>
        <w:gridCol w:w="146"/>
        <w:gridCol w:w="211"/>
        <w:gridCol w:w="736"/>
        <w:gridCol w:w="41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Amgen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Bristol Myers Squibb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Regeneron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Moderna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revenue of $17.2 million and $57.9 million for the three and six months ended June 30, 2026, respectively, compared to the corresponding periods of 2025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recognition of all remaining deferred revenue under the Amgen Agreement resulting from Amgen terminating its license to the EGFR Products effective May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Astellas Agreement primarily driven by a $5.0 million preclinical milestone payment and higher research activities in 2025 compared to 2026, partially offset by $7.1 million of accelerated revenue recognition in the first quarter of 2026 due to Astellas' notice of termination of the collaboration. The performance obligations under the Astellas Agreement have been completed as of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BMS Agreement driven by the completion of our performance obligations in the second quarter of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activities related to the additional collaboration programs selected under the expanded Regeneron collaboration agreement entered in May 2026 have not yet commenced during the current period. The decrease in revenue under the Regeneron Agreement was due to a primary focus on the lead preclinical program under the scope of the original collaboration agreement announced in November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by program incurred during the respective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6"/>
        <w:gridCol w:w="146"/>
        <w:gridCol w:w="211"/>
        <w:gridCol w:w="676"/>
        <w:gridCol w:w="146"/>
        <w:gridCol w:w="146"/>
        <w:gridCol w:w="211"/>
        <w:gridCol w:w="676"/>
        <w:gridCol w:w="166"/>
        <w:gridCol w:w="146"/>
        <w:gridCol w:w="211"/>
        <w:gridCol w:w="571"/>
        <w:gridCol w:w="166"/>
        <w:gridCol w:w="146"/>
        <w:gridCol w:w="211"/>
        <w:gridCol w:w="676"/>
        <w:gridCol w:w="146"/>
        <w:gridCol w:w="146"/>
        <w:gridCol w:w="211"/>
        <w:gridCol w:w="676"/>
        <w:gridCol w:w="146"/>
        <w:gridCol w:w="146"/>
        <w:gridCol w:w="211"/>
        <w:gridCol w:w="631"/>
        <w:gridCol w:w="41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External costs incurred by product candidate (target):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Varseta-M (EpCAM)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CX-801 (IFNα2b)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CX-904 (EGFRxCD3)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wholly owned and partnered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General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36,836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increased by $4.3 million for the three months ended June 30, 2026, compared to the corresponding period of 2025 primarily due to an increase in manufacturing activities for Varseta-M and clinical activities for other clinical programs, and an increase in internal costs due to increased personnel related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$4.6 million for the six months ended June 30, 2026, compared to the corresponding period of 2025 primarily due to an increase in manufacturing activities for Varseta-M, partially offset by a decrease in internal costs reflecting the absence of $1.7 million of restructuring expenses incurred in the first quarter of 2025. We expect program development expenses in future quarters to be primarily focused on Varseta-M with expected continued growth in Varseta-M development spend.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tbl>
      <w:tblPr>
        <w:tblW w:w="8979"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50"/>
        <w:gridCol w:w="501"/>
        <w:gridCol w:w="146"/>
        <w:gridCol w:w="146"/>
        <w:gridCol w:w="211"/>
        <w:gridCol w:w="676"/>
        <w:gridCol w:w="146"/>
        <w:gridCol w:w="146"/>
        <w:gridCol w:w="211"/>
        <w:gridCol w:w="676"/>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$1.0 million for the three months ended June 30, 2026, compared to the corresponding period of 2025, primarily driven by increased consulting expenses and higher rent expense due to termination of the partial sublease of the Company's headquarters in the first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$2.2 million for the six months ended June 30, 2026, compared to the corresponding period of 2025, primarily driven by increased consulting expenses and stock-based compensation expenses in the current period along with higher rent expense due to termination of the partial sublease of the Company's headquarters in the first quarter of 2026, partially offset by $1.1 million of restructuring expenses incurred in the first quarter of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 and Other Income (Expense), Net</w:t>
      </w:r>
    </w:p>
    <w:tbl>
      <w:tblPr>
        <w:tblW w:w="10205" w:type="dxa"/>
        <w:jc w:val="left"/>
        <w:tblInd w:w="0" w:type="dxa"/>
        <w:tblLayout w:type="fixed"/>
        <w:tblCellMar>
          <w:top w:w="28" w:type="dxa"/>
          <w:left w:w="28" w:type="dxa"/>
          <w:bottom w:w="28" w:type="dxa"/>
          <w:right w:w="28" w:type="dxa"/>
        </w:tblCellMar>
      </w:tblPr>
      <w:tblGrid>
        <w:gridCol w:w="349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$2.0 million and $2.5 million during the three and six months ended June 30, 2026, respectively, compared to the corresponding periods of 2025. The increase was primarily driven by the increase in cash and cash equivalents and short-term investments position as a result of the underwritten public offering in March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short-term investments of $330.3 million and an accumulated deficit of $750.9 million, compared to cash, cash equivalents and short-term investments of $137.1 million and an accumulated deficit of $711.9 million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2025, we completed an underwritten public offering of 76,923,076 shares of common stock at a price of $1.30 per share and received net proceeds of approximately $93.4 million, after deducting underwriting discounts and commissions of $6.0 million and offering expenses of $0.6 million. In March 2026, we completed an underwritten public offering of 45,990,567 shares of common stock at an offering price of $5.30 per share and pre-funded warrants to purchase 1,179,245 shares of common stock (the “Pre-Funded Warrants”) at a price of $5.29999 per Pre-Funded Warrant and received the aggregate net proceeds of approximately $234.2 million, after deducting underwriting discounts and commissions of $15.0 million and offering expenses of $0.8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an at-the-market offering program (“ATM Program”) pursuant to a sales agreement with Jefferies LLC (as amended on March 4, 2022 and August 9, 2024, the “Sales Agreement”). In 2025, we sold 4,872,861 shares at a weighted average price of $3.44 per share under our ATM offering for net proceeds of approximately $16.3 million after deducting sales commissions and related issuance costs. As of June 30, 2026, we had an aggregate of $39.4 million remaining for issuance under our ATM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2026, we significantly expanded our research collaboration with Regeneron, which included a $37.0 million target selection payment received in July 2026 for two additional programs selected and Regeneron secured the option to select up to six additional future targets for additional target nomination fees bringing the total potential target nomination, research, development, regulatory and sales-based milestones covered under the collaboration to up to approximately $4.0 billion.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upon our current operating plan and liquidity requirements, we expect our existing capital resources will be sufficient to fund operations into at least the second half of 2028. However, if the anticipated operating results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initiation of clinical trials for additional product candidates, the identification of more promising product candidates in our research efforts or unexpected operating costs and expenditures. We will need to raise additional capital to fund our operations in the future. There can be no assurance, however, that such efforts will be successful; or if they are successful, that the terms and conditions of such financing will be favorable to us.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Summary Statement of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4771"/>
        <w:gridCol w:w="146"/>
        <w:gridCol w:w="211"/>
        <w:gridCol w:w="841"/>
        <w:gridCol w:w="166"/>
        <w:gridCol w:w="146"/>
        <w:gridCol w:w="211"/>
        <w:gridCol w:w="736"/>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$43.6 million and $36.8 million for the six months ended June 30, 2026 and 2025, respectively, was largely due to ongoing research and development activities and general and administrative expenses to support those activities. Net loss for the six months ended June 30, 2026 and net income for the six months ended June 30, 2025 included, among other items, non-cash charges of stock-based compensation, non-cash lease expense, depreciation and amortization, partially offset by net accretion of discounts on short-term investments.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used in investing activities was $186.8 million, primarily due to increased purchases of short-term investments following the funds received from our equity issuance via the underwritten public offering in March 2026. These purchases were partially offset by proceeds from the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used in investing activities was $45.8 million, primarily due to increased purchases of short-term investments following the funds received from our equity issuance via the underwritten public offering in May 2025. These purchases were partially offset by proceeds from the maturities of marketable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financing activities of $235.0 million was primarily due to net proceeds from equity issuance via the underwritten public offering in March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net cash provided by financing activities of $93.6 million was primarily due to net proceeds from equity issuance via the underwritten public offering in May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there were no material changes in contractual obligations from the amounts disclosed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quantitative_and_qualitative_disclosure"/>
      <w:bookmarkEnd w:id="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relate to interest rate fluctuations. We had cash, cash equivalents and short-term investments of $330.3 million and $137.1 million as of June 30, 2026 and December 31, 2025, respectively, which consist of bank deposits, money market funds and U.S. Treasury securities. Such interest-bearing instruments carry a degree of interest rate risk; however, historical fluctuations of interest income have not been significant for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June 30, 2026, a hypothetical 100 basis point change in interest rates would not have a material effect on the fair value of the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exposed to foreign currency exchange risk related to foreign currency-based expenses. To date, foreign currency transaction gains and losses have not been material to our financial statements. We do not currently hedge our foreign currency exposure.</w:t>
      </w:r>
    </w:p>
    <w:p>
      <w:pPr>
        <w:pStyle w:val="TextBody"/>
        <w:bidi w:val="0"/>
        <w:spacing w:before="360" w:after="283"/>
        <w:jc w:val="left"/>
        <w:rPr>
          <w:rFonts w:ascii="Times New Roman" w:hAnsi="Times New Roman"/>
          <w:b/>
          <w:color w:val="000000"/>
          <w:sz w:val="20"/>
        </w:rPr>
      </w:pPr>
      <w:bookmarkStart w:id="10" w:name="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Securities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and Principal Financial Officer,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of June 30, 2026, the end of the period covered by this Quarterly Report on Form 10-Q. Based on their evaluation, the Principal Executive Officer and Principal Financial Officer concluded that our disclosure controls and procedures were effective at the reasonable assurance level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that occurred during our fiscal quarter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pStyle w:val="TextBody"/>
        <w:bidi w:val="0"/>
        <w:spacing w:before="24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initial and preliminary data from our clinical trials, including the ongoing Phase 1 clinical trials of varsetatug masetecan (Varseta-M) and CX-801,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including Varseta-M and CX-801,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conduct clinical trials and contract with third-party manufacturers in foreign countries, including Europe and China, which could expose us to risks that could have a material adverse effect on the success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the discovery and development of our therapeutic treatments is based on novel technologies that are unproven and may not result in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based on a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and may in the future seek to enter, into collaborations with third parties for the development and commercialization of our product candidates using our PROBODY platform. If we fail to enter into such collaborations, or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are not successful, we may not be able to capitalize on the market potential of our PROBODY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and commercialization goals in our expected or our announced timeframes, the commercialization of any of our product candidates may be delayed, or never attained, and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purchasers of our common stock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pandemic could adversely impact our business, including our research, development, including clinical trials, manufacturing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us. Risks and uncertainties not currently known to us or that we currently deem to be immaterial may also materially adversely affect our business, financial condition, results of operations and/or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developing a novel class of therapeutic product candidates, based on our proprietary biologic PROBODY conditionally activated technology platform. Since our inception, we have devoted our resources to the development of PROBODY therapeutics. We have had significant operating losses since our inception. As of June 30, 2026 and December 31, 2025, we had an accumulated deficit of $750.9 million and $711.9 million, respectively. Substantially all of our losses have resulted from expenses incurred in connection with our research and development programs and from general and administrative costs associated with our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accurate as they could be if we had a longer operating history. We will need to transition from a company with a research and development focus to a company capable of supporting commercial activities. We may not be successful in such a transition.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In January 2025, we restructured the company and reduced headcount by approximately 40% to preserve capital and focus on high priority programs. In May 2025 and March 2026, we raised approximately $93.4 million and $234.2 million, respectively, of net proceeds through underwritten public offerings of our equity securities. As a result, we believe we have sufficient capital to operate into the second half of 2028. We will need to raise additional funds to continue our efforts. However, financial market conditions, including the public equity markets, and government regulation, including legislative and regulatory uncertainties affecting the biopharmaceutical industry, may continue to make it difficult for biotechnology companies to raise additional funds. We cannot predict when or if market conditions will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we had cash, cash equivalents and short-term investments of $330.3 million. We believe that our existing capital resources will be sufficient to fund our planned operations into the second half of 2028.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and progress of our ongoing clinical trials as well as any other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type of clinical trials and preclinical studies that we may be required to complete for our product candidates, as well as the cost and time of such studies and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prioritization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produce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scale our manufacturing capabilities prior to or following regulatory approval and commercial launch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the development efforts of parties with whom we have entered or may in the future enter into collaborations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payments we may receive or are obligated to pay under our collaboration agreements and license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and research and development programs and to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any existing or future litigation to which we are or may become a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and commercialization of our product candidates and satisfy our obligations as a public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and in the first quarter of 2025 terminated the program.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date, we have financed our operations primarily through sales of our common stock, sale of our convertible preferred securities prior to our IPO, payments received under our collaboration agreements, including the collaboration and license agreements that we entered into with each of Regeneron and Moderna in November and December 2022, respectively, and funding we received through the sales of our equity securities in July 2023, May 2025 and March 2026.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clinical trials under such IND,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 For example, in March 2025, based on clinical observations to date and CytomX pipeline priorities, we and Amgen jointly decided to terminate the CX-904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patients to participate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validating any companion diagnostic to be used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requiring us to submit additional data or imposing other requirements before permitting us to initiate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authority clearance to commence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with prospective contract research organizations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institutional review board (“IRB”) approval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patients complete a clinical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our product candidates in sufficient quality and quantity for use in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electing to not pursue development and commercialization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very early in our development efforts, including with </w:t>
      </w:r>
      <w:r>
        <w:rPr>
          <w:rFonts w:ascii="Times New Roman" w:hAnsi="Times New Roman"/>
          <w:color w:val="000000"/>
          <w:sz w:val="22"/>
        </w:rPr>
        <w:t>Varseta-M</w:t>
      </w:r>
      <w:r>
        <w:rPr>
          <w:rFonts w:ascii="Times New Roman" w:hAnsi="Times New Roman"/>
          <w:color w:val="000000"/>
          <w:sz w:val="20"/>
        </w:rPr>
        <w:t xml:space="preserve"> and CX-801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purity and potency (or efficacy) of our product candidates in patients.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side effects experienced by participants in our clinical trials, the clinical trials of our collaborators or by individuals using drugs or therapeutic biologics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or allowances from regulators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research subjects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supply or quality of product candidate components or materials or other supplies necessary for the conduct of our or our collaborators’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the development or approval of companion diagnostic tests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the manufacturing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could find that the therapeutics we or our collaborators pursue are not safe, pure, potent (or efficacious). For example, in March 2025, based on clinical observations to date and CytomX pipeline priorities, we and Amgen jointly decided to terminate the CX-904 program.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and in the first quarter of 2025 terminated the program.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Interim, “top-line,” initial and preliminary data from our clinical trials, including the ongoing Phase 1 clinical trials of Varseta-M and CX-801, that we announce or publish from time to time may change as more patient data become available and are subject to audit and verification procedures that could result in material changes in the final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For example, in May 2024, we disclosed initial data from our ongoing Phase 1a dose escalation clinical trial of CX-904. In March 2025, based on clinical observations to date and CytomX pipeline priorities, we and Amgen jointly decided to terminate the CX-904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including Varseta-M and CX-801,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Varseta-M and CX-801. Our lead program, Varseta-M, is an antibody-drug conjugate which is in a class of therapy known to drive potent anti-cancer activity, but that often has side effects or adverse events that need to be managed in order for patients to derive benefits from treatment. There can be no assurance that unexpected adverse events will not occur in our ongoing trials, including the ongoing Phase 1 clinical trials of Varseta-M or CX-801, or in future trials involving our product candidates or the product candidates of our collaborators. Undesirable side effects may appear in later trials that were not observed in our earlier trials or may be more severe in later trials than earlier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May 2025 and in March 2026, we announced positive interim data from our ongoing Phase 1 clinical trial with Varseta-M. While we believe interim data supports the potential to reach a favorable therapeutic index, we also reported treatment related adverse events, including diarrhea, nausea, vomiting, and anemia, and in August 2025, we announced that a single Grade 5 treatment-related acute kidney injury occurred in a patient with a complex medical history, including having a solitary kidney. We cannot provide assurance that we will reach an acceptable or tolerable dose for Varseta-M or CX-801. Furthermore, any ongoing or future clinical trials of our product candidates, including those for Varseta-M and CX-801, could face risks related to undesirable side effects, including unacceptable toxicity.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be required to recall the product or change the way the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adverse side effects caused by any drugs of other companies utilizing the same or similar therapeutic agents of our product candidates, or that are similar in nature to our product candidates could delay or prevent regulatory approval of our product candidates, limit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commercial profile of an approved label for our product candidates, or result in significant negative consequences following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an appropriate genomic screening test;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efficacy of approved therapies for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a trial;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Varseta-M and CX-801 study patients who have one or a select number of specific tumor types rather than patients suffering from any cancer, which limits the rate of enrollment of the trial. In addition, some of our clinical trials may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Varseta-M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will continue to conduct clinical trials and contract with third-party manufacturers in foreign countries, including Europe and China, which could expose us to risks that could have a material adverse effect on the success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enrolled or are planning to enroll patients in our clinical trials outside the United States, including in Europe.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addition, we currently contract manufacturing operations to third parties, and certain of our product candidates are manufactured by and will in the future be manufactured by third parties outside the U.S., including in Europe and China. For example, we have a contract with a third-party manufacturer located in China for product candidates, including </w:t>
      </w:r>
      <w:r>
        <w:rPr>
          <w:rFonts w:ascii="Times New Roman" w:hAnsi="Times New Roman"/>
          <w:color w:val="000000"/>
          <w:sz w:val="22"/>
        </w:rPr>
        <w:t>Varseta-M</w:t>
      </w:r>
      <w:r>
        <w:rPr>
          <w:rFonts w:ascii="Times New Roman" w:hAnsi="Times New Roman"/>
          <w:color w:val="000000"/>
          <w:sz w:val="20"/>
        </w:rPr>
        <w:t xml:space="preserve"> and CX-801, and accordingly we are exposed to the possibility of drug product supply disruption, delay and increased costs in the event of changes in the policies of the U.S., European or Chinese governments, including political unrest or unstable economic conditions in China or elsewhere.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in 2025, the BIOSECURE Act was enacted into law, and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Veterans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Conducting clinical trials and contracting with third-party manufacturers outside the United States also exposes us to additional risks, including risks associated with additional foreign regulatory requirements; foreign exchange fluctuations; tariffs;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w:t>
      </w:r>
      <w:r>
        <w:rPr>
          <w:rFonts w:ascii="Times New Roman" w:hAnsi="Times New Roman"/>
          <w:color w:val="000000"/>
          <w:sz w:val="22"/>
        </w:rPr>
        <w:t xml:space="preserve">Varseta-M </w:t>
      </w:r>
      <w:r>
        <w:rPr>
          <w:rFonts w:ascii="Times New Roman" w:hAnsi="Times New Roman"/>
          <w:color w:val="000000"/>
          <w:sz w:val="20"/>
        </w:rPr>
        <w:t xml:space="preserve">and CX-801 our manufacturing supply chain includes several contract manufacturers, and failure by any of these manufacturers could result in interruptions of our clinical studies. Although we are taking steps to manage our long-term supply of </w:t>
      </w:r>
      <w:r>
        <w:rPr>
          <w:rFonts w:ascii="Times New Roman" w:hAnsi="Times New Roman"/>
          <w:color w:val="000000"/>
          <w:sz w:val="22"/>
        </w:rPr>
        <w:t>Varseta-M</w:t>
      </w:r>
      <w:r>
        <w:rPr>
          <w:rFonts w:ascii="Times New Roman" w:hAnsi="Times New Roman"/>
          <w:color w:val="000000"/>
          <w:sz w:val="20"/>
        </w:rPr>
        <w:t xml:space="preserve">, there can be no assurance that we will not have production failures in the future, which could affect our ability to conduct our trials for </w:t>
      </w:r>
      <w:r>
        <w:rPr>
          <w:rFonts w:ascii="Times New Roman" w:hAnsi="Times New Roman"/>
          <w:color w:val="000000"/>
          <w:sz w:val="22"/>
        </w:rPr>
        <w:t>Varseta-M</w:t>
      </w:r>
      <w:r>
        <w:rPr>
          <w:rFonts w:ascii="Times New Roman" w:hAnsi="Times New Roman"/>
          <w:color w:val="000000"/>
          <w:sz w:val="20"/>
        </w:rPr>
        <w:t xml:space="preserve"> or any other clinical trial drug candidates, including CX-801,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addition, we may encounter issues with transferring technology to a new third-party manufacturer, and we may encounter regulatory delays if we need to move the manufacturing of our products from one third-party manufacturer to another</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w:t>
      </w:r>
      <w:r>
        <w:rPr>
          <w:rFonts w:ascii="Times New Roman" w:hAnsi="Times New Roman"/>
          <w:color w:val="000000"/>
          <w:sz w:val="22"/>
        </w:rPr>
        <w:t>Varseta-M</w:t>
      </w:r>
      <w:r>
        <w:rPr>
          <w:rFonts w:ascii="Times New Roman" w:hAnsi="Times New Roman"/>
          <w:color w:val="000000"/>
          <w:sz w:val="20"/>
        </w:rPr>
        <w:t xml:space="preserve">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clinical trials of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a collaborator;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distribution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It may prove more challenging than we anticipate to manufacture products that incorporate our PROBODY therapeutic technology. In order to conduct clinical trials of our product candidates, including our clinical trials for </w:t>
      </w:r>
      <w:r>
        <w:rPr>
          <w:rFonts w:ascii="Times New Roman" w:hAnsi="Times New Roman"/>
          <w:color w:val="000000"/>
          <w:sz w:val="22"/>
        </w:rPr>
        <w:t>Varseta-M</w:t>
      </w:r>
      <w:r>
        <w:rPr>
          <w:rFonts w:ascii="Times New Roman" w:hAnsi="Times New Roman"/>
          <w:color w:val="000000"/>
          <w:sz w:val="20"/>
        </w:rPr>
        <w:t xml:space="preserve"> and CX-801, we will need to manufacture them in large quantities. There can be no assurance that we will not have future production failures, which could affect our ability to conduct our trials for </w:t>
      </w:r>
      <w:r>
        <w:rPr>
          <w:rFonts w:ascii="Times New Roman" w:hAnsi="Times New Roman"/>
          <w:color w:val="000000"/>
          <w:sz w:val="22"/>
        </w:rPr>
        <w:t>Varseta-M</w:t>
      </w:r>
      <w:r>
        <w:rPr>
          <w:rFonts w:ascii="Times New Roman" w:hAnsi="Times New Roman"/>
          <w:color w:val="000000"/>
          <w:sz w:val="20"/>
        </w:rPr>
        <w:t xml:space="preserve">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mid-trial. In such event, the FDA will require us to complete bridging studies to compare the earlier stage material with late-stage or commercial material to assure comparability between the earlier trial material and the late-stage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extend the life of our drug stability of product candidates, or successfully complete the FDA’s bridging requirements,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development, testing, and clinical trials of that product candidate may be delayed or infeasible, and regulatory approval or commercial launch of any resulting product may be delayed or not obtained, which could significantly harm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approach to the discovery and development of our therapeutic treatments is based on novel technologies that are unproven and may not result in marketable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w:t>
      </w:r>
      <w:r>
        <w:rPr>
          <w:rFonts w:ascii="Times New Roman" w:hAnsi="Times New Roman"/>
          <w:color w:val="000000"/>
          <w:sz w:val="22"/>
        </w:rPr>
        <w:t>Varseta-M</w:t>
      </w:r>
      <w:r>
        <w:rPr>
          <w:rFonts w:ascii="Times New Roman" w:hAnsi="Times New Roman"/>
          <w:color w:val="000000"/>
          <w:sz w:val="20"/>
        </w:rPr>
        <w:t xml:space="preserve"> and CX-801.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we entered into a collaboration with Moderna for the development of mRNA based product candidates. We do not know whether our PROBODY platform will be able to successfully develop product candidates utilizing this mRNA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the FDA and foreign regulatory authorities have limited experience with conditionally activated therapeutics in oncology, such experience primarily coming from us with our prior development of CX-904, praluzatamab ravtansine, CX-2029, BMS-986249, BMS-986288, and pacmilimab, and more recently, with other competitors with early stage conditionally activated therapeutics.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may not be receptive to our product candidates based on a novel therapeutic modality, and we may not generate any future revenue from the sale or licensing of product candidates.</w:t>
      </w:r>
    </w:p>
    <w:p>
      <w:pPr>
        <w:pStyle w:val="TextBody"/>
        <w:bidi w:val="0"/>
        <w:jc w:val="left"/>
        <w:rPr>
          <w:rFonts w:ascii="Times New Roman" w:hAnsi="Times New Roman"/>
          <w:color w:val="000000"/>
          <w:sz w:val="20"/>
        </w:rPr>
      </w:pPr>
      <w:r>
        <w:rPr>
          <w:rFonts w:ascii="Times New Roman" w:hAnsi="Times New Roman"/>
          <w:color w:val="000000"/>
          <w:sz w:val="20"/>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purity, potency (or efficacy) of our product candidates, including those being developed by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or other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effective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from government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alternative effective treatments for the disease indications our product candidates are intended to treat and the relative risks, benefits and costs of those treatments.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amount and timing of efforts and resources that they will apply to these collaborations, including the preclinical collaboration programs with Regeneron and Moderna;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designing any clinical trials they operate pursuant to our collaboration agreements and may release data from such clinical trials, including with respect to our PROBODY therapeutics, without consulting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misappropriate or otherwise violate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January 2023, we announced topline results of the Phase 2 expansion cohorts of CX-2029 and in March 2023, AbbVie decided not to continue the future development of CX-2029. We re-acquired full rights to CX-2029, however, in the fourth quarter of 2023, we decided not to make any further significant investments in the solid tumor CX-2029 program and terminated the program in the first quarter of 2025. Additionally, in March 2025, based on clinical observations to date and our pipeline priorities, we and Amgen jointly decided to terminate the CX-904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Substantially all of our revenue to date has been derived from our existing collaboration agreements and a significant portion of our future revenue and cash resources is expected to be derived from these agreements or other similar agreements we may enter into in the future. Revenue from research and development collaborations depends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collaboration agreements or individual programs within a collaboration agreement could result in a change to our business plan and may have a material adverse effect on our business, financial condition, results of operations and prospects. If a collaboration or program is terminated, we would not be eligible to receive the milestone, royalty or other payments that would have been payable under the collaboration agreement. For example, in March 2025, based on clinical observations to date and our pipeline priorities, we and Amgen jointly decided to terminate the CX-904 program and we will not receive any milestone or other payments from them on this program.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our expected or our announced timeframes, the commercialization of any of our product candidates may be delayed, or never attained, and our business will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trial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receipt of approvals by the FDA and other regulatory authorities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materials used in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and supply clinical trial materials to our clinical sites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of our collaborators with respect to the commercialization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achieve announced milestones in the timeframes we expect, the commercialization of any of our product candidates may be delayed or never attained, and our business and results of operations may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did not obtain a collaborator for that program. The competition for collaborators is intense and there can be no assurances that we will be able to secure any collaboration for any of our programs.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result in the delay or rejection by the FDA of any BLA we submit. Any such delay or rejection could prevent us from commercializing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and fail to capitalize on product candidates that may be more profitable or for which there is a greater likelihood of success.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 candidates and indications.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difficulties in managing our growth and expanding when needed.</w:t>
      </w:r>
    </w:p>
    <w:p>
      <w:pPr>
        <w:pStyle w:val="TextBody"/>
        <w:bidi w:val="0"/>
        <w:jc w:val="left"/>
        <w:rPr>
          <w:rFonts w:ascii="Times New Roman" w:hAnsi="Times New Roman"/>
          <w:color w:val="000000"/>
          <w:sz w:val="20"/>
        </w:rPr>
      </w:pPr>
      <w:r>
        <w:rPr>
          <w:rFonts w:ascii="Times New Roman" w:hAnsi="Times New Roman"/>
          <w:color w:val="000000"/>
          <w:sz w:val="20"/>
        </w:rPr>
        <w:t>Since 2022 we have maintained a relatively steady number of employees in our workforce and maintained activities to manage our pipeline, including research activities and efforts to establish and run clinical trials for Varseta-M and CX-801. However, in January 2025, we announced that we would reduce our workforce, primarily research and general and administrative staff, by approximately 40% to preserve capital for ongoing clinical trials and collaboration partner activities. In the future we may need to grow our organization substantially to continue development and pursue the potential commercialization of our product candidates, including Varseta-M and CX-801,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BeOne, Incyte, Nektar, and Alkermes have ongoing efforts in cancer immunotherapy. Several companies, including Adagene, Amgen, Sanofi, BioAtla, Halozyme, Janux Therapeutics, Roche, Takeda, Vir Biotechnology, Werewolf Therapeutics and Xilio are exploring antibody masking and/or conditional activation strategies, which could compete with our PROBODY platform. We are also aware of several companies that are developing ADCs, such as AbbVie, ADC Therapeutics, AstraZeneca, Bristol Myers Squibb, Daiichi Sankyo, Gilead, Merck &amp; Co., Pfizer, Roche Holding Ltd. and Takeda. Companies like Gilead and Jazz are pursuing development programs in the cytokine space.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CRC, there are an increasing number of experimental therapies with different mechanisms of action under investigation, including therapies that are directed against CRC subtypes defined by biologic features including, but not limited to, KRAS mutational status, BRAF mutational status, MSI, and surface protein expression (e.g., cMET, CECAM5, HER2, EGFR). For example, AbbVie is developing ABBV-400 for a subset of CRC patients in a Phase 3 clinical trial. These novel competitor agents, alone or in combination with other anti-cancer agents, may potentially impact the approval of or adoption of therapeutics for the treatment of CRC.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inability to attract and retain qualified key management and technical personnel would impair our ability to implement our business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the expansion of remote-work arrangements in the biotechnology industry has increased the geographic scope of competition for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in the biotechnology industry across the country and especially in the San Francisco Bay Area.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Price controls imposed in foreign markets may adversely affect our future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some countries, particularly member states of the European Union and the United Kingdom,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significant product liability risks inherent in the development, testing, manufacturing and marketing of therapeutic treatments, including as a result of the clinical testing of our prior clinical candidates, our current clinical candidates, including Varseta-M and CX-801, and any other product candidates we may have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and independent contractors may engage in misconduct or other improper activities, including noncompliance with regulatory standards and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operations are located in our facilities in South San Francisco, California and in September 2026 we are moving all of our operations to facilities in Emeryville,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reported financial results may be adversely affected by changes in accounting principles generally accepted in the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us.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obtain and enforce patent protection for our technologies or product candidates, development and commercialization of our product candidates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and pending patent applications, some of which are co-owned with a third party, covering our PROBODY platform technology and products as well as methods of use and production thereof; we have exclusively licensed UCSB’s interest in the patent family co-owned with UCSB that covers certain conditionally activatable antibodies in the fields of therapeutics, </w:t>
      </w:r>
      <w:r>
        <w:rPr>
          <w:rFonts w:ascii="Times New Roman" w:hAnsi="Times New Roman"/>
          <w:i/>
          <w:color w:val="000000"/>
          <w:sz w:val="20"/>
        </w:rPr>
        <w:t xml:space="preserve">in vivo </w:t>
      </w:r>
      <w:r>
        <w:rPr>
          <w:rFonts w:ascii="Times New Roman" w:hAnsi="Times New Roman"/>
          <w:color w:val="000000"/>
          <w:sz w:val="20"/>
        </w:rPr>
        <w:t>diagnostics and prophylactics. In addition, we have exclusively licensed a patent portfolio of three patent families from UCSB that includes patents that cover methods related to the screening for and identification of the masks that we use to design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There could also be delays at the USPTO caused by staffing cuts and other U.S. government actions as a result of executive actions to reduce the size of the U.S. government.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in 2011 involves significant changes in patent legislation. However, there remains many subsisting issued patents and some pending patent applications in the U.S. that were filed prior to its enactment and are therefore subject to the pre-AIA U.S. patent laws and that may have relevance to our freedom-to-operate or ability to obtain patent issuances. The Supreme Court has ruled on several patent cases in recent years, some of which cases either narrow the scope of patent protection available in certain circumstances or weaken the rights of patent owners in certain situations. We can make no assurance that our interpretations of Supreme Court decisions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Once granted, patents may be subject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misappropriating or otherwise violating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advantages or will not be challenged by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Conditionally-activated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therapeutic compositions of matter as well as their methods of manufacturing and use.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xml:space="preserve">,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on June 1, 2023, the European Union Patent Package regulations were implemented with the goal of providing a single pan-European Unitary Patent and a new European Unified Patent Court (the “UPC”) for litigation involving European patents, which has become a common forum for challenging patents in the pharmaceutical space. The UPC provides our competitors with a new forum to centrally revoke our European patents, and allow for the possibility of a competitor to obtain a pan-European injunction.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or our licensors,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filed a patent infringement lawsuit against us in the U.S. District Court for the District of Delaware. The lawsuit alleged that our use, offers to sell, and/or sales of the PROBODY technology platform for basic research applications constituted infringement. The complaint sought unspecified monetary damages. On October 17, 2024, the Court dismissed plaintiff’s case, and on October 28, 2024, the Court ordered the case to be closed.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the therapeutic landscape is still evolving, including the masked biologics landscape, it is difficult to conclusively assess our freedom to operate without infringing on third-party rights. There are numerous companies that have pending patent applications and issued patents broadly covering masked therapeutics generally or covering masked therapeutics directed against the same targets as, or targets similar to, those we are pursuing. An increasing number of third parties are filing masked therapeutics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and adverse effect on our ability to compete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licenses from Amgen, AbbVie (formerly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noBreakHyphen/>
        <w:t>executing or may be breached, and we may be forced to bring claims against third parties, or defend claims they may bring against us, to determine the ownership of what we regard as our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obtain or be delayed in obtaining U.S. or foreign regulatory approval and, as a result, be unable or delayed in being able to commercialize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or comparable foreign regulatory authorities can delay, limit or deny approval of a product candidate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the design or execution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significance or persuasiveness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clinical data from trials that are conducted at clinical facilities or in countries where the standard of care is potentially different from that of their own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us regarding the formulation, labeling and/or the product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may be granted only for indications that are significantly more limited than those sought by us, and/or may include significant restrictions on distribution and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the third-party manufacturers with which we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or other government actions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post-marketing clinical trials and surveillance programs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restitutions, disgorgement of profits or revenues,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our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in recent years, the U.S. government has shut down several times and certain regulatory agencies, such as the FDA, have had to furlough FDA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staff turnover, and it remains unclear the degree to which these efforts may limit or otherwise adversely affect the FDA’s ability to conduct routine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 prolonged government shutdown occurs, or if policy changes, funding shortages, or staffing limitations prevent the FDA or other regulatory authorities from conducting their regular inspections, reviews or other activities, such events could significantly impact the ability of the FDA or other regulatory authorities to timely review and process our regulatory submissions, which could have a material adverse effect on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Healthcare legislative reform measures may have a material and adverse effect on our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and therapeutic biologics.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However, the ACA continues to be discussed in Congress and future changes to the ACA could negatively impact our potential business and financial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eliminated the statutory cap on drug manufacturers’ Medicaid drug rebate liability, previously set at 100% of a drug’s average manufacturer price, beginning January 1, 2024. In August 2022, the Inflation Reduction Act of 2022, or IRA, was signed into law. Among other things, the IRA requires manufacturers of certain drugs to engage in price negotiations with Medicare,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CMS has published the negotiated prices for the initial ten drugs, which went into effect in 2026 and the subsequent 15 drugs, which will first be effective in 2027, as well as the list of the next set of 15 drugs that will be subject to negotiation, although the drug price negotiation program is currently subject to legal challenges.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our investigational products that receive approval.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pStyle w:val="TextBody"/>
        <w:bidi w:val="0"/>
        <w:jc w:val="left"/>
        <w:rPr>
          <w:rFonts w:ascii="Times New Roman" w:hAnsi="Times New Roman"/>
          <w:color w:val="000000"/>
          <w:sz w:val="20"/>
        </w:rPr>
      </w:pPr>
      <w:r>
        <w:rPr>
          <w:rFonts w:ascii="Times New Roman" w:hAnsi="Times New Roman"/>
          <w:color w:val="000000"/>
          <w:sz w:val="20"/>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inspection findings;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or public notification or medical product safety alerts to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marketing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importation or exportation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review or refusal to approve pending applications or supplements to approved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participation in government-funded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eligibility for the award of government contracts for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seizures or administrative detention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 and fines.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abroad may also be subject to increased scrutiny or attention from data protection authorities. For example, we may be subject to the General Data Protection Regulation (“EU GDPR”) and to the United Kingdom General Data Protection Regulation and Data Protection Act 2018 (collectively, the “UK GDPR”) (the EU GDPR and UK GDPR together referred to as the “GDPR”). The GDPR imposes stringent requirements for processing the personal data of individuals within the EEA and the UK. Companies that must comply with the GDPR face increased compliance obligations and risk, including more robust regulatory enforcement of data protection requirements and potential fines for noncompliance of up to 4% total worldwide annual turnover or €20 million / £17.5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work to comply with applicable laws, regulations and standards, our contractual obligations and other legal obligations, these requirements are evolving and may be modified, interpreted and applied in an inconsistent manner from one jurisdiction to another, and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decreases over time without further human intervention to correct such decay.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predicted clinical benefit. If such post-approval studies fail to confirm the drug’s clinical benefit or are not completed in a timely manner, the FDA may withdraw its approval of the drug on an expedited basis. In addition, the Food and Drug Omnibus Reform Act of 2022 provided FDA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Orphan Drug Designation for some of our product candidates, and we may be unsuccessful or may be unable to maintain the benefits associated with Orphan Drug Designation, including the potential for market exclusivity.</w:t>
      </w:r>
    </w:p>
    <w:p>
      <w:pPr>
        <w:pStyle w:val="TextBody"/>
        <w:bidi w:val="0"/>
        <w:jc w:val="left"/>
        <w:rPr>
          <w:rFonts w:ascii="Times New Roman" w:hAnsi="Times New Roman"/>
          <w:color w:val="000000"/>
          <w:sz w:val="20"/>
        </w:rPr>
      </w:pPr>
      <w:r>
        <w:rPr>
          <w:rFonts w:ascii="Times New Roman" w:hAnsi="Times New Roman"/>
          <w:color w:val="000000"/>
          <w:sz w:val="20"/>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the candidate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approved indication or use within such rare disease or condition for seven years, except in limited circumstances, such as a showing of clinical superiority to the product with orphan drug exclusivity in the relevant indication or use or where the manufacturer is unable to assure sufficient product quantity.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 disease or condition broader than the orphan-designated disease or condition or may be lost if the FDA later determines that the request for designation was materially defective or if the manufacturer is unable to assure sufficient quantities of the product to meet the needs relating to the approved indication or use of patients with the relevant rare disease or condition. Further, even if we obtain orphan drug exclusivity for a product, that exclusivity may not effectively protect the product from competition because different biologics can be approved for the same uses or indications within the same rare disease or condition. Even after an orphan product is approved, the FDA can subsequently approve the same drug or therapeutic biologic for the same indication or use within the relevant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PROBODY platform,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or the addition or termination of clinical trials or funding support by us, or existing or future collaborators or licensing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our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large portion of the revenue recognized relates to up-front payments received in earlier years, so the current cash flows from operations may be significantly different from the net income (loss) reported;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to be recognized in 2026 and future years may be significantly lower than 2025 as collaboration research terms come to an 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Section 404 of the Sarbanes-Oxley Act of 2002 requires that we evaluate and determine the effectiveness of our internal controls over financial reporting, provide a management report on the internal control over financial reporting and obtain</w:t>
      </w:r>
      <w:r>
        <w:rPr>
          <w:rFonts w:ascii="Times New Roman" w:hAnsi="Times New Roman"/>
          <w:color w:val="001D35"/>
          <w:sz w:val="20"/>
        </w:rPr>
        <w:t xml:space="preserve"> </w:t>
      </w:r>
      <w:r>
        <w:rPr>
          <w:rFonts w:ascii="Times New Roman" w:hAnsi="Times New Roman"/>
          <w:color w:val="000000"/>
          <w:sz w:val="20"/>
        </w:rPr>
        <w:t>an independent assessment and report on a company's internal financial controls from our external auditors.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financial statements, and harm our operating results. In addition, we are required, pursuant to Section 404, to furnish a report by our management and obtain an independent assessment and report from our external auditors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accepted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purchasers of our common stock could incur substantial losses.</w:t>
      </w:r>
    </w:p>
    <w:p>
      <w:pPr>
        <w:pStyle w:val="TextBody"/>
        <w:bidi w:val="0"/>
        <w:jc w:val="left"/>
        <w:rPr>
          <w:rFonts w:ascii="Times New Roman" w:hAnsi="Times New Roman"/>
          <w:color w:val="000000"/>
          <w:sz w:val="20"/>
        </w:rPr>
      </w:pPr>
      <w:r>
        <w:rPr>
          <w:rFonts w:ascii="Times New Roman" w:hAnsi="Times New Roman"/>
          <w:color w:val="000000"/>
          <w:sz w:val="20"/>
        </w:rPr>
        <w:t>Our stock price is volatile. Since our initial public offering (“IPO”), our stock had low and high sales prices in the range of $0.40 and $35.00 per share. The market price for our common stock may be influenced by many factors, including the other risks described in this section titled “Risk Factors”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future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clinical studies,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existing or future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jc w:val="left"/>
        <w:rPr>
          <w:rFonts w:ascii="Times New Roman" w:hAnsi="Times New Roman"/>
          <w:color w:val="000000"/>
          <w:sz w:val="20"/>
        </w:rPr>
      </w:pPr>
      <w:r>
        <w:rPr>
          <w:rFonts w:ascii="Times New Roman" w:hAnsi="Times New Roman"/>
          <w:color w:val="000000"/>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We have issued securities under our ATM Program and through other equity offerings of common stock and warrants, and may do so in the future.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employment agreements with our executive officers may require us to pay severance benefits to officers in connection with termination of employment or upon a change of control of us, which could harm our financial condition.</w:t>
      </w:r>
    </w:p>
    <w:p>
      <w:pPr>
        <w:pStyle w:val="TextBody"/>
        <w:bidi w:val="0"/>
        <w:jc w:val="left"/>
        <w:rPr>
          <w:rFonts w:ascii="Times New Roman" w:hAnsi="Times New Roman"/>
          <w:color w:val="000000"/>
          <w:sz w:val="20"/>
        </w:rPr>
      </w:pPr>
      <w:r>
        <w:rPr>
          <w:rFonts w:ascii="Times New Roman" w:hAnsi="Times New Roman"/>
          <w:color w:val="000000"/>
          <w:sz w:val="20"/>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market for our common stock may not be maintained.</w:t>
      </w:r>
    </w:p>
    <w:p>
      <w:pPr>
        <w:pStyle w:val="TextBody"/>
        <w:bidi w:val="0"/>
        <w:jc w:val="left"/>
        <w:rPr>
          <w:rFonts w:ascii="Times New Roman" w:hAnsi="Times New Roman"/>
          <w:color w:val="000000"/>
          <w:sz w:val="20"/>
        </w:rPr>
      </w:pPr>
      <w:r>
        <w:rPr>
          <w:rFonts w:ascii="Times New Roman" w:hAnsi="Times New Roman"/>
          <w:color w:val="000000"/>
          <w:sz w:val="20"/>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June 30, 2026, our executive officers, directors, holders of 5% or more of our capital stock based on publicly available filings made with the SEC and their respective affiliates beneficially owned approximately 26% of our outstanding common stock. These stockholders, acting together, would have significant influence over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jc w:val="left"/>
        <w:rPr>
          <w:rFonts w:ascii="Times New Roman" w:hAnsi="Times New Roman"/>
          <w:color w:val="000000"/>
          <w:sz w:val="20"/>
        </w:rPr>
      </w:pPr>
      <w:r>
        <w:rPr>
          <w:rFonts w:ascii="Times New Roman" w:hAnsi="Times New Roman"/>
          <w:color w:val="000000"/>
          <w:sz w:val="20"/>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new compliance initiatives and corporate governance practices.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failure to meet the continued listing requirements of the Nasdaq Global Select Market, including minimum stock price requirements, could result in a delisting of our common stock</w:t>
      </w:r>
      <w:r>
        <w:rPr>
          <w:rFonts w:ascii="Times New Roman" w:hAnsi="Times New Roman"/>
          <w:b/>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satisfy the continued listing requirements of the Nasdaq Global Select Market (“Nasdaq”), such as the corporate governance requirements or the minimum closing bid price requirement, Nasdaq may take steps to delist our common stock. For example, on February 24, 2025, we received notice from Nasdaq that we failed to meet Nasdaq’s minimum closing bid price requirement of $1.00 per share. Although we subsequently regained compliance, we cannot provide any assurance that we will be able to maintain compliance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incur significant costs from class action litigation due to our expected stock volatility.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us that issued the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Any future pandemic could adversely impact our business, including our research, development, including clinical trials, manufacturing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impact of future pandemics could severely impact the business, research, development and manufacturing for us and our partners including ongoing or planned clinical trials for Varseta-M and CX-801, and any clinical trials of our partners. We previously experienced operational disruptions from the COVID-19 pandemic and could face similar or more severe disruptions from any future pandemic. These disruptions and impacts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research activities or obtaining necessary supplies to enable research;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for any clinical trials we or our partners decide to initiate, including Varseta-M and CX-801, including difficulties in recruiting clinical site investigators and clinical site staff and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or our partners’ clinical trial sites and hospital staff supporting the conduct of our or our partners’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interpreting clinical data due to patients being infected by pandemic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approval from local regulatory authorities to initiate our or our partners’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manufacturing or global shipping that may affect the timely delivery or transport of research materials or clinical trial materials, such as investigational drug product used in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local regulators, ethics committees and other important agencies and contractors due to limitations in employee resources or forced furlough of government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accept data from clinical trials in affected geographies outside the United States.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be certain of the impact of any future pandemic on our business or make any assurance that research, development or manufacturing of our product candidates will not be delayed, discontinued or otherwise impacted.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 pandemic may negatively impact the trading price of shares of our common stock and could further severely impact our ability to raise additional capital on a timely basis or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U.S. and multi-national financial market conditions may adversely affect our business and financial position.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maintain the majority of our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acquire assets or form strategic alliances in the future, and we may not realize the benefits of such acquisitions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we continue to mature our PROBODY platform and our clinical stage pipeline, we may seek to acquire and/or in-license other oncology products, product candidates, programs or companies that we consider complementary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acquisition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incur substantial debt or engage in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disruption of our historical business and our activities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strain on, and need to expand, our existing operational, technical, financial and administrative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lack of experience in late-stage product development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assimilating employees and corporate cultures;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hiring qualified personnel and establishing necessary development and/or commercialization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retain key management and other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challenges in controlling additional costs and expenses in connection with and as a result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write down assets or recognize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to integration of operations and corporate and administrative infrastructures;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unanticipated liabilities for activities of or related to the acquired business or its operations, products or product candidates.</w:t>
      </w:r>
    </w:p>
    <w:p>
      <w:pPr>
        <w:pStyle w:val="TextBody"/>
        <w:bidi w:val="0"/>
        <w:jc w:val="left"/>
        <w:rPr>
          <w:rFonts w:ascii="Times New Roman" w:hAnsi="Times New Roman"/>
          <w:color w:val="000000"/>
          <w:sz w:val="20"/>
        </w:rPr>
      </w:pPr>
      <w:r>
        <w:rPr>
          <w:rFonts w:ascii="Times New Roman" w:hAnsi="Times New Roman"/>
          <w:color w:val="000000"/>
          <w:sz w:val="20"/>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p>
    <w:p>
      <w:pPr>
        <w:pStyle w:val="TextBody"/>
        <w:bidi w:val="0"/>
        <w:jc w:val="left"/>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information technology systems, or those of our CROs or other contractors or consultants we may utilize, may fail, suffer disruptions or suffer security breaches, which could result in a material disruption of our product development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use by persons inside our organization, or persons with access to systems inside our organization. A system interruption or security breach that leads to disclosure or modification of or prevents access to Confidential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Furthermore, any integration of artificial intelligence in our or any third party’s operations, products or services is expected to pose new or unknown cybersecurity risks and challenges.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recovery of our data could take a prolonged period of time,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Ongoing or future international conflicts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Armed conflicts that arise from time to time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comply with laws regulating the protection of the environment and health and human safety, our business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or foreign tax laws or regulations that are applied adversely to us may have a material adverse effect on our business, cash flow,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opinions regarding our stock, our stock price and trading volume could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Sales of Unregistered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Repurchases of Shares or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6" w:name="item_5_or_information"/>
      <w:bookmarkEnd w:id="16"/>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
        <w:gridCol w:w="146"/>
        <w:gridCol w:w="5966"/>
        <w:gridCol w:w="146"/>
        <w:gridCol w:w="532"/>
        <w:gridCol w:w="146"/>
        <w:gridCol w:w="679"/>
        <w:gridCol w:w="146"/>
        <w:gridCol w:w="691"/>
        <w:gridCol w:w="146"/>
        <w:gridCol w:w="843"/>
      </w:tblGrid>
      <w:tr>
        <w:trPr/>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4" w:type="dxa"/>
            <w:gridSpan w:val="5"/>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Exhibit Description</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Filed</w:t>
              <w:br/>
              <w:t>Herewith</w:t>
            </w:r>
            <w:r>
              <w:rPr>
                <w:rFonts w:ascii="Times New Roman" w:hAnsi="Times New Roman"/>
                <w:color w:val="000000"/>
                <w:sz w:val="16"/>
              </w:rPr>
              <w:t xml:space="preserve">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5/17/2024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Reference is made to Exhibits 3.1 and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Common Stock Certificate</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CytomX Therapeutics, Inc. Amended and Restated 2015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CytomX Therapeutics, Inc. Amended and Restated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w:anchor="ctmx-ex10_3.htm">
              <w:r>
                <w:rPr>
                  <w:rStyle w:val="InternetLink"/>
                  <w:rFonts w:ascii="Times New Roman" w:hAnsi="Times New Roman"/>
                  <w:color w:val="0000FF"/>
                  <w:sz w:val="20"/>
                  <w:u w:val="single"/>
                </w:rPr>
                <w:t>Amendment No. 3 to the Collaboration and License Agreement effective as of May 16, 2026 by and between CytomX Therapeutics, Inc. and Regeneron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10.4+</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w:anchor="ctmx-ex10_4.htm">
              <w:r>
                <w:rPr>
                  <w:rStyle w:val="InternetLink"/>
                  <w:rFonts w:ascii="Times New Roman" w:hAnsi="Times New Roman"/>
                  <w:color w:val="0000FF"/>
                  <w:sz w:val="20"/>
                  <w:u w:val="single"/>
                </w:rPr>
                <w:t>Amendment No. 4 to the Collaboration and License Agreement ffective as of May 31, 2026 by and between CytomX Therapeutics, Inc. and Regeneron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w:anchor="ctmx-ex31_1.htm">
              <w:r>
                <w:rPr>
                  <w:rStyle w:val="InternetLink"/>
                  <w:rFonts w:ascii="Times New Roman" w:hAnsi="Times New Roman"/>
                  <w:color w:val="0000FF"/>
                  <w:sz w:val="20"/>
                  <w:u w:val="single"/>
                </w:rPr>
                <w:t>Certification of Principal Executive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w:anchor="ctmx-ex31_2.htm">
              <w:r>
                <w:rPr>
                  <w:rStyle w:val="InternetLink"/>
                  <w:rFonts w:ascii="Times New Roman" w:hAnsi="Times New Roman"/>
                  <w:color w:val="0000FF"/>
                  <w:sz w:val="20"/>
                  <w:u w:val="single"/>
                </w:rPr>
                <w:t>Certification of Principal Financial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w:anchor="ctmx-ex32_1.htm">
              <w:r>
                <w:rPr>
                  <w:rStyle w:val="InternetLink"/>
                  <w:rFonts w:ascii="Times New Roman" w:hAnsi="Times New Roman"/>
                  <w:color w:val="0000FF"/>
                  <w:sz w:val="20"/>
                  <w:u w:val="single"/>
                </w:rPr>
                <w:t>Certification of Chief Executive Officer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hyperlink w:anchor="ctmx-ex32_2.htm">
              <w:r>
                <w:rPr>
                  <w:rStyle w:val="InternetLink"/>
                  <w:rFonts w:ascii="Times New Roman" w:hAnsi="Times New Roman"/>
                  <w:color w:val="0000FF"/>
                  <w:sz w:val="20"/>
                  <w:u w:val="single"/>
                </w:rPr>
                <w:t>Certification of Chief Financial Officer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 Certain portions of this exhibit (indicated by “[***]”) have been omitted pursuant to Item 601(b)(10) of Regulation S-K.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7855" w:type="dxa"/>
        <w:jc w:val="left"/>
        <w:tblInd w:w="0" w:type="dxa"/>
        <w:tblLayout w:type="fixed"/>
        <w:tblCellMar>
          <w:top w:w="28" w:type="dxa"/>
          <w:left w:w="28" w:type="dxa"/>
          <w:bottom w:w="28" w:type="dxa"/>
          <w:right w:w="28" w:type="dxa"/>
        </w:tblCellMar>
      </w:tblPr>
      <w:tblGrid>
        <w:gridCol w:w="1846"/>
        <w:gridCol w:w="146"/>
        <w:gridCol w:w="406"/>
        <w:gridCol w:w="14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CytomX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A. McCarthy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Ogden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19" w:name="ctmx-ex10_3.htm"/>
      <w:bookmarkStart w:id="20" w:name="ksctmxex10_3"/>
      <w:bookmarkEnd w:id="19"/>
      <w:bookmarkEnd w:id="20"/>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10.3</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Certain identified information has been excluded from the exhibit because it is both (i) not material and (ii) may be competitively harmful if publicly disclosed.</w:t>
      </w:r>
    </w:p>
    <w:p>
      <w:pPr>
        <w:pStyle w:val="Heading1"/>
        <w:bidi w:val="0"/>
        <w:spacing w:before="81" w:after="283"/>
        <w:ind w:left="3773" w:right="4126" w:hanging="0"/>
        <w:jc w:val="center"/>
        <w:rPr>
          <w:rFonts w:ascii="Times New Roman" w:hAnsi="Times New Roman"/>
          <w:sz w:val="20"/>
        </w:rPr>
      </w:pPr>
      <w:r>
        <w:rPr>
          <w:rFonts w:ascii="Times New Roman" w:hAnsi="Times New Roman"/>
          <w:color w:val="000000"/>
          <w:sz w:val="22"/>
        </w:rPr>
        <w:t>Amendment</w:t>
      </w:r>
      <w:r>
        <w:rPr>
          <w:rFonts w:ascii="Times New Roman" w:hAnsi="Times New Roman"/>
          <w:color w:val="000000"/>
          <w:sz w:val="20"/>
        </w:rPr>
        <w:t xml:space="preserve"> </w:t>
      </w:r>
      <w:r>
        <w:rPr>
          <w:rFonts w:ascii="Times New Roman" w:hAnsi="Times New Roman"/>
          <w:color w:val="000000"/>
          <w:sz w:val="22"/>
        </w:rPr>
        <w:t>No.</w:t>
      </w:r>
      <w:r>
        <w:rPr>
          <w:rFonts w:ascii="Times New Roman" w:hAnsi="Times New Roman"/>
          <w:color w:val="000000"/>
          <w:sz w:val="20"/>
        </w:rPr>
        <w:t xml:space="preserve"> </w:t>
      </w:r>
      <w:r>
        <w:rPr>
          <w:rFonts w:ascii="Times New Roman" w:hAnsi="Times New Roman"/>
          <w:color w:val="000000"/>
          <w:sz w:val="22"/>
        </w:rPr>
        <w:t>3 to the</w:t>
      </w:r>
    </w:p>
    <w:p>
      <w:pPr>
        <w:pStyle w:val="TextBody"/>
        <w:bidi w:val="0"/>
        <w:spacing w:before="1" w:after="283"/>
        <w:ind w:left="0" w:right="358" w:hanging="0"/>
        <w:jc w:val="center"/>
        <w:rPr>
          <w:rFonts w:ascii="Times New Roman" w:hAnsi="Times New Roman"/>
          <w:sz w:val="20"/>
        </w:rPr>
      </w:pPr>
      <w:r>
        <w:rPr>
          <w:rFonts w:ascii="Times New Roman" w:hAnsi="Times New Roman"/>
          <w:b/>
          <w:color w:val="000000"/>
          <w:sz w:val="22"/>
        </w:rPr>
        <w:t>Collaboration</w:t>
      </w:r>
      <w:r>
        <w:rPr>
          <w:rFonts w:ascii="Times New Roman" w:hAnsi="Times New Roman"/>
          <w:color w:val="000000"/>
          <w:sz w:val="20"/>
        </w:rPr>
        <w:t xml:space="preserve"> </w:t>
      </w:r>
      <w:r>
        <w:rPr>
          <w:rFonts w:ascii="Times New Roman" w:hAnsi="Times New Roman"/>
          <w:b/>
          <w:color w:val="000000"/>
          <w:sz w:val="22"/>
        </w:rPr>
        <w:t>and</w:t>
      </w:r>
      <w:r>
        <w:rPr>
          <w:rFonts w:ascii="Times New Roman" w:hAnsi="Times New Roman"/>
          <w:color w:val="000000"/>
          <w:sz w:val="20"/>
        </w:rPr>
        <w:t xml:space="preserve"> </w:t>
      </w:r>
      <w:r>
        <w:rPr>
          <w:rFonts w:ascii="Times New Roman" w:hAnsi="Times New Roman"/>
          <w:b/>
          <w:color w:val="000000"/>
          <w:sz w:val="22"/>
        </w:rPr>
        <w:t>License</w:t>
      </w:r>
      <w:r>
        <w:rPr>
          <w:rFonts w:ascii="Times New Roman" w:hAnsi="Times New Roman"/>
          <w:color w:val="000000"/>
          <w:sz w:val="20"/>
        </w:rPr>
        <w:t xml:space="preserve"> </w:t>
      </w:r>
      <w:r>
        <w:rPr>
          <w:rFonts w:ascii="Times New Roman" w:hAnsi="Times New Roman"/>
          <w:b/>
          <w:color w:val="000000"/>
          <w:sz w:val="22"/>
        </w:rPr>
        <w:t>Agreement</w:t>
      </w:r>
    </w:p>
    <w:p>
      <w:pPr>
        <w:pStyle w:val="TextBody"/>
        <w:bidi w:val="0"/>
        <w:jc w:val="left"/>
        <w:rPr/>
      </w:pPr>
      <w:r>
        <w:rPr/>
        <w:t> </w:t>
      </w:r>
    </w:p>
    <w:p>
      <w:pPr>
        <w:pStyle w:val="TextBody"/>
        <w:bidi w:val="0"/>
        <w:ind w:left="0" w:right="353" w:hanging="0"/>
        <w:jc w:val="both"/>
        <w:rPr>
          <w:rFonts w:ascii="Times New Roman" w:hAnsi="Times New Roman"/>
          <w:sz w:val="20"/>
        </w:rPr>
      </w:pPr>
      <w:r>
        <w:rPr>
          <w:rFonts w:ascii="Times New Roman" w:hAnsi="Times New Roman"/>
          <w:color w:val="000000"/>
          <w:sz w:val="22"/>
        </w:rPr>
        <w:t>This Amendment No. 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to</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Collaboration</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License Agreement effective</w:t>
      </w:r>
      <w:r>
        <w:rPr>
          <w:rFonts w:ascii="Times New Roman" w:hAnsi="Times New Roman"/>
          <w:color w:val="000000"/>
          <w:sz w:val="20"/>
        </w:rPr>
        <w:t xml:space="preserve"> </w:t>
      </w:r>
      <w:r>
        <w:rPr>
          <w:rFonts w:ascii="Times New Roman" w:hAnsi="Times New Roman"/>
          <w:color w:val="000000"/>
          <w:sz w:val="22"/>
        </w:rPr>
        <w:t>November 16,</w:t>
      </w:r>
      <w:r>
        <w:rPr>
          <w:rFonts w:ascii="Times New Roman" w:hAnsi="Times New Roman"/>
          <w:color w:val="000000"/>
          <w:sz w:val="20"/>
        </w:rPr>
        <w:t xml:space="preserve"> </w:t>
      </w:r>
      <w:r>
        <w:rPr>
          <w:rFonts w:ascii="Times New Roman" w:hAnsi="Times New Roman"/>
          <w:color w:val="000000"/>
          <w:sz w:val="22"/>
        </w:rPr>
        <w:t>2022</w:t>
      </w:r>
      <w:r>
        <w:rPr>
          <w:rFonts w:ascii="Times New Roman" w:hAnsi="Times New Roman"/>
          <w:color w:val="000000"/>
          <w:sz w:val="20"/>
        </w:rPr>
        <w:t xml:space="preserve"> </w:t>
      </w:r>
      <w:r>
        <w:rPr>
          <w:rFonts w:ascii="Times New Roman" w:hAnsi="Times New Roman"/>
          <w:color w:val="000000"/>
          <w:sz w:val="22"/>
        </w:rPr>
        <w:t>as</w:t>
      </w:r>
      <w:r>
        <w:rPr>
          <w:rFonts w:ascii="Times New Roman" w:hAnsi="Times New Roman"/>
          <w:color w:val="000000"/>
          <w:sz w:val="20"/>
        </w:rPr>
        <w:t xml:space="preserve"> </w:t>
      </w:r>
      <w:r>
        <w:rPr>
          <w:rFonts w:ascii="Times New Roman" w:hAnsi="Times New Roman"/>
          <w:color w:val="000000"/>
          <w:sz w:val="22"/>
        </w:rPr>
        <w:t>amended</w:t>
      </w:r>
      <w:r>
        <w:rPr>
          <w:rFonts w:ascii="Times New Roman" w:hAnsi="Times New Roman"/>
          <w:color w:val="000000"/>
          <w:sz w:val="20"/>
        </w:rPr>
        <w:t xml:space="preserve"> </w:t>
      </w:r>
      <w:r>
        <w:rPr>
          <w:rFonts w:ascii="Times New Roman" w:hAnsi="Times New Roman"/>
          <w:color w:val="000000"/>
          <w:sz w:val="22"/>
        </w:rPr>
        <w:t>by</w:t>
      </w:r>
      <w:r>
        <w:rPr>
          <w:rFonts w:ascii="Times New Roman" w:hAnsi="Times New Roman"/>
          <w:color w:val="000000"/>
          <w:sz w:val="20"/>
        </w:rPr>
        <w:t xml:space="preserve"> </w:t>
      </w:r>
      <w:r>
        <w:rPr>
          <w:rFonts w:ascii="Times New Roman" w:hAnsi="Times New Roman"/>
          <w:color w:val="000000"/>
          <w:sz w:val="22"/>
        </w:rPr>
        <w:t>Amendment</w:t>
      </w:r>
      <w:r>
        <w:rPr>
          <w:rFonts w:ascii="Times New Roman" w:hAnsi="Times New Roman"/>
          <w:color w:val="000000"/>
          <w:sz w:val="20"/>
        </w:rPr>
        <w:t xml:space="preserve"> </w:t>
      </w:r>
      <w:r>
        <w:rPr>
          <w:rFonts w:ascii="Times New Roman" w:hAnsi="Times New Roman"/>
          <w:color w:val="000000"/>
          <w:sz w:val="22"/>
        </w:rPr>
        <w:t>No.</w:t>
      </w:r>
      <w:r>
        <w:rPr>
          <w:rFonts w:ascii="Times New Roman" w:hAnsi="Times New Roman"/>
          <w:color w:val="000000"/>
          <w:sz w:val="20"/>
        </w:rPr>
        <w:t xml:space="preserve"> </w:t>
      </w: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effective</w:t>
      </w:r>
      <w:r>
        <w:rPr>
          <w:rFonts w:ascii="Times New Roman" w:hAnsi="Times New Roman"/>
          <w:color w:val="000000"/>
          <w:sz w:val="20"/>
        </w:rPr>
        <w:t xml:space="preserve"> </w:t>
      </w:r>
      <w:r>
        <w:rPr>
          <w:rFonts w:ascii="Times New Roman" w:hAnsi="Times New Roman"/>
          <w:color w:val="000000"/>
          <w:sz w:val="22"/>
        </w:rPr>
        <w:t>June</w:t>
      </w:r>
      <w:r>
        <w:rPr>
          <w:rFonts w:ascii="Times New Roman" w:hAnsi="Times New Roman"/>
          <w:color w:val="000000"/>
          <w:sz w:val="20"/>
        </w:rPr>
        <w:t xml:space="preserve"> </w:t>
      </w:r>
      <w:r>
        <w:rPr>
          <w:rFonts w:ascii="Times New Roman" w:hAnsi="Times New Roman"/>
          <w:color w:val="000000"/>
          <w:sz w:val="22"/>
        </w:rPr>
        <w:t>28,</w:t>
      </w:r>
      <w:r>
        <w:rPr>
          <w:rFonts w:ascii="Times New Roman" w:hAnsi="Times New Roman"/>
          <w:color w:val="000000"/>
          <w:sz w:val="20"/>
        </w:rPr>
        <w:t xml:space="preserve"> </w:t>
      </w:r>
      <w:r>
        <w:rPr>
          <w:rFonts w:ascii="Times New Roman" w:hAnsi="Times New Roman"/>
          <w:color w:val="000000"/>
          <w:sz w:val="22"/>
        </w:rPr>
        <w:t>2024</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Amendment</w:t>
      </w:r>
      <w:r>
        <w:rPr>
          <w:rFonts w:ascii="Times New Roman" w:hAnsi="Times New Roman"/>
          <w:color w:val="000000"/>
          <w:sz w:val="20"/>
        </w:rPr>
        <w:t xml:space="preserve"> </w:t>
      </w:r>
      <w:r>
        <w:rPr>
          <w:rFonts w:ascii="Times New Roman" w:hAnsi="Times New Roman"/>
          <w:color w:val="000000"/>
          <w:sz w:val="22"/>
        </w:rPr>
        <w:t>No.</w:t>
      </w:r>
      <w:r>
        <w:rPr>
          <w:rFonts w:ascii="Times New Roman" w:hAnsi="Times New Roman"/>
          <w:color w:val="000000"/>
          <w:sz w:val="20"/>
        </w:rPr>
        <w:t xml:space="preserve"> </w:t>
      </w: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effective</w:t>
      </w:r>
      <w:r>
        <w:rPr>
          <w:rFonts w:ascii="Times New Roman" w:hAnsi="Times New Roman"/>
          <w:color w:val="000000"/>
          <w:sz w:val="20"/>
        </w:rPr>
        <w:t xml:space="preserve"> </w:t>
      </w:r>
      <w:r>
        <w:rPr>
          <w:rFonts w:ascii="Times New Roman" w:hAnsi="Times New Roman"/>
          <w:color w:val="000000"/>
          <w:sz w:val="22"/>
        </w:rPr>
        <w:t>October 7, 2025 (collectively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by and between CytomX Therapeutics, Inc., having an address at 151 Oyster Point Blvd., Suite 400, South San Francisco, California 94080, U.S.A. (“</w:t>
      </w:r>
      <w:r>
        <w:rPr>
          <w:rFonts w:ascii="Times New Roman" w:hAnsi="Times New Roman"/>
          <w:color w:val="000000"/>
          <w:sz w:val="22"/>
          <w:u w:val="single"/>
        </w:rPr>
        <w:t>CytomX</w:t>
      </w:r>
      <w:r>
        <w:rPr>
          <w:rFonts w:ascii="Times New Roman" w:hAnsi="Times New Roman"/>
          <w:color w:val="000000"/>
          <w:sz w:val="20"/>
        </w:rPr>
        <w:t>”</w:t>
      </w:r>
      <w:r>
        <w:rPr>
          <w:rFonts w:ascii="Times New Roman" w:hAnsi="Times New Roman"/>
          <w:color w:val="000000"/>
          <w:sz w:val="22"/>
        </w:rPr>
        <w:t>), and Regeneron Pharmaceuticals, Inc., a New York company with a business address located at 777 Old Saw Mill River Road, Tarrytown, NY 10591, U.S.A. (“</w:t>
      </w:r>
      <w:r>
        <w:rPr>
          <w:rFonts w:ascii="Times New Roman" w:hAnsi="Times New Roman"/>
          <w:color w:val="000000"/>
          <w:sz w:val="22"/>
          <w:u w:val="single"/>
        </w:rPr>
        <w:t>Regeneron</w:t>
      </w:r>
      <w:r>
        <w:rPr>
          <w:rFonts w:ascii="Times New Roman" w:hAnsi="Times New Roman"/>
          <w:color w:val="000000"/>
          <w:sz w:val="20"/>
        </w:rPr>
        <w:t>”</w:t>
      </w:r>
      <w:r>
        <w:rPr>
          <w:rFonts w:ascii="Times New Roman" w:hAnsi="Times New Roman"/>
          <w:color w:val="000000"/>
          <w:sz w:val="22"/>
        </w:rPr>
        <w:t>) shall be effective as of May 16, 2026 (“</w:t>
      </w:r>
      <w:r>
        <w:rPr>
          <w:rFonts w:ascii="Times New Roman" w:hAnsi="Times New Roman"/>
          <w:color w:val="000000"/>
          <w:sz w:val="22"/>
          <w:u w:val="single"/>
        </w:rPr>
        <w:t>Amendment No. 3 Effective Date</w:t>
      </w:r>
      <w:r>
        <w:rPr>
          <w:rFonts w:ascii="Times New Roman" w:hAnsi="Times New Roman"/>
          <w:color w:val="000000"/>
          <w:sz w:val="20"/>
        </w:rPr>
        <w:t>”</w:t>
      </w:r>
      <w:r>
        <w:rPr>
          <w:rFonts w:ascii="Times New Roman" w:hAnsi="Times New Roman"/>
          <w:color w:val="000000"/>
          <w:sz w:val="22"/>
        </w:rPr>
        <w:t>). All capitalized terms not otherwise defined herein shall have the meanings ascribed to such terms in the Agreement.</w:t>
      </w:r>
    </w:p>
    <w:p>
      <w:pPr>
        <w:pStyle w:val="TextBody"/>
        <w:bidi w:val="0"/>
        <w:spacing w:before="252" w:after="283"/>
        <w:ind w:left="0" w:right="358" w:hanging="0"/>
        <w:jc w:val="both"/>
        <w:rPr>
          <w:rFonts w:ascii="Times New Roman" w:hAnsi="Times New Roman"/>
          <w:color w:val="000000"/>
          <w:sz w:val="22"/>
        </w:rPr>
      </w:pPr>
      <w:r>
        <w:rPr>
          <w:rFonts w:ascii="Times New Roman" w:hAnsi="Times New Roman"/>
          <w:color w:val="000000"/>
          <w:sz w:val="22"/>
        </w:rPr>
        <w:t>WHEREAS, Regeneron and CytomX wish to extend the period within which Regeneron may nominate certain Collaboration Programs;</w:t>
      </w:r>
    </w:p>
    <w:p>
      <w:pPr>
        <w:pStyle w:val="TextBody"/>
        <w:bidi w:val="0"/>
        <w:spacing w:before="2" w:after="283"/>
        <w:jc w:val="left"/>
        <w:rPr/>
      </w:pPr>
      <w:r>
        <w:rPr/>
        <w:t> </w:t>
      </w:r>
    </w:p>
    <w:p>
      <w:pPr>
        <w:pStyle w:val="TextBody"/>
        <w:bidi w:val="0"/>
        <w:ind w:left="0" w:right="360" w:hanging="0"/>
        <w:jc w:val="both"/>
        <w:rPr>
          <w:rFonts w:ascii="Times New Roman" w:hAnsi="Times New Roman"/>
          <w:sz w:val="20"/>
        </w:rPr>
      </w:pPr>
      <w:r>
        <w:rPr>
          <w:rFonts w:ascii="Times New Roman" w:hAnsi="Times New Roman"/>
          <w:color w:val="000000"/>
          <w:sz w:val="22"/>
        </w:rPr>
        <w:t>NOW THEREFORE, in</w:t>
      </w:r>
      <w:r>
        <w:rPr>
          <w:rFonts w:ascii="Times New Roman" w:hAnsi="Times New Roman"/>
          <w:color w:val="000000"/>
          <w:sz w:val="20"/>
        </w:rPr>
        <w:t xml:space="preserve"> </w:t>
      </w:r>
      <w:r>
        <w:rPr>
          <w:rFonts w:ascii="Times New Roman" w:hAnsi="Times New Roman"/>
          <w:color w:val="000000"/>
          <w:sz w:val="22"/>
        </w:rPr>
        <w:t>consideration of the</w:t>
      </w:r>
      <w:r>
        <w:rPr>
          <w:rFonts w:ascii="Times New Roman" w:hAnsi="Times New Roman"/>
          <w:color w:val="000000"/>
          <w:sz w:val="20"/>
        </w:rPr>
        <w:t xml:space="preserve"> </w:t>
      </w:r>
      <w:r>
        <w:rPr>
          <w:rFonts w:ascii="Times New Roman" w:hAnsi="Times New Roman"/>
          <w:color w:val="000000"/>
          <w:sz w:val="22"/>
        </w:rPr>
        <w:t>foregoing and</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agreements</w:t>
      </w:r>
      <w:r>
        <w:rPr>
          <w:rFonts w:ascii="Times New Roman" w:hAnsi="Times New Roman"/>
          <w:color w:val="000000"/>
          <w:sz w:val="20"/>
        </w:rPr>
        <w:t xml:space="preserve"> </w:t>
      </w:r>
      <w:r>
        <w:rPr>
          <w:rFonts w:ascii="Times New Roman" w:hAnsi="Times New Roman"/>
          <w:color w:val="000000"/>
          <w:sz w:val="22"/>
        </w:rPr>
        <w:t>below, and</w:t>
      </w:r>
      <w:r>
        <w:rPr>
          <w:rFonts w:ascii="Times New Roman" w:hAnsi="Times New Roman"/>
          <w:color w:val="000000"/>
          <w:sz w:val="20"/>
        </w:rPr>
        <w:t xml:space="preserve"> </w:t>
      </w:r>
      <w:r>
        <w:rPr>
          <w:rFonts w:ascii="Times New Roman" w:hAnsi="Times New Roman"/>
          <w:color w:val="000000"/>
          <w:sz w:val="22"/>
        </w:rPr>
        <w:t>for other good</w:t>
      </w:r>
      <w:r>
        <w:rPr>
          <w:rFonts w:ascii="Times New Roman" w:hAnsi="Times New Roman"/>
          <w:color w:val="000000"/>
          <w:sz w:val="20"/>
        </w:rPr>
        <w:t xml:space="preserve"> </w:t>
      </w:r>
      <w:r>
        <w:rPr>
          <w:rFonts w:ascii="Times New Roman" w:hAnsi="Times New Roman"/>
          <w:color w:val="000000"/>
          <w:sz w:val="22"/>
        </w:rPr>
        <w:t>and valuable consideration, the receipt and sufficiency of which are hereby acknowledged, the Parties hereby agree as follows:</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52" w:after="283"/>
        <w:jc w:val="left"/>
        <w:rPr/>
      </w:pPr>
      <w:r>
        <w:rPr>
          <w:rFonts w:ascii="Times New Roman" w:hAnsi="Times New Roman"/>
          <w:color w:val="000000"/>
          <w:sz w:val="22"/>
        </w:rPr>
        <w:t>Section</w:t>
      </w:r>
      <w:r>
        <w:rPr>
          <w:color w:val="000000"/>
        </w:rPr>
        <w:t xml:space="preserve"> </w:t>
      </w:r>
      <w:r>
        <w:rPr>
          <w:rFonts w:ascii="Times New Roman" w:hAnsi="Times New Roman"/>
          <w:color w:val="000000"/>
          <w:sz w:val="22"/>
        </w:rPr>
        <w:t>1.82</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amended</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follows:</w:t>
      </w:r>
    </w:p>
    <w:p>
      <w:pPr>
        <w:pStyle w:val="TextBody"/>
        <w:bidi w:val="0"/>
        <w:jc w:val="left"/>
        <w:rPr/>
      </w:pPr>
      <w:r>
        <w:rPr/>
        <w:t> </w:t>
      </w:r>
    </w:p>
    <w:p>
      <w:pPr>
        <w:pStyle w:val="TextBody"/>
        <w:bidi w:val="0"/>
        <w:ind w:left="720" w:right="0" w:hanging="0"/>
        <w:jc w:val="left"/>
        <w:rPr/>
      </w:pPr>
      <w:r>
        <w:rPr>
          <w:color w:val="000000"/>
        </w:rPr>
        <w:t>“</w:t>
      </w:r>
      <w:r>
        <w:rPr>
          <w:rFonts w:ascii="Times New Roman" w:hAnsi="Times New Roman"/>
          <w:b/>
          <w:color w:val="000000"/>
          <w:sz w:val="22"/>
        </w:rPr>
        <w:t>Section</w:t>
      </w:r>
      <w:r>
        <w:rPr>
          <w:rFonts w:ascii="Times New Roman" w:hAnsi="Times New Roman"/>
          <w:color w:val="000000"/>
          <w:sz w:val="20"/>
        </w:rPr>
        <w:t xml:space="preserve"> </w:t>
      </w:r>
      <w:r>
        <w:rPr>
          <w:rFonts w:ascii="Times New Roman" w:hAnsi="Times New Roman"/>
          <w:b/>
          <w:color w:val="000000"/>
          <w:sz w:val="22"/>
        </w:rPr>
        <w:t>1.82</w:t>
      </w:r>
      <w:r>
        <w:rPr>
          <w:rFonts w:ascii="Times New Roman" w:hAnsi="Times New Roman"/>
          <w:color w:val="000000"/>
          <w:sz w:val="20"/>
        </w:rPr>
        <w:t xml:space="preserve"> “</w:t>
      </w:r>
      <w:r>
        <w:rPr>
          <w:rFonts w:ascii="Times New Roman" w:hAnsi="Times New Roman"/>
          <w:b/>
          <w:color w:val="000000"/>
          <w:sz w:val="22"/>
        </w:rPr>
        <w:t>Program Selection</w:t>
      </w:r>
      <w:r>
        <w:rPr>
          <w:rFonts w:ascii="Times New Roman" w:hAnsi="Times New Roman"/>
          <w:color w:val="000000"/>
          <w:sz w:val="20"/>
        </w:rPr>
        <w:t xml:space="preserve"> </w:t>
      </w:r>
      <w:r>
        <w:rPr>
          <w:rFonts w:ascii="Times New Roman" w:hAnsi="Times New Roman"/>
          <w:b/>
          <w:color w:val="000000"/>
          <w:sz w:val="22"/>
        </w:rPr>
        <w:t>Period</w:t>
      </w:r>
      <w:r>
        <w:rPr>
          <w:rFonts w:ascii="Times New Roman" w:hAnsi="Times New Roman"/>
          <w:color w:val="000000"/>
          <w:sz w:val="20"/>
        </w:rPr>
        <w:t xml:space="preserve">” </w:t>
      </w:r>
      <w:r>
        <w:rPr>
          <w:rFonts w:ascii="Times New Roman" w:hAnsi="Times New Roman"/>
          <w:color w:val="000000"/>
          <w:sz w:val="22"/>
        </w:rPr>
        <w:t>means a period of [***] commencing upon the Effective Date of the Agreement, and ending on [***].”</w:t>
      </w:r>
    </w:p>
    <w:p>
      <w:pPr>
        <w:pStyle w:val="TextBody"/>
        <w:bidi w:val="0"/>
        <w:spacing w:before="253" w:after="283"/>
        <w:ind w:left="0" w:right="360" w:hanging="0"/>
        <w:jc w:val="both"/>
        <w:rPr>
          <w:rFonts w:ascii="Times New Roman" w:hAnsi="Times New Roman"/>
          <w:color w:val="000000"/>
          <w:sz w:val="22"/>
        </w:rPr>
      </w:pPr>
      <w:r>
        <w:rPr>
          <w:rFonts w:ascii="Times New Roman" w:hAnsi="Times New Roman"/>
          <w:color w:val="000000"/>
          <w:sz w:val="22"/>
        </w:rPr>
        <w:t>2.</w:t>
      </w:r>
    </w:p>
    <w:p>
      <w:pPr>
        <w:pStyle w:val="TextBody"/>
        <w:bidi w:val="0"/>
        <w:spacing w:before="253" w:after="283"/>
        <w:jc w:val="both"/>
        <w:rPr/>
      </w:pPr>
      <w:r>
        <w:rPr>
          <w:rFonts w:ascii="Times New Roman" w:hAnsi="Times New Roman"/>
          <w:color w:val="000000"/>
          <w:sz w:val="22"/>
        </w:rPr>
        <w:t>Except as specifically amended herein, all other terms of the Agreement shall remain in full force and effect. The Parties may execute this Amendment in counterparts, each of which is deemed an original, but all of which together constitute one and the same agreement.</w:t>
      </w:r>
      <w:r>
        <w:rPr>
          <w:color w:val="000000"/>
        </w:rPr>
        <w:t xml:space="preserve"> </w:t>
      </w:r>
      <w:r>
        <w:rPr>
          <w:rFonts w:ascii="Times New Roman" w:hAnsi="Times New Roman"/>
          <w:color w:val="000000"/>
          <w:sz w:val="22"/>
        </w:rPr>
        <w:t>The Amendment may be executed or delivered electronically or by facsimile transmission, and the Parties hereby agree that any electronic, digital, or facsimile</w:t>
      </w:r>
      <w:r>
        <w:rPr>
          <w:color w:val="000000"/>
        </w:rPr>
        <w:t xml:space="preserve"> </w:t>
      </w:r>
      <w:r>
        <w:rPr>
          <w:rFonts w:ascii="Times New Roman" w:hAnsi="Times New Roman"/>
          <w:color w:val="000000"/>
          <w:sz w:val="22"/>
        </w:rPr>
        <w:t>signatures hereto are legal, valid and enforceable as originals.</w:t>
      </w:r>
    </w:p>
    <w:p>
      <w:pPr>
        <w:pStyle w:val="TextBody"/>
        <w:bidi w:val="0"/>
        <w:jc w:val="left"/>
        <w:rPr/>
      </w:pPr>
      <w:r>
        <w:rPr/>
        <w:t> </w:t>
      </w:r>
    </w:p>
    <w:p>
      <w:pPr>
        <w:pStyle w:val="TextBody"/>
        <w:bidi w:val="0"/>
        <w:ind w:left="0" w:right="354" w:hanging="0"/>
        <w:jc w:val="both"/>
        <w:rPr>
          <w:rFonts w:ascii="Times New Roman" w:hAnsi="Times New Roman"/>
          <w:sz w:val="20"/>
        </w:rPr>
      </w:pPr>
      <w:r>
        <w:rPr>
          <w:rFonts w:ascii="Times New Roman" w:hAnsi="Times New Roman"/>
          <w:color w:val="000000"/>
          <w:sz w:val="22"/>
        </w:rPr>
        <w:t>IN WITNESS WHEREOF, the Parties hereto</w:t>
      </w:r>
      <w:r>
        <w:rPr>
          <w:rFonts w:ascii="Times New Roman" w:hAnsi="Times New Roman"/>
          <w:color w:val="000000"/>
          <w:sz w:val="20"/>
        </w:rPr>
        <w:t xml:space="preserve"> </w:t>
      </w:r>
      <w:r>
        <w:rPr>
          <w:rFonts w:ascii="Times New Roman" w:hAnsi="Times New Roman"/>
          <w:color w:val="000000"/>
          <w:sz w:val="22"/>
        </w:rPr>
        <w:t>have executed</w:t>
      </w:r>
      <w:r>
        <w:rPr>
          <w:rFonts w:ascii="Times New Roman" w:hAnsi="Times New Roman"/>
          <w:color w:val="000000"/>
          <w:sz w:val="20"/>
        </w:rPr>
        <w:t xml:space="preserve"> </w:t>
      </w:r>
      <w:r>
        <w:rPr>
          <w:rFonts w:ascii="Times New Roman" w:hAnsi="Times New Roman"/>
          <w:color w:val="000000"/>
          <w:sz w:val="22"/>
        </w:rPr>
        <w:t>this Amendment No.</w:t>
      </w:r>
      <w:r>
        <w:rPr>
          <w:rFonts w:ascii="Times New Roman" w:hAnsi="Times New Roman"/>
          <w:color w:val="000000"/>
          <w:sz w:val="20"/>
        </w:rPr>
        <w:t xml:space="preserve"> </w:t>
      </w:r>
      <w:r>
        <w:rPr>
          <w:rFonts w:ascii="Times New Roman" w:hAnsi="Times New Roman"/>
          <w:color w:val="000000"/>
          <w:sz w:val="22"/>
        </w:rPr>
        <w:t>3 as of the</w:t>
      </w:r>
      <w:r>
        <w:rPr>
          <w:rFonts w:ascii="Times New Roman" w:hAnsi="Times New Roman"/>
          <w:color w:val="000000"/>
          <w:sz w:val="20"/>
        </w:rPr>
        <w:t xml:space="preserve"> </w:t>
      </w:r>
      <w:r>
        <w:rPr>
          <w:rFonts w:ascii="Times New Roman" w:hAnsi="Times New Roman"/>
          <w:color w:val="000000"/>
          <w:sz w:val="22"/>
        </w:rPr>
        <w:t>Amendment No. 3 Effective Date.</w:t>
      </w:r>
    </w:p>
    <w:p>
      <w:pPr>
        <w:pStyle w:val="TextBody"/>
        <w:bidi w:val="0"/>
        <w:ind w:left="0" w:right="354" w:hanging="0"/>
        <w:jc w:val="both"/>
        <w:rPr/>
      </w:pPr>
      <w:r>
        <w:rPr/>
        <w:t> </w:t>
      </w:r>
    </w:p>
    <w:tbl>
      <w:tblPr>
        <w:tblW w:w="9410" w:type="dxa"/>
        <w:jc w:val="left"/>
        <w:tblInd w:w="0" w:type="dxa"/>
        <w:tblLayout w:type="fixed"/>
        <w:tblCellMar>
          <w:top w:w="28" w:type="dxa"/>
          <w:left w:w="28" w:type="dxa"/>
          <w:bottom w:w="28" w:type="dxa"/>
          <w:right w:w="28" w:type="dxa"/>
        </w:tblCellMar>
      </w:tblPr>
      <w:tblGrid>
        <w:gridCol w:w="4699"/>
        <w:gridCol w:w="4711"/>
      </w:tblGrid>
      <w:tr>
        <w:trPr/>
        <w:tc>
          <w:tcPr>
            <w:tcW w:w="4699"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4699"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Regeneron Pharmaceuticals, Inc.</w:t>
            </w:r>
          </w:p>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b/>
                <w:color w:val="000000"/>
                <w:sz w:val="24"/>
              </w:rPr>
            </w:pPr>
            <w:r>
              <w:rPr>
                <w:rFonts w:ascii="Times New Roman" w:hAnsi="Times New Roman"/>
                <w:b/>
                <w:color w:val="000000"/>
                <w:sz w:val="24"/>
              </w:rPr>
              <w:t>CytomX Therapeutics, Inc.</w:t>
            </w:r>
          </w:p>
        </w:tc>
      </w:tr>
      <w:tr>
        <w:trPr/>
        <w:tc>
          <w:tcPr>
            <w:tcW w:w="4699" w:type="dxa"/>
            <w:tcBorders/>
            <w:tcMar>
              <w:top w:w="0" w:type="dxa"/>
              <w:left w:w="0" w:type="dxa"/>
              <w:bottom w:w="0" w:type="dxa"/>
              <w:right w:w="0" w:type="dxa"/>
            </w:tcMar>
            <w:vAlign w:val="center"/>
          </w:tcPr>
          <w:p>
            <w:pPr>
              <w:pStyle w:val="TableContents"/>
              <w:bidi w:val="0"/>
              <w:spacing w:before="92" w:after="283"/>
              <w:ind w:left="108" w:right="0" w:firstLine="108"/>
              <w:jc w:val="left"/>
              <w:rPr>
                <w:rFonts w:ascii="Times New Roman" w:hAnsi="Times New Roman"/>
                <w:color w:val="000000"/>
                <w:sz w:val="22"/>
              </w:rPr>
            </w:pPr>
            <w:r>
              <w:rPr>
                <w:rFonts w:ascii="Times New Roman" w:hAnsi="Times New Roman"/>
                <w:color w:val="000000"/>
                <w:sz w:val="22"/>
              </w:rPr>
              <w:t>By: /s/ Kerry K. Reinertsen</w:t>
            </w:r>
          </w:p>
          <w:p>
            <w:pPr>
              <w:pStyle w:val="TableContents"/>
              <w:bidi w:val="0"/>
              <w:spacing w:before="2" w:after="283"/>
              <w:ind w:left="108" w:right="0" w:firstLine="108"/>
              <w:jc w:val="left"/>
              <w:rPr>
                <w:rFonts w:ascii="Times New Roman" w:hAnsi="Times New Roman"/>
                <w:color w:val="000000"/>
                <w:sz w:val="22"/>
              </w:rPr>
            </w:pPr>
            <w:r>
              <w:rPr>
                <w:rFonts w:ascii="Times New Roman" w:hAnsi="Times New Roman"/>
                <w:color w:val="000000"/>
                <w:sz w:val="22"/>
              </w:rPr>
              <w:t>Name: Kerry K. Reinertsen, Ph.D.</w:t>
            </w:r>
          </w:p>
          <w:p>
            <w:pPr>
              <w:pStyle w:val="TableContents"/>
              <w:bidi w:val="0"/>
              <w:ind w:left="108" w:right="0" w:firstLine="108"/>
              <w:jc w:val="left"/>
              <w:rPr>
                <w:rFonts w:ascii="Times New Roman" w:hAnsi="Times New Roman"/>
                <w:color w:val="000000"/>
                <w:sz w:val="22"/>
              </w:rPr>
            </w:pPr>
            <w:r>
              <w:rPr>
                <w:rFonts w:ascii="Times New Roman" w:hAnsi="Times New Roman"/>
                <w:color w:val="000000"/>
                <w:sz w:val="22"/>
              </w:rPr>
              <w:t xml:space="preserve">Title: Senior Vice President, Strategic Alliances </w:t>
            </w:r>
          </w:p>
          <w:p>
            <w:pPr>
              <w:pStyle w:val="TableContents"/>
              <w:bidi w:val="0"/>
              <w:ind w:left="108" w:right="0" w:firstLine="108"/>
              <w:jc w:val="left"/>
              <w:rPr>
                <w:rFonts w:ascii="Times New Roman" w:hAnsi="Times New Roman"/>
                <w:color w:val="000000"/>
                <w:sz w:val="22"/>
              </w:rPr>
            </w:pPr>
            <w:r>
              <w:rPr>
                <w:rFonts w:ascii="Times New Roman" w:hAnsi="Times New Roman"/>
                <w:color w:val="000000"/>
                <w:sz w:val="22"/>
              </w:rPr>
              <w:t>Date: May 15, 2026</w:t>
            </w:r>
          </w:p>
          <w:p>
            <w:pPr>
              <w:pStyle w:val="TableContents"/>
              <w:bidi w:val="0"/>
              <w:spacing w:before="0" w:after="283"/>
              <w:ind w:left="0" w:right="0" w:firstLine="108"/>
              <w:jc w:val="left"/>
              <w:rPr/>
            </w:pPr>
            <w:r>
              <w:rPr/>
              <w:t> </w:t>
            </w:r>
          </w:p>
        </w:tc>
        <w:tc>
          <w:tcPr>
            <w:tcW w:w="47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By: /s/ Leslie Robbins</w:t>
            </w:r>
          </w:p>
          <w:p>
            <w:pPr>
              <w:pStyle w:val="TableContents"/>
              <w:bidi w:val="0"/>
              <w:jc w:val="left"/>
              <w:rPr>
                <w:rFonts w:ascii="Times New Roman" w:hAnsi="Times New Roman"/>
                <w:color w:val="000000"/>
                <w:sz w:val="22"/>
              </w:rPr>
            </w:pPr>
            <w:r>
              <w:rPr>
                <w:rFonts w:ascii="Times New Roman" w:hAnsi="Times New Roman"/>
                <w:color w:val="000000"/>
                <w:sz w:val="22"/>
              </w:rPr>
              <w:t>Name: Leslie J.B. Robbins</w:t>
            </w:r>
          </w:p>
          <w:p>
            <w:pPr>
              <w:pStyle w:val="TableContents"/>
              <w:bidi w:val="0"/>
              <w:jc w:val="left"/>
              <w:rPr>
                <w:rFonts w:ascii="Times New Roman" w:hAnsi="Times New Roman"/>
                <w:color w:val="000000"/>
                <w:sz w:val="22"/>
              </w:rPr>
            </w:pPr>
            <w:r>
              <w:rPr>
                <w:rFonts w:ascii="Times New Roman" w:hAnsi="Times New Roman"/>
                <w:color w:val="000000"/>
                <w:sz w:val="22"/>
              </w:rPr>
              <w:t>Title: Senior Vice President, Intellectual Property</w:t>
            </w:r>
          </w:p>
          <w:p>
            <w:pPr>
              <w:pStyle w:val="TableContents"/>
              <w:bidi w:val="0"/>
              <w:jc w:val="left"/>
              <w:rPr>
                <w:rFonts w:ascii="Times New Roman" w:hAnsi="Times New Roman"/>
                <w:color w:val="000000"/>
                <w:sz w:val="22"/>
              </w:rPr>
            </w:pPr>
            <w:r>
              <w:rPr>
                <w:rFonts w:ascii="Times New Roman" w:hAnsi="Times New Roman"/>
                <w:color w:val="000000"/>
                <w:sz w:val="22"/>
              </w:rPr>
              <w:t>Date: May 15, 2026</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ctmx-ex10_4.htm"/>
      <w:bookmarkStart w:id="22" w:name="ksctmxex10_4"/>
      <w:bookmarkEnd w:id="21"/>
      <w:bookmarkEnd w:id="22"/>
      <w:r>
        <w:rPr>
          <w:rFonts w:ascii="Times New Roman" w:hAnsi="Times New Roman"/>
          <w:b/>
          <w:color w:val="000000"/>
          <w:sz w:val="24"/>
        </w:rPr>
        <w:t>Exhibit 10.4</w:t>
      </w:r>
      <w:r>
        <w:br w:type="page"/>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Certain identified information has been excluded from the exhibit because it is both (i) not material and (ii) may be competitively harmful if publicly disclosed.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No. 4</w:t>
      </w:r>
    </w:p>
    <w:p>
      <w:pPr>
        <w:pStyle w:val="TextBody"/>
        <w:bidi w:val="0"/>
        <w:jc w:val="center"/>
        <w:rPr>
          <w:rFonts w:ascii="Times New Roman" w:hAnsi="Times New Roman"/>
          <w:b/>
          <w:color w:val="000000"/>
          <w:sz w:val="24"/>
        </w:rPr>
      </w:pPr>
      <w:r>
        <w:rPr>
          <w:rFonts w:ascii="Times New Roman" w:hAnsi="Times New Roman"/>
          <w:b/>
          <w:color w:val="000000"/>
          <w:sz w:val="24"/>
        </w:rPr>
        <w:t>to the</w:t>
      </w:r>
    </w:p>
    <w:p>
      <w:pPr>
        <w:pStyle w:val="TextBody"/>
        <w:bidi w:val="0"/>
        <w:jc w:val="center"/>
        <w:rPr>
          <w:rFonts w:ascii="Times New Roman" w:hAnsi="Times New Roman"/>
          <w:b/>
          <w:color w:val="000000"/>
          <w:sz w:val="24"/>
        </w:rPr>
      </w:pPr>
      <w:r>
        <w:rPr>
          <w:rFonts w:ascii="Times New Roman" w:hAnsi="Times New Roman"/>
          <w:b/>
          <w:color w:val="000000"/>
          <w:sz w:val="24"/>
        </w:rPr>
        <w:t>Collaboration and License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Amendment No. 4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to the Collaboration and License Agreement effective November 16, 2022 as amended by Amendment No. 1 effective June 28, 2024, Amendment No. 2 effective October 7, 2025, and Amendment No. 3 effective May 16, 2026 (collectively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between CytomX Therapeutics, Inc., having an address at 151 Oyster Point Blvd., Suite 400, South San Francisco, California 94080, U.S.A. (“</w:t>
      </w:r>
      <w:r>
        <w:rPr>
          <w:rFonts w:ascii="Times New Roman" w:hAnsi="Times New Roman"/>
          <w:color w:val="000000"/>
          <w:sz w:val="24"/>
          <w:u w:val="single"/>
        </w:rPr>
        <w:t>CytomX</w:t>
      </w:r>
      <w:r>
        <w:rPr>
          <w:rFonts w:ascii="Times New Roman" w:hAnsi="Times New Roman"/>
          <w:color w:val="000000"/>
          <w:sz w:val="20"/>
        </w:rPr>
        <w:t>”</w:t>
      </w:r>
      <w:r>
        <w:rPr>
          <w:rFonts w:ascii="Times New Roman" w:hAnsi="Times New Roman"/>
          <w:color w:val="000000"/>
          <w:sz w:val="24"/>
        </w:rPr>
        <w:t>), and Regeneron Pharmaceuticals, Inc., a New York company with a business address located at 777 Old Saw Mill River Road, Tarrytown, NY 10591, U.S.A. (“</w:t>
      </w:r>
      <w:r>
        <w:rPr>
          <w:rFonts w:ascii="Times New Roman" w:hAnsi="Times New Roman"/>
          <w:color w:val="000000"/>
          <w:sz w:val="24"/>
          <w:u w:val="single"/>
        </w:rPr>
        <w:t>Regeneron</w:t>
      </w:r>
      <w:r>
        <w:rPr>
          <w:rFonts w:ascii="Times New Roman" w:hAnsi="Times New Roman"/>
          <w:color w:val="000000"/>
          <w:sz w:val="20"/>
        </w:rPr>
        <w:t>”</w:t>
      </w:r>
      <w:r>
        <w:rPr>
          <w:rFonts w:ascii="Times New Roman" w:hAnsi="Times New Roman"/>
          <w:color w:val="000000"/>
          <w:sz w:val="24"/>
        </w:rPr>
        <w:t>) shall be effective as of May 31, 2026 (“</w:t>
      </w:r>
      <w:r>
        <w:rPr>
          <w:rFonts w:ascii="Times New Roman" w:hAnsi="Times New Roman"/>
          <w:color w:val="000000"/>
          <w:sz w:val="24"/>
          <w:u w:val="single"/>
        </w:rPr>
        <w:t>Amendment No. 4 Effective Date</w:t>
      </w:r>
      <w:r>
        <w:rPr>
          <w:rFonts w:ascii="Times New Roman" w:hAnsi="Times New Roman"/>
          <w:color w:val="000000"/>
          <w:sz w:val="20"/>
        </w:rPr>
        <w:t>”</w:t>
      </w:r>
      <w:r>
        <w:rPr>
          <w:rFonts w:ascii="Times New Roman" w:hAnsi="Times New Roman"/>
          <w:color w:val="000000"/>
          <w:sz w:val="24"/>
        </w:rPr>
        <w:t>) IF DOCVARIABLE main_contracting_party_type \* CHARFORMAT Legal entity = "Physical person" " DOCVARIABLE main_contracting_party_title \* CHARFORMAT Contracting Party Title DOCVARIABLE main_contracting_party_first_name \* CHARFORMAT Contracting party first name DOCVARIABLE main_contracting_party_last_name \* CHARFORMAT Contracting party last name" \* CHARFORMAT. All capitalized terms not otherwise defined herein shall have the meanings ascribed to such terms in the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Regeneron and CytomX wish to extend the period within which Regeneron may nominate certain Collaboration Programs;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Regeneron and CytomX wish to add additional Collaboration Programs to the Agreement.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foregoing and the agreements below, and for other good and valuable consideration, the receipt and sufficiency of which are hereby acknowledged, the Parties hereby agree as follows: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Section 1.82 of the Agreement shall be amended as follows:</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 xml:space="preserve">Section 1.82 </w:t>
      </w:r>
      <w:r>
        <w:rPr>
          <w:rFonts w:ascii="Times New Roman" w:hAnsi="Times New Roman"/>
          <w:color w:val="000000"/>
          <w:sz w:val="20"/>
        </w:rPr>
        <w:t>“</w:t>
      </w:r>
      <w:r>
        <w:rPr>
          <w:rFonts w:ascii="Times New Roman" w:hAnsi="Times New Roman"/>
          <w:b/>
          <w:color w:val="000000"/>
          <w:sz w:val="24"/>
        </w:rPr>
        <w:t>Program Selection Period</w:t>
      </w:r>
      <w:r>
        <w:rPr>
          <w:rFonts w:ascii="Times New Roman" w:hAnsi="Times New Roman"/>
          <w:color w:val="000000"/>
          <w:sz w:val="20"/>
        </w:rPr>
        <w:t xml:space="preserve">” </w:t>
      </w:r>
      <w:r>
        <w:rPr>
          <w:rFonts w:ascii="Times New Roman" w:hAnsi="Times New Roman"/>
          <w:color w:val="000000"/>
          <w:sz w:val="24"/>
        </w:rPr>
        <w:t>means a period of [***] commencing upon the Effective Date of the Agreement, and ending on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Section 2.1 of the Agreement shall be amended as follows:</w:t>
      </w:r>
    </w:p>
    <w:p>
      <w:pPr>
        <w:pStyle w:val="TextBody"/>
        <w:bidi w:val="0"/>
        <w:jc w:val="both"/>
        <w:rPr/>
      </w:pPr>
      <w:r>
        <w:rPr/>
        <w:t> </w:t>
      </w:r>
    </w:p>
    <w:p>
      <w:pPr>
        <w:pStyle w:val="TextBody"/>
        <w:bidi w:val="0"/>
        <w:jc w:val="left"/>
        <w:rPr/>
      </w:pPr>
      <w:r>
        <w:rPr>
          <w:color w:val="000000"/>
        </w:rPr>
        <w:t>“</w:t>
      </w:r>
      <w:r>
        <w:rPr>
          <w:rFonts w:ascii="Times New Roman" w:hAnsi="Times New Roman"/>
          <w:b/>
          <w:color w:val="000000"/>
          <w:sz w:val="24"/>
        </w:rPr>
        <w:t xml:space="preserve">Section 2.1 </w:t>
      </w:r>
      <w:r>
        <w:rPr>
          <w:rFonts w:ascii="Times New Roman" w:hAnsi="Times New Roman"/>
          <w:b/>
          <w:color w:val="000000"/>
          <w:sz w:val="24"/>
          <w:u w:val="single"/>
        </w:rPr>
        <w:t>Collaboration Overview.</w:t>
      </w:r>
      <w:r>
        <w:rPr>
          <w:rFonts w:ascii="Times New Roman" w:hAnsi="Times New Roman"/>
          <w:color w:val="000000"/>
          <w:sz w:val="20"/>
        </w:rPr>
        <w:t xml:space="preserve"> </w:t>
      </w:r>
      <w:r>
        <w:rPr>
          <w:rFonts w:ascii="Times New Roman" w:hAnsi="Times New Roman"/>
          <w:color w:val="000000"/>
          <w:sz w:val="24"/>
        </w:rPr>
        <w:t>Regeneron and CytomX are entering into this research collaboration to identify up to [***] Licensed Products during the Collaboration Term. The Parties have agreed that [***] Collaboration Programs are the Initial Collaboration Programs.</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3. Section 3.1.1 of the Agreement shall be deleted in its entirety and replaced with the following new Section 3.1.1:</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3.1.1</w:t>
      </w:r>
      <w:r>
        <w:rPr>
          <w:rFonts w:ascii="Times New Roman" w:hAnsi="Times New Roman"/>
          <w:color w:val="000000"/>
          <w:sz w:val="20"/>
        </w:rPr>
        <w:t xml:space="preserve"> </w:t>
      </w:r>
      <w:r>
        <w:rPr>
          <w:rFonts w:ascii="Times New Roman" w:hAnsi="Times New Roman"/>
          <w:color w:val="000000"/>
          <w:sz w:val="24"/>
        </w:rPr>
        <w:t>The Parties have agreed upon the Initial Collaboration Programs as of the Effective Date. At any time during the Program Selection Period, Regeneron shall have the option to nominate up to [***] additional Collaboration Programs, each focused on identifying Products which may include a combination of particular [***] for inclusion under this Agreement (such Collaboration Program, an “</w:t>
      </w:r>
      <w:r>
        <w:rPr>
          <w:rFonts w:ascii="Times New Roman" w:hAnsi="Times New Roman"/>
          <w:b/>
          <w:color w:val="000000"/>
          <w:sz w:val="24"/>
        </w:rPr>
        <w:t>Additional Collaboration Program</w:t>
      </w:r>
      <w:r>
        <w:rPr>
          <w:rFonts w:ascii="Times New Roman" w:hAnsi="Times New Roman"/>
          <w:color w:val="000000"/>
          <w:sz w:val="24"/>
        </w:rPr>
        <w:t>,” and such option, an “</w:t>
      </w:r>
      <w:r>
        <w:rPr>
          <w:rFonts w:ascii="Times New Roman" w:hAnsi="Times New Roman"/>
          <w:b/>
          <w:color w:val="000000"/>
          <w:sz w:val="24"/>
        </w:rPr>
        <w:t>Additional Collaboration Program Option</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4. Section 7.2 of the Agreement shall be deleted in its entirety and replaced with the following new Section 7.2:</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 xml:space="preserve">Section 7.2 </w:t>
      </w:r>
      <w:r>
        <w:rPr>
          <w:rFonts w:ascii="Times New Roman" w:hAnsi="Times New Roman"/>
          <w:b/>
          <w:color w:val="000000"/>
          <w:sz w:val="24"/>
          <w:u w:val="single"/>
        </w:rPr>
        <w:t>Additional Collaboration Program Option</w:t>
      </w:r>
      <w:r>
        <w:rPr>
          <w:rFonts w:ascii="Times New Roman" w:hAnsi="Times New Roman"/>
          <w:color w:val="000000"/>
          <w:sz w:val="24"/>
        </w:rPr>
        <w:t>. If Regeneron exercises the Additional Collaboration Program Option pursuant to Section 3.1.1, and Regeneron provides an Additional Collaboration Program Notice pursuant to Section 3.1.2 with respect to the relevant Additional Collaboration Program, then after CytomX receives such Additional Collaboration Program Notice for such Additional Collaboration Program and within [***] of Regeneron’s receipt of an invoice from CytomX, Regeneron shall pay CytomX a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5. Except as specifically amended herein, all other terms of the Agreement shall remain in full force and effect. The Parties may execute this Amendment in counterparts, each of which is deemed an original, but all of which together constitute one and the same agreement. The Amendment may be executed or delivered electronically or by facsimile transmission, and the Parties hereby agree that any electronic, digital, or facsimile signatures hereto are legal, valid and enforceable as originals.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executed this Amendment No. 4 as of the Amendment No. 4 Effective Date.</w:t>
      </w:r>
    </w:p>
    <w:p>
      <w:pPr>
        <w:pStyle w:val="TextBody"/>
        <w:bidi w:val="0"/>
        <w:jc w:val="left"/>
        <w:rPr/>
      </w:pPr>
      <w:r>
        <w:rPr/>
        <w:t> </w:t>
      </w:r>
    </w:p>
    <w:tbl>
      <w:tblPr>
        <w:tblW w:w="13227" w:type="dxa"/>
        <w:jc w:val="left"/>
        <w:tblInd w:w="0" w:type="dxa"/>
        <w:tblLayout w:type="fixed"/>
        <w:tblCellMar>
          <w:top w:w="28" w:type="dxa"/>
          <w:left w:w="28" w:type="dxa"/>
          <w:bottom w:w="28" w:type="dxa"/>
          <w:right w:w="28" w:type="dxa"/>
        </w:tblCellMar>
      </w:tblPr>
      <w:tblGrid>
        <w:gridCol w:w="5921"/>
        <w:gridCol w:w="7306"/>
      </w:tblGrid>
      <w:tr>
        <w:trPr/>
        <w:tc>
          <w:tcPr>
            <w:tcW w:w="5921" w:type="dxa"/>
            <w:tcBorders/>
            <w:vAlign w:val="center"/>
          </w:tcPr>
          <w:p>
            <w:pPr>
              <w:pStyle w:val="TableContents"/>
              <w:bidi w:val="0"/>
              <w:spacing w:before="0" w:after="283"/>
              <w:jc w:val="left"/>
              <w:rPr>
                <w:sz w:val="4"/>
                <w:szCs w:val="4"/>
              </w:rPr>
            </w:pPr>
            <w:r>
              <w:rPr>
                <w:sz w:val="4"/>
                <w:szCs w:val="4"/>
              </w:rPr>
            </w:r>
          </w:p>
        </w:tc>
        <w:tc>
          <w:tcPr>
            <w:tcW w:w="7306" w:type="dxa"/>
            <w:tcBorders/>
            <w:vAlign w:val="center"/>
          </w:tcPr>
          <w:p>
            <w:pPr>
              <w:pStyle w:val="TableContents"/>
              <w:bidi w:val="0"/>
              <w:spacing w:before="0" w:after="283"/>
              <w:jc w:val="left"/>
              <w:rPr>
                <w:sz w:val="4"/>
                <w:szCs w:val="4"/>
              </w:rPr>
            </w:pPr>
            <w:r>
              <w:rPr>
                <w:sz w:val="4"/>
                <w:szCs w:val="4"/>
              </w:rPr>
            </w:r>
          </w:p>
        </w:tc>
      </w:tr>
      <w:tr>
        <w:trPr/>
        <w:tc>
          <w:tcPr>
            <w:tcW w:w="592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Regeneron Pharmaceuticals, Inc.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 xml:space="preserve">By: /s/ Kerry K. Reinertsen </w:t>
            </w:r>
          </w:p>
          <w:p>
            <w:pPr>
              <w:pStyle w:val="TableContents"/>
              <w:bidi w:val="0"/>
              <w:jc w:val="left"/>
              <w:rPr>
                <w:rFonts w:ascii="Times New Roman" w:hAnsi="Times New Roman"/>
                <w:color w:val="000000"/>
                <w:sz w:val="24"/>
              </w:rPr>
            </w:pPr>
            <w:r>
              <w:rPr>
                <w:rFonts w:ascii="Times New Roman" w:hAnsi="Times New Roman"/>
                <w:color w:val="000000"/>
                <w:sz w:val="24"/>
              </w:rPr>
              <w:t>Name: Kerry K. Reinertsen, Ph.D.</w:t>
            </w:r>
          </w:p>
          <w:p>
            <w:pPr>
              <w:pStyle w:val="TableContents"/>
              <w:bidi w:val="0"/>
              <w:jc w:val="left"/>
              <w:rPr>
                <w:rFonts w:ascii="Times New Roman" w:hAnsi="Times New Roman"/>
                <w:color w:val="000000"/>
                <w:sz w:val="24"/>
              </w:rPr>
            </w:pPr>
            <w:r>
              <w:rPr>
                <w:rFonts w:ascii="Times New Roman" w:hAnsi="Times New Roman"/>
                <w:color w:val="000000"/>
                <w:sz w:val="24"/>
              </w:rPr>
              <w:t>Title: Senior Vice President, Strategic Alliances</w:t>
            </w:r>
          </w:p>
          <w:p>
            <w:pPr>
              <w:pStyle w:val="TableContents"/>
              <w:bidi w:val="0"/>
              <w:jc w:val="left"/>
              <w:rPr>
                <w:rFonts w:ascii="Times New Roman" w:hAnsi="Times New Roman"/>
                <w:color w:val="000000"/>
                <w:sz w:val="24"/>
              </w:rPr>
            </w:pPr>
            <w:r>
              <w:rPr>
                <w:rFonts w:ascii="Times New Roman" w:hAnsi="Times New Roman"/>
                <w:color w:val="000000"/>
                <w:sz w:val="24"/>
              </w:rPr>
              <w:t>Date: 5/29/2026</w:t>
            </w:r>
          </w:p>
          <w:p>
            <w:pPr>
              <w:pStyle w:val="TableContents"/>
              <w:bidi w:val="0"/>
              <w:spacing w:before="0" w:after="283"/>
              <w:ind w:left="0" w:right="0" w:firstLine="5760"/>
              <w:jc w:val="left"/>
              <w:rPr/>
            </w:pPr>
            <w:r>
              <w:rPr/>
              <w:t> </w:t>
            </w:r>
          </w:p>
        </w:tc>
        <w:tc>
          <w:tcPr>
            <w:tcW w:w="7306" w:type="dxa"/>
            <w:tcBorders/>
            <w:tcMar>
              <w:top w:w="0" w:type="dxa"/>
              <w:left w:w="0" w:type="dxa"/>
              <w:bottom w:w="0" w:type="dxa"/>
              <w:right w:w="0" w:type="dxa"/>
            </w:tcMar>
            <w:vAlign w:val="center"/>
          </w:tcPr>
          <w:p>
            <w:pPr>
              <w:pStyle w:val="TableContents"/>
              <w:bidi w:val="0"/>
              <w:ind w:left="0" w:right="0" w:firstLine="5760"/>
              <w:jc w:val="left"/>
              <w:rPr>
                <w:rFonts w:ascii="Times New Roman" w:hAnsi="Times New Roman"/>
                <w:b/>
                <w:color w:val="000000"/>
                <w:sz w:val="24"/>
              </w:rPr>
            </w:pPr>
            <w:r>
              <w:rPr>
                <w:rFonts w:ascii="Times New Roman" w:hAnsi="Times New Roman"/>
                <w:b/>
                <w:color w:val="000000"/>
                <w:sz w:val="24"/>
              </w:rPr>
              <w:t>CytomX Therapeutics, Inc.</w:t>
            </w:r>
          </w:p>
          <w:p>
            <w:pPr>
              <w:pStyle w:val="TableContents"/>
              <w:bidi w:val="0"/>
              <w:ind w:left="0" w:right="0" w:firstLine="5760"/>
              <w:jc w:val="left"/>
              <w:rPr/>
            </w:pPr>
            <w:r>
              <w:rPr/>
              <w:t> </w:t>
            </w:r>
          </w:p>
          <w:p>
            <w:pPr>
              <w:pStyle w:val="TableContents"/>
              <w:bidi w:val="0"/>
              <w:ind w:left="0" w:right="0" w:firstLine="5760"/>
              <w:jc w:val="left"/>
              <w:rPr/>
            </w:pPr>
            <w:r>
              <w:rPr/>
              <w:t> </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 xml:space="preserve">By: /s/ Sean McCarthy </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 xml:space="preserve">Name: Sean McCarthy </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Title: Chief Executive Officer</w:t>
            </w:r>
          </w:p>
          <w:p>
            <w:pPr>
              <w:pStyle w:val="TableContents"/>
              <w:bidi w:val="0"/>
              <w:ind w:left="0" w:right="0" w:firstLine="5760"/>
              <w:jc w:val="left"/>
              <w:rPr>
                <w:rFonts w:ascii="Times New Roman" w:hAnsi="Times New Roman"/>
                <w:color w:val="000000"/>
                <w:sz w:val="24"/>
              </w:rPr>
            </w:pPr>
            <w:r>
              <w:rPr>
                <w:rFonts w:ascii="Times New Roman" w:hAnsi="Times New Roman"/>
                <w:color w:val="000000"/>
                <w:sz w:val="24"/>
              </w:rPr>
              <w:t>Date: 5/29/2026</w:t>
            </w:r>
          </w:p>
          <w:p>
            <w:pPr>
              <w:pStyle w:val="TableContents"/>
              <w:bidi w:val="0"/>
              <w:spacing w:before="0" w:after="283"/>
              <w:ind w:left="0" w:right="0" w:firstLine="576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tmx-ex31_1.htm"/>
      <w:bookmarkStart w:id="24" w:name="ksctmx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A. McCarthy, Chief Executive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75" w:type="dxa"/>
        <w:jc w:val="left"/>
        <w:tblInd w:w="0" w:type="dxa"/>
        <w:tblLayout w:type="fixed"/>
        <w:tblCellMar>
          <w:top w:w="28" w:type="dxa"/>
          <w:left w:w="28" w:type="dxa"/>
          <w:bottom w:w="28" w:type="dxa"/>
          <w:right w:w="28" w:type="dxa"/>
        </w:tblCellMar>
      </w:tblPr>
      <w:tblGrid>
        <w:gridCol w:w="1846"/>
        <w:gridCol w:w="146"/>
        <w:gridCol w:w="631"/>
        <w:gridCol w:w="246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Sean A. McCarthy, D. Phil.</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tmx-ex31_2.htm"/>
      <w:bookmarkStart w:id="26" w:name="ksctmx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Christopher W. Ogden, Chief Financial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90" w:type="dxa"/>
        <w:jc w:val="left"/>
        <w:tblInd w:w="0" w:type="dxa"/>
        <w:tblLayout w:type="fixed"/>
        <w:tblCellMar>
          <w:top w:w="28" w:type="dxa"/>
          <w:left w:w="28" w:type="dxa"/>
          <w:bottom w:w="28" w:type="dxa"/>
          <w:right w:w="28" w:type="dxa"/>
        </w:tblCellMar>
      </w:tblPr>
      <w:tblGrid>
        <w:gridCol w:w="1846"/>
        <w:gridCol w:w="146"/>
        <w:gridCol w:w="631"/>
        <w:gridCol w:w="247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Christopher W. Ogden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tmx-ex32_1.htm"/>
      <w:bookmarkStart w:id="28" w:name="ksctmxex32_1"/>
      <w:bookmarkEnd w:id="27"/>
      <w:bookmarkEnd w:id="28"/>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Quarterly Report of CytomX Therapeutics, Inc. (the “Company”) on Form 10-Q for the quarter ended June 30, 2026, as filed with the Securities and Exchange Commission on the date hereof (the “Report”), I, Sean A. McCarthy, Chief Executive Officer of the Company, certify, pursuant to 18 U.S.C. Section 1350, as adopted pursuant to Section 906 of the Sarbanes-Oxley Act of 2002 (the “Act”),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275" w:type="dxa"/>
        <w:jc w:val="left"/>
        <w:tblInd w:w="0" w:type="dxa"/>
        <w:tblLayout w:type="fixed"/>
        <w:tblCellMar>
          <w:top w:w="28" w:type="dxa"/>
          <w:left w:w="28" w:type="dxa"/>
          <w:bottom w:w="28" w:type="dxa"/>
          <w:right w:w="28" w:type="dxa"/>
        </w:tblCellMar>
      </w:tblPr>
      <w:tblGrid>
        <w:gridCol w:w="1846"/>
        <w:gridCol w:w="146"/>
        <w:gridCol w:w="631"/>
        <w:gridCol w:w="246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Sean A. McCarthy, D. Phil.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tmx-ex32_2.htm"/>
      <w:bookmarkStart w:id="30" w:name="ksctmxex32_2"/>
      <w:bookmarkEnd w:id="29"/>
      <w:bookmarkEnd w:id="30"/>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Quarterly Report of CytomX Therapeutics, Inc. (the “Company”) on Form 10-Q for the quarter ended June 30, 2026, as filed with the Securities and Exchange Commission on the date hereof (the “Report”), I, Christopher W. Ogden, Chief Financial Officer of the Company, certify, pursuant to 18 U.S.C. Section 1350, as adopted pursuant to Section 906 of the Sarbanes-Oxley Act of 2002 (the “Act”),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290" w:type="dxa"/>
        <w:jc w:val="left"/>
        <w:tblInd w:w="0" w:type="dxa"/>
        <w:tblLayout w:type="fixed"/>
        <w:tblCellMar>
          <w:top w:w="28" w:type="dxa"/>
          <w:left w:w="28" w:type="dxa"/>
          <w:bottom w:w="28" w:type="dxa"/>
          <w:right w:w="28" w:type="dxa"/>
        </w:tblCellMar>
      </w:tblPr>
      <w:tblGrid>
        <w:gridCol w:w="1846"/>
        <w:gridCol w:w="146"/>
        <w:gridCol w:w="631"/>
        <w:gridCol w:w="247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Christopher W. Ogden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01989/000119312524141699/d816353d8k.htm" TargetMode="External"/><Relationship Id="rId3" Type="http://schemas.openxmlformats.org/officeDocument/2006/relationships/hyperlink" Target="https://www.sec.gov/Archives/edgar/data/0001501989/000119312526277631/d154321dex31.htm" TargetMode="External"/><Relationship Id="rId4" Type="http://schemas.openxmlformats.org/officeDocument/2006/relationships/hyperlink" Target="https://www.sec.gov/ix?doc=/Archives/edgar/data/0001501989/000119312524075211/d803852d8k.htm" TargetMode="External"/><Relationship Id="rId5" Type="http://schemas.openxmlformats.org/officeDocument/2006/relationships/hyperlink" Target="https://www.sec.gov/Archives/edgar/data/0001501989/000119312515329662/d948537dex41.htm" TargetMode="External"/><Relationship Id="rId6" Type="http://schemas.openxmlformats.org/officeDocument/2006/relationships/hyperlink" Target="https://www.sec.gov/Archives/edgar/data/0001501989/000119312526277631/d154321dex101.htm" TargetMode="External"/><Relationship Id="rId7" Type="http://schemas.openxmlformats.org/officeDocument/2006/relationships/hyperlink" Target="https://www.sec.gov/Archives/edgar/data/1501989/000119312526277631/d154321d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58158</Words>
  <Characters>326500</Characters>
  <CharactersWithSpaces>385397</CharactersWithSpaces>
  <Paragraphs>6422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