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574675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591820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7" w:lineRule="exact"/>
        <w:rPr>
          <w:sz w:val="24"/>
          <w:szCs w:val="24"/>
          <w:color w:val="auto"/>
        </w:rPr>
      </w:pPr>
    </w:p>
    <w:p>
      <w:pPr>
        <w:ind w:left="460" w:right="300" w:hanging="453"/>
        <w:spacing w:after="0" w:line="253" w:lineRule="auto"/>
        <w:tabs>
          <w:tab w:leader="none" w:pos="4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6" w:lineRule="exact"/>
        <w:rPr>
          <w:sz w:val="24"/>
          <w:szCs w:val="24"/>
          <w:color w:val="auto"/>
        </w:rPr>
      </w:pPr>
    </w:p>
    <w:p>
      <w:pPr>
        <w:ind w:left="460" w:right="320" w:hanging="453"/>
        <w:spacing w:after="0" w:line="281" w:lineRule="auto"/>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3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transition period from _ to _</w:t>
      </w:r>
    </w:p>
    <w:p>
      <w:pPr>
        <w:spacing w:after="0" w:line="11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CytomX Therapeutics,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8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27-3521219</w:t>
            </w:r>
          </w:p>
        </w:tc>
      </w:tr>
      <w:tr>
        <w:trPr>
          <w:trHeight w:val="148"/>
        </w:trPr>
        <w:tc>
          <w:tcPr>
            <w:tcW w:w="3000" w:type="dxa"/>
            <w:vAlign w:val="bottom"/>
          </w:tcPr>
          <w:p>
            <w:pPr>
              <w:jc w:val="center"/>
              <w:ind w:right="400"/>
              <w:spacing w:after="0" w:line="148"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80" w:type="dxa"/>
            <w:vAlign w:val="bottom"/>
          </w:tcPr>
          <w:p>
            <w:pPr>
              <w:jc w:val="center"/>
              <w:ind w:left="3300"/>
              <w:spacing w:after="0" w:line="148"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0"/>
        </w:trPr>
        <w:tc>
          <w:tcPr>
            <w:tcW w:w="3000" w:type="dxa"/>
            <w:vAlign w:val="bottom"/>
          </w:tcPr>
          <w:p>
            <w:pPr>
              <w:jc w:val="center"/>
              <w:ind w:right="400"/>
              <w:spacing w:after="0" w:line="150"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80" w:type="dxa"/>
            <w:vAlign w:val="bottom"/>
          </w:tcPr>
          <w:p>
            <w:pPr>
              <w:jc w:val="center"/>
              <w:ind w:left="3280"/>
              <w:spacing w:after="0" w:line="150"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5"/>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151 Oyster Point Blvd., Suite 400</w:t>
            </w:r>
          </w:p>
        </w:tc>
        <w:tc>
          <w:tcPr>
            <w:tcW w:w="4480" w:type="dxa"/>
            <w:vAlign w:val="bottom"/>
          </w:tcPr>
          <w:p>
            <w:pPr>
              <w:spacing w:after="0"/>
              <w:rPr>
                <w:sz w:val="18"/>
                <w:szCs w:val="18"/>
                <w:color w:val="auto"/>
              </w:rPr>
            </w:pPr>
          </w:p>
        </w:tc>
      </w:tr>
      <w:tr>
        <w:trPr>
          <w:trHeight w:val="212"/>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4480" w:type="dxa"/>
            <w:vAlign w:val="bottom"/>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50"/>
        </w:trPr>
        <w:tc>
          <w:tcPr>
            <w:tcW w:w="3000" w:type="dxa"/>
            <w:vAlign w:val="bottom"/>
          </w:tcPr>
          <w:p>
            <w:pPr>
              <w:jc w:val="center"/>
              <w:ind w:right="400"/>
              <w:spacing w:after="0" w:line="150" w:lineRule="exact"/>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80" w:type="dxa"/>
            <w:vAlign w:val="bottom"/>
          </w:tcPr>
          <w:p>
            <w:pPr>
              <w:jc w:val="center"/>
              <w:ind w:left="3300"/>
              <w:spacing w:after="0" w:line="150"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230"/>
        </w:trPr>
        <w:tc>
          <w:tcPr>
            <w:tcW w:w="3000" w:type="dxa"/>
            <w:vAlign w:val="bottom"/>
          </w:tcPr>
          <w:p>
            <w:pPr>
              <w:spacing w:after="0"/>
              <w:rPr>
                <w:sz w:val="20"/>
                <w:szCs w:val="20"/>
                <w:color w:val="auto"/>
              </w:rPr>
            </w:pPr>
          </w:p>
        </w:tc>
        <w:tc>
          <w:tcPr>
            <w:tcW w:w="448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(650) 515-3185</w:t>
            </w:r>
          </w:p>
        </w:tc>
      </w:tr>
    </w:tbl>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N/A</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7"/>
                <w:szCs w:val="17"/>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20" w:type="dxa"/>
            <w:vAlign w:val="bottom"/>
          </w:tcPr>
          <w:p>
            <w:pPr>
              <w:spacing w:after="0"/>
              <w:rPr>
                <w:sz w:val="17"/>
                <w:szCs w:val="17"/>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 per share</w:t>
            </w:r>
          </w:p>
        </w:tc>
        <w:tc>
          <w:tcPr>
            <w:tcW w:w="1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CTMX</w:t>
            </w:r>
          </w:p>
        </w:tc>
        <w:tc>
          <w:tcPr>
            <w:tcW w:w="120" w:type="dxa"/>
            <w:vAlign w:val="bottom"/>
          </w:tcPr>
          <w:p>
            <w:pPr>
              <w:spacing w:after="0"/>
              <w:rPr>
                <w:sz w:val="17"/>
                <w:szCs w:val="17"/>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81" w:lineRule="exact"/>
        <w:rPr>
          <w:sz w:val="24"/>
          <w:szCs w:val="24"/>
          <w:color w:val="auto"/>
        </w:rPr>
      </w:pPr>
    </w:p>
    <w:p>
      <w:pPr>
        <w:ind w:right="36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18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340"/>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Accelerated filer</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9"/>
        </w:trPr>
        <w:tc>
          <w:tcPr>
            <w:tcW w:w="3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
        <w:spacing w:after="0" w:line="21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8300" w:val="left"/>
          <w:tab w:leader="none" w:pos="90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7"/>
          <w:szCs w:val="17"/>
          <w:color w:val="auto"/>
        </w:rPr>
        <w:t>As of April 30, 2025, the registrant had 80,621,293 shares of common stock, $0.00001 par value per share, outstanding. This number does not include 6,923,077 shares of common stock issuable upon the exercise of pre-funded warrants outstanding as of April 30, 2025 (which are immediately exercisable at an exercise price of $0.00001 per share of common stock, subject to beneficial ownership limitations) sold in the registrant’s private placement in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450215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MARCH 31, 2025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gridSpan w:val="9"/>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980" w:type="dxa"/>
            <w:vAlign w:val="bottom"/>
          </w:tcPr>
          <w:p>
            <w:pPr>
              <w:spacing w:after="0"/>
              <w:rPr>
                <w:sz w:val="20"/>
                <w:szCs w:val="20"/>
                <w:color w:val="auto"/>
              </w:rPr>
            </w:pPr>
          </w:p>
        </w:tc>
      </w:tr>
      <w:tr>
        <w:trPr>
          <w:trHeight w:val="29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Financial Statements (Unaudited)</w:t>
            </w:r>
          </w:p>
        </w:tc>
        <w:tc>
          <w:tcPr>
            <w:tcW w:w="4980" w:type="dxa"/>
            <w:vAlign w:val="bottom"/>
            <w:gridSpan w:val="8"/>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5"/>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Borders>
              <w:bottom w:val="single" w:sz="8" w:color="0000FF"/>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w w:val="98"/>
              </w:rPr>
              <w:t>Condensed Balance Sheets</w:t>
            </w:r>
          </w:p>
        </w:tc>
        <w:tc>
          <w:tcPr>
            <w:tcW w:w="20" w:type="dxa"/>
            <w:vAlign w:val="bottom"/>
            <w:tcBorders>
              <w:bottom w:val="single" w:sz="8" w:color="0000EE"/>
            </w:tcBorders>
          </w:tcPr>
          <w:p>
            <w:pPr>
              <w:spacing w:after="0"/>
              <w:rPr>
                <w:sz w:val="16"/>
                <w:szCs w:val="16"/>
                <w:color w:val="auto"/>
              </w:rPr>
            </w:pPr>
          </w:p>
        </w:tc>
        <w:tc>
          <w:tcPr>
            <w:tcW w:w="6280" w:type="dxa"/>
            <w:vAlign w:val="bottom"/>
            <w:gridSpan w:val="12"/>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r>
      <w:tr>
        <w:trPr>
          <w:trHeight w:val="195"/>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4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Condensed Statements of Operations and Comprehensive Income</w:t>
            </w: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r>
      <w:tr>
        <w:trPr>
          <w:trHeight w:val="195"/>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700" w:type="dxa"/>
            <w:vAlign w:val="bottom"/>
            <w:tcBorders>
              <w:top w:val="single" w:sz="8" w:color="0000FF"/>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FF"/>
              </w:rPr>
              <w:t>Condensed Statements of Stockholders’ Equity (Deficit)</w:t>
            </w:r>
          </w:p>
        </w:tc>
        <w:tc>
          <w:tcPr>
            <w:tcW w:w="3540" w:type="dxa"/>
            <w:vAlign w:val="bottom"/>
            <w:gridSpan w:val="2"/>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w:t>
            </w:r>
          </w:p>
        </w:tc>
      </w:tr>
      <w:tr>
        <w:trPr>
          <w:trHeight w:val="195"/>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tcBorders>
              <w:top w:val="single" w:sz="8" w:color="0000FF"/>
              <w:bottom w:val="single" w:sz="8" w:color="0000FF"/>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FF"/>
                <w:w w:val="99"/>
              </w:rPr>
              <w:t>Condensed Statements of Cash Flows</w:t>
            </w:r>
          </w:p>
        </w:tc>
        <w:tc>
          <w:tcPr>
            <w:tcW w:w="20" w:type="dxa"/>
            <w:vAlign w:val="bottom"/>
            <w:tcBorders>
              <w:top w:val="single" w:sz="8" w:color="0000FF"/>
              <w:bottom w:val="single" w:sz="8" w:color="0000EE"/>
            </w:tcBorders>
          </w:tcPr>
          <w:p>
            <w:pPr>
              <w:spacing w:after="0"/>
              <w:rPr>
                <w:sz w:val="16"/>
                <w:szCs w:val="16"/>
                <w:color w:val="auto"/>
              </w:rPr>
            </w:pPr>
          </w:p>
        </w:tc>
        <w:tc>
          <w:tcPr>
            <w:tcW w:w="1300" w:type="dxa"/>
            <w:vAlign w:val="bottom"/>
            <w:tcBorders>
              <w:top w:val="single" w:sz="8" w:color="0000FF"/>
            </w:tcBorders>
            <w:gridSpan w:val="4"/>
          </w:tcPr>
          <w:p>
            <w:pPr>
              <w:spacing w:after="0"/>
              <w:rPr>
                <w:sz w:val="16"/>
                <w:szCs w:val="16"/>
                <w:color w:val="auto"/>
              </w:rPr>
            </w:pPr>
          </w:p>
        </w:tc>
        <w:tc>
          <w:tcPr>
            <w:tcW w:w="4200" w:type="dxa"/>
            <w:vAlign w:val="bottom"/>
            <w:gridSpan w:val="5"/>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w:t>
            </w:r>
          </w:p>
        </w:tc>
      </w:tr>
      <w:tr>
        <w:trPr>
          <w:trHeight w:val="195"/>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900" w:type="dxa"/>
            <w:vAlign w:val="bottom"/>
            <w:tcBorders>
              <w:bottom w:val="single" w:sz="8" w:color="0000FF"/>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FF"/>
                <w:w w:val="99"/>
              </w:rPr>
              <w:t>Notes to Condensed Financial Statements (Unaudited)</w:t>
            </w:r>
          </w:p>
        </w:tc>
        <w:tc>
          <w:tcPr>
            <w:tcW w:w="20" w:type="dxa"/>
            <w:vAlign w:val="bottom"/>
            <w:tcBorders>
              <w:bottom w:val="single" w:sz="8" w:color="0000EE"/>
            </w:tcBorders>
          </w:tcPr>
          <w:p>
            <w:pPr>
              <w:spacing w:after="0"/>
              <w:rPr>
                <w:sz w:val="16"/>
                <w:szCs w:val="16"/>
                <w:color w:val="auto"/>
              </w:rPr>
            </w:pPr>
          </w:p>
        </w:tc>
        <w:tc>
          <w:tcPr>
            <w:tcW w:w="4320" w:type="dxa"/>
            <w:vAlign w:val="bottom"/>
            <w:gridSpan w:val="6"/>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8"/>
          </w:tcPr>
          <w:p>
            <w:pPr>
              <w:spacing w:after="0" w:line="195"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800" w:type="dxa"/>
            <w:vAlign w:val="bottom"/>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w:t>
            </w: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000FF"/>
            </w:tcBorders>
            <w:gridSpan w:val="16"/>
          </w:tcPr>
          <w:p>
            <w:pPr>
              <w:spacing w:after="0" w:line="195"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900" w:type="dxa"/>
            <w:vAlign w:val="bottom"/>
            <w:gridSpan w:val="3"/>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30</w:t>
            </w: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824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Controls and Procedures</w:t>
            </w: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30</w:t>
            </w:r>
          </w:p>
        </w:tc>
      </w:tr>
      <w:tr>
        <w:trPr>
          <w:trHeight w:val="35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9"/>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PART II – OTHER INFORMATION</w:t>
            </w:r>
          </w:p>
        </w:tc>
        <w:tc>
          <w:tcPr>
            <w:tcW w:w="1980" w:type="dxa"/>
            <w:vAlign w:val="bottom"/>
          </w:tcPr>
          <w:p>
            <w:pPr>
              <w:spacing w:after="0"/>
              <w:rPr>
                <w:sz w:val="24"/>
                <w:szCs w:val="24"/>
                <w:color w:val="auto"/>
              </w:rPr>
            </w:pPr>
          </w:p>
        </w:tc>
      </w:tr>
      <w:tr>
        <w:trPr>
          <w:trHeight w:val="295"/>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900" w:type="dxa"/>
            <w:vAlign w:val="bottom"/>
            <w:gridSpan w:val="15"/>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824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824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73</w:t>
            </w: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00" w:type="dxa"/>
            <w:vAlign w:val="bottom"/>
            <w:tcBorders>
              <w:top w:val="single" w:sz="8" w:color="0000FF"/>
            </w:tcBorders>
            <w:gridSpan w:val="7"/>
          </w:tcPr>
          <w:p>
            <w:pPr>
              <w:spacing w:after="0"/>
              <w:rPr>
                <w:sz w:val="16"/>
                <w:szCs w:val="16"/>
                <w:color w:val="auto"/>
              </w:rPr>
            </w:pPr>
          </w:p>
        </w:tc>
        <w:tc>
          <w:tcPr>
            <w:tcW w:w="3920" w:type="dxa"/>
            <w:vAlign w:val="bottom"/>
            <w:gridSpan w:val="4"/>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73</w:t>
            </w: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824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73</w:t>
            </w: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16"/>
                <w:szCs w:val="16"/>
                <w:color w:val="auto"/>
              </w:rPr>
            </w:pPr>
          </w:p>
        </w:tc>
        <w:tc>
          <w:tcPr>
            <w:tcW w:w="6480" w:type="dxa"/>
            <w:vAlign w:val="bottom"/>
            <w:gridSpan w:val="14"/>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73</w:t>
            </w: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8240" w:type="dxa"/>
            <w:vAlign w:val="bottom"/>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Exhibits</w:t>
            </w: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74</w:t>
            </w:r>
          </w:p>
        </w:tc>
      </w:tr>
      <w:tr>
        <w:trPr>
          <w:trHeight w:val="195"/>
        </w:trPr>
        <w:tc>
          <w:tcPr>
            <w:tcW w:w="1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75</w:t>
            </w:r>
          </w:p>
        </w:tc>
      </w:tr>
      <w:tr>
        <w:trPr>
          <w:trHeight w:val="665"/>
        </w:trPr>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700" w:type="dxa"/>
            <w:vAlign w:val="bottom"/>
            <w:gridSpan w:val="17"/>
          </w:tcPr>
          <w:p>
            <w:pPr>
              <w:jc w:val="center"/>
              <w:ind w:left="4411"/>
              <w:spacing w:after="0"/>
              <w:rPr>
                <w:sz w:val="20"/>
                <w:szCs w:val="20"/>
                <w:color w:val="auto"/>
              </w:rPr>
            </w:pPr>
            <w:r>
              <w:rPr>
                <w:rFonts w:ascii="Times New Roman" w:cs="Times New Roman" w:eastAsia="Times New Roman" w:hAnsi="Times New Roman"/>
                <w:sz w:val="18"/>
                <w:szCs w:val="18"/>
                <w:color w:val="auto"/>
                <w:w w:val="88"/>
              </w:rPr>
              <w:t>2</w:t>
            </w:r>
          </w:p>
        </w:tc>
        <w:tc>
          <w:tcPr>
            <w:tcW w:w="1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58"/>
        </w:trPr>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9"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7"/>
          <w:szCs w:val="17"/>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166" w:lineRule="exact"/>
        <w:rPr>
          <w:sz w:val="20"/>
          <w:szCs w:val="20"/>
          <w:color w:val="auto"/>
        </w:rPr>
      </w:pPr>
    </w:p>
    <w:p>
      <w:pPr>
        <w:ind w:left="1020" w:right="40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 and therapeutics developed utilizing our PROBODY® conditionally activated platform technology;</w:t>
      </w:r>
    </w:p>
    <w:p>
      <w:pPr>
        <w:spacing w:after="0" w:line="69" w:lineRule="exact"/>
        <w:rPr>
          <w:rFonts w:ascii="Times New Roman" w:cs="Times New Roman" w:eastAsia="Times New Roman" w:hAnsi="Times New Roman"/>
          <w:sz w:val="18"/>
          <w:szCs w:val="18"/>
          <w:color w:val="auto"/>
        </w:rPr>
      </w:pPr>
    </w:p>
    <w:p>
      <w:pPr>
        <w:ind w:left="1020" w:right="100" w:hanging="504"/>
        <w:spacing w:after="0" w:line="26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completion of our ongoing clinical trials and the timing and availability of clinical data from such clinical trials;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w:t>
      </w:r>
    </w:p>
    <w:p>
      <w:pPr>
        <w:spacing w:after="0" w:line="128" w:lineRule="exact"/>
        <w:rPr>
          <w:rFonts w:ascii="Times New Roman" w:cs="Times New Roman" w:eastAsia="Times New Roman" w:hAnsi="Times New Roman"/>
          <w:sz w:val="18"/>
          <w:szCs w:val="18"/>
          <w:color w:val="auto"/>
        </w:rPr>
      </w:pPr>
    </w:p>
    <w:p>
      <w:pPr>
        <w:ind w:left="1020" w:right="86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collaborators for developing, obtaining regulatory approval for and commercializing product candidates in the collaboration;</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collaborator’s ability to obtain and maintain regulatory approval of any of our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and timing of any milestone payments or royalties under any research collaboration and license agreements or arrangements;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beliefs regarding the evolution of the market for cancer therapies and development of the oncology industry;</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any approved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retain commercial rights for our product candidates in such collaborations;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technologies and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and capital requirements;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funds for our operations and continue as a going concern;</w:t>
      </w:r>
    </w:p>
    <w:p>
      <w:pPr>
        <w:spacing w:after="0" w:line="128"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studies or any future clinical trials;</w:t>
      </w:r>
    </w:p>
    <w:p>
      <w:pPr>
        <w:spacing w:after="0" w:line="128" w:lineRule="exact"/>
        <w:rPr>
          <w:rFonts w:ascii="Times New Roman" w:cs="Times New Roman" w:eastAsia="Times New Roman" w:hAnsi="Times New Roman"/>
          <w:sz w:val="18"/>
          <w:szCs w:val="18"/>
          <w:color w:val="auto"/>
        </w:rPr>
      </w:pPr>
    </w:p>
    <w:p>
      <w:pPr>
        <w:ind w:left="1020" w:right="2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supply and manufacturing partners to supply the materials and components for, and manufacture, our research and development, preclinical and clinical trial product supplies, including third parties in Europe and China;</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key management and technical personnel;</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licenses of intellectual property to protect our technologies and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775" w:right="419" w:bottom="1440" w:gutter="0" w:footer="0" w:header="0"/>
        </w:sectPr>
      </w:pPr>
    </w:p>
    <w:bookmarkStart w:id="4" w:name="page5"/>
    <w:bookmarkEnd w:id="4"/>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our industry, international conflict or uncertainties; and</w:t>
      </w:r>
    </w:p>
    <w:p>
      <w:pPr>
        <w:spacing w:after="0" w:line="222" w:lineRule="exact"/>
        <w:rPr>
          <w:rFonts w:ascii="Times New Roman" w:cs="Times New Roman" w:eastAsia="Times New Roman" w:hAnsi="Times New Roman"/>
          <w:sz w:val="18"/>
          <w:szCs w:val="18"/>
          <w:color w:val="auto"/>
        </w:rPr>
      </w:pPr>
    </w:p>
    <w:p>
      <w:pPr>
        <w:ind w:left="1020" w:right="560" w:hanging="504"/>
        <w:spacing w:after="0" w:line="27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7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“we,” “us,” “our” and the “Company” refer to CytomX Therapeutics,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1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779" w:right="399" w:bottom="1440" w:gutter="0" w:footer="0" w:header="0"/>
        </w:sectPr>
      </w:pPr>
    </w:p>
    <w:bookmarkStart w:id="5" w:name="page6"/>
    <w:bookmarkEnd w:id="5"/>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 (Unaudited)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2"/>
        </w:trPr>
        <w:tc>
          <w:tcPr>
            <w:tcW w:w="5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32"/>
              <w:spacing w:after="0" w:line="141"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572"/>
              <w:spacing w:after="0" w:line="141" w:lineRule="exact"/>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47,604</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38,052</w:t>
            </w:r>
          </w:p>
        </w:tc>
        <w:tc>
          <w:tcPr>
            <w:tcW w:w="0" w:type="dxa"/>
            <w:vAlign w:val="bottom"/>
          </w:tcPr>
          <w:p>
            <w:pPr>
              <w:spacing w:after="0"/>
              <w:rPr>
                <w:sz w:val="1"/>
                <w:szCs w:val="1"/>
                <w:color w:val="auto"/>
              </w:rPr>
            </w:pPr>
          </w:p>
        </w:tc>
      </w:tr>
      <w:tr>
        <w:trPr>
          <w:trHeight w:val="215"/>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32,282</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62,571</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1,956</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15"/>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4,786</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86,628</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107,305</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2,229</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547</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949</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1,028</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7,055</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8,136</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98,497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120,533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8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276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5"/>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11,406</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12,338</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5,293</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r>
        <w:trPr>
          <w:trHeight w:val="215"/>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33,226</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67,201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50,201</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85,772</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16,214</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26,862</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long term</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2,856</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4,177</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73,448</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120,989</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5"/>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693,103</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691,095</w:t>
            </w:r>
          </w:p>
        </w:tc>
        <w:tc>
          <w:tcPr>
            <w:tcW w:w="0" w:type="dxa"/>
            <w:vAlign w:val="bottom"/>
          </w:tcPr>
          <w:p>
            <w:pPr>
              <w:spacing w:after="0"/>
              <w:rPr>
                <w:sz w:val="1"/>
                <w:szCs w:val="1"/>
                <w:color w:val="auto"/>
              </w:rPr>
            </w:pPr>
          </w:p>
        </w:tc>
      </w:tr>
      <w:tr>
        <w:trPr>
          <w:trHeight w:val="215"/>
        </w:trPr>
        <w:tc>
          <w:tcPr>
            <w:tcW w:w="5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(668,054)</w:t>
            </w: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(691,579)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25,049</w:t>
            </w:r>
          </w:p>
        </w:tc>
        <w:tc>
          <w:tcPr>
            <w:tcW w:w="2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578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98,497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120,533</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2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8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5962015</wp:posOffset>
            </wp:positionH>
            <wp:positionV relativeFrom="paragraph">
              <wp:posOffset>-3093085</wp:posOffset>
            </wp:positionV>
            <wp:extent cx="67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-3093085</wp:posOffset>
            </wp:positionV>
            <wp:extent cx="679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-306070</wp:posOffset>
            </wp:positionV>
            <wp:extent cx="67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-306070</wp:posOffset>
            </wp:positionV>
            <wp:extent cx="6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 w:lineRule="exact"/>
        <w:rPr>
          <w:sz w:val="20"/>
          <w:szCs w:val="20"/>
          <w:color w:val="auto"/>
        </w:rPr>
      </w:pPr>
    </w:p>
    <w:p>
      <w:pPr>
        <w:ind w:left="520" w:right="160" w:hanging="513"/>
        <w:spacing w:after="0" w:line="222" w:lineRule="auto"/>
        <w:tabs>
          <w:tab w:leader="none" w:pos="5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condensed balance sheet as of December 31, 2024 was derived from the audited financial statements included in the Company's Annual Report on Form 10-K for the year ended December 31, 2024.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60"/>
        <w:spacing w:after="0" w:line="236"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50,917</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loss on investments, net of tax</w:t>
            </w:r>
          </w:p>
        </w:tc>
        <w:tc>
          <w:tcPr>
            <w:tcW w:w="2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4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44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58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0.27</w:t>
            </w:r>
          </w:p>
        </w:tc>
        <w:tc>
          <w:tcPr>
            <w:tcW w:w="160" w:type="dxa"/>
            <w:vAlign w:val="bottom"/>
          </w:tcPr>
          <w:p>
            <w:pPr>
              <w:spacing w:after="0"/>
              <w:rPr>
                <w:sz w:val="16"/>
                <w:szCs w:val="16"/>
                <w:color w:val="auto"/>
              </w:rPr>
            </w:pPr>
          </w:p>
        </w:tc>
        <w:tc>
          <w:tcPr>
            <w:tcW w:w="46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Shares used to compute net income per share</w:t>
            </w:r>
          </w:p>
        </w:tc>
        <w:tc>
          <w:tcPr>
            <w:tcW w:w="2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87,121,502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82,029,466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440" w:type="dxa"/>
            <w:vAlign w:val="bottom"/>
            <w:tcBorders>
              <w:bottom w:val="single" w:sz="8" w:color="CFF0FC"/>
            </w:tcBorders>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87,150,666</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82,630,020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5855335</wp:posOffset>
            </wp:positionH>
            <wp:positionV relativeFrom="paragraph">
              <wp:posOffset>-2343150</wp:posOffset>
            </wp:positionV>
            <wp:extent cx="67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6997700</wp:posOffset>
            </wp:positionH>
            <wp:positionV relativeFrom="paragraph">
              <wp:posOffset>-2343150</wp:posOffset>
            </wp:positionV>
            <wp:extent cx="67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-1226820</wp:posOffset>
            </wp:positionV>
            <wp:extent cx="67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6997700</wp:posOffset>
            </wp:positionH>
            <wp:positionV relativeFrom="paragraph">
              <wp:posOffset>-1226820</wp:posOffset>
            </wp:positionV>
            <wp:extent cx="67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-647065</wp:posOffset>
            </wp:positionV>
            <wp:extent cx="6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-629920</wp:posOffset>
            </wp:positionV>
            <wp:extent cx="67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6997700</wp:posOffset>
            </wp:positionH>
            <wp:positionV relativeFrom="paragraph">
              <wp:posOffset>-647065</wp:posOffset>
            </wp:positionV>
            <wp:extent cx="67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6997700</wp:posOffset>
            </wp:positionH>
            <wp:positionV relativeFrom="paragraph">
              <wp:posOffset>-629920</wp:posOffset>
            </wp:positionV>
            <wp:extent cx="6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-24765</wp:posOffset>
            </wp:positionV>
            <wp:extent cx="679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5855335</wp:posOffset>
            </wp:positionH>
            <wp:positionV relativeFrom="paragraph">
              <wp:posOffset>-7620</wp:posOffset>
            </wp:positionV>
            <wp:extent cx="679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6997700</wp:posOffset>
            </wp:positionH>
            <wp:positionV relativeFrom="paragraph">
              <wp:posOffset>-24765</wp:posOffset>
            </wp:positionV>
            <wp:extent cx="6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6997700</wp:posOffset>
            </wp:positionH>
            <wp:positionV relativeFrom="paragraph">
              <wp:posOffset>-7620</wp:posOffset>
            </wp:positionV>
            <wp:extent cx="6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481330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80" w:top="775"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 (DEFICIT)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214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214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28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1"/>
        </w:trPr>
        <w:tc>
          <w:tcPr>
            <w:tcW w:w="3640" w:type="dxa"/>
            <w:vAlign w:val="bottom"/>
          </w:tcPr>
          <w:p>
            <w:pPr>
              <w:spacing w:after="0"/>
              <w:rPr>
                <w:sz w:val="12"/>
                <w:szCs w:val="12"/>
                <w:color w:val="auto"/>
              </w:rPr>
            </w:pPr>
          </w:p>
        </w:tc>
        <w:tc>
          <w:tcPr>
            <w:tcW w:w="1100" w:type="dxa"/>
            <w:vAlign w:val="bottom"/>
            <w:tcBorders>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8"/>
              <w:spacing w:after="0" w:line="14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bottom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80,099,889</w:t>
            </w:r>
          </w:p>
        </w:tc>
        <w:tc>
          <w:tcPr>
            <w:tcW w:w="10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691,095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(691,579)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release of RSUs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521,404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5"/>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23,525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23,525</w:t>
            </w: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80,621,293</w:t>
            </w:r>
          </w:p>
        </w:tc>
        <w:tc>
          <w:tcPr>
            <w:tcW w:w="10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693,103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(668,054)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25,049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214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214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28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0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1"/>
        </w:trPr>
        <w:tc>
          <w:tcPr>
            <w:tcW w:w="3640" w:type="dxa"/>
            <w:vAlign w:val="bottom"/>
          </w:tcPr>
          <w:p>
            <w:pPr>
              <w:spacing w:after="0"/>
              <w:rPr>
                <w:sz w:val="12"/>
                <w:szCs w:val="12"/>
                <w:color w:val="auto"/>
              </w:rPr>
            </w:pPr>
          </w:p>
        </w:tc>
        <w:tc>
          <w:tcPr>
            <w:tcW w:w="1100" w:type="dxa"/>
            <w:vAlign w:val="bottom"/>
            <w:tcBorders>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8"/>
              <w:spacing w:after="0" w:line="141"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5"/>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6"/>
              <w:spacing w:after="0" w:line="141"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67,310,838</w:t>
            </w:r>
          </w:p>
        </w:tc>
        <w:tc>
          <w:tcPr>
            <w:tcW w:w="104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675,905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(723,448)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(47,447)</w:t>
            </w:r>
          </w:p>
        </w:tc>
        <w:tc>
          <w:tcPr>
            <w:tcW w:w="0" w:type="dxa"/>
            <w:vAlign w:val="bottom"/>
          </w:tcPr>
          <w:p>
            <w:pPr>
              <w:spacing w:after="0"/>
              <w:rPr>
                <w:sz w:val="1"/>
                <w:szCs w:val="1"/>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 and release of RSUs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826,797</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5"/>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5"/>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13,791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13,791</w:t>
            </w: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68,137,635</w:t>
            </w:r>
          </w:p>
        </w:tc>
        <w:tc>
          <w:tcPr>
            <w:tcW w:w="10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677,986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(709,657)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(31,680)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-1550670</wp:posOffset>
            </wp:positionV>
            <wp:extent cx="679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-1550670</wp:posOffset>
            </wp:positionV>
            <wp:extent cx="679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-1550670</wp:posOffset>
            </wp:positionV>
            <wp:extent cx="679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-1550670</wp:posOffset>
            </wp:positionV>
            <wp:extent cx="679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6276975</wp:posOffset>
            </wp:positionH>
            <wp:positionV relativeFrom="paragraph">
              <wp:posOffset>-1550670</wp:posOffset>
            </wp:positionV>
            <wp:extent cx="679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-1550670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-169545</wp:posOffset>
            </wp:positionV>
            <wp:extent cx="679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-169545</wp:posOffset>
            </wp:positionV>
            <wp:extent cx="6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4615180</wp:posOffset>
            </wp:positionH>
            <wp:positionV relativeFrom="paragraph">
              <wp:posOffset>-169545</wp:posOffset>
            </wp:positionV>
            <wp:extent cx="6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5484495</wp:posOffset>
            </wp:positionH>
            <wp:positionV relativeFrom="paragraph">
              <wp:posOffset>-169545</wp:posOffset>
            </wp:positionV>
            <wp:extent cx="6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6276975</wp:posOffset>
            </wp:positionH>
            <wp:positionV relativeFrom="paragraph">
              <wp:posOffset>-169545</wp:posOffset>
            </wp:positionV>
            <wp:extent cx="6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-169545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820"/>
        <w:spacing w:after="0" w:line="236"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9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2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5"/>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1"/>
        </w:trPr>
        <w:tc>
          <w:tcPr>
            <w:tcW w:w="7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23,525</w:t>
            </w:r>
          </w:p>
        </w:tc>
        <w:tc>
          <w:tcPr>
            <w:tcW w:w="160" w:type="dxa"/>
            <w:vAlign w:val="bottom"/>
          </w:tcPr>
          <w:p>
            <w:pPr>
              <w:spacing w:after="0"/>
              <w:rPr>
                <w:sz w:val="17"/>
                <w:szCs w:val="17"/>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w:t>
            </w:r>
          </w:p>
        </w:tc>
        <w:tc>
          <w:tcPr>
            <w:tcW w:w="100" w:type="dxa"/>
            <w:vAlign w:val="bottom"/>
          </w:tcPr>
          <w:p>
            <w:pPr>
              <w:spacing w:after="0"/>
              <w:rPr>
                <w:sz w:val="17"/>
                <w:szCs w:val="17"/>
                <w:color w:val="auto"/>
              </w:rPr>
            </w:pPr>
          </w:p>
        </w:tc>
      </w:tr>
      <w:tr>
        <w:trPr>
          <w:trHeight w:val="201"/>
        </w:trPr>
        <w:tc>
          <w:tcPr>
            <w:tcW w:w="7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operating activities: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1"/>
        </w:trPr>
        <w:tc>
          <w:tcPr>
            <w:tcW w:w="7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r>
      <w:tr>
        <w:trPr>
          <w:trHeight w:val="201"/>
        </w:trPr>
        <w:tc>
          <w:tcPr>
            <w:tcW w:w="7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FF0FC"/>
          </w:tcPr>
          <w:p>
            <w:pPr>
              <w:spacing w:after="0"/>
              <w:rPr>
                <w:sz w:val="17"/>
                <w:szCs w:val="17"/>
                <w:color w:val="auto"/>
              </w:rPr>
            </w:pPr>
          </w:p>
        </w:tc>
      </w:tr>
      <w:tr>
        <w:trPr>
          <w:trHeight w:val="201"/>
        </w:trPr>
        <w:tc>
          <w:tcPr>
            <w:tcW w:w="7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Accretion of discounts on short-term investments</w:t>
            </w:r>
          </w:p>
        </w:tc>
        <w:tc>
          <w:tcPr>
            <w:tcW w:w="9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(1,866)</w:t>
            </w:r>
          </w:p>
        </w:tc>
      </w:tr>
      <w:tr>
        <w:trPr>
          <w:trHeight w:val="201"/>
        </w:trPr>
        <w:tc>
          <w:tcPr>
            <w:tcW w:w="7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shd w:val="clear" w:color="auto" w:fill="CFF0FC"/>
          </w:tcPr>
          <w:p>
            <w:pPr>
              <w:spacing w:after="0"/>
              <w:rPr>
                <w:sz w:val="17"/>
                <w:szCs w:val="17"/>
                <w:color w:val="auto"/>
              </w:rPr>
            </w:pPr>
          </w:p>
        </w:tc>
      </w:tr>
      <w:tr>
        <w:trPr>
          <w:trHeight w:val="201"/>
        </w:trPr>
        <w:tc>
          <w:tcPr>
            <w:tcW w:w="7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Non-cash lease expense</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00" w:type="dxa"/>
            <w:vAlign w:val="bottom"/>
          </w:tcPr>
          <w:p>
            <w:pPr>
              <w:spacing w:after="0"/>
              <w:rPr>
                <w:sz w:val="17"/>
                <w:szCs w:val="17"/>
                <w:color w:val="auto"/>
              </w:rPr>
            </w:pPr>
          </w:p>
        </w:tc>
      </w:tr>
      <w:tr>
        <w:trPr>
          <w:trHeight w:val="201"/>
        </w:trPr>
        <w:tc>
          <w:tcPr>
            <w:tcW w:w="7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1"/>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(9,745)</w:t>
            </w:r>
          </w:p>
        </w:tc>
      </w:tr>
      <w:tr>
        <w:trPr>
          <w:trHeight w:val="201"/>
        </w:trPr>
        <w:tc>
          <w:tcPr>
            <w:tcW w:w="79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shd w:val="clear" w:color="auto" w:fill="CFF0FC"/>
          </w:tcPr>
          <w:p>
            <w:pPr>
              <w:spacing w:after="0"/>
              <w:rPr>
                <w:sz w:val="17"/>
                <w:szCs w:val="17"/>
                <w:color w:val="auto"/>
              </w:rPr>
            </w:pPr>
          </w:p>
        </w:tc>
      </w:tr>
      <w:tr>
        <w:trPr>
          <w:trHeight w:val="201"/>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7"/>
                <w:szCs w:val="17"/>
                <w:color w:val="auto"/>
              </w:rPr>
            </w:pPr>
          </w:p>
        </w:tc>
      </w:tr>
      <w:tr>
        <w:trPr>
          <w:trHeight w:val="201"/>
        </w:trPr>
        <w:tc>
          <w:tcPr>
            <w:tcW w:w="79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9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(4,434)</w:t>
            </w:r>
          </w:p>
        </w:tc>
      </w:tr>
      <w:tr>
        <w:trPr>
          <w:trHeight w:val="201"/>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(44,623)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(28,944)</w:t>
            </w:r>
          </w:p>
        </w:tc>
      </w:tr>
      <w:tr>
        <w:trPr>
          <w:trHeight w:val="20"/>
        </w:trPr>
        <w:tc>
          <w:tcPr>
            <w:tcW w:w="7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79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(21,043)</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(26,045)</w:t>
            </w:r>
          </w:p>
        </w:tc>
      </w:tr>
      <w:tr>
        <w:trPr>
          <w:trHeight w:val="195"/>
        </w:trPr>
        <w:tc>
          <w:tcPr>
            <w:tcW w:w="7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01"/>
        </w:trPr>
        <w:tc>
          <w:tcPr>
            <w:tcW w:w="7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r>
      <w:tr>
        <w:trPr>
          <w:trHeight w:val="201"/>
        </w:trPr>
        <w:tc>
          <w:tcPr>
            <w:tcW w:w="7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9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9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50,500</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7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44,885</w:t>
            </w:r>
          </w:p>
        </w:tc>
        <w:tc>
          <w:tcPr>
            <w:tcW w:w="100" w:type="dxa"/>
            <w:vAlign w:val="bottom"/>
          </w:tcPr>
          <w:p>
            <w:pPr>
              <w:spacing w:after="0"/>
              <w:rPr>
                <w:sz w:val="16"/>
                <w:szCs w:val="16"/>
                <w:color w:val="auto"/>
              </w:rPr>
            </w:pPr>
          </w:p>
        </w:tc>
      </w:tr>
      <w:tr>
        <w:trPr>
          <w:trHeight w:val="195"/>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1"/>
        </w:trPr>
        <w:tc>
          <w:tcPr>
            <w:tcW w:w="7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7"/>
                <w:szCs w:val="17"/>
                <w:color w:val="auto"/>
              </w:rPr>
            </w:pPr>
          </w:p>
        </w:tc>
      </w:tr>
      <w:tr>
        <w:trPr>
          <w:trHeight w:val="195"/>
        </w:trPr>
        <w:tc>
          <w:tcPr>
            <w:tcW w:w="79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FF0FC"/>
          </w:tcPr>
          <w:p>
            <w:pPr>
              <w:spacing w:after="0"/>
              <w:rPr>
                <w:sz w:val="16"/>
                <w:szCs w:val="16"/>
                <w:color w:val="auto"/>
              </w:rPr>
            </w:pPr>
          </w:p>
        </w:tc>
      </w:tr>
      <w:tr>
        <w:trPr>
          <w:trHeight w:val="195"/>
        </w:trPr>
        <w:tc>
          <w:tcPr>
            <w:tcW w:w="7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9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9,553</w:t>
            </w:r>
          </w:p>
        </w:tc>
        <w:tc>
          <w:tcPr>
            <w:tcW w:w="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100" w:type="dxa"/>
            <w:vAlign w:val="bottom"/>
            <w:tcBorders>
              <w:top w:val="single" w:sz="8" w:color="CFF0FC"/>
            </w:tcBorders>
          </w:tcPr>
          <w:p>
            <w:pPr>
              <w:spacing w:after="0"/>
              <w:rPr>
                <w:sz w:val="16"/>
                <w:szCs w:val="16"/>
                <w:color w:val="auto"/>
              </w:rPr>
            </w:pPr>
          </w:p>
        </w:tc>
      </w:tr>
      <w:tr>
        <w:trPr>
          <w:trHeight w:val="201"/>
        </w:trPr>
        <w:tc>
          <w:tcPr>
            <w:tcW w:w="7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39,079</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5"/>
        </w:trPr>
        <w:tc>
          <w:tcPr>
            <w:tcW w:w="79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48,632</w:t>
            </w:r>
          </w:p>
        </w:tc>
        <w:tc>
          <w:tcPr>
            <w:tcW w:w="160" w:type="dxa"/>
            <w:vAlign w:val="bottom"/>
          </w:tcPr>
          <w:p>
            <w:pPr>
              <w:spacing w:after="0"/>
              <w:rPr>
                <w:sz w:val="16"/>
                <w:szCs w:val="16"/>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37,102</w:t>
            </w:r>
          </w:p>
        </w:tc>
        <w:tc>
          <w:tcPr>
            <w:tcW w:w="100" w:type="dxa"/>
            <w:vAlign w:val="bottom"/>
          </w:tcPr>
          <w:p>
            <w:pPr>
              <w:spacing w:after="0"/>
              <w:rPr>
                <w:sz w:val="16"/>
                <w:szCs w:val="16"/>
                <w:color w:val="auto"/>
              </w:rPr>
            </w:pPr>
          </w:p>
        </w:tc>
      </w:tr>
      <w:tr>
        <w:trPr>
          <w:trHeight w:val="20"/>
        </w:trPr>
        <w:tc>
          <w:tcPr>
            <w:tcW w:w="7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96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Supplemental disclosures of noncash investing items:</w:t>
            </w: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9"/>
        </w:trPr>
        <w:tc>
          <w:tcPr>
            <w:tcW w:w="7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liabilities</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5987415</wp:posOffset>
            </wp:positionH>
            <wp:positionV relativeFrom="paragraph">
              <wp:posOffset>-1743075</wp:posOffset>
            </wp:positionV>
            <wp:extent cx="679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-1743075</wp:posOffset>
            </wp:positionV>
            <wp:extent cx="679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-1223010</wp:posOffset>
            </wp:positionV>
            <wp:extent cx="679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-1223010</wp:posOffset>
            </wp:positionV>
            <wp:extent cx="679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-686435</wp:posOffset>
            </wp:positionV>
            <wp:extent cx="679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-686435</wp:posOffset>
            </wp:positionV>
            <wp:extent cx="679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5987415</wp:posOffset>
            </wp:positionH>
            <wp:positionV relativeFrom="paragraph">
              <wp:posOffset>-422275</wp:posOffset>
            </wp:positionV>
            <wp:extent cx="679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-422275</wp:posOffset>
            </wp:positionV>
            <wp:extent cx="679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CytomX Therapeutics, Inc. (the “Company”) is a clinical-stage, oncology-focused biopharmaceutical company developing potent biologics designed to remain masked and inactive in healthy tissue and to be unmasked and preferentially activated in the tumor microenvironment. The Company aims to build a commercial enterprise to maximize its impact on the treatment of cancer. The Company is advancing potential first-in-class and best-in-class therapeutics created using its PROBODY® therapeutic technology platform that could meaningfully improve outcomes for cancer patients. Its proprietary and unique PROBODY technology platform is designed to enable “conditional activation” of masked antibody-based drugs in the tumor microenvironment across multiple therapeutic modalities. The Company is located in South San Francisco, California and was incorporated in the state of Delaware in September 2010.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4" w:lineRule="exact"/>
        <w:rPr>
          <w:sz w:val="20"/>
          <w:szCs w:val="20"/>
          <w:color w:val="auto"/>
        </w:rPr>
      </w:pPr>
    </w:p>
    <w:p>
      <w:pPr>
        <w:ind w:left="300" w:right="20"/>
        <w:spacing w:after="0" w:line="279" w:lineRule="auto"/>
        <w:rPr>
          <w:sz w:val="20"/>
          <w:szCs w:val="20"/>
          <w:color w:val="auto"/>
        </w:rPr>
      </w:pPr>
      <w:r>
        <w:rPr>
          <w:rFonts w:ascii="Times New Roman" w:cs="Times New Roman" w:eastAsia="Times New Roman" w:hAnsi="Times New Roman"/>
          <w:sz w:val="18"/>
          <w:szCs w:val="18"/>
          <w:color w:val="auto"/>
        </w:rPr>
        <w:t>The Company evaluated whether there are conditions and events, considered in the aggregate, that raise substantial doubt about its ability to continue as a going concern within one year of the date that the condensed financial statements are issued.</w:t>
      </w:r>
    </w:p>
    <w:p>
      <w:pPr>
        <w:spacing w:after="0" w:line="96"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As of March 31, 2025, the Company had cash, cash equivalents and short-term investments of $79.9 million and an accumulated deficit of $668.1 million. The Company expects that its liquidity requirement will be sufficient to fund current planned operations into the second quarter of 2026, which is less than one year from the date of filing this Quarterly Report on Form 10-Q and will need to raise additional capital to fund continued operations. The Company has historically financed its operations primarily through sales of its securities, including sales of common stock in its initial public offering (the “IPO”), subsequent stock offerings and through its at-the-market offering, sales of its convertible preferred securities prior to the IPO, and payments received under its collaboration agreements. In January 2025, the Company announced a restructuring plan to streamline the organization and reduce costs, which included a 40% reduction in the Company’s workforce and prioritized capital allocation. In addition, the Company is evaluating future financing opportunities, and intends to secure additional funding.</w:t>
      </w:r>
    </w:p>
    <w:p>
      <w:pPr>
        <w:spacing w:after="0" w:line="107" w:lineRule="exact"/>
        <w:rPr>
          <w:sz w:val="20"/>
          <w:szCs w:val="20"/>
          <w:color w:val="auto"/>
        </w:rPr>
      </w:pPr>
    </w:p>
    <w:p>
      <w:pPr>
        <w:ind w:left="300" w:right="140"/>
        <w:spacing w:after="0" w:line="255" w:lineRule="auto"/>
        <w:rPr>
          <w:sz w:val="20"/>
          <w:szCs w:val="20"/>
          <w:color w:val="auto"/>
        </w:rPr>
      </w:pPr>
      <w:r>
        <w:rPr>
          <w:rFonts w:ascii="Times New Roman" w:cs="Times New Roman" w:eastAsia="Times New Roman" w:hAnsi="Times New Roman"/>
          <w:sz w:val="18"/>
          <w:szCs w:val="18"/>
          <w:color w:val="auto"/>
        </w:rPr>
        <w:t>However, there can be no assurance that any additional financing will be available to the Company on acceptable terms, if at all. If events or circumstances occur such that the Company does not obtain additional funding, it may be necessary to significantly reduce its scope of operations to reduce the current rate of spending, which could include further reductions in staff and the need to delay, limit, reduce or terminate current or future product development, which could have a material adverse effect on the Company’s business, results of operations and financial condition. Moreover, even if financing efforts are successful and additional capital is obtained, available liquidity may still be insufficient to eliminate the aforementioned substantial doubt regarding the Company’s ability to continue as a going concern.</w:t>
      </w:r>
    </w:p>
    <w:p>
      <w:pPr>
        <w:spacing w:after="0" w:line="76" w:lineRule="exact"/>
        <w:rPr>
          <w:sz w:val="20"/>
          <w:szCs w:val="20"/>
          <w:color w:val="auto"/>
        </w:rPr>
      </w:pPr>
    </w:p>
    <w:p>
      <w:pPr>
        <w:ind w:left="300"/>
        <w:spacing w:after="0" w:line="259"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assuming the Company will continue to operate as a going concern, which contemplates the realization of assets and the settlement of liabilities in the normal course of business. The condensed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19" w:lineRule="exact"/>
        <w:rPr>
          <w:sz w:val="20"/>
          <w:szCs w:val="20"/>
          <w:color w:val="auto"/>
        </w:rPr>
      </w:pPr>
    </w:p>
    <w:p>
      <w:pPr>
        <w:jc w:val="both"/>
        <w:ind w:right="500"/>
        <w:spacing w:after="0" w:line="264" w:lineRule="auto"/>
        <w:rPr>
          <w:sz w:val="20"/>
          <w:szCs w:val="20"/>
          <w:color w:val="auto"/>
        </w:rPr>
      </w:pPr>
      <w:r>
        <w:rPr>
          <w:rFonts w:ascii="Times New Roman" w:cs="Times New Roman" w:eastAsia="Times New Roman" w:hAnsi="Times New Roman"/>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The condensed results of operations for the three months ended March 31, 2025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2024 filed with the SEC.</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w:t>
      </w:r>
      <w:r>
        <w:rPr>
          <w:rFonts w:ascii="Times New Roman" w:cs="Times New Roman" w:eastAsia="Times New Roman" w:hAnsi="Times New Roman"/>
          <w:sz w:val="18"/>
          <w:szCs w:val="18"/>
          <w:b w:val="1"/>
          <w:bCs w:val="1"/>
          <w:color w:val="auto"/>
        </w:rPr>
        <w:t>s</w:t>
      </w:r>
    </w:p>
    <w:p>
      <w:pPr>
        <w:spacing w:after="0" w:line="119" w:lineRule="exact"/>
        <w:rPr>
          <w:sz w:val="20"/>
          <w:szCs w:val="20"/>
          <w:color w:val="auto"/>
        </w:rPr>
      </w:pPr>
    </w:p>
    <w:p>
      <w:pPr>
        <w:jc w:val="both"/>
        <w:ind w:right="220"/>
        <w:spacing w:after="0" w:line="264"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during the three months ended March 31, 2025, as compared to the significant accounting policies disclosed in “Note 2. Basis of Presentation and Summary of Significant Accounting Policies” of the “Notes to Financial Statements” included in Part II, Item 8 of our 2024 Annual Report on Form 10-K for the year ended December 31, 2024 filed with the SEC.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1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Accounts Standards Update (“ASU”) 2024-03, Disaggregation of Income Statement Expenses ("ASU 2024-03"), which enhances transparency in income statement disclosures. ASU 2024-03 requires entities to disclose detailed information about specific components of income statement expenses, such as employee compensation, depreciation, and amortization, as well as other significant expense categories. The objective is to provide financial statement users with greater insight into the nature and variability of expenses, improving their ability to analyze financial performance and make informed decisions. ASU 2025-01 clarified that this ASU 2024-03 is effective for the annual reporting periods beginning after December 15, 2026 and for interim periods within annual reporting periods beginning after December 15, 2027 with early adoption permitted. The Company expects to adopt this ASU during the year ended December 31, 2026 on a prospective basis and is currently evaluating its financial statement impact.</w:t>
      </w:r>
    </w:p>
    <w:p>
      <w:pPr>
        <w:spacing w:after="0" w:line="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enhances transparency in income tax disclosures. ASU 2023-09 requires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Company will adopt this ASU as of December 31, 2025 on a prospective basis and is currently evaluating the impact on its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shares of common stock outstanding for the period. Diluted net income (loss) per share is calculated using the weighted-average number of common shares outstanding, plus potential dilutive common stock during the period. Diluted net loss per share is the same as basic net loss per share in the period when the effect of the potentially dilutive securities is anti-dilutive. The pre-funded warrants are included in both the basic and diluted EPS calculation.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197"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960"/>
        <w:spacing w:after="0" w:line="236"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80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2"/>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8"/>
        </w:trPr>
        <w:tc>
          <w:tcPr>
            <w:tcW w:w="8080" w:type="dxa"/>
            <w:vAlign w:val="bottom"/>
          </w:tcPr>
          <w:p>
            <w:pPr>
              <w:spacing w:after="0"/>
              <w:rPr>
                <w:sz w:val="18"/>
                <w:szCs w:val="18"/>
                <w:color w:val="auto"/>
              </w:rPr>
            </w:pPr>
          </w:p>
        </w:tc>
        <w:tc>
          <w:tcPr>
            <w:tcW w:w="31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r>
      <w:tr>
        <w:trPr>
          <w:trHeight w:val="215"/>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23,525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13,791</w:t>
            </w:r>
          </w:p>
        </w:tc>
      </w:tr>
      <w:tr>
        <w:trPr>
          <w:trHeight w:val="20"/>
        </w:trPr>
        <w:tc>
          <w:tcPr>
            <w:tcW w:w="8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80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5"/>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80,198,376</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67,606,389</w:t>
            </w:r>
          </w:p>
        </w:tc>
      </w:tr>
      <w:tr>
        <w:trPr>
          <w:trHeight w:val="215"/>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6,923,126</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14,423,077</w:t>
            </w:r>
          </w:p>
        </w:tc>
      </w:tr>
      <w:tr>
        <w:trPr>
          <w:trHeight w:val="20"/>
        </w:trPr>
        <w:tc>
          <w:tcPr>
            <w:tcW w:w="80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 per share</w:t>
            </w: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87,121,502</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82,029,466</w:t>
            </w:r>
          </w:p>
        </w:tc>
      </w:tr>
      <w:tr>
        <w:trPr>
          <w:trHeight w:val="20"/>
        </w:trPr>
        <w:tc>
          <w:tcPr>
            <w:tcW w:w="8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8080" w:type="dxa"/>
            <w:vAlign w:val="bottom"/>
            <w:shd w:val="clear" w:color="auto" w:fill="CFF0FC"/>
          </w:tcPr>
          <w:p>
            <w:pPr>
              <w:ind w:left="80"/>
              <w:spacing w:after="0" w:line="195" w:lineRule="exact"/>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5"/>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 per share</w:t>
            </w: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87,121,502</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82,029,466</w:t>
            </w:r>
          </w:p>
        </w:tc>
      </w:tr>
      <w:tr>
        <w:trPr>
          <w:trHeight w:val="215"/>
        </w:trPr>
        <w:tc>
          <w:tcPr>
            <w:tcW w:w="8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options, ESPP &amp; RSUs</w:t>
            </w:r>
          </w:p>
        </w:tc>
        <w:tc>
          <w:tcPr>
            <w:tcW w:w="3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29,164</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600,554</w:t>
            </w:r>
          </w:p>
        </w:tc>
      </w:tr>
      <w:tr>
        <w:trPr>
          <w:trHeight w:val="20"/>
        </w:trPr>
        <w:tc>
          <w:tcPr>
            <w:tcW w:w="8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8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diluted net income per share</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87,150,666</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82,630,020</w:t>
            </w:r>
          </w:p>
        </w:tc>
      </w:tr>
      <w:tr>
        <w:trPr>
          <w:trHeight w:val="195"/>
        </w:trPr>
        <w:tc>
          <w:tcPr>
            <w:tcW w:w="808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15"/>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8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15"/>
        </w:trPr>
        <w:tc>
          <w:tcPr>
            <w:tcW w:w="8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0.27</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6021070</wp:posOffset>
            </wp:positionH>
            <wp:positionV relativeFrom="paragraph">
              <wp:posOffset>-1431290</wp:posOffset>
            </wp:positionV>
            <wp:extent cx="679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-1431290</wp:posOffset>
            </wp:positionV>
            <wp:extent cx="679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6021070</wp:posOffset>
            </wp:positionH>
            <wp:positionV relativeFrom="paragraph">
              <wp:posOffset>-570230</wp:posOffset>
            </wp:positionV>
            <wp:extent cx="679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6021070</wp:posOffset>
            </wp:positionH>
            <wp:positionV relativeFrom="paragraph">
              <wp:posOffset>-553085</wp:posOffset>
            </wp:positionV>
            <wp:extent cx="679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-570230</wp:posOffset>
            </wp:positionV>
            <wp:extent cx="679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-553085</wp:posOffset>
            </wp:positionV>
            <wp:extent cx="67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are excluded from the computation of diluted net income (loss) per share for the periods presented, because including them would have been anti-dilutive:</w:t>
      </w:r>
    </w:p>
    <w:p>
      <w:pPr>
        <w:jc w:val="center"/>
        <w:ind w:left="7900"/>
        <w:spacing w:after="0" w:line="222"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900"/>
        <w:spacing w:after="0" w:line="230"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1"/>
        </w:trPr>
        <w:tc>
          <w:tcPr>
            <w:tcW w:w="804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ind w:right="494"/>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9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4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Options and ESPP to purchase common stock</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16,024,352</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13,710,289</w:t>
            </w:r>
          </w:p>
        </w:tc>
      </w:tr>
      <w:tr>
        <w:trPr>
          <w:trHeight w:val="215"/>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11,538,462</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11,538,462</w:t>
            </w:r>
          </w:p>
        </w:tc>
      </w:tr>
      <w:tr>
        <w:trPr>
          <w:trHeight w:val="215"/>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2,761,968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227,525</w:t>
            </w:r>
          </w:p>
        </w:tc>
      </w:tr>
      <w:tr>
        <w:trPr>
          <w:trHeight w:val="20"/>
        </w:trPr>
        <w:tc>
          <w:tcPr>
            <w:tcW w:w="8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30,324,781</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25,476,276</w:t>
            </w:r>
          </w:p>
        </w:tc>
      </w:tr>
      <w:tr>
        <w:trPr>
          <w:trHeight w:val="20"/>
        </w:trPr>
        <w:tc>
          <w:tcPr>
            <w:tcW w:w="80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6021070</wp:posOffset>
            </wp:positionH>
            <wp:positionV relativeFrom="paragraph">
              <wp:posOffset>-24765</wp:posOffset>
            </wp:positionV>
            <wp:extent cx="679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6021070</wp:posOffset>
            </wp:positionH>
            <wp:positionV relativeFrom="paragraph">
              <wp:posOffset>-7620</wp:posOffset>
            </wp:positionV>
            <wp:extent cx="67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Investments</w:t>
      </w:r>
    </w:p>
    <w:p>
      <w:pPr>
        <w:spacing w:after="0" w:line="11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8"/>
          <w:szCs w:val="18"/>
          <w:color w:val="auto"/>
        </w:rPr>
        <w:t>The Company determines the fair value of financial and non-financial assets and liabilities using the fair value hierarchy, which establishes three levels of inputs that may be used to measure fair value, as follows:</w:t>
      </w:r>
    </w:p>
    <w:p>
      <w:pPr>
        <w:spacing w:after="0" w:line="56"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5" w:lineRule="exact"/>
        <w:rPr>
          <w:rFonts w:ascii="Times New Roman" w:cs="Times New Roman" w:eastAsia="Times New Roman" w:hAnsi="Times New Roman"/>
          <w:sz w:val="18"/>
          <w:szCs w:val="18"/>
          <w:color w:val="auto"/>
        </w:rPr>
      </w:pPr>
    </w:p>
    <w:p>
      <w:pPr>
        <w:ind w:left="1020" w:right="20" w:hanging="504"/>
        <w:spacing w:after="0" w:line="264"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8" w:lineRule="exact"/>
        <w:rPr>
          <w:rFonts w:ascii="Times New Roman" w:cs="Times New Roman" w:eastAsia="Times New Roman" w:hAnsi="Times New Roman"/>
          <w:sz w:val="18"/>
          <w:szCs w:val="18"/>
          <w:color w:val="auto"/>
        </w:rPr>
      </w:pPr>
    </w:p>
    <w:p>
      <w:pPr>
        <w:ind w:left="1020" w:right="580" w:hanging="504"/>
        <w:spacing w:after="0" w:line="27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and Level II assets which consist primarily of highly liquid money market funds, some of which are included in restricted cash and U.S. Treasury securities that are included in cash equivalents or short-term investments. Our Level II marketable securities are valued using third-party pricing sources, which can include observable market prices, interest rates and yield curves observable at commonly quoted intervals for similar assets as observable inputs for pricing.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44"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investments subject to fair value measurements on a recurring basis and the level of inputs used in such measurements: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1520" w:type="dxa"/>
            <w:vAlign w:val="bottom"/>
            <w:gridSpan w:val="3"/>
          </w:tcPr>
          <w:p>
            <w:pPr>
              <w:jc w:val="center"/>
              <w:ind w:right="400"/>
              <w:spacing w:after="0" w:line="116"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4"/>
                <w:szCs w:val="14"/>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101"/>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Level I</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13,021</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13,021</w:t>
            </w: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2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rPr>
              <w:t>Level I</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5"/>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Level II</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67,146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81,196</w:t>
            </w:r>
          </w:p>
        </w:tc>
        <w:tc>
          <w:tcPr>
            <w:tcW w:w="2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81,195</w:t>
            </w:r>
          </w:p>
        </w:tc>
        <w:tc>
          <w:tcPr>
            <w:tcW w:w="0" w:type="dxa"/>
            <w:vAlign w:val="bottom"/>
          </w:tcPr>
          <w:p>
            <w:pPr>
              <w:spacing w:after="0"/>
              <w:rPr>
                <w:sz w:val="1"/>
                <w:szCs w:val="1"/>
                <w:color w:val="auto"/>
              </w:rPr>
            </w:pPr>
          </w:p>
        </w:tc>
      </w:tr>
      <w:tr>
        <w:trPr>
          <w:trHeight w:val="396"/>
        </w:trPr>
        <w:tc>
          <w:tcPr>
            <w:tcW w:w="49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FF0FC"/>
              <w:bottom w:val="single" w:sz="8" w:color="auto"/>
            </w:tcBorders>
          </w:tcPr>
          <w:p>
            <w:pPr>
              <w:spacing w:after="0"/>
              <w:rPr>
                <w:sz w:val="24"/>
                <w:szCs w:val="24"/>
                <w:color w:val="auto"/>
              </w:rPr>
            </w:pPr>
          </w:p>
        </w:tc>
        <w:tc>
          <w:tcPr>
            <w:tcW w:w="26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top w:val="single" w:sz="8" w:color="CFF0FC"/>
              <w:bottom w:val="single" w:sz="8" w:color="auto"/>
            </w:tcBorders>
            <w:gridSpan w:val="2"/>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1520" w:type="dxa"/>
            <w:vAlign w:val="bottom"/>
            <w:gridSpan w:val="3"/>
          </w:tcPr>
          <w:p>
            <w:pPr>
              <w:jc w:val="center"/>
              <w:ind w:right="360"/>
              <w:spacing w:after="0" w:line="116"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4"/>
                <w:szCs w:val="14"/>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1"/>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8"/>
                <w:szCs w:val="18"/>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Level I</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28,313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28,313</w:t>
            </w: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2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Level I</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5"/>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Pr>
          <w:p>
            <w:pPr>
              <w:spacing w:after="0"/>
              <w:rPr>
                <w:sz w:val="18"/>
                <w:szCs w:val="18"/>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Level II</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72,503</w:t>
            </w:r>
          </w:p>
        </w:tc>
        <w:tc>
          <w:tcPr>
            <w:tcW w:w="10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72,530</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101,843</w:t>
            </w:r>
          </w:p>
        </w:tc>
        <w:tc>
          <w:tcPr>
            <w:tcW w:w="26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4981575</wp:posOffset>
            </wp:positionH>
            <wp:positionV relativeFrom="paragraph">
              <wp:posOffset>-1397000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-1379855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-1397000</wp:posOffset>
            </wp:positionV>
            <wp:extent cx="679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-1379855</wp:posOffset>
            </wp:positionV>
            <wp:extent cx="67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-1397000</wp:posOffset>
            </wp:positionV>
            <wp:extent cx="67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-1379855</wp:posOffset>
            </wp:positionV>
            <wp:extent cx="679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-24765</wp:posOffset>
            </wp:positionV>
            <wp:extent cx="679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-7620</wp:posOffset>
            </wp:positionV>
            <wp:extent cx="679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-24765</wp:posOffset>
            </wp:positionV>
            <wp:extent cx="679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-7620</wp:posOffset>
            </wp:positionV>
            <wp:extent cx="679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As of March 31, 2025, the remaining contractual terms of those investments are less than a year. Based upon our quarterly impairment review, we determined that the unrealized losses were not attributed to credit risk but were primarily associated with changes in interest rates and market liquidity. Based on the scheduled maturities of our marketable securities, we determined that it was more likely than not that we will hold these marketable securities to maturity for a recovery of our cost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1"/>
        </w:trPr>
        <w:tc>
          <w:tcPr>
            <w:tcW w:w="3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37"/>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5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37"/>
              <w:spacing w:after="0" w:line="141"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clinical expenses</w:t>
            </w:r>
          </w:p>
        </w:tc>
        <w:tc>
          <w:tcPr>
            <w:tcW w:w="4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3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3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820" w:type="dxa"/>
            <w:vAlign w:val="bottom"/>
            <w:vMerge w:val="restart"/>
          </w:tcPr>
          <w:p>
            <w:pPr>
              <w:jc w:val="right"/>
              <w:ind w:right="1951"/>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39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394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-1073150</wp:posOffset>
            </wp:positionV>
            <wp:extent cx="679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-1073150</wp:posOffset>
            </wp:positionV>
            <wp:extent cx="67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Collaboration and 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revenue by collaboration partner:</w:t>
      </w:r>
    </w:p>
    <w:p>
      <w:pPr>
        <w:spacing w:after="0" w:line="21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120"/>
        <w:spacing w:after="0" w:line="236"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1"/>
        </w:trPr>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jc w:val="right"/>
              <w:ind w:right="33"/>
              <w:spacing w:after="0" w:line="141"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Amgen</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Astellas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100" w:type="dxa"/>
            <w:vAlign w:val="bottom"/>
          </w:tcPr>
          <w:p>
            <w:pPr>
              <w:spacing w:after="0"/>
              <w:rPr>
                <w:sz w:val="18"/>
                <w:szCs w:val="18"/>
                <w:color w:val="auto"/>
              </w:rPr>
            </w:pPr>
          </w:p>
        </w:tc>
      </w:tr>
      <w:tr>
        <w:trPr>
          <w:trHeight w:val="215"/>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Bristol Myers Squibb</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19,634</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Regeneron</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8"/>
                <w:szCs w:val="18"/>
                <w:color w:val="auto"/>
              </w:rPr>
            </w:pPr>
          </w:p>
        </w:tc>
      </w:tr>
      <w:tr>
        <w:trPr>
          <w:trHeight w:val="215"/>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Moderna</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50,917</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5910580</wp:posOffset>
            </wp:positionH>
            <wp:positionV relativeFrom="paragraph">
              <wp:posOffset>-169545</wp:posOffset>
            </wp:positionV>
            <wp:extent cx="679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-169545</wp:posOffset>
            </wp:positionV>
            <wp:extent cx="67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73"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Under the terms of the Amgen Agreement, as amended, the Company and Amgen were co-developing a conditionally activated T-cell engager (“TCE”) targeting epidermal growth factor receptor (the “EGFR Products”). The Company was responsible for early-stage development of EGFR Products and Amgen was to be responsible for late-stage development and commercialization of EGFR Products. Following potential advancement beyond early-stage development, the Company had the right to elect to participate financially in the global co-development of EGFR Products with Amgen, during which the Company would have been responsible for a certain percentage of the worldwide development costs and entitled to certain percentage of profit sharing in the U.S., for EGFR Products. In addition, the Company was also eligible to receive up to $460.0 million in development, regulatory, and commercial milestone payments for EGFR Products, and royalties in certain percentages of worldwide commercial sales.</w:t>
      </w:r>
    </w:p>
    <w:p>
      <w:pPr>
        <w:spacing w:after="0" w:line="18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each of May 2023 and March 2024, CytomX and Amgen executed an amendment to the Amgen Agreement to extend the target selection period for Amgen to select its additional targets.</w:t>
      </w:r>
    </w:p>
    <w:p>
      <w:pPr>
        <w:spacing w:after="0" w:line="20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Amgen had the right to select a total of up to three targets, including the two additional targets. The Company and Amgen collaborated in the research and development of conditionally activated T-cell engaging bispecifics therapies directed against such targets. Amgen had selected one such target (the “Amgen Other Product”). Except with respect to preclinical activities to be conducted by CytomX, Amgen would have been responsible, at its expense, for the development, manufacture, and commercialization of all Amgen Products.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January 2022, the IND for the EGFR product (CX-904) was allowed to proceed by the U.S. Food and Drug Administration (“FDA”) and the program progressed into Phase 1 dose escalation. In March 2025, CytomX and Amgen jointly decided to not continue CX-904 development and Amgen terminated its license to the EGFR Products. In April 2025, the Amgen Other Product was also terminated with 60 days written notice pursuant to the Amgen Agreement. The Amgen research collaboration remains in effect with the current scope being the preclinical TCE CytomX selected from Amgen’s preclinical pipeline further discussed below.</w:t>
      </w:r>
    </w:p>
    <w:p>
      <w:pPr>
        <w:spacing w:after="0" w:line="21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At the initiation of the collaboration, CytomX had the option to select from programs specified in the Amgen Agreement, an existing preclinical stage TCE product from the Amgen preclinical pipeline. In March 2018, CytomX selected the program and this program is currently in preclinical development. CytomX is responsible, at its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95"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18"/>
          <w:szCs w:val="18"/>
          <w:color w:val="auto"/>
        </w:rPr>
        <w:t>As of March 31, 2025 and December 31, 2024, deferred revenue related to the EGFR Products performance obligation was $0.3 million and $9.7 million, respectively. A cumulative adjustment from a change in estimate of $8.4 million was recognized in the first quarter of 2025 due to Amgen terminating its license to the EGFR Product in March 2025. Deferred revenue related to the Amgen Other Products performance</w:t>
      </w:r>
    </w:p>
    <w:p>
      <w:pPr>
        <w:sectPr>
          <w:pgSz w:w="11900" w:h="16838" w:orient="portrait"/>
          <w:cols w:equalWidth="0" w:num="1">
            <w:col w:w="11240"/>
          </w:cols>
          <w:pgMar w:left="320" w:top="76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4" w:lineRule="exact"/>
        <w:rPr>
          <w:sz w:val="20"/>
          <w:szCs w:val="20"/>
          <w:color w:val="auto"/>
        </w:rPr>
      </w:pPr>
    </w:p>
    <w:p>
      <w:pPr>
        <w:jc w:val="both"/>
        <w:ind w:right="120"/>
        <w:spacing w:after="0" w:line="279" w:lineRule="auto"/>
        <w:rPr>
          <w:sz w:val="20"/>
          <w:szCs w:val="20"/>
          <w:color w:val="auto"/>
        </w:rPr>
      </w:pPr>
      <w:r>
        <w:rPr>
          <w:rFonts w:ascii="Times New Roman" w:cs="Times New Roman" w:eastAsia="Times New Roman" w:hAnsi="Times New Roman"/>
          <w:sz w:val="18"/>
          <w:szCs w:val="18"/>
          <w:color w:val="auto"/>
        </w:rPr>
        <w:t>obligation was immaterial as of March 31, 2025 and December 31, 2024. The Company expects to complete the performance obligations under the Amgen Agreement and recognize the remaining deferred revenue in the second quarter of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Pharma Inc.</w:t>
      </w:r>
    </w:p>
    <w:p>
      <w:pPr>
        <w:spacing w:after="0" w:line="119"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participation is at the Company’s discretion.</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Astellas Agreement, the consideration from Astellas was comprised of an upfront fee of $80.0 million and total potential contingent payments for development, regulatory and sales milestones of up to an aggregate of approximately $1.6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full-time employee ("FTE") rate.</w:t>
      </w:r>
    </w:p>
    <w:p>
      <w:pPr>
        <w:spacing w:after="0" w:line="2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January 2023, the Company announced that it achieved a clinical candidate milestone under the Astellas Agreement which triggered a $5.0 million milestone payment to the Company which was fully recognized in the first quarter of 2023 as the Company had completed its related performance obligation of the first collaboration target which resulted in the clinical candidate nomination for further development. In March 2024, the Company announced that it achieved the good laboratory practices ("GLPs") toxicology milestone for this candidate which triggered a $5.0 million milestone payment to the Company. The $5.0 million milestone payment was fully recognized in the first quarter of 2024 as the Company had completed its related performance obligation of this first collaboration target. Also, in March 2024, the Company announced that it achieved a clinical candidate milestone for a second collaboration target under the Astellas Agreement which triggered an additional $5.0 million milestone payment to the Company. The $5.0 million milestone payment was fully recognized in the first quarter of 2024 as the Company had completed its related performance obligation of the second collaboration target which resulted in the clinical candidate nomination for further development. In the first quarter of 2025, Astellas initiated GLP toxicology studies for the second collaboration target, triggering a $5.0 million milestone payment to CytomX.</w:t>
      </w:r>
    </w:p>
    <w:p>
      <w:pPr>
        <w:spacing w:after="0" w:line="18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auto"/>
        </w:rPr>
        <w:t>As of March 31, 2025 and December 31, 2024, deferred revenue relating to the Astellas Agreement was $13.9 million and $17.4 million, respectively. The amount due from Astellas under the Astellas Agreement was $1.0 million as of March 31, 2025 and $1.1 million as of December 31, 2024.</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 Myers Squibb Company</w:t>
      </w:r>
    </w:p>
    <w:p>
      <w:pPr>
        <w:spacing w:after="0" w:line="11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On May 23, 2014, the Company and Bristol Myers Squibb Company (“Bristol Myers Squibb” or “BMS”) entered into a Collaboration and License Agreement (the “BMS Agreement”) to discover and develop compounds for use in human therapeutics aimed at multiple immuno-oncology targets using the Company’s PROBODY therapeutic technology, including the target CTLA-4. The effective date of the BMS Agreement was July 7, 2014.</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211"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8"/>
          <w:szCs w:val="18"/>
          <w:color w:val="auto"/>
        </w:rPr>
        <w:t>Pursuant to the BMS Agreement, the financial consideration from Bristol Myers Squibb was comprised of an upfront payment of $50.0 million and estimated research and development service fees, and the Company was initially entitled to receive contingent payments of up to</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4"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color w:val="auto"/>
        </w:rPr>
        <w:t>$25.0 million for additional targets and contingent payments for development, regulatory and sales milestones. In addition, the Company was entitled to royalty payments in the mid-single digits to low double-digit percentages from potential future sales.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17, 2017, the Company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continues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spacing w:after="0" w:line="218"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8"/>
          <w:szCs w:val="18"/>
          <w:color w:val="auto"/>
        </w:rPr>
        <w:t>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 March 2024, following a Bristol Myers Squibb corporate portfolio prioritization process, Bristol Myers Squibb notified CytomX that it does not intend to continue the development of BMS-986288 beyond the current Phase 2 study and terminated its collaboration license to the CTLA-4 target under the collaboration. BMS-986288 was Bristol Myers Squibb’s leading next generation PROBODY CTLA-4 program that it had previously prioritized over BMS-986249, which was a PROBODY version of ipilimumab.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June 2024, Bristol Myers Squibb prioritized its pre-clinical research activities under the collaboration and revised the research scope by one collaboration target. The Company determined that it has no further obligations related to the target that was deprioritized and accounted for the reduction of the target as a modification and the related remaining unrecognized transaction price was reallocated to the remaining performance obligations. The Company's research efforts on all the ongoing programs were completed in April 2025 upon which all remaining deferred revenue is expected to be recognized by the second quarter of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deferred revenue relating to the BMS Agreement was $11.6 million and $41.9 million, respectively.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ModernaTX, Inc.</w:t>
      </w:r>
    </w:p>
    <w:p>
      <w:pPr>
        <w:spacing w:after="0" w:line="11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w:t>
      </w:r>
    </w:p>
    <w:p>
      <w:pPr>
        <w:spacing w:after="0" w:line="18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Due to Moderna's budget considerations in 2025, the Company's remaining activities for its performance obligation are currently expected to be carried out primarily in 2026 and 2027. As of March 31, 2025 and December 31, 2024, deferred revenue relating to the Moderna Agreement was $9.3 million and $9.3 million, respectively. The amount due from Moderna under the Moderna Agreement was immaterial and $0.9 million as of March 31, 2025 and December 31,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Pharmaceuticals, Inc.</w:t>
      </w:r>
    </w:p>
    <w:p>
      <w:pPr>
        <w:spacing w:after="0" w:line="11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spacing w:after="0" w:line="21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spacing w:after="0" w:line="211"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As of March 31, 2025 and December 31, 2024, deferred revenue relating to the Regeneron Agreement was $14.3 million and $15.6 million, respectively. The amount due from Regeneron under the Regeneron Agreement was $0.8 million and $1.0 million as of March 31, 2025 and December 31, 2024, respectively.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total contract liabilities during the three months ended March 31, 2025 and 2024:</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Deferred Revenue</w:t>
            </w:r>
          </w:p>
        </w:tc>
      </w:tr>
      <w:tr>
        <w:trPr>
          <w:trHeight w:val="172"/>
        </w:trPr>
        <w:tc>
          <w:tcPr>
            <w:tcW w:w="9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r>
      <w:tr>
        <w:trPr>
          <w:trHeight w:val="208"/>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94,063</w:t>
            </w:r>
          </w:p>
        </w:tc>
      </w:tr>
      <w:tr>
        <w:trPr>
          <w:trHeight w:val="21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8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r>
      <w:tr>
        <w:trPr>
          <w:trHeight w:val="215"/>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recognized</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(45,978)</w:t>
            </w:r>
          </w:p>
        </w:tc>
      </w:tr>
      <w:tr>
        <w:trPr>
          <w:trHeight w:val="208"/>
        </w:trPr>
        <w:tc>
          <w:tcPr>
            <w:tcW w:w="9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49,440</w:t>
            </w:r>
          </w:p>
        </w:tc>
        <w:tc>
          <w:tcPr>
            <w:tcW w:w="100" w:type="dxa"/>
            <w:vAlign w:val="bottom"/>
            <w:tcBorders>
              <w:top w:val="single" w:sz="8" w:color="CFF0FC"/>
            </w:tcBorders>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9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5"/>
        </w:trPr>
        <w:tc>
          <w:tcPr>
            <w:tcW w:w="9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212,315</w:t>
            </w:r>
          </w:p>
        </w:tc>
      </w:tr>
      <w:tr>
        <w:trPr>
          <w:trHeight w:val="215"/>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Additions</w:t>
            </w:r>
          </w:p>
        </w:tc>
        <w:tc>
          <w:tcPr>
            <w:tcW w:w="1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2,266</w:t>
            </w:r>
          </w:p>
        </w:tc>
      </w:tr>
      <w:tr>
        <w:trPr>
          <w:trHeight w:val="215"/>
        </w:trPr>
        <w:tc>
          <w:tcPr>
            <w:tcW w:w="926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w:t>
            </w:r>
          </w:p>
        </w:tc>
        <w:tc>
          <w:tcPr>
            <w:tcW w:w="18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(31,210)</w:t>
            </w:r>
          </w:p>
        </w:tc>
      </w:tr>
      <w:tr>
        <w:trPr>
          <w:trHeight w:val="248"/>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-885825</wp:posOffset>
            </wp:positionV>
            <wp:extent cx="67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Company expects that the $49.4 million of deferred revenue related to the following contracts as of March 31, 2025 will be recognized as revenue based on actual FTE effort and estimated program progress as set forth below. However, the timing of revenue recognition could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color w:val="auto"/>
        </w:rPr>
        <w:t>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56" w:lineRule="exact"/>
        <w:rPr>
          <w:sz w:val="20"/>
          <w:szCs w:val="20"/>
          <w:color w:val="auto"/>
        </w:rPr>
      </w:pPr>
    </w:p>
    <w:p>
      <w:pPr>
        <w:ind w:left="1020" w:hanging="50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$0.3 million of deferred revenue related to the Amgen EGFR Products is expected to be recognized until the second quarter of 2025.</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$13.9 million of deferred revenue related to the Astellas Agreement is expected to be recognized until 2026.</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$11.6 million of deferred revenue related to the BMS Agreement is expected to be recognized in the second quarter of 2025.</w:t>
      </w:r>
    </w:p>
    <w:p>
      <w:pPr>
        <w:spacing w:after="0" w:line="115" w:lineRule="exact"/>
        <w:rPr>
          <w:rFonts w:ascii="Times New Roman" w:cs="Times New Roman" w:eastAsia="Times New Roman" w:hAnsi="Times New Roman"/>
          <w:sz w:val="18"/>
          <w:szCs w:val="18"/>
          <w:color w:val="auto"/>
        </w:rPr>
      </w:pPr>
    </w:p>
    <w:p>
      <w:pPr>
        <w:ind w:left="1020" w:right="160" w:hanging="504"/>
        <w:spacing w:after="0" w:line="279"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$9.3 million of deferred revenue related to the Moderna Agreement, together with research and development service fees, is expected to be recognized primarily in 2026 and 2027 due to Moderna's budget considerations in 2025.</w:t>
      </w:r>
    </w:p>
    <w:p>
      <w:pPr>
        <w:spacing w:after="0" w:line="55" w:lineRule="exact"/>
        <w:rPr>
          <w:rFonts w:ascii="Times New Roman" w:cs="Times New Roman" w:eastAsia="Times New Roman" w:hAnsi="Times New Roman"/>
          <w:sz w:val="18"/>
          <w:szCs w:val="18"/>
          <w:color w:val="auto"/>
        </w:rPr>
      </w:pPr>
    </w:p>
    <w:p>
      <w:pPr>
        <w:ind w:left="1020" w:right="120" w:hanging="504"/>
        <w:spacing w:after="0" w:line="279"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$14.3 million of deferred revenue related to the Regeneron Agreement, together with research and development service fees, is expected to be recognized until 2026.</w:t>
      </w:r>
    </w:p>
    <w:p>
      <w:pPr>
        <w:spacing w:after="0" w:line="266"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UCSB Agreement</w:t>
      </w:r>
    </w:p>
    <w:p>
      <w:pPr>
        <w:spacing w:after="0" w:line="22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August 2010, the Company entered into an exclusive, worldwide license agreement with University of California, Santa Barbara (“UCSB”), relating to the use of certain patents and technology relating to its core technology, including its therapeutic antibodies, and to certain patent rights the Company co-owns with UCSB covering PROBODY antibodies and other pro-proteins (the “UCSB Agreement”). Pursuant to the UCSB Agreement, the Company has annual minimum royalty obligations of $0.2 million under the terms of certain exclusive licensed patent rights. In April 2019, the Company entered into Amendment No.3 to the UCSB Agreement to adjust and clarify certain sublicense terms (“Amendment No.3”). Under the terms of Amendment No.3, the Company agreed to make an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w:t>
      </w:r>
    </w:p>
    <w:p>
      <w:pPr>
        <w:spacing w:after="0" w:line="19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color w:val="auto"/>
        </w:rPr>
        <w:t>In March 2024, the Company incurred $0.6 million of sublicense fees triggered by achieving the GLP toxicology studies milestone for the first clinical candidate which was nominated by Astellas in 2023, as well as by achieving the clinical candidate nomination milestone for a second collaboration target under the Astellas Agreement. In the first quarter 2025, the Company incurred $0.2 million of sublicense fees triggered by achieving the GLP toxicology studies milestone for the second clinical candidate which was nominated by Astellas in March 2024.</w:t>
      </w:r>
    </w:p>
    <w:p>
      <w:pPr>
        <w:spacing w:after="0" w:line="18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incurred sublicense expenses of $1.1 million and $1.6 million, respectively, under the provisions of the UCSB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ImmunoGen (acquired by AbbVie in 2024)</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 In exchange, the Company made an upfront license payment of $7.5 million, and will pay up to $35.0 million in certain clinical development milestones and up to $320.0 million in regulatory approval and commercial milestone payments, if achieved. ImmunoGen is also entitled to royalties on product sales ranging from the mid-to-high single digits percentages.</w:t>
      </w:r>
    </w:p>
    <w:p>
      <w:pPr>
        <w:spacing w:after="0" w:line="184"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8"/>
          <w:szCs w:val="18"/>
          <w:color w:val="auto"/>
        </w:rPr>
        <w:t>In April 2024, the Company made a $5.0 million payment of the $35.0 million in potential clinical development milestone payments to AbbVie (formerly ImmunoGen) with respect to achieving the milestone of dosing the first patient for CX-2051 under the ImmunoGen 2019 License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Seattle Genetics, Inc ("SGEN")</w:t>
      </w:r>
    </w:p>
    <w:p>
      <w:pPr>
        <w:spacing w:after="0" w:line="117"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color w:val="auto"/>
        </w:rPr>
        <w:t>In August 22, 2023, the Company entered into a Transition Agreement (the “Transition Agreement”) with AbbVie Global Enterprises Ltd. (“AbbVie”), pursuant to which the Company regained exclusive worldwide rights to develop CX-2029, a CD71-targeting conditionally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3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activated antibody drug conjugate. The Transition Agreement superseded the CD71 Co-Development and License Agreement (the “Collaboration Agreement”) entered into between the Company and AbbVie Ireland Unlimited Company (an affiliate entity of AbbVie) in 2016, that was terminated in May 2023, and granted certain intellectual property rights from AbbVie to enable the continued development of CX-2029 by the Company for all human and nonhuman diagnostic, prophylactic, and therapeutic uses. Pursuant to the Transition Agreement, the Company paid an annual license maintenance fee of $0.3 million to SGEN for certain related technology starting 2023 through the date on which licensee receives first regulatory approval in the territory for the applicable licensed product. The Company terminated the Transition Agreement in the first quarter of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color w:val="auto"/>
        </w:rPr>
        <w:t>In June 2023, the Company entered into an agreement with BVF Partners L.P. (“BVF”) for a private placement and received an aggregate net proceeds of approximately $29.7 million in July 2023, after deducting issuance costs of approximately $0.3 million. In the private placement, the Company issued pre-funded warrants to BVF to purchase up to 14,423,077 shares of common stock, accompanying Tranche 1 warrants to purchase up to 5,769,231 shares of common stock and accompanying Tranche 2 warrants to purchase up to 5,769,231 shares of common stock, at a combined price of $2.08 per share. In May 2024, BVF exercised its right to purchase 7.5 million shares of common stock through its pre-funded warrants at an exercise price of $0.00001 per share.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warrants as of March 31, 2025</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Pre-funded Warrants</w:t>
            </w:r>
          </w:p>
        </w:tc>
        <w:tc>
          <w:tcPr>
            <w:tcW w:w="26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Tranche 1 Warrants</w:t>
            </w:r>
          </w:p>
        </w:tc>
        <w:tc>
          <w:tcPr>
            <w:tcW w:w="240" w:type="dxa"/>
            <w:vAlign w:val="bottom"/>
          </w:tcPr>
          <w:p>
            <w:pPr>
              <w:spacing w:after="0"/>
              <w:rPr>
                <w:sz w:val="14"/>
                <w:szCs w:val="14"/>
                <w:color w:val="auto"/>
              </w:rPr>
            </w:pPr>
          </w:p>
        </w:tc>
        <w:tc>
          <w:tcPr>
            <w:tcW w:w="230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Tranche 2 Warrants</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46"/>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8"/>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3"/>
          </w:tcPr>
          <w:p>
            <w:pPr>
              <w:jc w:val="center"/>
              <w:ind w:right="20"/>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6"/>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8"/>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4"/>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86"/>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68"/>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4"/>
          </w:tcPr>
          <w:p>
            <w:pPr>
              <w:jc w:val="center"/>
              <w:ind w:right="160"/>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4"/>
                <w:szCs w:val="14"/>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8"/>
        </w:trPr>
        <w:tc>
          <w:tcPr>
            <w:tcW w:w="27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Warrants Outstanding</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6,923,077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58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752"/>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2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Activities for the Company’s stock option plans for the three months ended March 31, 2025 were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left="65"/>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8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ind w:right="89"/>
              <w:spacing w:after="0" w:line="14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left="25"/>
              <w:spacing w:after="0" w:line="148"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14,562,061</w:t>
            </w:r>
          </w:p>
        </w:tc>
        <w:tc>
          <w:tcPr>
            <w:tcW w:w="180" w:type="dxa"/>
            <w:vAlign w:val="bottom"/>
            <w:shd w:val="clear" w:color="auto" w:fill="CFF0FC"/>
          </w:tcPr>
          <w:p>
            <w:pPr>
              <w:spacing w:after="0"/>
              <w:rPr>
                <w:sz w:val="18"/>
                <w:szCs w:val="18"/>
                <w:color w:val="auto"/>
              </w:rPr>
            </w:pPr>
          </w:p>
        </w:tc>
        <w:tc>
          <w:tcPr>
            <w:tcW w:w="2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6.20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2,825,305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 forfeited/expired</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(608,307)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2.28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1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18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80" w:type="dxa"/>
            <w:vAlign w:val="bottom"/>
            <w:tcBorders>
              <w:top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16,779,059</w:t>
            </w:r>
          </w:p>
        </w:tc>
        <w:tc>
          <w:tcPr>
            <w:tcW w:w="1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74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5"/>
              </w:rPr>
              <w:t>5.44</w:t>
            </w:r>
          </w:p>
        </w:tc>
        <w:tc>
          <w:tcPr>
            <w:tcW w:w="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7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-306070</wp:posOffset>
            </wp:positionV>
            <wp:extent cx="679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8"/>
          <w:szCs w:val="18"/>
          <w:color w:val="auto"/>
        </w:rPr>
        <w:t>The Company recorded $1.3 million and $1.4 million of stock-based compensation expense related to the stock option plans for the three months ended March 31, 2025 and 2024,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RSUs ("TRSU")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for the Company’s TRSUs for the three months ended March 31, 2025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9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2"/>
        </w:trPr>
        <w:tc>
          <w:tcPr>
            <w:tcW w:w="7380" w:type="dxa"/>
            <w:vAlign w:val="bottom"/>
          </w:tcPr>
          <w:p>
            <w:pPr>
              <w:spacing w:after="0"/>
              <w:rPr>
                <w:sz w:val="14"/>
                <w:szCs w:val="14"/>
                <w:color w:val="auto"/>
              </w:rPr>
            </w:pPr>
          </w:p>
        </w:tc>
        <w:tc>
          <w:tcPr>
            <w:tcW w:w="194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141"/>
        </w:trPr>
        <w:tc>
          <w:tcPr>
            <w:tcW w:w="7380" w:type="dxa"/>
            <w:vAlign w:val="bottom"/>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1,853,232</w:t>
            </w:r>
          </w:p>
        </w:tc>
        <w:tc>
          <w:tcPr>
            <w:tcW w:w="84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5"/>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awarded</w:t>
            </w: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1,867,163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0.86</w:t>
            </w:r>
          </w:p>
        </w:tc>
      </w:tr>
      <w:tr>
        <w:trPr>
          <w:trHeight w:val="215"/>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RSU's vested</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(521,404)</w:t>
            </w: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5"/>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 forfeited</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(408,037)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48"/>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2,790,954</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-24765</wp:posOffset>
            </wp:positionV>
            <wp:extent cx="679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79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color w:val="auto"/>
        </w:rPr>
        <w:t>The Company recorded $0.2 million and $0.4 million of stock-based compensation expense related to the TRSUs for the three months end March 31, 2025 and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 ("PSUs")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PSU</w:t>
      </w:r>
    </w:p>
    <w:p>
      <w:pPr>
        <w:spacing w:after="0" w:line="11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7"/>
          <w:szCs w:val="17"/>
          <w:color w:val="auto"/>
        </w:rPr>
        <w:t>In February 2023, the Company granted 760,000 PSUs to executive employees with an aggregated grant date fair value of approximately $1.9 million. Vesting for 50% of the PSUs granted will occur upon attaining certain specific milestones by December 2024 (“2023-Tranche-1”), and the remaining 50% will vest upon attaining certain specific milestones by December 2025 (“2023-Tranche-2”). As of December 31, 2024, the PSUs for 2023-Tranche-1 were canceled as the related performance condition was not met by December 2024. As of March 31, 2025, the Company determined that it is probable that the performance condition will be satisfied for 2023-Tranche-2 and hence recorded $0.5 million compensation cost during the quarter ended March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PSU</w:t>
      </w:r>
    </w:p>
    <w:p>
      <w:pPr>
        <w:spacing w:after="0" w:line="115"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In January 2024, the Company granted 810,000 PSUs to executive employees with an aggregated grant date fair value of approximately $1.3 million. Vesting for 50% of the PSUs granted will occur upon attaining certain specific milestones by December 2025 (“2024-Tranche 1”), and the remaining 50% will vest upon attaining certain specific milestones by December 2026 (“2024-Tranche 2”). The Company determined that it is not probable that the performance conditions will be satisfied for each of these tranches and hence no compensation cost was recorded for these awards through March 31, 2025.</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for the Company’s PSUs for the three months ended March 31, 2025,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9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8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2"/>
        </w:trPr>
        <w:tc>
          <w:tcPr>
            <w:tcW w:w="7400" w:type="dxa"/>
            <w:vAlign w:val="bottom"/>
          </w:tcPr>
          <w:p>
            <w:pPr>
              <w:spacing w:after="0"/>
              <w:rPr>
                <w:sz w:val="14"/>
                <w:szCs w:val="14"/>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141"/>
        </w:trPr>
        <w:tc>
          <w:tcPr>
            <w:tcW w:w="740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1,190,000</w:t>
            </w:r>
          </w:p>
        </w:tc>
        <w:tc>
          <w:tcPr>
            <w:tcW w:w="84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5"/>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forfeited</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(330,000)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48"/>
        </w:trPr>
        <w:tc>
          <w:tcPr>
            <w:tcW w:w="7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860,000</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840" w:type="dxa"/>
            <w:vAlign w:val="bottom"/>
            <w:tcBorders>
              <w:top w:val="single" w:sz="8" w:color="CFF0FC"/>
              <w:bottom w:val="single" w:sz="8" w:color="CFF0FC"/>
            </w:tcBorders>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-24765</wp:posOffset>
            </wp:positionV>
            <wp:extent cx="679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79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-169545</wp:posOffset>
            </wp:positionV>
            <wp:extent cx="679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recorded was as follows:</w:t>
      </w:r>
    </w:p>
    <w:p>
      <w:pPr>
        <w:spacing w:after="0" w:line="216"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40"/>
        <w:spacing w:after="0" w:line="236"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1"/>
        </w:trPr>
        <w:tc>
          <w:tcPr>
            <w:tcW w:w="4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jc w:val="right"/>
              <w:ind w:right="35"/>
              <w:spacing w:after="0" w:line="141"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3"/>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4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563</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r>
      <w:tr>
        <w:trPr>
          <w:trHeight w:val="215"/>
        </w:trPr>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8"/>
                <w:szCs w:val="18"/>
                <w:color w:val="auto"/>
              </w:rPr>
            </w:pPr>
          </w:p>
        </w:tc>
      </w:tr>
      <w:tr>
        <w:trPr>
          <w:trHeight w:val="248"/>
        </w:trPr>
        <w:tc>
          <w:tcPr>
            <w:tcW w:w="4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4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1,907</w:t>
            </w:r>
          </w:p>
        </w:tc>
      </w:tr>
      <w:tr>
        <w:trPr>
          <w:trHeight w:val="625"/>
        </w:trPr>
        <w:tc>
          <w:tcPr>
            <w:tcW w:w="438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jc w:val="right"/>
              <w:ind w:right="1951"/>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8"/>
        </w:trPr>
        <w:tc>
          <w:tcPr>
            <w:tcW w:w="43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-928370</wp:posOffset>
            </wp:positionV>
            <wp:extent cx="679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-911225</wp:posOffset>
            </wp:positionV>
            <wp:extent cx="679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-928370</wp:posOffset>
            </wp:positionV>
            <wp:extent cx="679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-911225</wp:posOffset>
            </wp:positionV>
            <wp:extent cx="679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a full valuation allowance against its net deferred tax assets through December 31, 2024</w:t>
      </w:r>
      <w:r>
        <w:rPr>
          <w:rFonts w:ascii="Times New Roman" w:cs="Times New Roman" w:eastAsia="Times New Roman" w:hAnsi="Times New Roman"/>
          <w:sz w:val="18"/>
          <w:szCs w:val="18"/>
          <w:i w:val="1"/>
          <w:iCs w:val="1"/>
          <w:color w:val="auto"/>
        </w:rPr>
        <w:t>.</w:t>
      </w:r>
    </w:p>
    <w:p>
      <w:pPr>
        <w:spacing w:after="0" w:line="26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$4.2 million in long term liabilities for the proposed tax assessment, penalties and interest through March 31, 2025. Of the unrecognized tax benefits as of March 31, 2025, approximately $5.1 million would affect the Company’s effective tax rate if recognized. In addition, utilization of carryforward attributes and indirect federal tax effects of the assessment would result in a reduction in deferred tax assets of $5.1 million. The Company filed a protest to contest the proposed assessment in November 2023. Due to the ongoing nature of the examination and discussions with the state of California, the Company is unable to estimate a date by which this matter will be resolved.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Disclosures</w:t>
      </w:r>
    </w:p>
    <w:p>
      <w:pPr>
        <w:spacing w:after="0" w:line="22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operates as a single operating segment. The Chief Executive Officer is identified as the Chief Operating Decision Maker (CODM). The CODM primarily reviews the Company’s financial information on an aggregate basis. The CODM utilizes the aggregated financial information to make strategic decisions, assess performance, and allocate resources across the Company. The aggregate information includes the revenue by collaboration partner, research and development expense by program, as well as net income that is reported on the Statements of Operations and Comprehensive Income. Net income is used to monitor budget versus actual results in assessing performance of the segment and in establishing management's compensation. The measure of segment assets is reported on the Balance Sheets as total assets. All of the Company’s long-lived assets are located in the United States. In addition to the revenue by collaborative partners disclosed in Note 6, the CODM reviews the following significant expenses in making decisions about the allocation of resources and assessing performance (in thousands):</w:t>
      </w:r>
    </w:p>
    <w:p>
      <w:pPr>
        <w:spacing w:after="0" w:line="18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120"/>
        <w:spacing w:after="0" w:line="236"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2"/>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1"/>
        </w:trPr>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jc w:val="right"/>
              <w:ind w:right="52"/>
              <w:spacing w:after="0" w:line="141"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50,917</w:t>
            </w:r>
          </w:p>
        </w:tc>
        <w:tc>
          <w:tcPr>
            <w:tcW w:w="7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External costs incurred by product candidate (target):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CX-904 (EGFRxCD3)</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CX-2051 (EpCAM)</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18"/>
                <w:szCs w:val="18"/>
                <w:color w:val="auto"/>
              </w:rPr>
            </w:pPr>
          </w:p>
        </w:tc>
      </w:tr>
      <w:tr>
        <w:trPr>
          <w:trHeight w:val="215"/>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CX-801 (IFNα2b)</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wholly owned and partnered programs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18"/>
                <w:szCs w:val="18"/>
                <w:color w:val="auto"/>
              </w:rPr>
            </w:pPr>
          </w:p>
        </w:tc>
      </w:tr>
      <w:tr>
        <w:trPr>
          <w:trHeight w:val="215"/>
        </w:trPr>
        <w:tc>
          <w:tcPr>
            <w:tcW w:w="7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external costs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tcPr>
          <w:p>
            <w:pPr>
              <w:spacing w:after="0"/>
              <w:rPr>
                <w:sz w:val="18"/>
                <w:szCs w:val="18"/>
                <w:color w:val="auto"/>
              </w:rPr>
            </w:pPr>
          </w:p>
        </w:tc>
      </w:tr>
      <w:tr>
        <w:trPr>
          <w:trHeight w:val="215"/>
        </w:trPr>
        <w:tc>
          <w:tcPr>
            <w:tcW w:w="77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Internal costs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22,052</w:t>
            </w:r>
          </w:p>
        </w:tc>
        <w:tc>
          <w:tcPr>
            <w:tcW w:w="100" w:type="dxa"/>
            <w:vAlign w:val="bottom"/>
          </w:tcPr>
          <w:p>
            <w:pPr>
              <w:spacing w:after="0"/>
              <w:rPr>
                <w:sz w:val="18"/>
                <w:szCs w:val="18"/>
                <w:color w:val="auto"/>
              </w:rPr>
            </w:pPr>
          </w:p>
        </w:tc>
      </w:tr>
      <w:tr>
        <w:trPr>
          <w:trHeight w:val="215"/>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28,296</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100" w:type="dxa"/>
            <w:vAlign w:val="bottom"/>
          </w:tcPr>
          <w:p>
            <w:pPr>
              <w:spacing w:after="0"/>
              <w:rPr>
                <w:sz w:val="18"/>
                <w:szCs w:val="18"/>
                <w:color w:val="auto"/>
              </w:rPr>
            </w:pPr>
          </w:p>
        </w:tc>
      </w:tr>
      <w:tr>
        <w:trPr>
          <w:trHeight w:val="208"/>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100" w:type="dxa"/>
            <w:vAlign w:val="bottom"/>
            <w:shd w:val="clear" w:color="auto" w:fill="CFF0FC"/>
          </w:tcPr>
          <w:p>
            <w:pPr>
              <w:spacing w:after="0"/>
              <w:rPr>
                <w:sz w:val="18"/>
                <w:szCs w:val="18"/>
                <w:color w:val="auto"/>
              </w:rPr>
            </w:pPr>
          </w:p>
        </w:tc>
      </w:tr>
      <w:tr>
        <w:trPr>
          <w:trHeight w:val="215"/>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r>
      <w:tr>
        <w:trPr>
          <w:trHeight w:val="215"/>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08"/>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23,587</w:t>
            </w: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tcBorders>
              <w:top w:val="single" w:sz="8" w:color="CFF0FC"/>
            </w:tcBorders>
          </w:tcPr>
          <w:p>
            <w:pPr>
              <w:spacing w:after="0"/>
              <w:rPr>
                <w:sz w:val="18"/>
                <w:szCs w:val="18"/>
                <w:color w:val="auto"/>
              </w:rPr>
            </w:pPr>
          </w:p>
        </w:tc>
      </w:tr>
      <w:tr>
        <w:trPr>
          <w:trHeight w:val="215"/>
        </w:trPr>
        <w:tc>
          <w:tcPr>
            <w:tcW w:w="7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8"/>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Segment and net income</w:t>
            </w:r>
          </w:p>
        </w:tc>
        <w:tc>
          <w:tcPr>
            <w:tcW w:w="960" w:type="dxa"/>
            <w:vAlign w:val="bottom"/>
            <w:gridSpan w:val="2"/>
          </w:tcPr>
          <w:p>
            <w:pPr>
              <w:jc w:val="right"/>
              <w:ind w:right="80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5902325</wp:posOffset>
            </wp:positionH>
            <wp:positionV relativeFrom="paragraph">
              <wp:posOffset>-1576070</wp:posOffset>
            </wp:positionV>
            <wp:extent cx="679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-1576070</wp:posOffset>
            </wp:positionV>
            <wp:extent cx="679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-1294765</wp:posOffset>
            </wp:positionV>
            <wp:extent cx="679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-1294765</wp:posOffset>
            </wp:positionV>
            <wp:extent cx="679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-1013460</wp:posOffset>
            </wp:positionV>
            <wp:extent cx="679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-1013460</wp:posOffset>
            </wp:positionV>
            <wp:extent cx="679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-450850</wp:posOffset>
            </wp:positionV>
            <wp:extent cx="679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-450850</wp:posOffset>
            </wp:positionV>
            <wp:extent cx="679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5902325</wp:posOffset>
            </wp:positionH>
            <wp:positionV relativeFrom="paragraph">
              <wp:posOffset>-169545</wp:posOffset>
            </wp:positionV>
            <wp:extent cx="679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-169545</wp:posOffset>
            </wp:positionV>
            <wp:extent cx="679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23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On January 6, 2025, the Company announced a restructuring plan to streamline its organization and prioritize CX-2051 (EpCAM PROBODY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ADC), CX-801 and its activities to support its research collaborations. This plan resulted in a reduction of approximately 40% of its workforce and was substantially completed in the first quarter of 2025. The Company estimates the total restructuring charges of approximately $3.0 million, primarily related to one-time severance payments and other employee-related costs. This includes $1.8 million of</w:t>
      </w:r>
    </w:p>
    <w:p>
      <w:pPr>
        <w:sectPr>
          <w:pgSz w:w="11900" w:h="16838" w:orient="portrait"/>
          <w:cols w:equalWidth="0" w:num="1">
            <w:col w:w="11240"/>
          </w:cols>
          <w:pgMar w:left="320" w:top="761"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4"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8"/>
          <w:szCs w:val="18"/>
          <w:color w:val="auto"/>
        </w:rPr>
        <w:t>research and development expenses and $1.1 million of general and administrative expenses that were recorded during the three months ended March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activities of restructuring costs for the three months ended March 31, 2025 (in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Based Compensation</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cost recorded</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72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320" w:type="dxa"/>
            <w:vAlign w:val="bottom"/>
          </w:tcPr>
          <w:p>
            <w:pPr>
              <w:spacing w:after="0"/>
              <w:rPr>
                <w:sz w:val="18"/>
                <w:szCs w:val="18"/>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payment</w:t>
            </w: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(1,974)</w:t>
            </w:r>
          </w:p>
        </w:tc>
        <w:tc>
          <w:tcPr>
            <w:tcW w:w="7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15"/>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estimates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5"/>
        </w:trPr>
        <w:tc>
          <w:tcPr>
            <w:tcW w:w="3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charges</w:t>
            </w: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right"/>
              <w:ind w:right="1335"/>
              <w:spacing w:after="0"/>
              <w:rPr>
                <w:sz w:val="20"/>
                <w:szCs w:val="20"/>
                <w:color w:val="auto"/>
              </w:rPr>
            </w:pPr>
            <w:r>
              <w:rPr>
                <w:rFonts w:ascii="Times New Roman" w:cs="Times New Roman" w:eastAsia="Times New Roman" w:hAnsi="Times New Roman"/>
                <w:sz w:val="18"/>
                <w:szCs w:val="18"/>
                <w:color w:val="auto"/>
                <w:w w:val="88"/>
              </w:rPr>
              <w:t>21</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37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-1073150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-1073150</wp:posOffset>
            </wp:positionV>
            <wp:extent cx="679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-1073150</wp:posOffset>
            </wp:positionV>
            <wp:extent cx="679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2024, included in our Annual Report on Form 10-K as filed with the U.S. Securities and Exchange Commission (“SEC”) on March 6, 2025.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focused on developing novel, conditionally activated, masked biologics designed to be preferentially unmasked and activated in the tumor microenvironment. We aim to build a commercial enterprise to maximize our impact on the treatment of cancer. By pioneering a novel class of localized biologic drug candidates, powered by our PROBODY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therapeutic technology platform, we are a leader in the field of masked, conditionally activated oncology therapeutics and have established biologics localization as a strategic area of research and development in the biopharmaceutical industry. Our vision is to transform lives with safer, more effective therapies with the goal to address major unmet needs in oncology.</w:t>
      </w:r>
    </w:p>
    <w:p>
      <w:pPr>
        <w:spacing w:after="0" w:line="2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proprietary, versatile, multi-modality PROBODY technology platform is designed to enable conditional activation of potent masked biologic therapeutic candidates within the tumor microenvironment while minimizing drug activity in healthy tissues and circulation. Our platform is built on a strong foundation of tumor biology expertise, including deep knowledge of tumor-associated enzymes known as proteases. Proteases are tightly controlled in normal tissues but often dysregulated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w:t>
      </w:r>
    </w:p>
    <w:p>
      <w:pPr>
        <w:spacing w:after="0" w:line="21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We are employing our leading, masking platform technology to address some of the biggest challenges in oncology biologics research and development. These include the validation of potential new targets for antibody-drug conjugates (“ADCs”), increasing the therapeutic index for immune modulators such as cytokines, and opening therapeutic window for novel T-cell engagers (“TCEs”) targeting solid tumors.</w:t>
      </w: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have utilized our PROBODY therapeutic platform and masking technology to build a promising pipeline of potential first-in-class and best-in-class clinical-stage molecules. These are CX-2051, an investigational, conditionally activated ADC targeting epithelial cell adhesion molecule (“EpCAM”), and CX-801, an investigational, masked version of interferon alpha-2b (“IFNα2b”). Our current clinical-stage molecules address targets or mechanisms that have been previously validated as having anti-cancer activity but have been limited in their utilization due to systemic toxicities. We have incorporated our significant, multi-modality masking, conditional activation expertise and clinical learnings to optimize predicted therapeutic index and the clinical potential of these promising agents through tumor localized, conditional activation.</w:t>
      </w:r>
    </w:p>
    <w:p>
      <w:pPr>
        <w:spacing w:after="0" w:line="22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CX-2051, a conditionally activated, PROBODY ADC, targets EpCAM. High expression of EpCAM has been documented in many tumor types, including colorectal cancer (“CRC”). The CX-2051 payload, a next generation topoisomerase-1 inhibitor payload licensed from AbbVie (formerly ImmunoGen), is tailored to have anti-tumor activity against multiple EpCAM-expressing indications, including colorectal cancer. The payload-antibody linker we selected for CX-2051 is designed to drive bystander killing of neighboring tumor cells, contributing to anti-tumor activity. The design of CX-2051 is intended to establish a clinically meaningful therapeutic window for the systemic treatment of EpCAM-expressing cancers where previous industry efforts targeting EpCAM have not been successful due to dose-limiting toxicities. CX-2051 has demonstrated strong preclinical activity and tolerability in multiple preclinical models, including colorectal cancer.</w:t>
      </w:r>
    </w:p>
    <w:p>
      <w:pPr>
        <w:spacing w:after="0" w:line="21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IND for CX-2051 was allowed to proceed by the FDA in January 2024 and a Phase 1 clinical trial of CX-2051 in patients with EpCAM expressing solid tumors, with an initial focus in CRC, was commenced in April 2024. No pre-screening of CRC patients based on tumor EpCAM expression is being conducted because of anticipated high and uniform EpCAM expression in CRC. As of May 2025, the Phase 1 study had reached the seventh dose escalation level.</w:t>
      </w:r>
    </w:p>
    <w:p>
      <w:pPr>
        <w:spacing w:after="0" w:line="261"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In May 2025, the Company announced positive interim Phase 1 data as of an April 7, 2025 data cutoff in advanced metastatic colorectal cancer. The data encompassed certain results from 25 CRC patients treated with CX-2051 at 5 dose levels ranging from 2.4 mg/kg to 10 mg/kg, administered every three weeks (“Q3W”). The 2.4 mg/kg and 4.8 mg/kg doses were single patient dose escalation cohorts not anticipated to be therapeutically active. At the 7.2 mg/kg, 8.6 mg/kg, and 10 mg/kg doses, 23 patients were treated, 18 of whom were efficacy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3" w:name="page24"/>
    <w:bookmarkEnd w:id="23"/>
    <w:p>
      <w:pPr>
        <w:ind w:right="240"/>
        <w:spacing w:after="0" w:line="264" w:lineRule="auto"/>
        <w:rPr>
          <w:sz w:val="20"/>
          <w:szCs w:val="20"/>
          <w:color w:val="auto"/>
        </w:rPr>
      </w:pPr>
      <w:r>
        <w:rPr>
          <w:rFonts w:ascii="Times New Roman" w:cs="Times New Roman" w:eastAsia="Times New Roman" w:hAnsi="Times New Roman"/>
          <w:sz w:val="18"/>
          <w:szCs w:val="18"/>
          <w:color w:val="auto"/>
        </w:rPr>
        <w:t>evaluable, having had at least one post-baseline tumor assessment as of the data cutoff. Patients enrolled in the study at the time of data cutoff had previously received a median of 4 prior lines of therapy and all patients had previously been treated with irinotecan. 64% of patients had liver metastases, 64% had KRAS mutations, and 96% were microsatellite stable. Patients were not preselected based on EpCAM expression levels.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the data cutoff, 18 patients were efficacy-evaluable at the expansion doses of 7.2 mg/kg, 8.6 mg/kg, and 10 mg/kg Q3W. The overall response rate across these cohorts was 28%, five of eighteen (5/18) patients demonstrated confirmed partial RECIST v1.1 responses. Three of seven (3/7) efficacy evaluable patients at the dose of 10 mg/kg Q3W demonstrated confirmed partial responses per RECIST v1.1. The disease control rate, including responding patients and patients with stable disease was 94% (17/18). Preliminary median progression free survival (PFS) was 5.8 months as of the data cutoff with 10 of 18 patients remaining on study treatment.</w:t>
      </w:r>
    </w:p>
    <w:p>
      <w:pPr>
        <w:spacing w:after="0" w:line="2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the data cutoff, 25 patients were evaluable for safety. CX-2051 was generally well-tolerated as of the data cutoff with manageable adverse events, with no dose limiting toxicities. Most treatment related adverse events (TRAEs) were Grade 1 or Grade 2 in severity. The most common reported TRAEs were diarrhea (18 patients, 5 Grade 3), nausea (11 patients, 1 Grade 3), vomiting (8 patients, No Grade 3), fatigue (8 patients, 1 Grade 3), anemia (5 patients, 3 Grade 3), hypokalemia (3 patients, 1 Grade 3), neutrophil count decrease (2 patients, 2 Grade 3) and neutropenia (2 patients, 1 Grade 3). TRAEs included serious adverse events in 5 patients (1 Grade 2, 4 Grade 3). No Grade 4 or 5 TRAEs were observed. No events of interstitial lung disease or febrile neutropenia were reported as of the data cutoff.</w:t>
      </w:r>
    </w:p>
    <w:p>
      <w:pPr>
        <w:spacing w:after="0" w:line="25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The Company announced that it has commenced CX-2051 dose expansions at the 7.2 mg/kg, 8.6 mg/kg, and 10 mg/kg doses Q3W with the goal to enroll a total of approximately 20 patients at each dose level. The Company expects to provide an additional Phase 1 data update in the first quarter of 2026. The Company is planning initiation of a Phase 2 study in colorectal cancer in the first half of 2026.</w:t>
      </w:r>
    </w:p>
    <w:p>
      <w:pPr>
        <w:spacing w:after="0" w:line="21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CX-801 is our PROBODY interferon ("IFN") alpha(a)-2b clinical program. IFNα2b provides a potentially superior approach to activating anti-tumor immune responses than other cytokines. CX-801 is a dually masked, conditionally activated version of IFNα2b that has the potential to become a cornerstone of combination therapy for a wide range of tumor types. The IND for CX-801 was allowed to proceed by the FDA in January 2024, and in the third quarter of 2024 the first patient was dosed in the CX-801 Phase 1 dose escalation study in solid tumors. The Phase 1 dose escalation study is focused on patients with advanced melanoma. In Phase 1 dose escalation, the study will evaluate safety, translational biomarkers and signs of clinical activity for CX-801 monotherapy and in combination with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second quarter of 2024, CytomX announced a clinical collaboration with Merck to supply KEYTRUDA for evaluation of its combination with CX-801 in the Phase 1 study. The Phase 1 study is currently in the fourth monotherapy dose escalation cohort where the dose of CX-801 exceeds the approved dose of the unmasked peginterferon alfa-2b (SYLATRON™). Initial Phase 1a clinical and translational data in patients with advanced melanoma is expected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-632460</wp:posOffset>
            </wp:positionV>
            <wp:extent cx="285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also active in the research and development of PROBODY T-cell Engagers. In 2022, we advanced our first TCE into the clinic. CX-904, which was partnered with Amgen, is a conditionally activated TCE against EGFR and CD3. In preclinical studies, CytomX’s PROBODY EGFRxCD3 TCE demonstrated anti-tumor activity and better tolerability when compared to TCEs without PROBODY masking. In May 2022, the first patient was dosed in a Phase 1 study evaluating CX-904 as a treatment for patients with advanced solid tumors. As of the end of 2024, the Phase 1 study of CX-904 had enrolled over 70 patients and a maximum tolerated dose had not been reached. In March 2025, based on CX-904 clinical observations to-date as well as CytomX pipeline priorities, CytomX and Amgen jointly decided to not further develop the CX-904 program.</w:t>
      </w:r>
    </w:p>
    <w:p>
      <w:pPr>
        <w:spacing w:after="0" w:line="22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color w:val="auto"/>
        </w:rPr>
        <w:t>We are also continuously engaged in drug discovery efforts towards the generation of new clinical candidates across multiple modalities for the treatment of cancer, including additional ADCs, Cytokines, TCEs, and mRNAs reflecting the versatility of our PROBODY platform.</w:t>
      </w:r>
    </w:p>
    <w:p>
      <w:pPr>
        <w:spacing w:after="0" w:line="230"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8"/>
          <w:szCs w:val="18"/>
          <w:color w:val="auto"/>
        </w:rPr>
        <w:t>We do not have any products approved for sale, and we continue to incur significant research and development as well as general and administrative expenses related to our operations.</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84"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January 6, 2025, we announced a restructuring plan (the “2025 Restructuring Plan”) to streamline our organization and prioritize CX-2051, CX-801 and our activities to support our research collaborations. The restructuring plan resulted in a reduction of approximately 40% of our workforce and was substantially completed in the first quarter of 2025. We estimate the total restructuring charges of approximately $3.0 million, primarily related to one-time severance payments and other employee-related costs. This includes $1.8 million of research and development expenses and $1.1 million of general and administrative expenses that were recorded during the three months ended March 31,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of March 31, 2025 and December 31, 2024, we had an accumulated deficit of $668.1 million and $691.6 million, respectively, and cash, cash equivalents and short-term investments of $79.9 million and $100.6 million, respectively. Our current operating plan and projected cash outflows for the upcoming periods raise doubt about our ability to continue as a going concern for at least 12 months from the issuance of the financial statements included elsewhere in this Quarterly Report. We will need to raise additional capital to fund continued operations beyond the second quarter of 2026. We have implemented a restructuring plan to reduce our workforce by 40% which was substantially completed in the first quarter of 2025, to extend our cash runway. We are also taking steps to identify access to future capital and expect to be able to access capital in the future. However, there can be no assurance that any additional financing will be available to us on acceptable terms, if at all. If events or circumstances occur such that we do not obtain additional funding, it may be necessary to significantly reduce the scope of operations to reduce the current rate of spending, which could include further reductions in staff and the need to delay, limit, reduce or terminate current or future product development, which could have a material adverse effect on our business, results of operations and financial condition. Moreover, even if financing efforts are successful and additional capital is obtained, available liquidity may still be insufficient to eliminate the aforementioned substantial doubt regarding our ability to continue as a going concern.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2024. Except as noted in the revenue discussion below, there have been no material changes to our critical accounting policies and estimates for the three months ended March 31,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is also recognized over the performance period based on a similar method.</w:t>
      </w:r>
    </w:p>
    <w:p>
      <w:pPr>
        <w:spacing w:after="0" w:line="21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9"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25" w:name="page26"/>
    <w:bookmarkEnd w:id="25"/>
    <w:p>
      <w:pPr>
        <w:ind w:right="60"/>
        <w:spacing w:after="0" w:line="259" w:lineRule="auto"/>
        <w:rPr>
          <w:sz w:val="20"/>
          <w:szCs w:val="20"/>
          <w:color w:val="auto"/>
        </w:rPr>
      </w:pPr>
      <w:r>
        <w:rPr>
          <w:rFonts w:ascii="Times New Roman" w:cs="Times New Roman" w:eastAsia="Times New Roman" w:hAnsi="Times New Roman"/>
          <w:sz w:val="18"/>
          <w:szCs w:val="18"/>
          <w:color w:val="auto"/>
        </w:rPr>
        <w:t>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9"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9"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auto"/>
        </w:rPr>
        <w:t>Interest income primarily consists of interest income from our cash equivalents and investments, and accretion of discounts or amortization of premiums on our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gains and losses resulting from changes to currency exchange rates.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84"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collaboration partner during the respective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60" w:type="dxa"/>
            <w:vAlign w:val="bottom"/>
            <w:gridSpan w:val="3"/>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2"/>
        </w:trPr>
        <w:tc>
          <w:tcPr>
            <w:tcW w:w="66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1"/>
        </w:trPr>
        <w:tc>
          <w:tcPr>
            <w:tcW w:w="666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7"/>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53"/>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r>
      <w:tr>
        <w:trPr>
          <w:trHeight w:val="141"/>
        </w:trPr>
        <w:tc>
          <w:tcPr>
            <w:tcW w:w="6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57"/>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5"/>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Amgen</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120" w:type="dxa"/>
            <w:vAlign w:val="bottom"/>
            <w:shd w:val="clear" w:color="auto" w:fill="CFF0FC"/>
          </w:tcPr>
          <w:p>
            <w:pPr>
              <w:spacing w:after="0"/>
              <w:rPr>
                <w:sz w:val="18"/>
                <w:szCs w:val="18"/>
                <w:color w:val="auto"/>
              </w:rPr>
            </w:pPr>
          </w:p>
        </w:tc>
      </w:tr>
      <w:tr>
        <w:trPr>
          <w:trHeight w:val="215"/>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Astellas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(6,006)</w:t>
            </w:r>
          </w:p>
        </w:tc>
      </w:tr>
      <w:tr>
        <w:trPr>
          <w:trHeight w:val="215"/>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Bristol Myers Squibb</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30,364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120" w:type="dxa"/>
            <w:vAlign w:val="bottom"/>
            <w:shd w:val="clear" w:color="auto" w:fill="CFF0FC"/>
          </w:tcPr>
          <w:p>
            <w:pPr>
              <w:spacing w:after="0"/>
              <w:rPr>
                <w:sz w:val="18"/>
                <w:szCs w:val="18"/>
                <w:color w:val="auto"/>
              </w:rPr>
            </w:pPr>
          </w:p>
        </w:tc>
      </w:tr>
      <w:tr>
        <w:trPr>
          <w:trHeight w:val="215"/>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Regeneron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(779)</w:t>
            </w:r>
          </w:p>
        </w:tc>
      </w:tr>
      <w:tr>
        <w:trPr>
          <w:trHeight w:val="215"/>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Moderna</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(2,698)</w:t>
            </w:r>
          </w:p>
        </w:tc>
      </w:tr>
      <w:tr>
        <w:trPr>
          <w:trHeight w:val="20"/>
        </w:trPr>
        <w:tc>
          <w:tcPr>
            <w:tcW w:w="666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00" w:type="dxa"/>
            <w:vAlign w:val="bottom"/>
          </w:tcPr>
          <w:p>
            <w:pPr>
              <w:jc w:val="right"/>
              <w:ind w:right="6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50,917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2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-169545</wp:posOffset>
            </wp:positionV>
            <wp:extent cx="67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-169545</wp:posOffset>
            </wp:positionV>
            <wp:extent cx="679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7061200</wp:posOffset>
            </wp:positionH>
            <wp:positionV relativeFrom="paragraph">
              <wp:posOffset>-169545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revenue of $9.5 million for the three months ended March 31, 2025, compared to the corresponding period of 2024 was primarily due to:</w:t>
      </w:r>
    </w:p>
    <w:p>
      <w:pPr>
        <w:spacing w:after="0" w:line="129" w:lineRule="exact"/>
        <w:rPr>
          <w:sz w:val="20"/>
          <w:szCs w:val="20"/>
          <w:color w:val="auto"/>
        </w:rPr>
      </w:pPr>
    </w:p>
    <w:p>
      <w:pPr>
        <w:ind w:left="1020" w:right="60" w:hanging="504"/>
        <w:spacing w:after="0" w:line="25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BMS Agreement driven by higher percentage of completion of the existing targets. The contractual research term under the BMS Agreement concludes in the second quarter of 2025, at which point the performance obligation and corresponding revenue recognition are expected to be complete and BMS will be responsible for the future research and development of the collaboration programs;</w:t>
      </w:r>
    </w:p>
    <w:p>
      <w:pPr>
        <w:spacing w:after="0" w:line="72" w:lineRule="exact"/>
        <w:rPr>
          <w:rFonts w:ascii="Times New Roman" w:cs="Times New Roman" w:eastAsia="Times New Roman" w:hAnsi="Times New Roman"/>
          <w:sz w:val="18"/>
          <w:szCs w:val="18"/>
          <w:color w:val="auto"/>
        </w:rPr>
      </w:pPr>
    </w:p>
    <w:p>
      <w:pPr>
        <w:jc w:val="both"/>
        <w:ind w:left="1020" w:right="40" w:hanging="504"/>
        <w:spacing w:after="0" w:line="264"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Amgen Agreement due to a cumulative adjustment from a change in estimate of $8.4 million resulting from Amgen terminating its license to the EGFR Product in March 2025. The $0.3 million remaining deferred revenue is expected to be recognized in the 2nd quarter of 2025;</w:t>
      </w:r>
    </w:p>
    <w:p>
      <w:pPr>
        <w:spacing w:after="0" w:line="68" w:lineRule="exact"/>
        <w:rPr>
          <w:rFonts w:ascii="Times New Roman" w:cs="Times New Roman" w:eastAsia="Times New Roman" w:hAnsi="Times New Roman"/>
          <w:sz w:val="18"/>
          <w:szCs w:val="18"/>
          <w:color w:val="auto"/>
        </w:rPr>
      </w:pPr>
    </w:p>
    <w:p>
      <w:pPr>
        <w:ind w:left="1020" w:right="320" w:hanging="504"/>
        <w:spacing w:after="0" w:line="27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Astellas Agreement primarily driven by higher preclinical milestone payments in the first quarter of 2024 compared to the first quarter of 2025; and</w:t>
      </w:r>
    </w:p>
    <w:p>
      <w:pPr>
        <w:spacing w:after="0" w:line="55"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Moderna Agreement driven by Moderna's budget considerations in 2025 where the $9.3 million of remaining deferred revenue is expected to be recognized primarily in 2026 and 2027.</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incurred during the respective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80" w:type="dxa"/>
            <w:vAlign w:val="bottom"/>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6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66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33"/>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External costs incurred by product candidate (target):</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CX-904 (EGFRxCD3)</w:t>
            </w:r>
          </w:p>
        </w:tc>
        <w:tc>
          <w:tcPr>
            <w:tcW w:w="78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CX-2051 (EpCAM)</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CX-801 (IFNα2b)</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wholly owned and partnered programs</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15"/>
        </w:trPr>
        <w:tc>
          <w:tcPr>
            <w:tcW w:w="66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0"/>
        </w:trPr>
        <w:tc>
          <w:tcPr>
            <w:tcW w:w="666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external costs</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(3,694)</w:t>
            </w:r>
          </w:p>
        </w:tc>
        <w:tc>
          <w:tcPr>
            <w:tcW w:w="0" w:type="dxa"/>
            <w:vAlign w:val="bottom"/>
          </w:tcPr>
          <w:p>
            <w:pPr>
              <w:spacing w:after="0"/>
              <w:rPr>
                <w:sz w:val="1"/>
                <w:szCs w:val="1"/>
                <w:color w:val="auto"/>
              </w:rPr>
            </w:pPr>
          </w:p>
        </w:tc>
      </w:tr>
      <w:tr>
        <w:trPr>
          <w:trHeight w:val="215"/>
        </w:trPr>
        <w:tc>
          <w:tcPr>
            <w:tcW w:w="666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Internal costs</w:t>
            </w:r>
          </w:p>
        </w:tc>
        <w:tc>
          <w:tcPr>
            <w:tcW w:w="7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80" w:type="dxa"/>
            <w:vAlign w:val="bottom"/>
          </w:tcPr>
          <w:p>
            <w:pPr>
              <w:jc w:val="right"/>
              <w:ind w:right="65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-450850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-450850</wp:posOffset>
            </wp:positionV>
            <wp:extent cx="679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-450850</wp:posOffset>
            </wp:positionV>
            <wp:extent cx="679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-169545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-169545</wp:posOffset>
            </wp:positionV>
            <wp:extent cx="679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-169545</wp:posOffset>
            </wp:positionV>
            <wp:extent cx="679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3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color w:val="auto"/>
        </w:rPr>
        <w:t>Research and development expenses decreased by $3.2 million for the three months ended March 31, 2025, compared to the corresponding period of 2024 primarily due to reduced pre-clinical activities in the wholly owned and partnered programs and decreased manufacturing activities for CX-801, partially offset by increased clinical trial activities related to CX-2051 and CX-801, and $1.8 million restructuring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expenses which were primarily included in internal costs. We expect program development expenses in future quarters to be primarily focused in CX-2051.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2"/>
        </w:trPr>
        <w:tc>
          <w:tcPr>
            <w:tcW w:w="4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1"/>
        </w:trPr>
        <w:tc>
          <w:tcPr>
            <w:tcW w:w="4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4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141"/>
        </w:trPr>
        <w:tc>
          <w:tcPr>
            <w:tcW w:w="4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104"/>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9,428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1,674</w:t>
            </w:r>
          </w:p>
        </w:tc>
      </w:tr>
    </w:tbl>
    <w:p>
      <w:pPr>
        <w:spacing w:after="0" w:line="17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increased by $1.7 million for the three months ended March 31, 2025, compared to the corresponding period of 2024, primarily driven by $1.1 million of restructuring expenses as well as other personnel related expenses. We expect general and administrative related personnel expenses to decrease in future quarters of 2025 due to one-time restructuring costs incurred in the first quarter of 2025 and lower headcount as a result of the January 2025 restructuring.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2025, we recognized aggregate restructuring cost of approximately $2.9 million, primarily related to severance and benefits. This included $1.8 million in research and development expenses and $1.1 million in general and administrative expenses. The total restructuring cost is expected to be approximately $3.0 million, with the remaining costs expected to be incurred in the three months ended June 30, 2025. The restructuring was substantially completed in the first quarter of 2025.</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Other Income (Expense), Net</w:t>
      </w:r>
    </w:p>
    <w:tbl>
      <w:tblPr>
        <w:tblLayout w:type="fixed"/>
        <w:tblInd w:w="0" w:type="dxa"/>
        <w:tblCellMar>
          <w:top w:w="0" w:type="dxa"/>
          <w:left w:w="0" w:type="dxa"/>
          <w:bottom w:w="0" w:type="dxa"/>
          <w:right w:w="0" w:type="dxa"/>
        </w:tblCellMar>
      </w:tblPr>
      <w:tr>
        <w:trPr>
          <w:trHeight w:val="151"/>
        </w:trPr>
        <w:tc>
          <w:tcPr>
            <w:tcW w:w="47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2"/>
        </w:trPr>
        <w:tc>
          <w:tcPr>
            <w:tcW w:w="4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1"/>
        </w:trPr>
        <w:tc>
          <w:tcPr>
            <w:tcW w:w="4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40" w:type="dxa"/>
            <w:vAlign w:val="bottom"/>
            <w:tcBorders>
              <w:bottom w:val="single" w:sz="8" w:color="auto"/>
            </w:tcBorders>
          </w:tcPr>
          <w:p>
            <w:pPr>
              <w:jc w:val="right"/>
              <w:ind w:right="48"/>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35"/>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141"/>
        </w:trPr>
        <w:tc>
          <w:tcPr>
            <w:tcW w:w="4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5"/>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8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(1,239)</w:t>
            </w:r>
          </w:p>
        </w:tc>
      </w:tr>
      <w:tr>
        <w:trPr>
          <w:trHeight w:val="215"/>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income and other expense</w:t>
            </w:r>
          </w:p>
        </w:tc>
        <w:tc>
          <w:tcPr>
            <w:tcW w:w="28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(1,217)</w:t>
            </w: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-24765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-24765</wp:posOffset>
            </wp:positionV>
            <wp:extent cx="679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-7620</wp:posOffset>
            </wp:positionV>
            <wp:extent cx="679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79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79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8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auto"/>
        </w:rPr>
        <w:t>Interest income decreased by $1.2 million during the three months ended March 31, 2025 compared to the corresponding period of 2024. The decrease was primarily driven by lower interest rates and the lower cash and cash equivalents and short-term investments position.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tbl>
      <w:tblPr>
        <w:tblLayout w:type="fixed"/>
        <w:tblInd w:w="0" w:type="dxa"/>
        <w:tblCellMar>
          <w:top w:w="0" w:type="dxa"/>
          <w:left w:w="0" w:type="dxa"/>
          <w:bottom w:w="0" w:type="dxa"/>
          <w:right w:w="0" w:type="dxa"/>
        </w:tblCellMar>
      </w:tblPr>
      <w:tr>
        <w:trPr>
          <w:trHeight w:val="151"/>
        </w:trPr>
        <w:tc>
          <w:tcPr>
            <w:tcW w:w="6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2"/>
        </w:trPr>
        <w:tc>
          <w:tcPr>
            <w:tcW w:w="66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1"/>
        </w:trPr>
        <w:tc>
          <w:tcPr>
            <w:tcW w:w="6660" w:type="dxa"/>
            <w:vAlign w:val="bottom"/>
          </w:tcPr>
          <w:p>
            <w:pPr>
              <w:spacing w:after="0"/>
              <w:rPr>
                <w:sz w:val="12"/>
                <w:szCs w:val="12"/>
                <w:color w:val="auto"/>
              </w:rPr>
            </w:pPr>
          </w:p>
        </w:tc>
        <w:tc>
          <w:tcPr>
            <w:tcW w:w="980" w:type="dxa"/>
            <w:vAlign w:val="bottom"/>
            <w:tcBorders>
              <w:bottom w:val="single" w:sz="8" w:color="auto"/>
            </w:tcBorders>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84"/>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r>
      <w:tr>
        <w:trPr>
          <w:trHeight w:val="141"/>
        </w:trPr>
        <w:tc>
          <w:tcPr>
            <w:tcW w:w="6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64"/>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5"/>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8"/>
                <w:szCs w:val="18"/>
                <w:color w:val="auto"/>
              </w:rPr>
            </w:pPr>
          </w:p>
        </w:tc>
      </w:tr>
    </w:tbl>
    <w:p>
      <w:pPr>
        <w:spacing w:after="0" w:line="30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auto"/>
        </w:rPr>
        <w:t>The $0.1 million tax provision represented the interest accrued for the three months ended March 31,2025 related to the proposed assessment received from the state of California for the years 2017 and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March 31, 2025, we had cash, cash equivalents and short-term investments of $79.9 million and an accumulated deficit of $668.1 million, compared to cash, cash equivalents and short-term investments of $100.6 million and an accumulated deficit of $691.6 million as of December 31, 2024. 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In July 2023, we completed a private placement and issued pre-funded warrants to purchase an aggregate of 14,423,077 shares of common stock, accompanying Tranche 1 warrants to purchase up to 5,769,231 shares of common stock and accompanying Tranche 2 warrants to purchase up to 5,769,231 shares of common stock, at a combined price of $2.08 per share. We received gross proceeds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28" w:name="page29"/>
    <w:bookmarkEnd w:id="28"/>
    <w:p>
      <w:pPr>
        <w:jc w:val="both"/>
        <w:ind w:right="340"/>
        <w:spacing w:after="0" w:line="264" w:lineRule="auto"/>
        <w:rPr>
          <w:sz w:val="20"/>
          <w:szCs w:val="20"/>
          <w:color w:val="auto"/>
        </w:rPr>
      </w:pPr>
      <w:r>
        <w:rPr>
          <w:rFonts w:ascii="Times New Roman" w:cs="Times New Roman" w:eastAsia="Times New Roman" w:hAnsi="Times New Roman"/>
          <w:sz w:val="18"/>
          <w:szCs w:val="18"/>
          <w:color w:val="auto"/>
        </w:rPr>
        <w:t>approximately $30.0 million. In March 2024, we achieved a clinical candidate milestone for a second collaboration target as well as the GLP toxicology studies milestone for the first collaboration target nominated in January 2023 under the Astellas Agreement; as a result, we collected the two milestone payments totaling $10.0 million in April 2024.</w:t>
      </w:r>
    </w:p>
    <w:p>
      <w:pPr>
        <w:spacing w:after="0" w:line="69" w:lineRule="exact"/>
        <w:rPr>
          <w:sz w:val="20"/>
          <w:szCs w:val="20"/>
          <w:color w:val="auto"/>
        </w:rPr>
      </w:pPr>
    </w:p>
    <w:p>
      <w:pPr>
        <w:ind w:right="640"/>
        <w:spacing w:after="0" w:line="279" w:lineRule="auto"/>
        <w:rPr>
          <w:sz w:val="20"/>
          <w:szCs w:val="20"/>
          <w:color w:val="auto"/>
        </w:rPr>
      </w:pPr>
      <w:r>
        <w:rPr>
          <w:rFonts w:ascii="Times New Roman" w:cs="Times New Roman" w:eastAsia="Times New Roman" w:hAnsi="Times New Roman"/>
          <w:sz w:val="18"/>
          <w:szCs w:val="18"/>
          <w:color w:val="auto"/>
        </w:rPr>
        <w:t>In the first quarter of 2025, we achieved the GLP toxicology studies for the second collaboration target nominated in March 2024 under the Astellas Agreement; as a result, we collected the $5.0 million milestone payment in March 2025.</w:t>
      </w:r>
    </w:p>
    <w:p>
      <w:pPr>
        <w:spacing w:after="0" w:line="163"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8"/>
          <w:szCs w:val="18"/>
          <w:color w:val="auto"/>
        </w:rPr>
        <w:t>On January 6, 2025, we announced the 2025 Restructuring Plan to streamline our organization and prioritize CX-2051 investment and activities to support our research collaborations. The restructuring plan resulted in a reduction to our workforce by approximately 40% and was substantially completed in the first quarter of 2025.</w:t>
      </w:r>
    </w:p>
    <w:p>
      <w:pPr>
        <w:spacing w:after="0" w:line="17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In February 2020, we initiated an at-the-market offering program (“ATM”) pursuant to a sales agreement with Jefferies, LLC (as amended on March 4, 2022 and August 9, 2024, the "Sales Agreement"). In 2024, we sold 3,925,202 shares at a weighted average price of $1.8 per share under our at-the-market ("ATM") offering and received net proceeds of approximately $6.9 million after deducting the 3.0% sales commission and related issuance cost. For the three months ended March 31, 2025, we did not sell any shares under the ATM.</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 and liquidity requirements, we expect our existing capital resources will be sufficient to fund operations into the second quarter of 2026. We have implemented a restructuring plan to streamline our organization and reduce costs, which included a 40% reduction of our workforce and revised capital allocation priorities, which was substantially completed in the first quarter of 2025. We are also evaluating available financing opportunities to improve our liquidity profile. However, there can be no assurance that the restructuring will achieve our anticipated operating results, or that additional financing will be available on acceptable terms, if at all.</w:t>
      </w:r>
    </w:p>
    <w:p>
      <w:pPr>
        <w:spacing w:after="0" w:line="18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In addition, we will need to raise additional capital to fund our operation beyond the second quarter of 2026 and we are taking steps to identify access to future capital, and expect to be able to access capital in the future. There can be no assurance, however, that such efforts will be successful; or if they are successful, that the terms and conditions of such financing will be favorable to us.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320"/>
        <w:spacing w:after="0" w:line="236"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141"/>
        </w:trPr>
        <w:tc>
          <w:tcPr>
            <w:tcW w:w="54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7"/>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7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41"/>
        </w:trPr>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780" w:type="dxa"/>
            <w:vAlign w:val="bottom"/>
          </w:tcPr>
          <w:p>
            <w:pPr>
              <w:spacing w:after="0"/>
              <w:rPr>
                <w:sz w:val="12"/>
                <w:szCs w:val="12"/>
                <w:color w:val="auto"/>
              </w:rPr>
            </w:pPr>
          </w:p>
        </w:tc>
      </w:tr>
      <w:tr>
        <w:trPr>
          <w:trHeight w:val="215"/>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(21,043)</w:t>
            </w:r>
          </w:p>
        </w:tc>
        <w:tc>
          <w:tcPr>
            <w:tcW w:w="3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(26,045)</w:t>
            </w:r>
          </w:p>
        </w:tc>
      </w:tr>
      <w:tr>
        <w:trPr>
          <w:trHeight w:val="21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44,885</w:t>
            </w:r>
          </w:p>
        </w:tc>
      </w:tr>
      <w:tr>
        <w:trPr>
          <w:trHeight w:val="215"/>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8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-169545</wp:posOffset>
            </wp:positionV>
            <wp:extent cx="425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6021070</wp:posOffset>
            </wp:positionH>
            <wp:positionV relativeFrom="paragraph">
              <wp:posOffset>-169545</wp:posOffset>
            </wp:positionV>
            <wp:extent cx="425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2025, cash used in operating activities was $21.0 million, which consisted of a net income of $23.5 million and non-cash charges of $3.0 million, adjusted by a net decrease of $47.5 million relating to the change of our net operating assets and liabilities. The non-cash charges primarily consisted of $2.0 million in stock-based compensation, $1.1 million in non-cash lease expense, $0.4 million in depreciation and amortization, partially offset by $0.5 million in accretion of discounts on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9" w:name="page30"/>
    <w:bookmarkEnd w:id="29"/>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$44.6 million in deferred revenue resulting from the continued recognition of deferred revenue from existing customers;</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$2.8 million in accounts payable, accrued and other long-term liabilities primarily due to timing of payments; and</w:t>
      </w:r>
    </w:p>
    <w:p>
      <w:pPr>
        <w:spacing w:after="0" w:line="115" w:lineRule="exact"/>
        <w:rPr>
          <w:rFonts w:ascii="Times New Roman" w:cs="Times New Roman" w:eastAsia="Times New Roman" w:hAnsi="Times New Roman"/>
          <w:sz w:val="18"/>
          <w:szCs w:val="18"/>
          <w:color w:val="auto"/>
        </w:rPr>
      </w:pPr>
    </w:p>
    <w:p>
      <w:pPr>
        <w:ind w:left="1020" w:right="100" w:hanging="503"/>
        <w:spacing w:after="0" w:line="279"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decrease of $1.2 million in cashflows from prepaid and other current assets primarily due to increase in advance payments, partially offset by</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in cashflows from accounts receivable primarily due to timing of collection of service revenue.</w:t>
      </w:r>
    </w:p>
    <w:p>
      <w:pPr>
        <w:spacing w:after="0" w:line="33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2024, cash used in operating activities was $26.0 million, which consisted of a net income of $13.8 million and non-cash charges of $1.5 million, adjusted by a net decrease of $41.3 million relating to the change of our net operating assets and liabilities. The non-cash charges primarily consisted of $1.9 million in stock-based compensation, $1.0 million in non-cash lease expense, $0.5 million in depreciation and amortization, partially offset by $1.9 million in accretion of discounts on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115"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$28.9 million in deferred revenue resulting from the continued recognition of deferred revenue from existing customers;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$3.9 million in accounts payable, accrued and other long-term liabilities primarily due to timing of payments;</w:t>
      </w:r>
    </w:p>
    <w:p>
      <w:pPr>
        <w:spacing w:after="0" w:line="115" w:lineRule="exact"/>
        <w:rPr>
          <w:rFonts w:ascii="Times New Roman" w:cs="Times New Roman" w:eastAsia="Times New Roman" w:hAnsi="Times New Roman"/>
          <w:sz w:val="18"/>
          <w:szCs w:val="18"/>
          <w:color w:val="auto"/>
        </w:rPr>
      </w:pPr>
    </w:p>
    <w:p>
      <w:pPr>
        <w:ind w:left="1020" w:hanging="504"/>
        <w:spacing w:after="0" w:line="26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$9.7 million in cashflows from accounts receivable primarily related to the $10.0 million milestones receivable in the current quarter for the second clinical candidate nomination and the initiation of GLP toxicology study for the first nominated clinical candidate under the Astellas Agreement; offset by</w:t>
      </w:r>
    </w:p>
    <w:p>
      <w:pPr>
        <w:spacing w:after="0" w:line="68" w:lineRule="exact"/>
        <w:rPr>
          <w:rFonts w:ascii="Times New Roman" w:cs="Times New Roman" w:eastAsia="Times New Roman" w:hAnsi="Times New Roman"/>
          <w:sz w:val="18"/>
          <w:szCs w:val="18"/>
          <w:color w:val="auto"/>
        </w:rPr>
      </w:pPr>
    </w:p>
    <w:p>
      <w:pPr>
        <w:ind w:left="1020" w:right="240" w:hanging="504"/>
        <w:spacing w:after="0" w:line="279"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$1.2 million in cashflows from prepaid and other current assets primarily due to decrease in advance payments due to timing of payment.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7" w:lineRule="exact"/>
        <w:rPr>
          <w:sz w:val="20"/>
          <w:szCs w:val="20"/>
          <w:color w:val="auto"/>
        </w:rPr>
      </w:pPr>
    </w:p>
    <w:p>
      <w:pPr>
        <w:jc w:val="both"/>
        <w:ind w:right="340"/>
        <w:spacing w:after="0" w:line="264"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investing activities was $30.6 million consisted of $50.5 million of proceeds from the maturities of short-term investments partially offset by $19.8 million used in purchase of short-term investment and $0.1 million of capital expenditures used to purchase property and equipment.</w:t>
      </w:r>
    </w:p>
    <w:p>
      <w:pPr>
        <w:spacing w:after="0" w:line="69" w:lineRule="exact"/>
        <w:rPr>
          <w:sz w:val="20"/>
          <w:szCs w:val="20"/>
          <w:color w:val="auto"/>
        </w:rPr>
      </w:pPr>
    </w:p>
    <w:p>
      <w:pPr>
        <w:jc w:val="both"/>
        <w:ind w:right="340"/>
        <w:spacing w:after="0" w:line="279" w:lineRule="auto"/>
        <w:rPr>
          <w:sz w:val="20"/>
          <w:szCs w:val="20"/>
          <w:color w:val="auto"/>
        </w:rPr>
      </w:pPr>
      <w:r>
        <w:rPr>
          <w:rFonts w:ascii="Times New Roman" w:cs="Times New Roman" w:eastAsia="Times New Roman" w:hAnsi="Times New Roman"/>
          <w:sz w:val="18"/>
          <w:szCs w:val="18"/>
          <w:color w:val="auto"/>
        </w:rPr>
        <w:t>During the three months ended March 31, 2024, cash provided by investing activities was $44.9 million consisted of $45.0 million of proceeds from the maturities of short-term investments partially offset by $0.1 million of capital expenditures used to purchase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there was no cash used in or provided by financing activities.</w:t>
      </w:r>
    </w:p>
    <w:p>
      <w:pPr>
        <w:spacing w:after="0" w:line="115"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8"/>
          <w:szCs w:val="18"/>
          <w:color w:val="auto"/>
        </w:rPr>
        <w:t>During the three months ended March 31, 2024, cash provided by financing activities was $0.2 million consisted of proceeds from the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3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auto"/>
        </w:rPr>
        <w:t>During the three months ended March 31, 2025, there were no material changes in contractual obligations from the amounts disclosed in our Annual Report on Form 10-K for the year ended December 31, 2024.</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8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Principal Financial Officers, has evaluated the effectiveness of our disclosure controls and procedures as of March 31, 2025, the end of the period covered by this Quarterly Report on Form 10-Q. Based on their evaluation and subject to the foregoing, the Principal Executive and Principal Financial Officers concluded that our disclosure controls and procedures were effective at the reasonable assurance level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19" w:lineRule="exact"/>
        <w:rPr>
          <w:sz w:val="20"/>
          <w:szCs w:val="20"/>
          <w:color w:val="auto"/>
        </w:rPr>
      </w:pPr>
    </w:p>
    <w:p>
      <w:pPr>
        <w:jc w:val="both"/>
        <w:ind w:right="260"/>
        <w:spacing w:after="0" w:line="264"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our fiscal quarter ended March 31, 2025 that has materially affected, or is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98"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73"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have not generated any revenue from product sales.</w:t>
      </w:r>
    </w:p>
    <w:p>
      <w:pPr>
        <w:spacing w:after="0" w:line="115" w:lineRule="exact"/>
        <w:rPr>
          <w:rFonts w:ascii="Times New Roman" w:cs="Times New Roman" w:eastAsia="Times New Roman" w:hAnsi="Times New Roman"/>
          <w:sz w:val="18"/>
          <w:szCs w:val="18"/>
          <w:color w:val="auto"/>
        </w:rPr>
      </w:pPr>
    </w:p>
    <w:p>
      <w:pPr>
        <w:ind w:left="1020" w:right="12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55" w:lineRule="exact"/>
        <w:rPr>
          <w:rFonts w:ascii="Times New Roman" w:cs="Times New Roman" w:eastAsia="Times New Roman" w:hAnsi="Times New Roman"/>
          <w:sz w:val="18"/>
          <w:szCs w:val="18"/>
          <w:color w:val="auto"/>
        </w:rPr>
      </w:pPr>
    </w:p>
    <w:p>
      <w:pPr>
        <w:ind w:left="1020" w:right="56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recurring losses from operations and negative cash flows have raised substantial doubt regarding our ability to continue as a going concern.</w:t>
      </w:r>
    </w:p>
    <w:p>
      <w:pPr>
        <w:spacing w:after="0" w:line="55"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an uncertain outcome, and results of earlier studies and trials may not be predictive of future trial results.</w:t>
      </w:r>
    </w:p>
    <w:p>
      <w:pPr>
        <w:spacing w:after="0" w:line="55" w:lineRule="exact"/>
        <w:rPr>
          <w:rFonts w:ascii="Times New Roman" w:cs="Times New Roman" w:eastAsia="Times New Roman" w:hAnsi="Times New Roman"/>
          <w:sz w:val="18"/>
          <w:szCs w:val="18"/>
          <w:color w:val="auto"/>
        </w:rPr>
      </w:pPr>
    </w:p>
    <w:p>
      <w:pPr>
        <w:ind w:left="1020" w:right="10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or suffer delays that materially and adversely affect their commercial viability.</w:t>
      </w:r>
    </w:p>
    <w:p>
      <w:pPr>
        <w:spacing w:after="0" w:line="55" w:lineRule="exact"/>
        <w:rPr>
          <w:rFonts w:ascii="Times New Roman" w:cs="Times New Roman" w:eastAsia="Times New Roman" w:hAnsi="Times New Roman"/>
          <w:sz w:val="18"/>
          <w:szCs w:val="18"/>
          <w:color w:val="auto"/>
        </w:rPr>
      </w:pPr>
    </w:p>
    <w:p>
      <w:pPr>
        <w:ind w:left="1020" w:right="80" w:hanging="504"/>
        <w:spacing w:after="0" w:line="26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including the ongoing Phase 1 clinical trials of CX-2051 and CX-801, that we announce or publish from time to time may change as more patient data become available and are subject to audit and verification procedures that could result in material changes in the final data.</w:t>
      </w:r>
    </w:p>
    <w:p>
      <w:pPr>
        <w:spacing w:after="0" w:line="68" w:lineRule="exact"/>
        <w:rPr>
          <w:rFonts w:ascii="Times New Roman" w:cs="Times New Roman" w:eastAsia="Times New Roman" w:hAnsi="Times New Roman"/>
          <w:sz w:val="18"/>
          <w:szCs w:val="18"/>
          <w:color w:val="auto"/>
        </w:rPr>
      </w:pPr>
    </w:p>
    <w:p>
      <w:pPr>
        <w:ind w:left="1020" w:hanging="504"/>
        <w:spacing w:after="0" w:line="26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68" w:lineRule="exact"/>
        <w:rPr>
          <w:rFonts w:ascii="Times New Roman" w:cs="Times New Roman" w:eastAsia="Times New Roman" w:hAnsi="Times New Roman"/>
          <w:sz w:val="18"/>
          <w:szCs w:val="18"/>
          <w:color w:val="auto"/>
        </w:rPr>
      </w:pPr>
    </w:p>
    <w:p>
      <w:pPr>
        <w:ind w:left="1020" w:right="30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5" w:lineRule="exact"/>
        <w:rPr>
          <w:rFonts w:ascii="Times New Roman" w:cs="Times New Roman" w:eastAsia="Times New Roman" w:hAnsi="Times New Roman"/>
          <w:sz w:val="18"/>
          <w:szCs w:val="18"/>
          <w:color w:val="auto"/>
        </w:rPr>
      </w:pPr>
    </w:p>
    <w:p>
      <w:pPr>
        <w:ind w:left="1020" w:right="44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conduct clinical trials and contract with third-party manufacturers in foreign countries, including Europe and China, which could expose us to risks that could have a material adverse effect on the success of our business.</w:t>
      </w:r>
    </w:p>
    <w:p>
      <w:pPr>
        <w:spacing w:after="0" w:line="55" w:lineRule="exact"/>
        <w:rPr>
          <w:rFonts w:ascii="Times New Roman" w:cs="Times New Roman" w:eastAsia="Times New Roman" w:hAnsi="Times New Roman"/>
          <w:sz w:val="18"/>
          <w:szCs w:val="18"/>
          <w:color w:val="auto"/>
        </w:rPr>
      </w:pPr>
    </w:p>
    <w:p>
      <w:pPr>
        <w:ind w:left="1020" w:right="140" w:hanging="504"/>
        <w:spacing w:after="0" w:line="26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68" w:lineRule="exact"/>
        <w:rPr>
          <w:rFonts w:ascii="Times New Roman" w:cs="Times New Roman" w:eastAsia="Times New Roman" w:hAnsi="Times New Roman"/>
          <w:sz w:val="18"/>
          <w:szCs w:val="18"/>
          <w:color w:val="auto"/>
        </w:rPr>
      </w:pPr>
    </w:p>
    <w:p>
      <w:pPr>
        <w:ind w:left="1020" w:right="26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5" w:lineRule="exact"/>
        <w:rPr>
          <w:rFonts w:ascii="Times New Roman" w:cs="Times New Roman" w:eastAsia="Times New Roman" w:hAnsi="Times New Roman"/>
          <w:sz w:val="18"/>
          <w:szCs w:val="18"/>
          <w:color w:val="auto"/>
        </w:rPr>
      </w:pPr>
    </w:p>
    <w:p>
      <w:pPr>
        <w:ind w:left="1020" w:right="20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our therapeutic treatments is based on novel technologies that are unproven and may not result in marketable products.</w:t>
      </w:r>
    </w:p>
    <w:p>
      <w:pPr>
        <w:spacing w:after="0" w:line="55" w:lineRule="exact"/>
        <w:rPr>
          <w:rFonts w:ascii="Times New Roman" w:cs="Times New Roman" w:eastAsia="Times New Roman" w:hAnsi="Times New Roman"/>
          <w:sz w:val="18"/>
          <w:szCs w:val="18"/>
          <w:color w:val="auto"/>
        </w:rPr>
      </w:pPr>
    </w:p>
    <w:p>
      <w:pPr>
        <w:ind w:left="1020" w:right="560" w:hanging="504"/>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based on a novel therapeutic modality, and we may not generate any future revenue from the sale or licensing of product candidates.</w:t>
      </w:r>
    </w:p>
    <w:p>
      <w:pPr>
        <w:spacing w:after="0" w:line="55" w:lineRule="exact"/>
        <w:rPr>
          <w:rFonts w:ascii="Times New Roman" w:cs="Times New Roman" w:eastAsia="Times New Roman" w:hAnsi="Times New Roman"/>
          <w:sz w:val="18"/>
          <w:szCs w:val="18"/>
          <w:color w:val="auto"/>
        </w:rPr>
      </w:pPr>
    </w:p>
    <w:p>
      <w:pPr>
        <w:ind w:left="1020" w:right="100" w:hanging="504"/>
        <w:spacing w:after="0" w:line="26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32" w:name="page33"/>
    <w:bookmarkEnd w:id="32"/>
    <w:p>
      <w:pPr>
        <w:ind w:left="1020" w:right="620" w:hanging="504"/>
        <w:spacing w:after="0" w:line="26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8" w:lineRule="exact"/>
        <w:rPr>
          <w:rFonts w:ascii="Times New Roman" w:cs="Times New Roman" w:eastAsia="Times New Roman" w:hAnsi="Times New Roman"/>
          <w:sz w:val="18"/>
          <w:szCs w:val="18"/>
          <w:color w:val="auto"/>
        </w:rPr>
      </w:pPr>
    </w:p>
    <w:p>
      <w:pPr>
        <w:ind w:left="1020" w:right="126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and commercialization goals in the time frames we announce and expect the commercialization of any of our product candidates may be delayed, or never attained, our business will be harmed.</w:t>
      </w:r>
    </w:p>
    <w:p>
      <w:pPr>
        <w:spacing w:after="0" w:line="55" w:lineRule="exact"/>
        <w:rPr>
          <w:rFonts w:ascii="Times New Roman" w:cs="Times New Roman" w:eastAsia="Times New Roman" w:hAnsi="Times New Roman"/>
          <w:sz w:val="18"/>
          <w:szCs w:val="18"/>
          <w:color w:val="auto"/>
        </w:rPr>
      </w:pPr>
    </w:p>
    <w:p>
      <w:pPr>
        <w:ind w:left="1020" w:right="20" w:hanging="504"/>
        <w:spacing w:after="0" w:line="26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68"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5" w:lineRule="exact"/>
        <w:rPr>
          <w:rFonts w:ascii="Times New Roman" w:cs="Times New Roman" w:eastAsia="Times New Roman" w:hAnsi="Times New Roman"/>
          <w:sz w:val="18"/>
          <w:szCs w:val="18"/>
          <w:color w:val="auto"/>
        </w:rPr>
      </w:pPr>
    </w:p>
    <w:p>
      <w:pPr>
        <w:ind w:left="1020" w:right="240" w:hanging="504"/>
        <w:spacing w:after="0" w:line="25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2" w:lineRule="exact"/>
        <w:rPr>
          <w:rFonts w:ascii="Times New Roman" w:cs="Times New Roman" w:eastAsia="Times New Roman" w:hAnsi="Times New Roman"/>
          <w:sz w:val="18"/>
          <w:szCs w:val="18"/>
          <w:color w:val="auto"/>
        </w:rPr>
      </w:pPr>
    </w:p>
    <w:p>
      <w:pPr>
        <w:ind w:left="1020" w:right="100" w:hanging="504"/>
        <w:spacing w:after="0" w:line="264"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8" w:lineRule="exact"/>
        <w:rPr>
          <w:rFonts w:ascii="Times New Roman" w:cs="Times New Roman" w:eastAsia="Times New Roman" w:hAnsi="Times New Roman"/>
          <w:sz w:val="18"/>
          <w:szCs w:val="18"/>
          <w:color w:val="auto"/>
        </w:rPr>
      </w:pPr>
    </w:p>
    <w:p>
      <w:pPr>
        <w:ind w:left="1020" w:right="320" w:hanging="504"/>
        <w:spacing w:after="0" w:line="310"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purchasers of our common stock could incur substantial losses.</w:t>
      </w:r>
    </w:p>
    <w:p>
      <w:pPr>
        <w:spacing w:after="0" w:line="115" w:lineRule="exact"/>
        <w:rPr>
          <w:rFonts w:ascii="Times New Roman" w:cs="Times New Roman" w:eastAsia="Times New Roman" w:hAnsi="Times New Roman"/>
          <w:sz w:val="18"/>
          <w:szCs w:val="18"/>
          <w:color w:val="auto"/>
        </w:rPr>
      </w:pPr>
    </w:p>
    <w:p>
      <w:pPr>
        <w:ind w:left="1020" w:right="16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could adversely impact our business, including our research, development, including clinical trials, manufacturing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developing a novel class of therapeutic product candidates, based on our proprietary biologic PROBODY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conditionally activated technology platform. Since our inception, we have devoted our resources to the development of PROBODY therapeutics. We have had significant operating losses since our inception. As of March 31, 2025 and December 31, 2024, we had an accumulated deficit of $668.1 million and $691.6 million, respectively. Substantially all of our losses have resulted from expenses incurred in connection with our research and development programs and from general and administrative costs associated with our operations.</w:t>
      </w: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33" w:name="page34"/>
    <w:bookmarkEnd w:id="33"/>
    <w:p>
      <w:pPr>
        <w:ind w:right="80"/>
        <w:spacing w:after="0" w:line="268" w:lineRule="auto"/>
        <w:rPr>
          <w:sz w:val="20"/>
          <w:szCs w:val="20"/>
          <w:color w:val="auto"/>
        </w:rPr>
      </w:pPr>
      <w:r>
        <w:rPr>
          <w:rFonts w:ascii="Times New Roman" w:cs="Times New Roman" w:eastAsia="Times New Roman" w:hAnsi="Times New Roman"/>
          <w:sz w:val="17"/>
          <w:szCs w:val="17"/>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In January 2025, we restructured the Company and reduced headcount by approximately 40% to preserve capital and focus on high priority programs. As a result, we believe we have sufficient capital to operate into the second quarter of 2026. We will need to raise additional funds to continue our efforts. However, financial market conditions, including the public equity markets, and government regulation, including the uncertainties of potential legislation under the new administration, may continue to make it difficult for biotechnology companies to raise additional funds. We cannot predict when or if market conditions will change.</w:t>
      </w:r>
    </w:p>
    <w:p>
      <w:pPr>
        <w:spacing w:after="0" w:line="21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of March 31, 2025, we had cash, cash equivalents and short-term investments of $79.9 million. We believe that our existing capital resources will be sufficient to fund our planned operations into the second quarter of 2026.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5"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clinical trials as well as any other preclinical and clinical development activities;</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clinical trials and preclinical studies that we may be required to complete for our product candidates, as well as the cost and time of such studies and trials;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prioritization of preclinical and clinical programs we decide to pursue;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produce clinical supplies of our product candidates;</w:t>
      </w:r>
    </w:p>
    <w:p>
      <w:pPr>
        <w:spacing w:after="0" w:line="115" w:lineRule="exact"/>
        <w:rPr>
          <w:rFonts w:ascii="Times New Roman" w:cs="Times New Roman" w:eastAsia="Times New Roman" w:hAnsi="Times New Roman"/>
          <w:sz w:val="18"/>
          <w:szCs w:val="18"/>
          <w:color w:val="auto"/>
        </w:rPr>
      </w:pPr>
    </w:p>
    <w:p>
      <w:pPr>
        <w:ind w:left="1020" w:right="26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scale our manufacturing capabilities prior to or following regulatory approval and commercial launch of any product candidates;</w:t>
      </w:r>
    </w:p>
    <w:p>
      <w:pPr>
        <w:spacing w:after="0" w:line="55" w:lineRule="exact"/>
        <w:rPr>
          <w:rFonts w:ascii="Times New Roman" w:cs="Times New Roman" w:eastAsia="Times New Roman" w:hAnsi="Times New Roman"/>
          <w:sz w:val="18"/>
          <w:szCs w:val="18"/>
          <w:color w:val="auto"/>
        </w:rPr>
      </w:pPr>
    </w:p>
    <w:p>
      <w:pPr>
        <w:ind w:left="1020" w:right="12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have entered or may in the future enter into collaborations and research and development agreements;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we may receive or are obligated to pay under our collaboration agreements and license agreements;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2" w:right="359" w:bottom="1440" w:gutter="0" w:footer="0" w:header="0"/>
        </w:sectPr>
      </w:pPr>
    </w:p>
    <w:bookmarkStart w:id="34" w:name="page35"/>
    <w:bookmarkEnd w:id="34"/>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existing or future litigation to which we are or may become a party;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5" w:lineRule="exact"/>
        <w:rPr>
          <w:rFonts w:ascii="Times New Roman" w:cs="Times New Roman" w:eastAsia="Times New Roman" w:hAnsi="Times New Roman"/>
          <w:sz w:val="18"/>
          <w:szCs w:val="18"/>
          <w:color w:val="auto"/>
        </w:rPr>
      </w:pPr>
    </w:p>
    <w:p>
      <w:pPr>
        <w:ind w:left="1020" w:right="120" w:hanging="504"/>
        <w:spacing w:after="0" w:line="25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and in the first quarter of 2025 terminated the program.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sales of our common stock, sale of our convertible preferred securities prior to our IPO, payments received under our collaboration agreements, including the collaboration and license agreements that we entered into with each of Regeneron and Moderna in November and December 2022, respectively, and funding we received in a private placement of our common stock, warrants and pre-funded warrants in July 2023.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For example, when we issue shares of common stock upon exercise of the pre-funded warrants, Tranche 1 warrants and Tranche 2 warrants (collectively, the Tranche 1 warrants and Tranche 2 warrants, the “Tranche Warrants”) issued in our July 2023 private placement, our existing stockholders will suffer dilution and such dilutive impact may be difficult to compute.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negative cash flows have raised substantial doubt regarding our ability to continue as a going concern.</w:t>
      </w:r>
    </w:p>
    <w:p>
      <w:pPr>
        <w:spacing w:after="0" w:line="2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recurring losses from operations and negative cash flows raise substantial doubt about our ability to continue as a going concern. We have devoted our resources to the development of PROBODY therapeutics and have experienced significant operating losses since our inception. Furthermore, we expect to continue devoting substantial capital to the research and development of our product candidates. Accordingly, our ability to continue as a going concern will require us to obtain additional financing to fund our operations or significantly curtail our operations to conserve our capital resources. Further, the perception of our ability to continue as a going concern may make it more difficult for us to obtain financing for the continuation of our operations, or necessitate that we obtain financing on less favorable terms, and could result in the loss of confidence by investors, our partners and employees.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clinical trials under such IND,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 For example, in March 2025, based on clinical observations to date and CytomX pipeline priorities, Amgen and we jointly decided to terminate the CX-904 program.</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35" w:name="page36"/>
    <w:bookmarkEnd w:id="35"/>
    <w:p>
      <w:pPr>
        <w:ind w:right="80"/>
        <w:spacing w:after="0" w:line="275" w:lineRule="auto"/>
        <w:rPr>
          <w:sz w:val="20"/>
          <w:szCs w:val="20"/>
          <w:color w:val="auto"/>
        </w:rPr>
      </w:pPr>
      <w:r>
        <w:rPr>
          <w:rFonts w:ascii="Times New Roman" w:cs="Times New Roman" w:eastAsia="Times New Roman" w:hAnsi="Times New Roman"/>
          <w:sz w:val="17"/>
          <w:szCs w:val="17"/>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61"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any companion diagnostic to be used in a clinical trial;</w:t>
      </w:r>
    </w:p>
    <w:p>
      <w:pPr>
        <w:spacing w:after="0" w:line="115"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requiring us to submit additional data or imposing other requirements before permitting us to initiate a clinical trial;</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authority clearance to commence a clinical trial;</w:t>
      </w:r>
    </w:p>
    <w:p>
      <w:pPr>
        <w:spacing w:after="0" w:line="115"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at each clinical trial site;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in sufficient quality and quantity for use in clinical trials; 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electing to not pursue development and commercialization of our product candidates.</w:t>
      </w:r>
    </w:p>
    <w:p>
      <w:pPr>
        <w:spacing w:after="0" w:line="24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very early in our development efforts, including with CX-2051 and CX-801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collaborators must conduct extensive preclinical tests and clinical trials to demonstrate sufficient safety, purity and potency (or efficacy) of our product candidates in patients.</w:t>
      </w:r>
    </w:p>
    <w:p>
      <w:pPr>
        <w:spacing w:after="0" w:line="211" w:lineRule="exact"/>
        <w:rPr>
          <w:sz w:val="20"/>
          <w:szCs w:val="20"/>
          <w:color w:val="auto"/>
        </w:rPr>
      </w:pPr>
    </w:p>
    <w:p>
      <w:pPr>
        <w:ind w:right="580"/>
        <w:spacing w:after="0" w:line="310" w:lineRule="auto"/>
        <w:rPr>
          <w:sz w:val="20"/>
          <w:szCs w:val="20"/>
          <w:color w:val="auto"/>
        </w:rPr>
      </w:pPr>
      <w:r>
        <w:rPr>
          <w:rFonts w:ascii="Times New Roman" w:cs="Times New Roman" w:eastAsia="Times New Roman" w:hAnsi="Times New Roman"/>
          <w:sz w:val="17"/>
          <w:szCs w:val="17"/>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32" w:lineRule="exact"/>
        <w:rPr>
          <w:sz w:val="20"/>
          <w:szCs w:val="20"/>
          <w:color w:val="auto"/>
        </w:rPr>
      </w:pPr>
    </w:p>
    <w:p>
      <w:pPr>
        <w:ind w:left="1020" w:hanging="504"/>
        <w:spacing w:after="0" w:line="310" w:lineRule="auto"/>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31" w:lineRule="exact"/>
        <w:rPr>
          <w:rFonts w:ascii="Times New Roman" w:cs="Times New Roman" w:eastAsia="Times New Roman" w:hAnsi="Times New Roman"/>
          <w:sz w:val="17"/>
          <w:szCs w:val="17"/>
          <w:color w:val="auto"/>
        </w:rPr>
      </w:pPr>
    </w:p>
    <w:p>
      <w:pPr>
        <w:ind w:left="1020" w:right="380" w:hanging="504"/>
        <w:spacing w:after="0" w:line="27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55" w:lineRule="exact"/>
        <w:rPr>
          <w:rFonts w:ascii="Times New Roman" w:cs="Times New Roman" w:eastAsia="Times New Roman" w:hAnsi="Times New Roman"/>
          <w:sz w:val="18"/>
          <w:szCs w:val="18"/>
          <w:color w:val="auto"/>
        </w:rPr>
      </w:pPr>
    </w:p>
    <w:p>
      <w:pPr>
        <w:ind w:left="1020" w:right="320" w:hanging="504"/>
        <w:spacing w:after="0" w:line="27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or allowances from regulators to commence a clinical trial, or a suspension or termination of a clinical trial once commenced;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36" w:name="page37"/>
    <w:bookmarkEnd w:id="36"/>
    <w:p>
      <w:pPr>
        <w:ind w:left="1020" w:right="800" w:hanging="504"/>
        <w:spacing w:after="0" w:line="279"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or our collaborators’ clinical trials;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development or approval of companion diagnostic tests for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manufacturing of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5" w:lineRule="exact"/>
        <w:rPr>
          <w:rFonts w:ascii="Times New Roman" w:cs="Times New Roman" w:eastAsia="Times New Roman" w:hAnsi="Times New Roman"/>
          <w:sz w:val="18"/>
          <w:szCs w:val="18"/>
          <w:color w:val="auto"/>
        </w:rPr>
      </w:pPr>
    </w:p>
    <w:p>
      <w:pPr>
        <w:ind w:left="1020" w:right="20" w:hanging="504"/>
        <w:spacing w:after="0" w:line="279"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5" w:lineRule="exact"/>
        <w:rPr>
          <w:rFonts w:ascii="Times New Roman" w:cs="Times New Roman" w:eastAsia="Times New Roman" w:hAnsi="Times New Roman"/>
          <w:sz w:val="18"/>
          <w:szCs w:val="18"/>
          <w:color w:val="auto"/>
        </w:rPr>
      </w:pPr>
    </w:p>
    <w:p>
      <w:pPr>
        <w:ind w:left="1020" w:right="440" w:hanging="504"/>
        <w:spacing w:after="0" w:line="279"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4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could find that the therapeutics we or our collaborators pursue are not safe, pure, potent (or efficacious). For example, in March 2025, based on clinical observations to date and CytomX pipeline priorities, Amgen and we jointly decided to terminate the CX-904 program.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2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and in the first quarter of 2025 terminated the program.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8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including the ongoing Phase 1 clinical trials of CX-2051 or CX-801, that we announce or publish from time to time may change as more patient data become available and are subject to audit and verification procedures that could result in material changes in the final data.</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For example, in May 2024, we disclosed initial data from our ongoing Phase 1a dose escalation clinical trial of CX-904. In March 2025, based on clinical observations to date and CytomX pipeline priorities, Amgen and we jointly decided to terminate the CX-904 program.</w:t>
      </w:r>
    </w:p>
    <w:p>
      <w:pPr>
        <w:spacing w:after="0" w:line="21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7" w:name="page38"/>
    <w:bookmarkEnd w:id="37"/>
    <w:p>
      <w:pPr>
        <w:ind w:right="40"/>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CX-2051 and CX-801. There can be no assurance that unexpected adverse events will not occur in our ongoing trials, including the ongoing Phase 1 clinical trials of CX-2051 or CX-801,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20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2024 we initiated a first-in-human Phase 1 clinical trial with CX-2051 and, while we believe our preclinical studies indicate the potential to reach a favorable therapeutic index, clinical data will be necessary to specify an acceptable dose. We cannot provide assurance that we will reach an acceptable or tolerable dose for CX-2051 or CX-801. Furthermore, any ongoing or future clinical trials of our product candidates, including those for CX-2051 and CX-801, could face risks related to undesirable side effects, including unacceptable toxicity.</w:t>
      </w:r>
    </w:p>
    <w:p>
      <w:pPr>
        <w:spacing w:after="0" w:line="2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21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69"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or change the way the product is administered to patients;</w:t>
      </w:r>
    </w:p>
    <w:p>
      <w:pPr>
        <w:spacing w:after="0" w:line="115" w:lineRule="exact"/>
        <w:rPr>
          <w:rFonts w:ascii="Times New Roman" w:cs="Times New Roman" w:eastAsia="Times New Roman" w:hAnsi="Times New Roman"/>
          <w:sz w:val="18"/>
          <w:szCs w:val="18"/>
          <w:color w:val="auto"/>
        </w:rPr>
      </w:pPr>
    </w:p>
    <w:p>
      <w:pPr>
        <w:ind w:left="1020" w:right="480" w:hanging="504"/>
        <w:spacing w:after="0" w:line="279"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5" w:lineRule="exact"/>
        <w:rPr>
          <w:rFonts w:ascii="Times New Roman" w:cs="Times New Roman" w:eastAsia="Times New Roman" w:hAnsi="Times New Roman"/>
          <w:sz w:val="18"/>
          <w:szCs w:val="18"/>
          <w:color w:val="auto"/>
        </w:rPr>
      </w:pPr>
    </w:p>
    <w:p>
      <w:pPr>
        <w:ind w:left="1020" w:right="540" w:hanging="504"/>
        <w:spacing w:after="0" w:line="279"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to conduct post-marketing studies;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38" w:name="page39"/>
    <w:bookmarkEnd w:id="38"/>
    <w:p>
      <w:pPr>
        <w:ind w:right="240"/>
        <w:spacing w:after="0" w:line="264" w:lineRule="auto"/>
        <w:rPr>
          <w:sz w:val="20"/>
          <w:szCs w:val="20"/>
          <w:color w:val="auto"/>
        </w:rPr>
      </w:pPr>
      <w:r>
        <w:rPr>
          <w:rFonts w:ascii="Times New Roman" w:cs="Times New Roman" w:eastAsia="Times New Roman" w:hAnsi="Times New Roman"/>
          <w:sz w:val="18"/>
          <w:szCs w:val="18"/>
          <w:color w:val="auto"/>
        </w:rPr>
        <w:t>In addition, adverse side effects caused by any drugs of other companies utilizing the same or similar therapeutic agents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6" w:lineRule="exact"/>
        <w:rPr>
          <w:sz w:val="20"/>
          <w:szCs w:val="20"/>
          <w:color w:val="auto"/>
        </w:rPr>
      </w:pPr>
    </w:p>
    <w:p>
      <w:pPr>
        <w:jc w:val="both"/>
        <w:ind w:right="280"/>
        <w:spacing w:after="0" w:line="264"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72" w:lineRule="exact"/>
        <w:rPr>
          <w:sz w:val="20"/>
          <w:szCs w:val="20"/>
          <w:color w:val="auto"/>
        </w:rPr>
      </w:pPr>
    </w:p>
    <w:p>
      <w:pPr>
        <w:jc w:val="both"/>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4" w:lineRule="exact"/>
        <w:rPr>
          <w:sz w:val="20"/>
          <w:szCs w:val="20"/>
          <w:color w:val="auto"/>
        </w:rPr>
      </w:pPr>
    </w:p>
    <w:p>
      <w:pPr>
        <w:jc w:val="both"/>
        <w:ind w:right="460"/>
        <w:spacing w:after="0" w:line="264"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69" w:lineRule="exact"/>
        <w:rPr>
          <w:sz w:val="20"/>
          <w:szCs w:val="20"/>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target patient population;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therapies for the disease or condition under investigation;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a trial;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4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CX-2051 and CX-801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trials of CX-2051 and CX-801 are also competing with thousands of other anti-cancer clinical trials. Any clinical trials of our product candidates initiated by our collaborators will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8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conduct clinical trials and contract with third-party manufacturers in foreign countries, including Europe and China, which could expose us to risks that could have a material adverse effect on the success of our business.</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9" w:name="page40"/>
    <w:bookmarkEnd w:id="39"/>
    <w:p>
      <w:pPr>
        <w:spacing w:after="0" w:line="252" w:lineRule="auto"/>
        <w:rPr>
          <w:sz w:val="20"/>
          <w:szCs w:val="20"/>
          <w:color w:val="auto"/>
        </w:rPr>
      </w:pPr>
      <w:r>
        <w:rPr>
          <w:rFonts w:ascii="Times New Roman" w:cs="Times New Roman" w:eastAsia="Times New Roman" w:hAnsi="Times New Roman"/>
          <w:sz w:val="18"/>
          <w:szCs w:val="18"/>
          <w:color w:val="auto"/>
        </w:rPr>
        <w:t>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 was not subject to an 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we currently contract manufacturing operations to third parties, and certain of our product candidates are manufactured by and will in the future be manufactured by third parties outside the U.S., including in Europe and China. For example, we have a contract with a third-party manufacturer located in China for product candidates, including CX-2051 and CX-801, and accordingly we are exposed to the possibility of drug product supply disruption, delay and increased costs in the event of changes in the policies of the U.S., European or Chinese governments, including political unrest or unstable economic conditions in China or elsewhere.</w:t>
      </w:r>
    </w:p>
    <w:p>
      <w:pPr>
        <w:spacing w:after="0" w:line="18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Further, in September 2024, the U.S. House of Representatives passed the BIOSECURE Act (H.R. 8333) and the Senate has advanced a substantially similar bill (S.3558), which legislation, if passed and enacted into law, would have the potential to restrict the ability of U.S. biopharmaceutical companies like us to purchase services or products from, or otherwise collaborate with, certain Chinese biotechnology companies “of concern”, including a third-party manufacturer we use for certain product candidates, without losing the ability to contract with, or otherwise receive funding from, the U.S. government.</w:t>
      </w:r>
    </w:p>
    <w:p>
      <w:pPr>
        <w:spacing w:after="0" w:line="16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Conducting clinical trials and contracting with third-party manufacturers outside the United States also exposes us to additional risks, including risks associated with additional foreign regulatory requirements; foreign exchange fluctuations; tariffs;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r>
        <w:rPr>
          <w:rFonts w:ascii="Times New Roman" w:cs="Times New Roman" w:eastAsia="Times New Roman" w:hAnsi="Times New Roman"/>
          <w:sz w:val="17"/>
          <w:szCs w:val="17"/>
          <w:b w:val="1"/>
          <w:bCs w:val="1"/>
          <w:i w:val="1"/>
          <w:iCs w:val="1"/>
          <w:color w:val="auto"/>
        </w:rPr>
        <w:t>.</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CX-2051 and CX-801 our manufacturing supply chain includes several contract manufacturers, and failure by any of these manufacturers could result in interruptions of our clinical studies. For example, beginning in October 2023, one of our contract manufacturers of CX-2051 experienced production failures. Although we are taking steps to manage our long-term supply of CX-2051, there can be no assurance that we will not have future production failures, which could affect our ability to conduct our trials for CX-2051 or any other clinical trial drug candidates, including CX-801,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0" w:name="page41"/>
    <w:bookmarkEnd w:id="40"/>
    <w:p>
      <w:pPr>
        <w:ind w:right="200"/>
        <w:spacing w:after="0" w:line="279" w:lineRule="auto"/>
        <w:rPr>
          <w:sz w:val="20"/>
          <w:szCs w:val="20"/>
          <w:color w:val="auto"/>
        </w:rPr>
      </w:pPr>
      <w:r>
        <w:rPr>
          <w:rFonts w:ascii="Times New Roman" w:cs="Times New Roman" w:eastAsia="Times New Roman" w:hAnsi="Times New Roman"/>
          <w:sz w:val="18"/>
          <w:szCs w:val="18"/>
          <w:color w:val="auto"/>
        </w:rPr>
        <w:t>transferring technology to a new third-party manufacturer, and we may encounter regulatory delays if we need to move the manufacturing of our products from one third-party manufacturer to another</w:t>
      </w:r>
      <w:r>
        <w:rPr>
          <w:rFonts w:ascii="Times New Roman" w:cs="Times New Roman" w:eastAsia="Times New Roman" w:hAnsi="Times New Roman"/>
          <w:sz w:val="18"/>
          <w:szCs w:val="18"/>
          <w:b w:val="1"/>
          <w:bCs w:val="1"/>
          <w:i w:val="1"/>
          <w:iCs w:val="1"/>
          <w:color w:val="auto"/>
        </w:rPr>
        <w:t>.</w:t>
      </w:r>
    </w:p>
    <w:p>
      <w:pPr>
        <w:spacing w:after="0" w:line="16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CX-2051 manufacturing production failures our contract manufacturer experienced in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r>
        <w:rPr>
          <w:rFonts w:ascii="Times New Roman" w:cs="Times New Roman" w:eastAsia="Times New Roman" w:hAnsi="Times New Roman"/>
          <w:sz w:val="18"/>
          <w:szCs w:val="18"/>
          <w:b w:val="1"/>
          <w:bCs w:val="1"/>
          <w:i w:val="1"/>
          <w:iCs w:val="1"/>
          <w:color w:val="auto"/>
        </w:rPr>
        <w:t>.</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77" w:lineRule="exact"/>
        <w:rPr>
          <w:sz w:val="20"/>
          <w:szCs w:val="20"/>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7"/>
          <w:szCs w:val="17"/>
          <w:color w:val="auto"/>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5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5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It may prove more challenging than we anticipate to manufacture products that incorporate our PROBODY therapeutic technology. In order to conduct clinical trials of our product candidates, including our clinical trials for CX-2051 and CX-801 we will need to manufacture them in large quantities. There can be no assurance that we will not have future production failures, which could affect our ability to conduct our trials for CX-2051 or CX-801 or any other clinical trial drug candidates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1" w:name="page42"/>
    <w:bookmarkEnd w:id="41"/>
    <w:p>
      <w:pPr>
        <w:ind w:right="580"/>
        <w:spacing w:after="0" w:line="279" w:lineRule="auto"/>
        <w:rPr>
          <w:sz w:val="20"/>
          <w:szCs w:val="20"/>
          <w:color w:val="auto"/>
        </w:rPr>
      </w:pPr>
      <w:r>
        <w:rPr>
          <w:rFonts w:ascii="Times New Roman" w:cs="Times New Roman" w:eastAsia="Times New Roman" w:hAnsi="Times New Roman"/>
          <w:sz w:val="18"/>
          <w:szCs w:val="18"/>
          <w:color w:val="auto"/>
        </w:rPr>
        <w:t>development, testing, and clinical trials of that product candidate may be delayed or infeasible, and regulatory approval or commercial launch of any resulting product may be delayed or not obtained, which could significantly harm our business.</w:t>
      </w:r>
    </w:p>
    <w:p>
      <w:pPr>
        <w:spacing w:after="0" w:line="15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CX-2051 and CX-801.</w:t>
      </w:r>
    </w:p>
    <w:p>
      <w:pPr>
        <w:spacing w:after="0" w:line="16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However, we cannot provide assurance that it will not later limit drug exposure or cause severe adverse events for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221"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8"/>
          <w:szCs w:val="18"/>
          <w:color w:val="auto"/>
        </w:rPr>
        <w:t>In addition, the scientific evidence to support the feasibility of developing product candidates against novel, difficult to drug targets, is both preliminary and limited. For example, our understanding of the expression of our drug targets in both healthy and diseased tissues is still developing. As a result, we cannot provide any assurance that we will be able to successfully identify and advance any product candidates to target novel, difficult-to-drug targets.</w:t>
      </w:r>
    </w:p>
    <w:p>
      <w:pPr>
        <w:spacing w:after="0" w:line="203" w:lineRule="exact"/>
        <w:rPr>
          <w:sz w:val="20"/>
          <w:szCs w:val="20"/>
          <w:color w:val="auto"/>
        </w:rPr>
      </w:pPr>
    </w:p>
    <w:p>
      <w:pPr>
        <w:ind w:right="640"/>
        <w:spacing w:after="0" w:line="279" w:lineRule="auto"/>
        <w:rPr>
          <w:sz w:val="20"/>
          <w:szCs w:val="20"/>
          <w:color w:val="auto"/>
        </w:rPr>
      </w:pPr>
      <w:r>
        <w:rPr>
          <w:rFonts w:ascii="Times New Roman" w:cs="Times New Roman" w:eastAsia="Times New Roman" w:hAnsi="Times New Roman"/>
          <w:sz w:val="18"/>
          <w:szCs w:val="18"/>
          <w:color w:val="auto"/>
        </w:rPr>
        <w:t>Additionally, we entered into a collaboration with Moderna for the development of mRNA based product candidates. We do not know whether our PROBODY platform will be able to successfully develop product candidates utilizing this mRNA technology.</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believe that the FDA and foreign regulatory authorities have limited experience with conditionally activated therapeutics in oncology, such experience primarily coming from us with our prior development of CX-904, praluzatamab ravtansine, CX-2029, BMS-986249, BMS-986288, and pacmilimab, and more recently, with other competitors with early stage conditionally activated therapeutics.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2" w:name="page43"/>
    <w:bookmarkEnd w:id="42"/>
    <w:p>
      <w:pPr>
        <w:ind w:right="20"/>
        <w:spacing w:after="0" w:line="259" w:lineRule="auto"/>
        <w:rPr>
          <w:sz w:val="20"/>
          <w:szCs w:val="20"/>
          <w:color w:val="auto"/>
        </w:rPr>
      </w:pPr>
      <w:r>
        <w:rPr>
          <w:rFonts w:ascii="Times New Roman" w:cs="Times New Roman" w:eastAsia="Times New Roman" w:hAnsi="Times New Roman"/>
          <w:sz w:val="18"/>
          <w:szCs w:val="18"/>
          <w:color w:val="auto"/>
        </w:rPr>
        <w:t>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7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for which there are existing approved therapies. Market acceptance of our product candidates will depend on, among other factors:</w:t>
      </w:r>
    </w:p>
    <w:p>
      <w:pPr>
        <w:spacing w:after="0" w:line="77"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potency (or efficacy) of our product candidates, including those being developed by our collaborators;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effective companion diagnostics;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government and third-party payors;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5"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 indications our product candidates are intended to treat and the relative risks, benefits and costs of those treatments.</w:t>
      </w:r>
    </w:p>
    <w:p>
      <w:pPr>
        <w:spacing w:after="0" w:line="190"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5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8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BMS-986249 and advance the BMS-986288 into a Phase 2 program, and on March 6, 2024, Bristol Myers Squibb notified us that it would not continue the BMS-986288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3" w:name="page44"/>
    <w:bookmarkEnd w:id="43"/>
    <w:p>
      <w:pPr>
        <w:ind w:right="520"/>
        <w:spacing w:after="0" w:line="279" w:lineRule="auto"/>
        <w:rPr>
          <w:sz w:val="20"/>
          <w:szCs w:val="20"/>
          <w:color w:val="auto"/>
        </w:rPr>
      </w:pPr>
      <w:r>
        <w:rPr>
          <w:rFonts w:ascii="Times New Roman" w:cs="Times New Roman" w:eastAsia="Times New Roman" w:hAnsi="Times New Roman"/>
          <w:sz w:val="18"/>
          <w:szCs w:val="18"/>
          <w:color w:val="auto"/>
        </w:rPr>
        <w:t>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spacing w:after="0" w:line="56" w:lineRule="exact"/>
        <w:rPr>
          <w:sz w:val="20"/>
          <w:szCs w:val="20"/>
          <w:color w:val="auto"/>
        </w:rPr>
      </w:pPr>
    </w:p>
    <w:p>
      <w:pPr>
        <w:ind w:left="1020" w:right="520" w:hanging="504"/>
        <w:spacing w:after="0" w:line="310"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amount and timing of efforts and resources that they will apply to these collaborations, including the preclinical collaboration programs with Bristol Myers Squibb, Amgen, Astellas, Regeneron and Moderna;</w:t>
      </w:r>
    </w:p>
    <w:p>
      <w:pPr>
        <w:spacing w:after="0" w:line="31" w:lineRule="exact"/>
        <w:rPr>
          <w:rFonts w:ascii="Times New Roman" w:cs="Times New Roman" w:eastAsia="Times New Roman" w:hAnsi="Times New Roman"/>
          <w:sz w:val="17"/>
          <w:szCs w:val="17"/>
          <w:color w:val="auto"/>
        </w:rPr>
      </w:pPr>
    </w:p>
    <w:p>
      <w:pPr>
        <w:ind w:left="1020" w:right="480" w:hanging="504"/>
        <w:spacing w:after="0" w:line="26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68"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designing any clinical trials they operate pursuant to our collaboration agreements and may release data from such clinical trials, including with respect to our PROBODY therapeutics, without consulting us;</w:t>
      </w:r>
    </w:p>
    <w:p>
      <w:pPr>
        <w:spacing w:after="0" w:line="55" w:lineRule="exact"/>
        <w:rPr>
          <w:rFonts w:ascii="Times New Roman" w:cs="Times New Roman" w:eastAsia="Times New Roman" w:hAnsi="Times New Roman"/>
          <w:sz w:val="18"/>
          <w:szCs w:val="18"/>
          <w:color w:val="auto"/>
        </w:rPr>
      </w:pPr>
    </w:p>
    <w:p>
      <w:pPr>
        <w:ind w:left="1020" w:right="120" w:hanging="504"/>
        <w:spacing w:after="0" w:line="26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68" w:lineRule="exact"/>
        <w:rPr>
          <w:rFonts w:ascii="Times New Roman" w:cs="Times New Roman" w:eastAsia="Times New Roman" w:hAnsi="Times New Roman"/>
          <w:sz w:val="18"/>
          <w:szCs w:val="18"/>
          <w:color w:val="auto"/>
        </w:rPr>
      </w:pPr>
    </w:p>
    <w:p>
      <w:pPr>
        <w:ind w:left="1020" w:right="140" w:hanging="504"/>
        <w:spacing w:after="0" w:line="26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68" w:lineRule="exact"/>
        <w:rPr>
          <w:rFonts w:ascii="Times New Roman" w:cs="Times New Roman" w:eastAsia="Times New Roman" w:hAnsi="Times New Roman"/>
          <w:sz w:val="18"/>
          <w:szCs w:val="18"/>
          <w:color w:val="auto"/>
        </w:rPr>
      </w:pPr>
    </w:p>
    <w:p>
      <w:pPr>
        <w:ind w:left="1020" w:right="600" w:hanging="504"/>
        <w:spacing w:after="0" w:line="279"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5" w:lineRule="exact"/>
        <w:rPr>
          <w:rFonts w:ascii="Times New Roman" w:cs="Times New Roman" w:eastAsia="Times New Roman" w:hAnsi="Times New Roman"/>
          <w:sz w:val="18"/>
          <w:szCs w:val="18"/>
          <w:color w:val="auto"/>
        </w:rPr>
      </w:pPr>
    </w:p>
    <w:p>
      <w:pPr>
        <w:ind w:left="1020" w:right="140" w:hanging="504"/>
        <w:spacing w:after="0" w:line="264"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68" w:lineRule="exact"/>
        <w:rPr>
          <w:rFonts w:ascii="Times New Roman" w:cs="Times New Roman" w:eastAsia="Times New Roman" w:hAnsi="Times New Roman"/>
          <w:sz w:val="18"/>
          <w:szCs w:val="18"/>
          <w:color w:val="auto"/>
        </w:rPr>
      </w:pPr>
    </w:p>
    <w:p>
      <w:pPr>
        <w:ind w:left="1020" w:right="580" w:hanging="504"/>
        <w:spacing w:after="0" w:line="279"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w:t>
      </w:r>
    </w:p>
    <w:p>
      <w:pPr>
        <w:spacing w:after="0" w:line="55" w:lineRule="exact"/>
        <w:rPr>
          <w:rFonts w:ascii="Times New Roman" w:cs="Times New Roman" w:eastAsia="Times New Roman" w:hAnsi="Times New Roman"/>
          <w:sz w:val="18"/>
          <w:szCs w:val="18"/>
          <w:color w:val="auto"/>
        </w:rPr>
      </w:pPr>
    </w:p>
    <w:p>
      <w:pPr>
        <w:ind w:left="1020" w:right="120" w:hanging="504"/>
        <w:spacing w:after="0" w:line="310" w:lineRule="auto"/>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31" w:lineRule="exact"/>
        <w:rPr>
          <w:rFonts w:ascii="Times New Roman" w:cs="Times New Roman" w:eastAsia="Times New Roman" w:hAnsi="Times New Roman"/>
          <w:sz w:val="17"/>
          <w:szCs w:val="17"/>
          <w:color w:val="auto"/>
        </w:rPr>
      </w:pPr>
    </w:p>
    <w:p>
      <w:pPr>
        <w:ind w:left="1020" w:right="1060" w:hanging="504"/>
        <w:spacing w:after="0" w:line="279"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For example, in January 2023, we announced topline results of the Phase 2 expansion cohorts of CX-2029 and in March 2023, AbbVie decided not to continue the future development of CX-2029. CytomX re-acquired full rights to CX-2029, however, in the fourth quarter of 2023, we decided to not to make any further significant investments in the solid tumor CX-2029 program and terminated the program in the first quarter of 2025. Additionally, in March 2025, based on clinical observations to date and CytomX pipeline priorities, Amgen and we jointly decided to terminate the CX-904 program.</w:t>
      </w:r>
    </w:p>
    <w:p>
      <w:pPr>
        <w:spacing w:after="0" w:line="18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7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4" w:name="page45"/>
    <w:bookmarkEnd w:id="44"/>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Additionally, in March 2025, based on clinical observations to date and CytomX pipeline priorities, Amgen and we jointly decided to terminate the CX-904 program.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in March 2024, Bristol Myers Squibb notified us that it would not continue the BMS-986288 program and we will not receive any milestone or other payments from them on this program.</w:t>
      </w:r>
    </w:p>
    <w:p>
      <w:pPr>
        <w:spacing w:after="0" w:line="18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6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6" w:lineRule="exact"/>
        <w:rPr>
          <w:sz w:val="20"/>
          <w:szCs w:val="20"/>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5" w:lineRule="exact"/>
        <w:rPr>
          <w:rFonts w:ascii="Times New Roman" w:cs="Times New Roman" w:eastAsia="Times New Roman" w:hAnsi="Times New Roman"/>
          <w:sz w:val="18"/>
          <w:szCs w:val="18"/>
          <w:color w:val="auto"/>
        </w:rPr>
      </w:pPr>
    </w:p>
    <w:p>
      <w:pPr>
        <w:ind w:left="1020" w:right="20" w:hanging="504"/>
        <w:spacing w:after="0" w:line="279"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in the manufacture of our product candidates;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clinical trial materials to our clinical sites on a timely basis;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49"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or never attained, and our business and results of operations may be harmed.</w:t>
      </w:r>
    </w:p>
    <w:p>
      <w:pPr>
        <w:spacing w:after="0" w:line="159"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7"/>
          <w:szCs w:val="17"/>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4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however, we did not obtain a collaborator for that program. The competition for collaborators is intense and there can be no assurances that we will be able to secure any collaboration for any of our programs.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2" w:right="359" w:bottom="1440" w:gutter="0" w:footer="0" w:header="0"/>
        </w:sectPr>
      </w:pPr>
    </w:p>
    <w:bookmarkStart w:id="45" w:name="page46"/>
    <w:bookmarkEnd w:id="45"/>
    <w:p>
      <w:pPr>
        <w:ind w:right="40"/>
        <w:spacing w:after="0" w:line="268" w:lineRule="auto"/>
        <w:rPr>
          <w:sz w:val="20"/>
          <w:szCs w:val="20"/>
          <w:color w:val="auto"/>
        </w:rPr>
      </w:pPr>
      <w:r>
        <w:rPr>
          <w:rFonts w:ascii="Times New Roman" w:cs="Times New Roman" w:eastAsia="Times New Roman" w:hAnsi="Times New Roman"/>
          <w:sz w:val="17"/>
          <w:szCs w:val="17"/>
          <w:color w:val="auto"/>
        </w:rPr>
        <w:t>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17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8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21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recording and reporting the results of preclinical studies and clinical 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6" w:name="page47"/>
    <w:bookmarkEnd w:id="46"/>
    <w:p>
      <w:pPr>
        <w:ind w:right="20"/>
        <w:spacing w:after="0" w:line="279" w:lineRule="auto"/>
        <w:rPr>
          <w:sz w:val="20"/>
          <w:szCs w:val="20"/>
          <w:color w:val="auto"/>
        </w:rPr>
      </w:pPr>
      <w:r>
        <w:rPr>
          <w:rFonts w:ascii="Times New Roman" w:cs="Times New Roman" w:eastAsia="Times New Roman" w:hAnsi="Times New Roman"/>
          <w:sz w:val="18"/>
          <w:szCs w:val="18"/>
          <w:color w:val="auto"/>
        </w:rPr>
        <w:t>requirements, the data generated in our clinical trials may be deemed unreliable, and the FDA or comparable foreign regulatory authorities may require us to perform additional clinical trials before approving our marketing applications, if ever.</w:t>
      </w:r>
    </w:p>
    <w:p>
      <w:pPr>
        <w:spacing w:after="0" w:line="1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be asked to serve as scientific advisors or consultants to us from time to time and may receive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BLA we submit. Any such delay or rejection could prevent us from commercializing our product candidates.</w:t>
      </w:r>
    </w:p>
    <w:p>
      <w:pPr>
        <w:spacing w:after="0" w:line="184"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8"/>
          <w:szCs w:val="18"/>
          <w:color w:val="auto"/>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7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and indications. For example, in July 2022, we announced that we would not continue the development of pralauzatamab ravtansine without a partner. Additionally, in November 2023 we decided to not to make any further significant investments in the CX-2029 solid tumor program in the near-term, and in the first quarter of 2025 we terminated the program.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when needed.</w:t>
      </w:r>
    </w:p>
    <w:p>
      <w:pPr>
        <w:spacing w:after="0" w:line="13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Since 2022 we have maintained a relatively steady number of employees in our workforce and maintained activities to manage our pipeline, including research activities and efforts to establish and run clinical trials for CX-2051, CX-904 and CX-801. However, in January 2025, we announced that we would reduce our workforce, primarily research and general and administrative staff, by approximately 40% to preserve capital for ongoing clinical trials and collaboration partner activities.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7" w:name="page48"/>
    <w:bookmarkEnd w:id="47"/>
    <w:p>
      <w:pPr>
        <w:spacing w:after="0" w:line="252" w:lineRule="auto"/>
        <w:rPr>
          <w:sz w:val="20"/>
          <w:szCs w:val="20"/>
          <w:color w:val="auto"/>
        </w:rPr>
      </w:pPr>
      <w:r>
        <w:rPr>
          <w:rFonts w:ascii="Times New Roman" w:cs="Times New Roman" w:eastAsia="Times New Roman" w:hAnsi="Times New Roman"/>
          <w:sz w:val="18"/>
          <w:szCs w:val="18"/>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21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Janux Therapeutics, Roche, Takeda, Werewolf Therapeutics, and Xilio are exploring antibody masking and/or conditional activation strategies, which could compete with our PROBODY platform. We are also aware of several companies that are developing ADCs, such as AbbVie, ADC Therapeutics, Daiichi Sankyo, Gilead, Merck &amp; Co., Mersana Therapeutics, Pfizer, Roche Holding Ltd.,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21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attract and retain qualified key management and technical personnel would impair our ability to implement our business plan.</w:t>
      </w:r>
    </w:p>
    <w:p>
      <w:pPr>
        <w:spacing w:after="0" w:line="13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increase in the San Francisco Bay Area and across the country.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22" w:right="359" w:bottom="1440" w:gutter="0" w:footer="0" w:header="0"/>
        </w:sectPr>
      </w:pPr>
    </w:p>
    <w:bookmarkStart w:id="48" w:name="page49"/>
    <w:bookmarkEnd w:id="48"/>
    <w:p>
      <w:pPr>
        <w:ind w:right="1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imposed in foreign markets may adversely affect our future profitability.</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and the United Kingdom,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spacing w:after="0" w:line="182"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exposed to significant product liability risks inherent in the development, testing, manufacturing and marketing of therapeutic treatments, including as a result of the clinical testing of our prior clinical candidates, our current clinical candidates, including CX-2051 and CX-801, and any other product candidates we may have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8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1" w:right="359" w:bottom="1440" w:gutter="0" w:footer="0" w:header="0"/>
        </w:sectPr>
      </w:pPr>
    </w:p>
    <w:bookmarkStart w:id="49" w:name="page50"/>
    <w:bookmarkEnd w:id="49"/>
    <w:p>
      <w:pPr>
        <w:ind w:right="80"/>
        <w:spacing w:after="0" w:line="255" w:lineRule="auto"/>
        <w:rPr>
          <w:sz w:val="20"/>
          <w:szCs w:val="20"/>
          <w:color w:val="auto"/>
        </w:rPr>
      </w:pPr>
      <w:r>
        <w:rPr>
          <w:rFonts w:ascii="Times New Roman" w:cs="Times New Roman" w:eastAsia="Times New Roman" w:hAnsi="Times New Roman"/>
          <w:sz w:val="18"/>
          <w:szCs w:val="18"/>
          <w:color w:val="auto"/>
        </w:rPr>
        <w:t>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8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6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U.S.</w:t>
      </w:r>
    </w:p>
    <w:p>
      <w:pPr>
        <w:spacing w:after="0" w:line="13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33"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0" w:name="page51"/>
    <w:bookmarkEnd w:id="50"/>
    <w:p>
      <w:pPr>
        <w:ind w:right="5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6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certain PROBODY and other pro-protein technology in the fields of therapeutics,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that we incorporate into some of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21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2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57" w:lineRule="exact"/>
        <w:rPr>
          <w:sz w:val="20"/>
          <w:szCs w:val="20"/>
          <w:color w:val="auto"/>
        </w:rPr>
      </w:pPr>
    </w:p>
    <w:p>
      <w:pPr>
        <w:ind w:left="1020" w:right="280" w:hanging="504"/>
        <w:spacing w:after="0" w:line="279"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5" w:lineRule="exact"/>
        <w:rPr>
          <w:rFonts w:ascii="Times New Roman" w:cs="Times New Roman" w:eastAsia="Times New Roman" w:hAnsi="Times New Roman"/>
          <w:sz w:val="18"/>
          <w:szCs w:val="18"/>
          <w:color w:val="auto"/>
        </w:rPr>
      </w:pPr>
    </w:p>
    <w:p>
      <w:pPr>
        <w:ind w:left="1020" w:right="620" w:hanging="504"/>
        <w:spacing w:after="0" w:line="279"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make the inventions covered by each of our issued patents and pending patent applications that we own or license.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51" w:name="page52"/>
    <w:bookmarkEnd w:id="51"/>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file patent applications covering certain aspects of our inventions.</w:t>
      </w:r>
    </w:p>
    <w:p>
      <w:pPr>
        <w:spacing w:after="0" w:line="115" w:lineRule="exact"/>
        <w:rPr>
          <w:rFonts w:ascii="Times New Roman" w:cs="Times New Roman" w:eastAsia="Times New Roman" w:hAnsi="Times New Roman"/>
          <w:sz w:val="18"/>
          <w:szCs w:val="18"/>
          <w:color w:val="auto"/>
        </w:rPr>
      </w:pPr>
    </w:p>
    <w:p>
      <w:pPr>
        <w:ind w:left="1020" w:right="920" w:hanging="504"/>
        <w:spacing w:after="0" w:line="279"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a court would hold that our patents are valid, enforceable and infringed.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advantages or will not be challenged by third parties.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additional proprietary technologies that are patentable.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5"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210"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3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21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087" w:right="379" w:bottom="1440" w:gutter="0" w:footer="0" w:header="0"/>
        </w:sectPr>
      </w:pPr>
    </w:p>
    <w:bookmarkStart w:id="52" w:name="page53"/>
    <w:bookmarkEnd w:id="52"/>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2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8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filed a patent infringement lawsuit against the Company in the U.S. District Court for the District of Delaware. The lawsuit alleged that the Company’s use, offers to sell, and/or sales of the PROBODY technology platform for basic research applications constituted infringement. The complaint sought unspecified monetary damages. On October 17, 2024 the Court dismissed plaintiff’s case, and on October 28, 2024, the Court ordered the case to be closed.</w:t>
      </w:r>
    </w:p>
    <w:p>
      <w:pPr>
        <w:spacing w:after="0" w:line="2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53" w:name="page54"/>
    <w:bookmarkEnd w:id="53"/>
    <w:p>
      <w:pPr>
        <w:ind w:right="860"/>
        <w:spacing w:after="0" w:line="279" w:lineRule="auto"/>
        <w:rPr>
          <w:sz w:val="20"/>
          <w:szCs w:val="20"/>
          <w:color w:val="auto"/>
        </w:rPr>
      </w:pPr>
      <w:r>
        <w:rPr>
          <w:rFonts w:ascii="Times New Roman" w:cs="Times New Roman" w:eastAsia="Times New Roman" w:hAnsi="Times New Roman"/>
          <w:sz w:val="18"/>
          <w:szCs w:val="18"/>
          <w:color w:val="auto"/>
        </w:rPr>
        <w:t>intellectual property rights also will not protect our technology if competitors design around our protected technology without legally infringing, misappropriating or otherwise violating our patents or other intellectual property rights.</w:t>
      </w:r>
    </w:p>
    <w:p>
      <w:pPr>
        <w:spacing w:after="0" w:line="15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21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1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4" w:name="page55"/>
    <w:bookmarkEnd w:id="54"/>
    <w:p>
      <w:pPr>
        <w:spacing w:after="0" w:line="251" w:lineRule="auto"/>
        <w:rPr>
          <w:sz w:val="20"/>
          <w:szCs w:val="20"/>
          <w:color w:val="auto"/>
        </w:rPr>
      </w:pPr>
      <w:r>
        <w:rPr>
          <w:rFonts w:ascii="Times New Roman" w:cs="Times New Roman" w:eastAsia="Times New Roman" w:hAnsi="Times New Roman"/>
          <w:sz w:val="18"/>
          <w:szCs w:val="18"/>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9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1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80"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55" w:name="page56"/>
    <w:bookmarkEnd w:id="55"/>
    <w:p>
      <w:pPr>
        <w:ind w:right="1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9"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5"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w:t>
      </w:r>
    </w:p>
    <w:p>
      <w:pPr>
        <w:spacing w:after="0" w:line="115" w:lineRule="exact"/>
        <w:rPr>
          <w:rFonts w:ascii="Times New Roman" w:cs="Times New Roman" w:eastAsia="Times New Roman" w:hAnsi="Times New Roman"/>
          <w:sz w:val="18"/>
          <w:szCs w:val="18"/>
          <w:color w:val="auto"/>
        </w:rPr>
      </w:pPr>
    </w:p>
    <w:p>
      <w:pPr>
        <w:ind w:left="1020" w:right="120" w:hanging="504"/>
        <w:spacing w:after="0" w:line="279"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significance or persuasiveness required by the FDA or comparable foreign regulatory agencies for approval;</w:t>
      </w:r>
    </w:p>
    <w:p>
      <w:pPr>
        <w:spacing w:after="0" w:line="55"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55" w:lineRule="exact"/>
        <w:rPr>
          <w:rFonts w:ascii="Times New Roman" w:cs="Times New Roman" w:eastAsia="Times New Roman" w:hAnsi="Times New Roman"/>
          <w:sz w:val="18"/>
          <w:szCs w:val="18"/>
          <w:color w:val="auto"/>
        </w:rPr>
      </w:pPr>
    </w:p>
    <w:p>
      <w:pPr>
        <w:ind w:left="1020" w:right="200" w:hanging="504"/>
        <w:spacing w:after="0" w:line="279"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5" w:lineRule="exact"/>
        <w:rPr>
          <w:rFonts w:ascii="Times New Roman" w:cs="Times New Roman" w:eastAsia="Times New Roman" w:hAnsi="Times New Roman"/>
          <w:sz w:val="18"/>
          <w:szCs w:val="18"/>
          <w:color w:val="auto"/>
        </w:rPr>
      </w:pPr>
    </w:p>
    <w:p>
      <w:pPr>
        <w:ind w:left="1020" w:right="320" w:hanging="504"/>
        <w:spacing w:after="0" w:line="279"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64"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spacing w:after="0" w:line="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115" w:lineRule="exact"/>
        <w:rPr>
          <w:rFonts w:ascii="Times New Roman" w:cs="Times New Roman" w:eastAsia="Times New Roman" w:hAnsi="Times New Roman"/>
          <w:sz w:val="18"/>
          <w:szCs w:val="18"/>
          <w:color w:val="auto"/>
        </w:rPr>
      </w:pPr>
    </w:p>
    <w:p>
      <w:pPr>
        <w:ind w:left="1020" w:right="520" w:hanging="504"/>
        <w:spacing w:after="0" w:line="279"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55"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8"/>
          <w:szCs w:val="18"/>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56" w:name="page57"/>
    <w:bookmarkEnd w:id="56"/>
    <w:p>
      <w:pPr>
        <w:ind w:right="20"/>
        <w:spacing w:after="0" w:line="253" w:lineRule="auto"/>
        <w:rPr>
          <w:sz w:val="20"/>
          <w:szCs w:val="20"/>
          <w:color w:val="auto"/>
        </w:rPr>
      </w:pPr>
      <w:r>
        <w:rPr>
          <w:rFonts w:ascii="Times New Roman" w:cs="Times New Roman" w:eastAsia="Times New Roman" w:hAnsi="Times New Roman"/>
          <w:sz w:val="18"/>
          <w:szCs w:val="18"/>
          <w:color w:val="auto"/>
        </w:rPr>
        <w:t>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that occurred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2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8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8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post-marketing clinical trials and surveillance programs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w:t>
      </w:r>
    </w:p>
    <w:p>
      <w:pPr>
        <w:spacing w:after="0" w:line="190"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6" w:lineRule="exact"/>
        <w:rPr>
          <w:sz w:val="20"/>
          <w:szCs w:val="20"/>
          <w:color w:val="auto"/>
        </w:rPr>
      </w:pPr>
    </w:p>
    <w:p>
      <w:pPr>
        <w:ind w:left="1020" w:right="180" w:hanging="504"/>
        <w:spacing w:after="0" w:line="27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or holds on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partners;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7" w:name="page58"/>
    <w:bookmarkEnd w:id="57"/>
    <w:p>
      <w:pPr>
        <w:ind w:right="60"/>
        <w:spacing w:after="0" w:line="259"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0"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 products may face competition sooner than anticipated.</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1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in recent years, the U.S. government has shut down several times and certain regulatory agencies, such as the FDA, have had to furlough FDA employees and stop critical activities.</w:t>
      </w:r>
    </w:p>
    <w:p>
      <w:pPr>
        <w:spacing w:after="0" w:line="2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If a prolonged government shutdown occurs, or if renewed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and adverse effect on our business and results of operations.</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and therapeutic biologics. Since its enactment, there have been judicial, executive and Congressional challenges to certain aspects of</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58" w:name="page59"/>
    <w:bookmarkEnd w:id="58"/>
    <w:p>
      <w:pPr>
        <w:ind w:right="80"/>
        <w:spacing w:after="0" w:line="279" w:lineRule="auto"/>
        <w:rPr>
          <w:sz w:val="20"/>
          <w:szCs w:val="20"/>
          <w:color w:val="auto"/>
        </w:rPr>
      </w:pPr>
      <w:r>
        <w:rPr>
          <w:rFonts w:ascii="Times New Roman" w:cs="Times New Roman" w:eastAsia="Times New Roman" w:hAnsi="Times New Roman"/>
          <w:sz w:val="18"/>
          <w:szCs w:val="18"/>
          <w:color w:val="auto"/>
        </w:rPr>
        <w:t>the ACA. On June 17, 2021, the U.S. Supreme Court dismissed the most recent judicial challenge to the ACA brought by several states without specifically ruling on the constitutionality of the ACA.</w:t>
      </w:r>
    </w:p>
    <w:p>
      <w:pPr>
        <w:spacing w:after="0" w:line="1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1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2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eliminated the statutory Medicaid drug rebate cap, previously set at 100% of a drug’s average manufacturer price, beginning January 1, 2024. In August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CMS has published the negotiated prices for the initial ten drugs, which will first be effective in 2026, and has published the list of the subsequent 15 drugs that will be subject to negotiation, although the drug price negotiation program is currently subject to legal challenges.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9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9" w:name="page60"/>
    <w:bookmarkEnd w:id="59"/>
    <w:p>
      <w:pPr>
        <w:ind w:right="40"/>
        <w:spacing w:after="0" w:line="279" w:lineRule="auto"/>
        <w:rPr>
          <w:sz w:val="20"/>
          <w:szCs w:val="20"/>
          <w:color w:val="auto"/>
        </w:rPr>
      </w:pPr>
      <w:r>
        <w:rPr>
          <w:rFonts w:ascii="Times New Roman" w:cs="Times New Roman" w:eastAsia="Times New Roman" w:hAnsi="Times New Roman"/>
          <w:sz w:val="18"/>
          <w:szCs w:val="18"/>
          <w:color w:val="auto"/>
        </w:rPr>
        <w:t>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56" w:lineRule="exact"/>
        <w:rPr>
          <w:sz w:val="20"/>
          <w:szCs w:val="20"/>
          <w:color w:val="auto"/>
        </w:rPr>
      </w:pPr>
    </w:p>
    <w:p>
      <w:pPr>
        <w:ind w:left="1020" w:right="40" w:hanging="504"/>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7" w:lineRule="exact"/>
        <w:rPr>
          <w:rFonts w:ascii="Times New Roman" w:cs="Times New Roman" w:eastAsia="Times New Roman" w:hAnsi="Times New Roman"/>
          <w:sz w:val="18"/>
          <w:szCs w:val="18"/>
          <w:color w:val="auto"/>
        </w:rPr>
      </w:pPr>
    </w:p>
    <w:p>
      <w:pPr>
        <w:ind w:left="1020" w:hanging="504"/>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76" w:lineRule="exact"/>
        <w:rPr>
          <w:rFonts w:ascii="Times New Roman" w:cs="Times New Roman" w:eastAsia="Times New Roman" w:hAnsi="Times New Roman"/>
          <w:sz w:val="18"/>
          <w:szCs w:val="18"/>
          <w:color w:val="auto"/>
        </w:rPr>
      </w:pPr>
    </w:p>
    <w:p>
      <w:pPr>
        <w:ind w:left="1020" w:right="40" w:hanging="504"/>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7" w:lineRule="exact"/>
        <w:rPr>
          <w:rFonts w:ascii="Times New Roman" w:cs="Times New Roman" w:eastAsia="Times New Roman" w:hAnsi="Times New Roman"/>
          <w:sz w:val="18"/>
          <w:szCs w:val="18"/>
          <w:color w:val="auto"/>
        </w:rPr>
      </w:pPr>
    </w:p>
    <w:p>
      <w:pPr>
        <w:ind w:left="1020" w:right="340" w:hanging="504"/>
        <w:spacing w:after="0" w:line="25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77" w:lineRule="exact"/>
        <w:rPr>
          <w:rFonts w:ascii="Times New Roman" w:cs="Times New Roman" w:eastAsia="Times New Roman" w:hAnsi="Times New Roman"/>
          <w:sz w:val="18"/>
          <w:szCs w:val="18"/>
          <w:color w:val="auto"/>
        </w:rPr>
      </w:pPr>
    </w:p>
    <w:p>
      <w:pPr>
        <w:ind w:left="1020" w:right="60" w:hanging="504"/>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2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16"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69" w:lineRule="exact"/>
        <w:rPr>
          <w:sz w:val="20"/>
          <w:szCs w:val="20"/>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0" w:name="page61"/>
    <w:bookmarkEnd w:id="60"/>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administrative detention of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1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Our operations abroad may also be subject to increased scrutiny or attention from data protection authorities. For example, the General Data Protection Regulation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w:t>
      </w:r>
    </w:p>
    <w:p>
      <w:pPr>
        <w:spacing w:after="0" w:line="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61" w:name="page62"/>
    <w:bookmarkEnd w:id="61"/>
    <w:p>
      <w:pPr>
        <w:ind w:right="20"/>
        <w:spacing w:after="0" w:line="259" w:lineRule="auto"/>
        <w:rPr>
          <w:sz w:val="20"/>
          <w:szCs w:val="20"/>
          <w:color w:val="auto"/>
        </w:rPr>
      </w:pPr>
      <w:r>
        <w:rPr>
          <w:rFonts w:ascii="Times New Roman" w:cs="Times New Roman" w:eastAsia="Times New Roman" w:hAnsi="Times New Roman"/>
          <w:sz w:val="18"/>
          <w:szCs w:val="18"/>
          <w:color w:val="auto"/>
        </w:rPr>
        <w:t>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20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21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8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21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2" w:name="page63"/>
    <w:bookmarkEnd w:id="62"/>
    <w:p>
      <w:pPr>
        <w:ind w:right="60"/>
        <w:spacing w:after="0" w:line="252"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1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predicted clinical benefit. If such post-approval studies fail to confirm the drug’s clinical benefit or are not completed in a timely manner, the FDA may withdraw its approval of the drug on an expedited basis. In addition, the Food and Drug Omnibus Reform Act of 2022 provided FDA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3" w:name="page64"/>
    <w:bookmarkEnd w:id="63"/>
    <w:p>
      <w:pPr>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 of clinical superiority to the product with orphan drug exclusivity or where the manufacturer is unable to assure sufficient product quantity.</w:t>
      </w:r>
    </w:p>
    <w:p>
      <w:pPr>
        <w:spacing w:after="0" w:line="21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disease or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213"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7"/>
          <w:szCs w:val="17"/>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29"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4" w:lineRule="exact"/>
        <w:rPr>
          <w:sz w:val="20"/>
          <w:szCs w:val="20"/>
          <w:color w:val="auto"/>
        </w:rPr>
      </w:pPr>
    </w:p>
    <w:p>
      <w:pPr>
        <w:ind w:right="640"/>
        <w:spacing w:after="0" w:line="279"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6" w:lineRule="exact"/>
        <w:rPr>
          <w:sz w:val="20"/>
          <w:szCs w:val="20"/>
          <w:color w:val="auto"/>
        </w:rPr>
      </w:pPr>
    </w:p>
    <w:p>
      <w:pPr>
        <w:ind w:left="1020" w:right="860" w:hanging="504"/>
        <w:spacing w:after="0" w:line="279"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PROBODY platform, our product candidates or future development programs;</w:t>
      </w:r>
    </w:p>
    <w:p>
      <w:pPr>
        <w:spacing w:after="0" w:line="55"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existing or future collaborators or licensing partners;</w:t>
      </w:r>
    </w:p>
    <w:p>
      <w:pPr>
        <w:spacing w:after="0" w:line="55" w:lineRule="exact"/>
        <w:rPr>
          <w:rFonts w:ascii="Times New Roman" w:cs="Times New Roman" w:eastAsia="Times New Roman" w:hAnsi="Times New Roman"/>
          <w:sz w:val="18"/>
          <w:szCs w:val="18"/>
          <w:color w:val="auto"/>
        </w:rPr>
      </w:pPr>
    </w:p>
    <w:p>
      <w:pPr>
        <w:ind w:left="1020" w:right="220" w:hanging="504"/>
        <w:spacing w:after="0" w:line="279"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5" w:lineRule="exact"/>
        <w:rPr>
          <w:rFonts w:ascii="Times New Roman" w:cs="Times New Roman" w:eastAsia="Times New Roman" w:hAnsi="Times New Roman"/>
          <w:sz w:val="18"/>
          <w:szCs w:val="18"/>
          <w:color w:val="auto"/>
        </w:rPr>
      </w:pPr>
    </w:p>
    <w:p>
      <w:pPr>
        <w:ind w:left="1020" w:right="240" w:hanging="504"/>
        <w:spacing w:after="0" w:line="279"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5" w:lineRule="exact"/>
        <w:rPr>
          <w:rFonts w:ascii="Times New Roman" w:cs="Times New Roman" w:eastAsia="Times New Roman" w:hAnsi="Times New Roman"/>
          <w:sz w:val="18"/>
          <w:szCs w:val="18"/>
          <w:color w:val="auto"/>
        </w:rPr>
      </w:pPr>
    </w:p>
    <w:p>
      <w:pPr>
        <w:ind w:left="1020" w:right="300" w:hanging="504"/>
        <w:spacing w:after="0" w:line="279"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5"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4" w:name="page65"/>
    <w:bookmarkEnd w:id="64"/>
    <w:p>
      <w:pPr>
        <w:ind w:left="1020" w:right="60" w:hanging="504"/>
        <w:spacing w:after="0" w:line="279"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portion of the revenue recognized relates to up-front payments received in earlier years, so the current cash flows from operations may be significantly different from the net income (loss) reported;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to be recognized in 2025 and future years may be significantly lower than 2024 as collaboration research terms come to an end.</w:t>
      </w:r>
    </w:p>
    <w:p>
      <w:pPr>
        <w:spacing w:after="0" w:line="24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of the Sarbanes-Oxley Act of 2002 requires that we evaluate and determine the effectiveness of our internal controls over financial reporting,</w:t>
      </w:r>
    </w:p>
    <w:p>
      <w:pPr>
        <w:spacing w:after="0" w:line="6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provide a management report on the internal control over financial reporting and obtain an independent assessment and report on a company's internal financial controls from our external auditors.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financial statements, and harm our operating results. In addition, we are required, pursuant to Section 404, to furnish a report by our management and obtain an independent assessment and report from our external auditors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spacing w:after="0" w:line="2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2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spacing w:after="0" w:line="2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plans to remediate the material weakness and determined that as of June 30, 2023, the material weakness had been remediated. There can be no assurance that we will not identify additional material weaknesses in the future.</w:t>
      </w:r>
    </w:p>
    <w:p>
      <w:pPr>
        <w:spacing w:after="0" w:line="20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common stock could incur substantial losses.</w:t>
      </w:r>
    </w:p>
    <w:p>
      <w:pPr>
        <w:spacing w:after="0" w:line="1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Our stock price is volatile. Since our initial public offering (“IPO”), our stock had low and high sales prices in the range of $0.76 and $35.00 per share. The market price for our common stock may be influenced by many factors, including the other risks described in this section titled “Risk Factors” and the following:</w:t>
      </w:r>
    </w:p>
    <w:p>
      <w:pPr>
        <w:spacing w:after="0" w:line="69"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collaborators;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5" w:lineRule="exact"/>
        <w:rPr>
          <w:rFonts w:ascii="Times New Roman" w:cs="Times New Roman" w:eastAsia="Times New Roman" w:hAnsi="Times New Roman"/>
          <w:sz w:val="18"/>
          <w:szCs w:val="18"/>
          <w:color w:val="auto"/>
        </w:rPr>
      </w:pPr>
    </w:p>
    <w:p>
      <w:pPr>
        <w:ind w:left="1020" w:right="30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existing or future collaborations, including but not limited to those with our sources of manufacturing supply and our commercialization partners;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5"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5" w:lineRule="exact"/>
        <w:rPr>
          <w:rFonts w:ascii="Times New Roman" w:cs="Times New Roman" w:eastAsia="Times New Roman" w:hAnsi="Times New Roman"/>
          <w:sz w:val="18"/>
          <w:szCs w:val="18"/>
          <w:color w:val="auto"/>
        </w:rPr>
      </w:pPr>
    </w:p>
    <w:p>
      <w:pPr>
        <w:ind w:left="1020" w:right="10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976" w:right="439" w:bottom="1440" w:gutter="0" w:footer="0" w:header="0"/>
        </w:sectPr>
      </w:pPr>
    </w:p>
    <w:bookmarkStart w:id="66" w:name="page67"/>
    <w:bookmarkEnd w:id="66"/>
    <w:p>
      <w:pPr>
        <w:ind w:right="200"/>
        <w:spacing w:after="0" w:line="264" w:lineRule="auto"/>
        <w:rPr>
          <w:sz w:val="20"/>
          <w:szCs w:val="20"/>
          <w:color w:val="auto"/>
        </w:rPr>
      </w:pPr>
      <w:r>
        <w:rPr>
          <w:rFonts w:ascii="Times New Roman" w:cs="Times New Roman" w:eastAsia="Times New Roman" w:hAnsi="Times New Roman"/>
          <w:sz w:val="18"/>
          <w:szCs w:val="18"/>
          <w:color w:val="auto"/>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(as amended on each of March 4, 2022 and August 9, 2024,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In July 2023, we sold pre-funded warrants to purchase up to 14,423,077 shares of common stock and accompanying Tranche Warrants to purchase up to 11,538,462 shares of our common stock.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Additionally, future sales of our common stock at prices below the exercise price of the Tranche Warrants may lower the exercise price of the Tranche Warrants. No prediction can be made as to the effect, if any, that future sales of common stock or the availability of common stock for future sales will have on the trading price of our common stock.</w:t>
      </w:r>
    </w:p>
    <w:p>
      <w:pPr>
        <w:spacing w:after="0" w:line="190"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1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8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March 31, 2025, our executive officers, directors, holders of 5% or more of our capital stock based on publicly available filings made with the SEC and their respective affiliates beneficially owned approximately 27% of our outstanding common stock. In addition, in our July 2023 private placement, a certain holder of 5% or more of our capital stock acquired pre-funded warrants and accompanying Tranche Warrants to purchase shares of our common stock. Until fully exercised or expired, the shares issuable upon the exercise of the pre-funded warrants and the Tranche Warrants are not included in the number of our outstanding shares of common stock. If such holder exercises their warrants, then the shares of our capital stock beneficially owned by our executive officers, directors, holders of 5% or more of our capital stock and their respective affiliates would increase significantly.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67" w:name="page68"/>
    <w:bookmarkEnd w:id="67"/>
    <w:p>
      <w:pPr>
        <w:ind w:right="8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7"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5" w:lineRule="exact"/>
        <w:rPr>
          <w:rFonts w:ascii="Times New Roman" w:cs="Times New Roman" w:eastAsia="Times New Roman" w:hAnsi="Times New Roman"/>
          <w:sz w:val="18"/>
          <w:szCs w:val="18"/>
          <w:color w:val="auto"/>
        </w:rPr>
      </w:pPr>
    </w:p>
    <w:p>
      <w:pPr>
        <w:ind w:left="1020" w:right="120" w:hanging="504"/>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7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18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5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to meet the continued listing requirements of the Nasdaq Global Select Market, including minimum stock price requirements, </w:t>
      </w:r>
      <w:r>
        <w:rPr>
          <w:rFonts w:ascii="Times New Roman" w:cs="Times New Roman" w:eastAsia="Times New Roman" w:hAnsi="Times New Roman"/>
          <w:sz w:val="18"/>
          <w:szCs w:val="18"/>
          <w:b w:val="1"/>
          <w:bCs w:val="1"/>
          <w:color w:val="auto"/>
        </w:rPr>
        <w:t>could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in a delisting of our common stock.</w:t>
      </w:r>
    </w:p>
    <w:p>
      <w:pPr>
        <w:spacing w:after="0" w:line="1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Global Select Market (“Nasdaq”), such as the corporate governance requirements or the minimum closing bid price requirement, Nasdaq may take steps to delist our common stock. On February 24, 2025, we received notice from Nasdaq that we failed to meet Nasdaq’s minimum closing bid price requirement of $1.00 per share. We have 180 days to bring our share price above $1.00 for ten consecutive trading days, subject to Nasdaq’s discretion to extend the time for compliance. While we intend to take reasonable action to bring our stock price in compliance, we cannot provide any assurance that we will be able to achieve compliance.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1" w:right="359" w:bottom="1440" w:gutter="0" w:footer="0" w:header="0"/>
        </w:sectPr>
      </w:pPr>
    </w:p>
    <w:bookmarkStart w:id="68" w:name="page69"/>
    <w:bookmarkEnd w:id="68"/>
    <w:p>
      <w:pPr>
        <w:spacing w:after="0" w:line="259" w:lineRule="auto"/>
        <w:rPr>
          <w:sz w:val="20"/>
          <w:szCs w:val="20"/>
          <w:color w:val="auto"/>
        </w:rPr>
      </w:pPr>
      <w:r>
        <w:rPr>
          <w:rFonts w:ascii="Times New Roman" w:cs="Times New Roman" w:eastAsia="Times New Roman" w:hAnsi="Times New Roman"/>
          <w:sz w:val="18"/>
          <w:szCs w:val="18"/>
          <w:color w:val="auto"/>
        </w:rPr>
        <w:t>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our expected stock volatility.</w:t>
      </w:r>
    </w:p>
    <w:p>
      <w:pPr>
        <w:spacing w:after="0" w:line="133"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20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Any future pandemic could adversely impact our business, including our research, development, including clinical trials, manufacturing and financial condition.</w:t>
      </w:r>
    </w:p>
    <w:p>
      <w:pPr>
        <w:spacing w:after="0" w:line="6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impact of future pandemics could severely impact the business, research, development and manufacturing for us and our partners including ongoing or planned clinical trials for CX-2051 and CX-801, and any clinical trials of our partners. For example, in December 2019, a novel strain of coronavirus, COVID-19, was reported to have surfaced in Wuhan, China, and spread to multiple countries, including the United States and European and Asia-Pacific countries. As a result, our operations and the operations of our partners were impacted for a substantial period of time. Future pandemics may incur similar or more severe disruptions and impacts. These disruptions and impacts may include:</w:t>
      </w:r>
    </w:p>
    <w:p>
      <w:pPr>
        <w:spacing w:after="0" w:line="77"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research activities or obtaining necessary supplies to enable research;</w:t>
      </w:r>
    </w:p>
    <w:p>
      <w:pPr>
        <w:spacing w:after="0" w:line="115" w:lineRule="exact"/>
        <w:rPr>
          <w:rFonts w:ascii="Times New Roman" w:cs="Times New Roman" w:eastAsia="Times New Roman" w:hAnsi="Times New Roman"/>
          <w:sz w:val="18"/>
          <w:szCs w:val="18"/>
          <w:color w:val="auto"/>
        </w:rPr>
      </w:pPr>
    </w:p>
    <w:p>
      <w:pPr>
        <w:ind w:left="1020" w:right="440" w:hanging="504"/>
        <w:spacing w:after="0" w:line="279"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for any clinical trials we or our partners decide to initiate, including CX-2051 and CX-801, including difficulties in recruiting clinical site investigators and clinical site staff and clinical trial enrollment;</w:t>
      </w:r>
    </w:p>
    <w:p>
      <w:pPr>
        <w:spacing w:after="0" w:line="55"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55" w:lineRule="exact"/>
        <w:rPr>
          <w:rFonts w:ascii="Times New Roman" w:cs="Times New Roman" w:eastAsia="Times New Roman" w:hAnsi="Times New Roman"/>
          <w:sz w:val="18"/>
          <w:szCs w:val="18"/>
          <w:color w:val="auto"/>
        </w:rPr>
      </w:pPr>
    </w:p>
    <w:p>
      <w:pPr>
        <w:ind w:left="1020" w:right="480" w:hanging="504"/>
        <w:spacing w:after="0" w:line="279"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interpreting clinical data due to patients being infected by pandemic disease;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9" w:name="page70"/>
    <w:bookmarkEnd w:id="69"/>
    <w:p>
      <w:pPr>
        <w:ind w:left="1020" w:right="320" w:hanging="504"/>
        <w:spacing w:after="0" w:line="310" w:lineRule="auto"/>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or our partners’ planned clinical trials;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or our partners’ clinical trials;</w:t>
      </w:r>
    </w:p>
    <w:p>
      <w:pPr>
        <w:spacing w:after="0" w:line="115" w:lineRule="exact"/>
        <w:rPr>
          <w:rFonts w:ascii="Times New Roman" w:cs="Times New Roman" w:eastAsia="Times New Roman" w:hAnsi="Times New Roman"/>
          <w:sz w:val="18"/>
          <w:szCs w:val="18"/>
          <w:color w:val="auto"/>
        </w:rPr>
      </w:pPr>
    </w:p>
    <w:p>
      <w:pPr>
        <w:ind w:left="1020" w:right="740" w:hanging="504"/>
        <w:spacing w:after="0" w:line="279"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55" w:lineRule="exact"/>
        <w:rPr>
          <w:rFonts w:ascii="Times New Roman" w:cs="Times New Roman" w:eastAsia="Times New Roman" w:hAnsi="Times New Roman"/>
          <w:sz w:val="18"/>
          <w:szCs w:val="18"/>
          <w:color w:val="auto"/>
        </w:rPr>
      </w:pPr>
    </w:p>
    <w:p>
      <w:pPr>
        <w:ind w:left="1020" w:right="240" w:hanging="504"/>
        <w:spacing w:after="0" w:line="310" w:lineRule="auto"/>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regulations as part of a response to a pandemic outbreak which may require us or our partners to change the ways in which clinical trials are conducted, which may result in unexpected costs, or cause us or our partners to discontinue the clinical trials altogether;</w:t>
      </w:r>
    </w:p>
    <w:p>
      <w:pPr>
        <w:spacing w:after="0" w:line="31" w:lineRule="exact"/>
        <w:rPr>
          <w:rFonts w:ascii="Times New Roman" w:cs="Times New Roman" w:eastAsia="Times New Roman" w:hAnsi="Times New Roman"/>
          <w:sz w:val="17"/>
          <w:szCs w:val="17"/>
          <w:color w:val="auto"/>
        </w:rPr>
      </w:pPr>
    </w:p>
    <w:p>
      <w:pPr>
        <w:ind w:left="1020" w:right="320" w:hanging="504"/>
        <w:spacing w:after="0" w:line="279"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outside the United States.</w:t>
      </w:r>
    </w:p>
    <w:p>
      <w:pPr>
        <w:spacing w:after="0" w:line="249"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8"/>
          <w:szCs w:val="18"/>
          <w:color w:val="auto"/>
        </w:rPr>
        <w:t>We cannot be certain of the impact of any future pandemic on our business or make any assurance that research, development or manufacturing of our product candidates will not be delayed, discontinued or otherwise impacted.</w:t>
      </w:r>
    </w:p>
    <w:p>
      <w:pPr>
        <w:spacing w:after="0" w:line="190"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color w:val="auto"/>
        </w:rPr>
        <w:t>Any of the potential business, research and clinical impacts arising as a result of any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203" w:lineRule="exact"/>
        <w:rPr>
          <w:sz w:val="20"/>
          <w:szCs w:val="20"/>
          <w:color w:val="auto"/>
        </w:rPr>
      </w:pPr>
    </w:p>
    <w:p>
      <w:pPr>
        <w:ind w:right="600"/>
        <w:spacing w:after="0" w:line="279" w:lineRule="auto"/>
        <w:rPr>
          <w:sz w:val="20"/>
          <w:szCs w:val="20"/>
          <w:color w:val="auto"/>
        </w:rPr>
      </w:pPr>
      <w:r>
        <w:rPr>
          <w:rFonts w:ascii="Times New Roman" w:cs="Times New Roman" w:eastAsia="Times New Roman" w:hAnsi="Times New Roman"/>
          <w:sz w:val="18"/>
          <w:szCs w:val="18"/>
          <w:color w:val="auto"/>
        </w:rPr>
        <w:t>In addition, a pandemic may negatively impact the trading price of shares of our common stock and could further severely impact our ability to raise additional capital on a timely basis or at all.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U.S. and multi-national financial market conditions may adversely affect our business and financial position.</w:t>
      </w:r>
    </w:p>
    <w:p>
      <w:pPr>
        <w:spacing w:after="0" w:line="13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assets or form strategic alliances in the future, and we may not realize the benefits of such acquisitions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21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70" w:name="page71"/>
    <w:bookmarkEnd w:id="70"/>
    <w:p>
      <w:pPr>
        <w:spacing w:after="0" w:line="279" w:lineRule="auto"/>
        <w:rPr>
          <w:sz w:val="20"/>
          <w:szCs w:val="20"/>
          <w:color w:val="auto"/>
        </w:rPr>
      </w:pPr>
      <w:r>
        <w:rPr>
          <w:rFonts w:ascii="Times New Roman" w:cs="Times New Roman" w:eastAsia="Times New Roman" w:hAnsi="Times New Roman"/>
          <w:sz w:val="18"/>
          <w:szCs w:val="18"/>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56"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acquisition costs;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or engage in dilutive issuances of equity securities to pay for acquisitions;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business and our activities under our collaboration agreements;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expand, our existing operational, technical, financial and administrative infrastructure;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experience in late-stage product development and commercialization;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hiring qualified personnel and establishing necessary development and/or commercialization capabilities;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management and other personnel;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controlling additional costs and expenses in connection with and as a result of the acquisition;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24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76"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8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planned clinical trials could result in delays in our regulatory approval efforts and significantly increase our costs to recover or reproduce the data.</w:t>
      </w:r>
    </w:p>
    <w:p>
      <w:pPr>
        <w:spacing w:after="0" w:line="24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our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Information, we could incur liability, recovery of our data could take a prolonged period of time, and the development of our research or product candidates could be delayed.</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There can be no assurance that our and our third-party service providers’ risk management program and processes, including policies, controls or procedures, will be fully implemented, complied with or effective in protecting our systems, networks and Confidential Information.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spacing w:after="0" w:line="18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ongoing armed conflict between Russia and Ukraine or other international conflicts could adversely affect our business, financial condition, and results of operations.</w:t>
      </w:r>
    </w:p>
    <w:p>
      <w:pPr>
        <w:spacing w:after="0" w:line="5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20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3" w:lineRule="exact"/>
        <w:rPr>
          <w:sz w:val="20"/>
          <w:szCs w:val="20"/>
          <w:color w:val="auto"/>
        </w:rPr>
      </w:pPr>
    </w:p>
    <w:p>
      <w:pPr>
        <w:ind w:left="1020" w:right="180" w:hanging="504"/>
        <w:spacing w:after="0" w:line="264"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2" w:name="page73"/>
    <w:bookmarkEnd w:id="72"/>
    <w:p>
      <w:pPr>
        <w:ind w:left="1020" w:right="140" w:hanging="504"/>
        <w:spacing w:after="0" w:line="279"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55" w:lineRule="exact"/>
        <w:rPr>
          <w:rFonts w:ascii="Times New Roman" w:cs="Times New Roman" w:eastAsia="Times New Roman" w:hAnsi="Times New Roman"/>
          <w:sz w:val="18"/>
          <w:szCs w:val="18"/>
          <w:color w:val="auto"/>
        </w:rPr>
      </w:pPr>
    </w:p>
    <w:p>
      <w:pPr>
        <w:ind w:left="1020" w:right="440" w:hanging="504"/>
        <w:spacing w:after="0" w:line="279"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2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8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Additionally, other armed conflicts that arise from time to time, including the current conflict between Israel and Hamas,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3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75"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8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73" w:name="page74"/>
    <w:bookmarkEnd w:id="73"/>
    <w:p>
      <w:pPr>
        <w:spacing w:after="0" w:line="279" w:lineRule="auto"/>
        <w:rPr>
          <w:sz w:val="20"/>
          <w:szCs w:val="20"/>
          <w:color w:val="auto"/>
        </w:rPr>
      </w:pPr>
      <w:r>
        <w:rPr>
          <w:rFonts w:ascii="Times New Roman" w:cs="Times New Roman" w:eastAsia="Times New Roman" w:hAnsi="Times New Roman"/>
          <w:sz w:val="18"/>
          <w:szCs w:val="18"/>
          <w:color w:val="auto"/>
        </w:rPr>
        <w:t>would likely decline. If one or more of these analysts cease coverage of us or fail to publish reports on us regularly, we could lose visibility in the financial markets, which in turn could cause our stock price or trading volume to decline.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or of Company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980"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80" w:type="dxa"/>
            <w:vAlign w:val="bottom"/>
            <w:gridSpan w:val="1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37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Amended and Restated Certificate of Incorporation.</w:t>
              </w:r>
            </w:hyperlink>
          </w:p>
        </w:tc>
        <w:tc>
          <w:tcPr>
            <w:tcW w:w="20" w:type="dxa"/>
            <w:vAlign w:val="bottom"/>
            <w:tcBorders>
              <w:bottom w:val="single" w:sz="8" w:color="0000EE"/>
            </w:tcBorders>
          </w:tcPr>
          <w:p>
            <w:pPr>
              <w:spacing w:after="0"/>
              <w:rPr>
                <w:sz w:val="24"/>
                <w:szCs w:val="24"/>
                <w:color w:val="auto"/>
              </w:rPr>
            </w:pPr>
          </w:p>
        </w:tc>
        <w:tc>
          <w:tcPr>
            <w:tcW w:w="2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5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Amended and Restated Bylaws of CytomX Therapeutics, Inc., effective March 20,</w:t>
              </w:r>
            </w:hyperlink>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3"/>
              </w:rPr>
            </w:pPr>
            <w:hyperlink r:id="rId199">
              <w:r>
                <w:rPr>
                  <w:rFonts w:ascii="Times New Roman" w:cs="Times New Roman" w:eastAsia="Times New Roman" w:hAnsi="Times New Roman"/>
                  <w:sz w:val="18"/>
                  <w:szCs w:val="18"/>
                  <w:color w:val="0000FF"/>
                  <w:w w:val="93"/>
                </w:rPr>
                <w:t>2024.</w:t>
              </w:r>
            </w:hyperlink>
          </w:p>
        </w:tc>
        <w:tc>
          <w:tcPr>
            <w:tcW w:w="40" w:type="dxa"/>
            <w:vAlign w:val="bottom"/>
            <w:tcBorders>
              <w:bottom w:val="single" w:sz="8" w:color="0000EE"/>
            </w:tcBorders>
          </w:tcPr>
          <w:p>
            <w:pPr>
              <w:spacing w:after="0"/>
              <w:rPr>
                <w:sz w:val="16"/>
                <w:szCs w:val="16"/>
                <w:color w:val="auto"/>
              </w:rPr>
            </w:pPr>
          </w:p>
        </w:tc>
        <w:tc>
          <w:tcPr>
            <w:tcW w:w="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3.2.</w:t>
            </w:r>
          </w:p>
        </w:tc>
        <w:tc>
          <w:tcPr>
            <w:tcW w:w="0" w:type="dxa"/>
            <w:vAlign w:val="bottom"/>
          </w:tcPr>
          <w:p>
            <w:pPr>
              <w:spacing w:after="0"/>
              <w:rPr>
                <w:sz w:val="1"/>
                <w:szCs w:val="1"/>
                <w:color w:val="auto"/>
              </w:rPr>
            </w:pPr>
          </w:p>
        </w:tc>
      </w:tr>
      <w:tr>
        <w:trPr>
          <w:trHeight w:val="295"/>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6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Specimen Common Stock Certificate</w:t>
              </w:r>
            </w:hyperlink>
          </w:p>
        </w:tc>
        <w:tc>
          <w:tcPr>
            <w:tcW w:w="20" w:type="dxa"/>
            <w:vAlign w:val="bottom"/>
            <w:tcBorders>
              <w:bottom w:val="single" w:sz="8" w:color="0000EE"/>
            </w:tcBorders>
          </w:tcPr>
          <w:p>
            <w:pPr>
              <w:spacing w:after="0"/>
              <w:rPr>
                <w:sz w:val="24"/>
                <w:szCs w:val="24"/>
                <w:color w:val="auto"/>
              </w:rPr>
            </w:pPr>
          </w:p>
        </w:tc>
        <w:tc>
          <w:tcPr>
            <w:tcW w:w="3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5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Separation Agreement, dated January 30, 2025, by and between CytomX</w:t>
            </w:r>
          </w:p>
        </w:tc>
        <w:tc>
          <w:tcPr>
            <w:tcW w:w="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0000FF"/>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w w:val="98"/>
              </w:rPr>
              <w:t>Therapeutics, Inc. and Jeffrey Landau.</w:t>
            </w:r>
          </w:p>
        </w:tc>
        <w:tc>
          <w:tcPr>
            <w:tcW w:w="32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Principal required by Rule 13a-14(a) or Rule 15d-</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20" w:type="dxa"/>
            <w:vAlign w:val="bottom"/>
            <w:tcBorders>
              <w:top w:val="single" w:sz="8" w:color="0000FF"/>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FF"/>
              </w:rPr>
              <w:t>14(a).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5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Principal required by Rule 13a-14(a) or Rule 15d-</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6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FF"/>
              </w:rPr>
              <w:t>14(a).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required by Rule 13a-14(b) or Rule 15d-</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20" w:type="dxa"/>
            <w:vAlign w:val="bottom"/>
            <w:tcBorders>
              <w:top w:val="single" w:sz="8" w:color="0000FF"/>
              <w:bottom w:val="single" w:sz="8" w:color="0000FF"/>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FF"/>
                <w:w w:val="99"/>
              </w:rPr>
              <w:t>14(b) and Section 1350 of Chapter 63 of Title 18 of the United States Code (18</w:t>
            </w:r>
          </w:p>
        </w:tc>
        <w:tc>
          <w:tcPr>
            <w:tcW w:w="80" w:type="dxa"/>
            <w:vAlign w:val="bottom"/>
            <w:tcBorders>
              <w:top w:val="single" w:sz="8" w:color="0000FF"/>
            </w:tcBorders>
            <w:gridSpan w:val="2"/>
          </w:tcPr>
          <w:p>
            <w:pPr>
              <w:spacing w:after="0"/>
              <w:rPr>
                <w:sz w:val="16"/>
                <w:szCs w:val="16"/>
                <w:color w:val="auto"/>
              </w:rPr>
            </w:pPr>
          </w:p>
        </w:tc>
        <w:tc>
          <w:tcPr>
            <w:tcW w:w="1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6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FF"/>
              </w:rPr>
              <w:t>U.S.C. §1350).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00" w:type="dxa"/>
            <w:vAlign w:val="bottom"/>
          </w:tcPr>
          <w:p>
            <w:pPr>
              <w:spacing w:after="0"/>
              <w:rPr>
                <w:sz w:val="24"/>
                <w:szCs w:val="24"/>
                <w:color w:val="auto"/>
              </w:rPr>
            </w:pPr>
          </w:p>
        </w:tc>
        <w:tc>
          <w:tcPr>
            <w:tcW w:w="5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required by Rule 13a-14(b) or Rule 15d-</w:t>
            </w:r>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20" w:type="dxa"/>
            <w:vAlign w:val="bottom"/>
            <w:tcBorders>
              <w:bottom w:val="single" w:sz="8" w:color="0000FF"/>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FF"/>
                <w:w w:val="99"/>
              </w:rPr>
              <w:t>14(b) and Section 1350 of Chapter 63 of Title 18 of the United States Code (18</w:t>
            </w:r>
          </w:p>
        </w:tc>
        <w:tc>
          <w:tcPr>
            <w:tcW w:w="2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60" w:type="dxa"/>
            <w:vAlign w:val="bottom"/>
            <w:gridSpan w:val="15"/>
          </w:tcPr>
          <w:p>
            <w:pPr>
              <w:spacing w:after="0" w:line="195" w:lineRule="exact"/>
              <w:rPr>
                <w:sz w:val="20"/>
                <w:szCs w:val="20"/>
                <w:color w:val="auto"/>
              </w:rPr>
            </w:pPr>
            <w:r>
              <w:rPr>
                <w:rFonts w:ascii="Times New Roman" w:cs="Times New Roman" w:eastAsia="Times New Roman" w:hAnsi="Times New Roman"/>
                <w:sz w:val="18"/>
                <w:szCs w:val="18"/>
                <w:color w:val="0000FF"/>
              </w:rPr>
              <w:t>U.S.C. §1350).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Interactive Data File because its XBRL tags are embedded within the Inline XBRL</w:t>
            </w:r>
          </w:p>
        </w:tc>
        <w:tc>
          <w:tcPr>
            <w:tcW w:w="0" w:type="dxa"/>
            <w:vAlign w:val="bottom"/>
          </w:tcPr>
          <w:p>
            <w:pPr>
              <w:spacing w:after="0"/>
              <w:rPr>
                <w:sz w:val="1"/>
                <w:szCs w:val="1"/>
                <w:color w:val="auto"/>
              </w:rPr>
            </w:pPr>
          </w:p>
        </w:tc>
      </w:tr>
      <w:tr>
        <w:trPr>
          <w:trHeight w:val="233"/>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3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6"/>
        </w:trPr>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 w:type="dxa"/>
            <w:vAlign w:val="bottom"/>
          </w:tcPr>
          <w:p>
            <w:pPr>
              <w:spacing w:after="0"/>
              <w:rPr>
                <w:sz w:val="24"/>
                <w:szCs w:val="24"/>
                <w:color w:val="auto"/>
              </w:rPr>
            </w:pPr>
          </w:p>
        </w:tc>
        <w:tc>
          <w:tcPr>
            <w:tcW w:w="59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340" w:right="420" w:hanging="823"/>
        <w:spacing w:after="0" w:line="279"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0"/>
                <w:szCs w:val="10"/>
                <w:color w:val="auto"/>
              </w:rPr>
            </w:pPr>
          </w:p>
        </w:tc>
        <w:tc>
          <w:tcPr>
            <w:tcW w:w="7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86"/>
        </w:trPr>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29"/>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5/17/2024</w:t>
            </w:r>
          </w:p>
        </w:tc>
        <w:tc>
          <w:tcPr>
            <w:tcW w:w="7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3/22/2024</w:t>
            </w:r>
          </w:p>
        </w:tc>
        <w:tc>
          <w:tcPr>
            <w:tcW w:w="7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2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9/28/2015</w:t>
            </w:r>
          </w:p>
        </w:tc>
        <w:tc>
          <w:tcPr>
            <w:tcW w:w="76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343"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343"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1"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58"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58"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343"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12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12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12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12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236"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X</w:t>
      </w:r>
    </w:p>
    <w:p>
      <w:pPr>
        <w:spacing w:after="0" w:line="366" w:lineRule="exact"/>
        <w:rPr>
          <w:sz w:val="20"/>
          <w:szCs w:val="20"/>
          <w:color w:val="auto"/>
        </w:rPr>
      </w:pPr>
    </w:p>
    <w:p>
      <w:pPr>
        <w:sectPr>
          <w:pgSz w:w="11900" w:h="16838" w:orient="portrait"/>
          <w:cols w:equalWidth="0" w:num="2">
            <w:col w:w="7300" w:space="120"/>
            <w:col w:w="3760"/>
          </w:cols>
          <w:pgMar w:left="320" w:top="976" w:right="399" w:bottom="1440" w:gutter="0" w:footer="0" w:header="0"/>
        </w:sectPr>
      </w:pPr>
    </w:p>
    <w:p>
      <w:pPr>
        <w:spacing w:after="0" w:line="164" w:lineRule="exact"/>
        <w:rPr>
          <w:sz w:val="20"/>
          <w:szCs w:val="20"/>
          <w:color w:val="auto"/>
        </w:rPr>
      </w:pPr>
    </w:p>
    <w:p>
      <w:pPr>
        <w:ind w:right="20" w:firstLine="7"/>
        <w:spacing w:after="0" w:line="264" w:lineRule="auto"/>
        <w:tabs>
          <w:tab w:leader="none" w:pos="1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976" w:right="39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734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r>
      <w:tr>
        <w:trPr>
          <w:trHeight w:val="45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9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A. McCarthy</w:t>
            </w:r>
          </w:p>
        </w:tc>
      </w:tr>
      <w:tr>
        <w:trPr>
          <w:trHeight w:val="186"/>
        </w:trPr>
        <w:tc>
          <w:tcPr>
            <w:tcW w:w="39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4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9"/>
              </w:rPr>
              <w:t>Sean A. McCarthy, D. Phil.</w:t>
            </w:r>
          </w:p>
        </w:tc>
      </w:tr>
      <w:tr>
        <w:trPr>
          <w:trHeight w:val="217"/>
        </w:trPr>
        <w:tc>
          <w:tcPr>
            <w:tcW w:w="39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Chairman</w:t>
            </w:r>
          </w:p>
        </w:tc>
      </w:tr>
      <w:tr>
        <w:trPr>
          <w:trHeight w:val="235"/>
        </w:trPr>
        <w:tc>
          <w:tcPr>
            <w:tcW w:w="39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9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Christopher W. Ogden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-8255</wp:posOffset>
            </wp:positionV>
            <wp:extent cx="28206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Christopher W. Ogden</w:t>
      </w:r>
    </w:p>
    <w:p>
      <w:pPr>
        <w:spacing w:after="0" w:line="8"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8"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8"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481330</wp:posOffset>
            </wp:positionV>
            <wp:extent cx="71583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AGREEMENT</w:t>
      </w:r>
    </w:p>
    <w:p>
      <w:pPr>
        <w:spacing w:after="0" w:line="230" w:lineRule="exact"/>
        <w:rPr>
          <w:sz w:val="20"/>
          <w:szCs w:val="20"/>
          <w:color w:val="auto"/>
        </w:rPr>
      </w:pPr>
    </w:p>
    <w:p>
      <w:pPr>
        <w:ind w:right="160" w:firstLine="393"/>
        <w:spacing w:after="0" w:line="252" w:lineRule="auto"/>
        <w:rPr>
          <w:sz w:val="20"/>
          <w:szCs w:val="20"/>
          <w:color w:val="auto"/>
        </w:rPr>
      </w:pPr>
      <w:r>
        <w:rPr>
          <w:rFonts w:ascii="Times New Roman" w:cs="Times New Roman" w:eastAsia="Times New Roman" w:hAnsi="Times New Roman"/>
          <w:sz w:val="20"/>
          <w:szCs w:val="20"/>
          <w:color w:val="auto"/>
        </w:rPr>
        <w:t>This Separation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by and between Jeffrey Landau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and CytomX Therapeutics,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made effective as of the eighth (8th) day following the date Executive signs this Agreement if not revoked in accordance with Section 5(c)(iii)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with reference to the following facts:</w:t>
      </w:r>
    </w:p>
    <w:p>
      <w:pPr>
        <w:spacing w:after="0" w:line="188" w:lineRule="exact"/>
        <w:rPr>
          <w:sz w:val="20"/>
          <w:szCs w:val="20"/>
          <w:color w:val="auto"/>
        </w:rPr>
      </w:pPr>
    </w:p>
    <w:p>
      <w:pPr>
        <w:ind w:right="380" w:firstLine="1505"/>
        <w:spacing w:after="0" w:line="266" w:lineRule="auto"/>
        <w:tabs>
          <w:tab w:leader="none" w:pos="189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employment with the Company and status as an officer and employee of the Company and each of its affiliates ended effective as of February 7, 2025 (the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right="540" w:firstLine="1505"/>
        <w:spacing w:after="0" w:line="266" w:lineRule="auto"/>
        <w:tabs>
          <w:tab w:leader="none" w:pos="189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are parties to that certain Amended and Restated Severance and Change of Control Agreement dated as of April 12, 2021, as amended (the “</w:t>
      </w:r>
      <w:r>
        <w:rPr>
          <w:rFonts w:ascii="Times New Roman" w:cs="Times New Roman" w:eastAsia="Times New Roman" w:hAnsi="Times New Roman"/>
          <w:sz w:val="20"/>
          <w:szCs w:val="20"/>
          <w:u w:val="single" w:color="auto"/>
          <w:color w:val="auto"/>
        </w:rPr>
        <w:t>Severance Agreement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right="60" w:firstLine="1505"/>
        <w:spacing w:after="0" w:line="266" w:lineRule="auto"/>
        <w:tabs>
          <w:tab w:leader="none" w:pos="189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and the Company want to end their relationship amicably and also to establish the obligations of the parties including, without limitation, all amounts due and owing to the Executive.</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NOW, THEREFORE, in consideration of the mutual covenants and agreements hereinafter set forth, the parties agree as follows:</w:t>
      </w:r>
    </w:p>
    <w:p>
      <w:pPr>
        <w:spacing w:after="0" w:line="226" w:lineRule="exact"/>
        <w:rPr>
          <w:sz w:val="20"/>
          <w:szCs w:val="20"/>
          <w:color w:val="auto"/>
        </w:rPr>
      </w:pPr>
    </w:p>
    <w:p>
      <w:pPr>
        <w:ind w:left="300" w:right="20" w:firstLine="1490"/>
        <w:spacing w:after="0" w:line="247" w:lineRule="auto"/>
        <w:tabs>
          <w:tab w:leader="none" w:pos="205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xml:space="preserve">. Executive acknowledges and agrees that Executive’s status as an officer and employee of the Company ended effective as of the Termination Date. Executive hereby agrees to execute such further document(s) as shall be determined by the Company as necessary or desirable to give effect to the termination of Executive’s status as an officer of the Company as of the Termination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documents shall not be inconsistent with any of the terms of this Agreement.</w:t>
      </w:r>
    </w:p>
    <w:p>
      <w:pPr>
        <w:spacing w:after="0" w:line="180" w:lineRule="exact"/>
        <w:rPr>
          <w:rFonts w:ascii="Times New Roman" w:cs="Times New Roman" w:eastAsia="Times New Roman" w:hAnsi="Times New Roman"/>
          <w:sz w:val="20"/>
          <w:szCs w:val="20"/>
          <w:color w:val="auto"/>
        </w:rPr>
      </w:pPr>
    </w:p>
    <w:p>
      <w:pPr>
        <w:ind w:left="300" w:firstLine="1490"/>
        <w:spacing w:after="0" w:line="242" w:lineRule="auto"/>
        <w:tabs>
          <w:tab w:leader="none" w:pos="205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 Paycheck; Payment of Accrued Wages and Expenses</w:t>
      </w:r>
      <w:r>
        <w:rPr>
          <w:rFonts w:ascii="Times New Roman" w:cs="Times New Roman" w:eastAsia="Times New Roman" w:hAnsi="Times New Roman"/>
          <w:sz w:val="20"/>
          <w:szCs w:val="20"/>
          <w:color w:val="auto"/>
        </w:rPr>
        <w:t>. The Company has paid, or as soon as administratively practicable after the Termination Date the Company shall pay, Executive all accrued but unpaid base salary and all accrued and unused vacation earned through the Termination Date, subject to standard payroll deductions and withholdings. The Company will also reimburse Executive for all outstanding expenses incurred prior to the Termination Date which are consistent with the Company’s policies in effect from time to time with respect to travel, entertainment and other business expenses, subject to the Company’s requirements with respect to reporting and documenting such expenses. Executive is entitled to these payments regardless of whether Executive executes this Agreement.</w:t>
      </w:r>
    </w:p>
    <w:p>
      <w:pPr>
        <w:spacing w:after="0" w:line="188" w:lineRule="exact"/>
        <w:rPr>
          <w:rFonts w:ascii="Times New Roman" w:cs="Times New Roman" w:eastAsia="Times New Roman" w:hAnsi="Times New Roman"/>
          <w:sz w:val="20"/>
          <w:szCs w:val="20"/>
          <w:color w:val="auto"/>
        </w:rPr>
      </w:pPr>
    </w:p>
    <w:p>
      <w:pPr>
        <w:ind w:left="300" w:firstLine="1490"/>
        <w:spacing w:after="0" w:line="245" w:lineRule="auto"/>
        <w:tabs>
          <w:tab w:leader="none" w:pos="205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Payments and Benefits</w:t>
      </w:r>
      <w:r>
        <w:rPr>
          <w:rFonts w:ascii="Times New Roman" w:cs="Times New Roman" w:eastAsia="Times New Roman" w:hAnsi="Times New Roman"/>
          <w:sz w:val="20"/>
          <w:szCs w:val="20"/>
          <w:color w:val="auto"/>
        </w:rPr>
        <w:t>. Without admission of any liability, fact or claim, the Company hereby agrees, subject to this Agreement becoming effective and irrevocable within thirty days following the Termination Date and continued compliance with the terms and conditions of the Proprietary Information and Inventions Agreement entered into between Executive and the Company (the “</w:t>
      </w:r>
      <w:r>
        <w:rPr>
          <w:rFonts w:ascii="Times New Roman" w:cs="Times New Roman" w:eastAsia="Times New Roman" w:hAnsi="Times New Roman"/>
          <w:sz w:val="20"/>
          <w:szCs w:val="20"/>
          <w:u w:val="single" w:color="auto"/>
          <w:color w:val="auto"/>
        </w:rPr>
        <w:t>Confidentiality Agreement</w:t>
      </w:r>
      <w:r>
        <w:rPr>
          <w:rFonts w:ascii="Times New Roman" w:cs="Times New Roman" w:eastAsia="Times New Roman" w:hAnsi="Times New Roman"/>
          <w:sz w:val="20"/>
          <w:szCs w:val="20"/>
          <w:color w:val="auto"/>
        </w:rPr>
        <w:t>”), to provide Executive the severance benefits set forth below. Specifically, the Company and Executive agree as follows: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|US-DOCS\157122899.1||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71583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77" w:name="page78"/>
    <w:bookmarkEnd w:id="77"/>
    <w:p>
      <w:pPr>
        <w:ind w:left="880" w:right="20" w:firstLine="1498"/>
        <w:spacing w:after="0" w:line="248"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Severance</w:t>
      </w:r>
      <w:r>
        <w:rPr>
          <w:rFonts w:ascii="Times New Roman" w:cs="Times New Roman" w:eastAsia="Times New Roman" w:hAnsi="Times New Roman"/>
          <w:sz w:val="20"/>
          <w:szCs w:val="20"/>
          <w:color w:val="auto"/>
        </w:rPr>
        <w:t>. The Company shall pay to Executive an amount equal to $450,657, which constitutes twelve (12) months of Executive’s base salary as in effect on the Effective Date and Executive’s target bonus for 2025, pro-rated through the Termination Date, such payment to be made in a single lump sum, less applicable withholdings and deductions, on the first payroll date at least five business days following the date this Agreement becomes effective and irrevocable.</w:t>
      </w:r>
    </w:p>
    <w:p>
      <w:pPr>
        <w:spacing w:after="0" w:line="177" w:lineRule="exact"/>
        <w:rPr>
          <w:sz w:val="20"/>
          <w:szCs w:val="20"/>
          <w:color w:val="auto"/>
        </w:rPr>
      </w:pPr>
    </w:p>
    <w:p>
      <w:pPr>
        <w:ind w:left="880" w:right="60" w:firstLine="1498"/>
        <w:spacing w:after="0" w:line="256"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9"/>
          <w:szCs w:val="19"/>
          <w:i w:val="1"/>
          <w:iCs w:val="1"/>
          <w:color w:val="auto"/>
        </w:rPr>
        <w:t>Healthcare Continuation Coverage</w:t>
      </w:r>
      <w:r>
        <w:rPr>
          <w:rFonts w:ascii="Times New Roman" w:cs="Times New Roman" w:eastAsia="Times New Roman" w:hAnsi="Times New Roman"/>
          <w:sz w:val="19"/>
          <w:szCs w:val="19"/>
          <w:color w:val="auto"/>
        </w:rPr>
        <w:t>. If Executive timely elects to receive continued healthcare coverage pursuant to the provisions of the Consolidated Omnibus Budget Reconciliation Act of 1985, as amended (“</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xml:space="preserve">”), the Company shall directly pay, or reimburse Executive for, the COBRA premiums for Executive and Executive’s covered dependents through the earlier of (i) the twelve (12)-month anniversary of the Termination Date or (ii) the date on which Executive and/or Executive’s covered dependents, if any, become eligible for healthcare coverage under another employer’s plan(s);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after the Company ceases to directly pay or reimburse premiums pursuant to this Section 3(b), Executive may, if eligible, elect to continue healthcare coverage at Executive’s expense in accordance with the provisions of COBRA. Executive acknowledges that Executive shall be solely responsible for all matters relating to Executive’s continuation of coverage pursuant to COBRA, including, without limitation, Executive’s election of such coverage and Executive’s timely payment of premiums.</w:t>
      </w:r>
    </w:p>
    <w:p>
      <w:pPr>
        <w:spacing w:after="0" w:line="171" w:lineRule="exact"/>
        <w:rPr>
          <w:sz w:val="20"/>
          <w:szCs w:val="20"/>
          <w:color w:val="auto"/>
        </w:rPr>
      </w:pPr>
    </w:p>
    <w:p>
      <w:pPr>
        <w:ind w:left="880" w:right="60" w:firstLine="1498"/>
        <w:spacing w:after="0" w:line="243"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Stock Options</w:t>
      </w:r>
      <w:r>
        <w:rPr>
          <w:rFonts w:ascii="Times New Roman" w:cs="Times New Roman" w:eastAsia="Times New Roman" w:hAnsi="Times New Roman"/>
          <w:sz w:val="20"/>
          <w:szCs w:val="20"/>
          <w:color w:val="auto"/>
        </w:rPr>
        <w:t>. Executive acknowledges and agrees that the unvested portion of each option to purchase Company common stock held by Executive as of the Termination Date terminated. The vested portion of each option to purchase Company common stock that is outstanding and held by Executive as of the Termination Date shall remain eligible to be exercised through the three month anniversary of the Termination Date. If Executive desires to exercise any vested options, Executive must follow the procedures set forth in Executive’s option agreements, including payment of the exercise price and any withholding obligations. Any unexercised vested options shall automatically terminate on the one hundred eightieth (180) day anniversary of the Termination Date.</w:t>
      </w:r>
    </w:p>
    <w:p>
      <w:pPr>
        <w:spacing w:after="0" w:line="182" w:lineRule="exact"/>
        <w:rPr>
          <w:sz w:val="20"/>
          <w:szCs w:val="20"/>
          <w:color w:val="auto"/>
        </w:rPr>
      </w:pPr>
    </w:p>
    <w:p>
      <w:pPr>
        <w:jc w:val="both"/>
        <w:ind w:left="760" w:firstLine="1494"/>
        <w:spacing w:after="0" w:line="248" w:lineRule="auto"/>
        <w:tabs>
          <w:tab w:leader="none" w:pos="255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SEC Reporting. </w:t>
      </w:r>
      <w:r>
        <w:rPr>
          <w:rFonts w:ascii="Times New Roman" w:cs="Times New Roman" w:eastAsia="Times New Roman" w:hAnsi="Times New Roman"/>
          <w:sz w:val="20"/>
          <w:szCs w:val="20"/>
          <w:color w:val="auto"/>
        </w:rPr>
        <w:t>Executive acknowledges that to the extent required by the Securities Exchange Act of 1934,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Executive will have continuing obligations under Section 16(a) and 16(b) of the Exchange Act to report any matching transactions in Company common stock for six (6) months following the Termination Date. Executive hereby agrees not to undertake, directly or indirectly, any matching transactions until the end of such six (6) month period.</w:t>
      </w:r>
    </w:p>
    <w:p>
      <w:pPr>
        <w:spacing w:after="0" w:line="177" w:lineRule="exact"/>
        <w:rPr>
          <w:sz w:val="20"/>
          <w:szCs w:val="20"/>
          <w:color w:val="auto"/>
        </w:rPr>
      </w:pPr>
    </w:p>
    <w:p>
      <w:pPr>
        <w:ind w:left="880" w:right="120" w:firstLine="1498"/>
        <w:spacing w:after="0" w:line="248"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i w:val="1"/>
          <w:iCs w:val="1"/>
          <w:color w:val="auto"/>
        </w:rPr>
        <w:t>Sole Separation Benefit</w:t>
      </w:r>
      <w:r>
        <w:rPr>
          <w:rFonts w:ascii="Times New Roman" w:cs="Times New Roman" w:eastAsia="Times New Roman" w:hAnsi="Times New Roman"/>
          <w:sz w:val="20"/>
          <w:szCs w:val="20"/>
          <w:color w:val="auto"/>
        </w:rPr>
        <w:t>. Executive agrees that the payments provided by this Section 3 are not required under the Company’s normal policies and procedures and are provided as a severance solely in connection with this Agreement. Executive acknowledges and agrees that the payments referenced in this Section 3 constitute adequate and valuable consideration, in and of themselves, for the promises contained in this Agreement.</w:t>
      </w:r>
    </w:p>
    <w:p>
      <w:pPr>
        <w:spacing w:after="0" w:line="179" w:lineRule="exact"/>
        <w:rPr>
          <w:sz w:val="20"/>
          <w:szCs w:val="20"/>
          <w:color w:val="auto"/>
        </w:rPr>
      </w:pPr>
    </w:p>
    <w:p>
      <w:pPr>
        <w:jc w:val="both"/>
        <w:ind w:left="300" w:right="40" w:firstLine="1490"/>
        <w:spacing w:after="0" w:line="271" w:lineRule="auto"/>
        <w:tabs>
          <w:tab w:leader="none" w:pos="2052"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Full Payment</w:t>
      </w:r>
      <w:r>
        <w:rPr>
          <w:rFonts w:ascii="Times New Roman" w:cs="Times New Roman" w:eastAsia="Times New Roman" w:hAnsi="Times New Roman"/>
          <w:sz w:val="19"/>
          <w:szCs w:val="19"/>
          <w:color w:val="auto"/>
        </w:rPr>
        <w:t>. Executive acknowledges that the payment and arrangements herein shall constitute full and complete satisfaction of any and all amounts properly due and owing to Executive as a result of Executive’s employment with the Company and the termination thereof. Executive further acknowledges that, other than the Confidentiality Agreement and the agreements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|US-DOCS\157122899.1||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71583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78" w:name="page79"/>
    <w:bookmarkEnd w:id="78"/>
    <w:p>
      <w:pPr>
        <w:ind w:left="300" w:right="120"/>
        <w:spacing w:after="0" w:line="264" w:lineRule="auto"/>
        <w:rPr>
          <w:sz w:val="20"/>
          <w:szCs w:val="20"/>
          <w:color w:val="auto"/>
        </w:rPr>
      </w:pPr>
      <w:r>
        <w:rPr>
          <w:rFonts w:ascii="Times New Roman" w:cs="Times New Roman" w:eastAsia="Times New Roman" w:hAnsi="Times New Roman"/>
          <w:sz w:val="19"/>
          <w:szCs w:val="19"/>
          <w:color w:val="auto"/>
        </w:rPr>
        <w:t>evidencing Executive’s stock options (the “</w:t>
      </w:r>
      <w:r>
        <w:rPr>
          <w:rFonts w:ascii="Times New Roman" w:cs="Times New Roman" w:eastAsia="Times New Roman" w:hAnsi="Times New Roman"/>
          <w:sz w:val="19"/>
          <w:szCs w:val="19"/>
          <w:u w:val="single" w:color="auto"/>
          <w:color w:val="auto"/>
        </w:rPr>
        <w:t>Stock Option Agreements</w:t>
      </w:r>
      <w:r>
        <w:rPr>
          <w:rFonts w:ascii="Times New Roman" w:cs="Times New Roman" w:eastAsia="Times New Roman" w:hAnsi="Times New Roman"/>
          <w:sz w:val="19"/>
          <w:szCs w:val="19"/>
          <w:color w:val="auto"/>
        </w:rPr>
        <w:t>”) and as explicitly set forth in Section 10 hereof, this Agreement shall supersede each agreement entered into between Executive and the Company regarding Executive’s employment, including, without limitation, the Severance Agreement, any offer letter, employment agreement, bonus plan or arrangement, severance and/or change in control agreement, and each such agreement shall be deemed terminated and of no further effect as of the Effective Date.</w:t>
      </w:r>
    </w:p>
    <w:p>
      <w:pPr>
        <w:spacing w:after="0" w:line="166" w:lineRule="exact"/>
        <w:rPr>
          <w:sz w:val="20"/>
          <w:szCs w:val="20"/>
          <w:color w:val="auto"/>
        </w:rPr>
      </w:pPr>
    </w:p>
    <w:p>
      <w:pPr>
        <w:ind w:left="300" w:right="180" w:firstLine="1490"/>
        <w:spacing w:after="0" w:line="271" w:lineRule="auto"/>
        <w:tabs>
          <w:tab w:leader="none" w:pos="205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Executive’s Release of the Company</w:t>
      </w:r>
      <w:r>
        <w:rPr>
          <w:rFonts w:ascii="Times New Roman" w:cs="Times New Roman" w:eastAsia="Times New Roman" w:hAnsi="Times New Roman"/>
          <w:sz w:val="19"/>
          <w:szCs w:val="19"/>
          <w:color w:val="auto"/>
        </w:rPr>
        <w:t>. Executive understands that by agreeing to the release provided by this Section 5, Executive is agreeing not to sue, or otherwise file any claim against, the Company or any of its directors, officers, employees, investors or other agents for any reason whatsoever based on anything that has occurred as of the date Executive signs this Agreement.</w:t>
      </w:r>
    </w:p>
    <w:p>
      <w:pPr>
        <w:spacing w:after="0" w:line="15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Released Claims.</w:t>
      </w:r>
      <w:r>
        <w:rPr>
          <w:rFonts w:ascii="Times New Roman" w:cs="Times New Roman" w:eastAsia="Times New Roman" w:hAnsi="Times New Roman"/>
          <w:sz w:val="20"/>
          <w:szCs w:val="20"/>
          <w:color w:val="auto"/>
        </w:rPr>
        <w:t xml:space="preserve"> On behalf of Executive and Executive’s heirs, assigns, executors, administrators, trusts,</w:t>
      </w:r>
    </w:p>
    <w:p>
      <w:pPr>
        <w:spacing w:after="0" w:line="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spouse and estate, Executive hereby releases and forever discharges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hereunder, consisting of the Company and</w:t>
      </w:r>
    </w:p>
    <w:p>
      <w:pPr>
        <w:ind w:left="880"/>
        <w:spacing w:after="0" w:line="238" w:lineRule="auto"/>
        <w:rPr>
          <w:sz w:val="20"/>
          <w:szCs w:val="20"/>
          <w:color w:val="auto"/>
        </w:rPr>
      </w:pPr>
      <w:r>
        <w:rPr>
          <w:rFonts w:ascii="Times New Roman" w:cs="Times New Roman" w:eastAsia="Times New Roman" w:hAnsi="Times New Roman"/>
          <w:sz w:val="20"/>
          <w:szCs w:val="20"/>
          <w:color w:val="auto"/>
        </w:rPr>
        <w:t>each of its owners, affiliates, subsidiaries, predecessors, successors, assigns, agents, directors, officers, partners, employees, and</w:t>
      </w:r>
    </w:p>
    <w:p>
      <w:pPr>
        <w:ind w:left="880"/>
        <w:spacing w:after="0" w:line="238" w:lineRule="auto"/>
        <w:rPr>
          <w:sz w:val="20"/>
          <w:szCs w:val="20"/>
          <w:color w:val="auto"/>
        </w:rPr>
      </w:pPr>
      <w:r>
        <w:rPr>
          <w:rFonts w:ascii="Times New Roman" w:cs="Times New Roman" w:eastAsia="Times New Roman" w:hAnsi="Times New Roman"/>
          <w:sz w:val="20"/>
          <w:szCs w:val="20"/>
          <w:color w:val="auto"/>
        </w:rPr>
        <w:t>insurers, and all persons acting by, through, under or in concert with them, or any of them, of and from any and all manner of</w:t>
      </w:r>
    </w:p>
    <w:p>
      <w:pPr>
        <w:ind w:left="880"/>
        <w:spacing w:after="0"/>
        <w:rPr>
          <w:sz w:val="20"/>
          <w:szCs w:val="20"/>
          <w:color w:val="auto"/>
        </w:rPr>
      </w:pPr>
      <w:r>
        <w:rPr>
          <w:rFonts w:ascii="Times New Roman" w:cs="Times New Roman" w:eastAsia="Times New Roman" w:hAnsi="Times New Roman"/>
          <w:sz w:val="19"/>
          <w:szCs w:val="19"/>
          <w:color w:val="auto"/>
        </w:rPr>
        <w:t>action or actions, cause or causes of action, in law or in equity, suits, debts, liens, contracts, agreements, promises, liability, claims,</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demands, damages, loss, cost or expense, of any nature whatsoever, known or unknown, fixed or contingent (hereinafter called</w:t>
      </w:r>
    </w:p>
    <w:p>
      <w:pPr>
        <w:ind w:left="8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Claims</w:t>
      </w:r>
      <w:r>
        <w:rPr>
          <w:rFonts w:ascii="Times New Roman" w:cs="Times New Roman" w:eastAsia="Times New Roman" w:hAnsi="Times New Roman"/>
          <w:sz w:val="19"/>
          <w:szCs w:val="19"/>
          <w:color w:val="auto"/>
        </w:rPr>
        <w:t>”), which Executive now has or may hereafter have against the Releasees, or any of them, by reason of any matter, cause,</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or thing whatsoever from the beginning of time to the date hereof, including, without limiting the generality of the foregoing, any</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Claims arising out of, based upon, or relating to Executive’s hire, employment, remuneration or termination by the Releasees, or</w:t>
      </w:r>
    </w:p>
    <w:p>
      <w:pPr>
        <w:ind w:left="880"/>
        <w:spacing w:after="0"/>
        <w:rPr>
          <w:sz w:val="20"/>
          <w:szCs w:val="20"/>
          <w:color w:val="auto"/>
        </w:rPr>
      </w:pPr>
      <w:r>
        <w:rPr>
          <w:rFonts w:ascii="Times New Roman" w:cs="Times New Roman" w:eastAsia="Times New Roman" w:hAnsi="Times New Roman"/>
          <w:sz w:val="19"/>
          <w:szCs w:val="19"/>
          <w:color w:val="auto"/>
        </w:rPr>
        <w:t>any of them, Claims arising under federal, state, or local laws relating to employment, Claims of any kind that may be brought in</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any court or administrative agency, including any Claims arising under Title VII of the Civil Rights Act of 1964, as amended, 42</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U.S.C. § 2000, et seq.; Americans with Disabilities Act, as amended, 42 U.S.C. § 12101 et seq.; the Rehabilitation Act of 1973, as</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amended, 29 U.S.C. § 701 et seq.; Age Discrimination in Employment Act, as amended, 29 U.S.C. § 621, et seq.; Civil Rights Act</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of 1866, and Civil Rights Act of 1991; 42 U.S.C. § 1981, et seq.; Equal Pay Act, as amended, 29 U.S.C. § 206(d); regulations of</w:t>
      </w:r>
    </w:p>
    <w:p>
      <w:pPr>
        <w:ind w:left="880"/>
        <w:spacing w:after="0" w:line="238" w:lineRule="auto"/>
        <w:rPr>
          <w:sz w:val="20"/>
          <w:szCs w:val="20"/>
          <w:color w:val="auto"/>
        </w:rPr>
      </w:pPr>
      <w:r>
        <w:rPr>
          <w:rFonts w:ascii="Times New Roman" w:cs="Times New Roman" w:eastAsia="Times New Roman" w:hAnsi="Times New Roman"/>
          <w:sz w:val="20"/>
          <w:szCs w:val="20"/>
          <w:color w:val="auto"/>
        </w:rPr>
        <w:t>the Office of Federal Contract Compliance, 41 C.F.R. Section 60, et seq.; The Family and Medical Leave Act, as amended, 29</w:t>
      </w:r>
    </w:p>
    <w:p>
      <w:pPr>
        <w:ind w:left="880"/>
        <w:spacing w:after="0" w:line="238" w:lineRule="auto"/>
        <w:rPr>
          <w:sz w:val="20"/>
          <w:szCs w:val="20"/>
          <w:color w:val="auto"/>
        </w:rPr>
      </w:pPr>
      <w:r>
        <w:rPr>
          <w:rFonts w:ascii="Times New Roman" w:cs="Times New Roman" w:eastAsia="Times New Roman" w:hAnsi="Times New Roman"/>
          <w:sz w:val="20"/>
          <w:szCs w:val="20"/>
          <w:color w:val="auto"/>
        </w:rPr>
        <w:t>U.S.C. § 2601 et seq.; the Fair Labor Standards Act of 1938, as amended, 29 U.S.C. § 201 et seq.; the Employee Retirement</w:t>
      </w:r>
    </w:p>
    <w:p>
      <w:pPr>
        <w:ind w:left="880"/>
        <w:spacing w:after="0"/>
        <w:rPr>
          <w:sz w:val="20"/>
          <w:szCs w:val="20"/>
          <w:color w:val="auto"/>
        </w:rPr>
      </w:pPr>
      <w:r>
        <w:rPr>
          <w:rFonts w:ascii="Times New Roman" w:cs="Times New Roman" w:eastAsia="Times New Roman" w:hAnsi="Times New Roman"/>
          <w:sz w:val="19"/>
          <w:szCs w:val="19"/>
          <w:color w:val="auto"/>
        </w:rPr>
        <w:t>Income Security Act, as amended, 29 U.S.C. § 1001 et seq.; the Worker Adjustment and Retraining Notification Act, as amended,</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29 U.S.C. § 2101 et seq.; the California Fair Employment and Housing Act, as amended, Cal. Lab. Code § 12940 et seq.; the</w:t>
      </w:r>
    </w:p>
    <w:p>
      <w:pPr>
        <w:ind w:left="880"/>
        <w:spacing w:after="0"/>
        <w:rPr>
          <w:sz w:val="20"/>
          <w:szCs w:val="20"/>
          <w:color w:val="auto"/>
        </w:rPr>
      </w:pPr>
      <w:r>
        <w:rPr>
          <w:rFonts w:ascii="Times New Roman" w:cs="Times New Roman" w:eastAsia="Times New Roman" w:hAnsi="Times New Roman"/>
          <w:sz w:val="19"/>
          <w:szCs w:val="19"/>
          <w:color w:val="auto"/>
        </w:rPr>
        <w:t>California Equal Pay Law, as amended, Cal. Lab. Code §§ 1197.5(a),199.5; the Moore-Brown-Roberti Family Rights Act of 1991,</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as amended, Cal. Gov’t Code §§12945.2, 19702.3; California Labor Code §§ 1101, 1102; the California WARN Act, California</w:t>
      </w:r>
    </w:p>
    <w:p>
      <w:pPr>
        <w:ind w:left="880"/>
        <w:spacing w:after="0"/>
        <w:rPr>
          <w:sz w:val="20"/>
          <w:szCs w:val="20"/>
          <w:color w:val="auto"/>
        </w:rPr>
      </w:pPr>
      <w:r>
        <w:rPr>
          <w:rFonts w:ascii="Times New Roman" w:cs="Times New Roman" w:eastAsia="Times New Roman" w:hAnsi="Times New Roman"/>
          <w:sz w:val="19"/>
          <w:szCs w:val="19"/>
          <w:color w:val="auto"/>
        </w:rPr>
        <w:t>Labor Code §§ 1400 et. seq; California Labor Code §§ 1102.5(a),(b); Claims for wages under the California Labor Code and any</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other federal, state or local laws of similar effect; the employment and civil rights laws of California; Claims for breach of implied</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or express contract; Claims arising in tort, including, without limitation, Claims of wrongful dismissal or discharge, discrimination,</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harassment, retaliation, fraud, misrepresentation, defamation, libel, slander, defamation, infliction of emotional distress, violation</w:t>
      </w:r>
    </w:p>
    <w:p>
      <w:pPr>
        <w:spacing w:after="0" w:line="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of public policy, and/or breach of the implied covenant of good faith and fair</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|US-DOCS\157122899.1||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71583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405" w:right="379" w:bottom="1440" w:gutter="0" w:footer="0" w:header="0"/>
        </w:sectPr>
      </w:pPr>
    </w:p>
    <w:bookmarkStart w:id="79" w:name="page80"/>
    <w:bookmarkEnd w:id="79"/>
    <w:p>
      <w:pPr>
        <w:ind w:left="880" w:right="420"/>
        <w:spacing w:after="0" w:line="266" w:lineRule="auto"/>
        <w:rPr>
          <w:sz w:val="20"/>
          <w:szCs w:val="20"/>
          <w:color w:val="auto"/>
        </w:rPr>
      </w:pPr>
      <w:r>
        <w:rPr>
          <w:rFonts w:ascii="Times New Roman" w:cs="Times New Roman" w:eastAsia="Times New Roman" w:hAnsi="Times New Roman"/>
          <w:sz w:val="20"/>
          <w:szCs w:val="20"/>
          <w:color w:val="auto"/>
        </w:rPr>
        <w:t>dealing; and Claims for damages or other remedies of any sort, including, without limitation, compensatory damages, punitive damages, injunctive relief and attorney’s fees.</w:t>
      </w:r>
    </w:p>
    <w:p>
      <w:pPr>
        <w:spacing w:after="0" w:line="15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i w:val="1"/>
          <w:iCs w:val="1"/>
          <w:color w:val="auto"/>
        </w:rPr>
        <w:t>Unreleased Claims.</w:t>
      </w:r>
      <w:r>
        <w:rPr>
          <w:rFonts w:ascii="Times New Roman" w:cs="Times New Roman" w:eastAsia="Times New Roman" w:hAnsi="Times New Roman"/>
          <w:sz w:val="20"/>
          <w:szCs w:val="20"/>
          <w:color w:val="auto"/>
        </w:rPr>
        <w:t xml:space="preserve"> Notwithstanding the generality of the foregoing, Executive does not release the</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following claims:</w:t>
      </w:r>
    </w:p>
    <w:p>
      <w:pPr>
        <w:spacing w:after="0" w:line="191" w:lineRule="exact"/>
        <w:rPr>
          <w:sz w:val="20"/>
          <w:szCs w:val="20"/>
          <w:color w:val="auto"/>
        </w:rPr>
      </w:pPr>
    </w:p>
    <w:p>
      <w:pPr>
        <w:ind w:left="1500" w:right="40" w:firstLine="1503"/>
        <w:spacing w:after="0" w:line="266" w:lineRule="auto"/>
        <w:tabs>
          <w:tab w:leader="none" w:pos="356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unemployment compensation or any state disability insurance benefits pursuant to the terms of applicable state law;</w:t>
      </w:r>
    </w:p>
    <w:p>
      <w:pPr>
        <w:spacing w:after="0" w:line="161" w:lineRule="exact"/>
        <w:rPr>
          <w:rFonts w:ascii="Times New Roman" w:cs="Times New Roman" w:eastAsia="Times New Roman" w:hAnsi="Times New Roman"/>
          <w:sz w:val="20"/>
          <w:szCs w:val="20"/>
          <w:color w:val="auto"/>
        </w:rPr>
      </w:pPr>
    </w:p>
    <w:p>
      <w:pPr>
        <w:ind w:left="1500" w:right="900" w:firstLine="1503"/>
        <w:spacing w:after="0" w:line="266" w:lineRule="auto"/>
        <w:tabs>
          <w:tab w:leader="none" w:pos="356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workers’ compensation insurance benefits under the terms of any worker’s compensation insurance policy or fund of the Company;</w:t>
      </w:r>
    </w:p>
    <w:p>
      <w:pPr>
        <w:spacing w:after="0" w:line="161" w:lineRule="exact"/>
        <w:rPr>
          <w:rFonts w:ascii="Times New Roman" w:cs="Times New Roman" w:eastAsia="Times New Roman" w:hAnsi="Times New Roman"/>
          <w:sz w:val="20"/>
          <w:szCs w:val="20"/>
          <w:color w:val="auto"/>
        </w:rPr>
      </w:pPr>
    </w:p>
    <w:p>
      <w:pPr>
        <w:ind w:left="1500" w:firstLine="1503"/>
        <w:spacing w:after="0" w:line="266" w:lineRule="auto"/>
        <w:tabs>
          <w:tab w:leader="none" w:pos="356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to continued participation in certain of the Company’s group benefit plans pursuant to the terms and conditions of COBRA;</w:t>
      </w:r>
    </w:p>
    <w:p>
      <w:pPr>
        <w:spacing w:after="0" w:line="161" w:lineRule="exact"/>
        <w:rPr>
          <w:rFonts w:ascii="Times New Roman" w:cs="Times New Roman" w:eastAsia="Times New Roman" w:hAnsi="Times New Roman"/>
          <w:sz w:val="20"/>
          <w:szCs w:val="20"/>
          <w:color w:val="auto"/>
        </w:rPr>
      </w:pPr>
    </w:p>
    <w:p>
      <w:pPr>
        <w:ind w:left="1500" w:right="320" w:firstLine="1503"/>
        <w:spacing w:after="0" w:line="266" w:lineRule="auto"/>
        <w:tabs>
          <w:tab w:leader="none" w:pos="356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to any benefit entitlements vested as the date of Executive’s employment termination, pursuant to written terms of any Company employee benefit plan;</w:t>
      </w:r>
    </w:p>
    <w:p>
      <w:pPr>
        <w:spacing w:after="0" w:line="161" w:lineRule="exact"/>
        <w:rPr>
          <w:rFonts w:ascii="Times New Roman" w:cs="Times New Roman" w:eastAsia="Times New Roman" w:hAnsi="Times New Roman"/>
          <w:sz w:val="20"/>
          <w:szCs w:val="20"/>
          <w:color w:val="auto"/>
        </w:rPr>
      </w:pPr>
    </w:p>
    <w:p>
      <w:pPr>
        <w:ind w:left="1500" w:right="60" w:firstLine="1503"/>
        <w:spacing w:after="0" w:line="266" w:lineRule="auto"/>
        <w:tabs>
          <w:tab w:leader="none" w:pos="356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indemnification under any written indemnification agreement between Executive and the Company, the Company’s Bylaws or any applicable law; and</w:t>
      </w:r>
    </w:p>
    <w:p>
      <w:pPr>
        <w:spacing w:after="0" w:line="161" w:lineRule="exact"/>
        <w:rPr>
          <w:rFonts w:ascii="Times New Roman" w:cs="Times New Roman" w:eastAsia="Times New Roman" w:hAnsi="Times New Roman"/>
          <w:sz w:val="20"/>
          <w:szCs w:val="20"/>
          <w:color w:val="auto"/>
        </w:rPr>
      </w:pPr>
    </w:p>
    <w:p>
      <w:pPr>
        <w:ind w:left="1500" w:right="300" w:firstLine="1503"/>
        <w:spacing w:after="0" w:line="252" w:lineRule="auto"/>
        <w:tabs>
          <w:tab w:leader="none" w:pos="356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Executive’s right to bring to the attention of the Equal Employment Opportunity Commission claims of discrimination;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Executive does release Executive’s right to secure any damages for alleged discriminatory treatment.</w:t>
      </w:r>
    </w:p>
    <w:p>
      <w:pPr>
        <w:spacing w:after="0" w:line="173" w:lineRule="exact"/>
        <w:rPr>
          <w:sz w:val="20"/>
          <w:szCs w:val="20"/>
          <w:color w:val="auto"/>
        </w:rPr>
      </w:pPr>
    </w:p>
    <w:p>
      <w:pPr>
        <w:ind w:left="880" w:right="380" w:firstLine="1498"/>
        <w:spacing w:after="0" w:line="268"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Acknowledgement.</w:t>
      </w:r>
      <w:r>
        <w:rPr>
          <w:rFonts w:ascii="Times New Roman" w:cs="Times New Roman" w:eastAsia="Times New Roman" w:hAnsi="Times New Roman"/>
          <w:sz w:val="20"/>
          <w:szCs w:val="20"/>
          <w:color w:val="auto"/>
        </w:rPr>
        <w:t xml:space="preserve"> In accordance with the Older Workers Benefit Protection Act of 1990, Executive has been advised of the following:</w:t>
      </w:r>
    </w:p>
    <w:p>
      <w:pPr>
        <w:spacing w:after="0" w:line="159" w:lineRule="exact"/>
        <w:rPr>
          <w:sz w:val="20"/>
          <w:szCs w:val="20"/>
          <w:color w:val="auto"/>
        </w:rPr>
      </w:pPr>
    </w:p>
    <w:p>
      <w:pPr>
        <w:ind w:left="3580" w:hanging="577"/>
        <w:spacing w:after="0"/>
        <w:tabs>
          <w:tab w:leader="none" w:pos="3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should consult with an attorney before signing this Release;</w:t>
      </w:r>
    </w:p>
    <w:p>
      <w:pPr>
        <w:spacing w:after="0" w:line="212"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has been given at least twenty-one (21) days to consider this Agreement;</w:t>
      </w:r>
    </w:p>
    <w:p>
      <w:pPr>
        <w:spacing w:after="0" w:line="212" w:lineRule="exact"/>
        <w:rPr>
          <w:rFonts w:ascii="Times New Roman" w:cs="Times New Roman" w:eastAsia="Times New Roman" w:hAnsi="Times New Roman"/>
          <w:sz w:val="20"/>
          <w:szCs w:val="20"/>
          <w:color w:val="auto"/>
        </w:rPr>
      </w:pPr>
    </w:p>
    <w:p>
      <w:pPr>
        <w:ind w:left="1500" w:right="60" w:firstLine="1503"/>
        <w:spacing w:after="0" w:line="261" w:lineRule="auto"/>
        <w:tabs>
          <w:tab w:leader="none" w:pos="356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Executive has seven (7) days after signing this Agreement to revoke it. If Executive wishes to revoke this Agreement, Executive must deliver notice of Executive’s revocation in writing, no later than 5:00 p.m. on the 7th day following Executive’s execution of this Agreement to Lloyd Rowland, Senior Vice President, General Counsel, email: </w:t>
      </w:r>
      <w:r>
        <w:rPr>
          <w:rFonts w:ascii="Times New Roman" w:cs="Times New Roman" w:eastAsia="Times New Roman" w:hAnsi="Times New Roman"/>
          <w:sz w:val="19"/>
          <w:szCs w:val="19"/>
          <w:color w:val="0563C1"/>
        </w:rPr>
        <w:t>lrowland@cytomx.com</w:t>
      </w:r>
      <w:r>
        <w:rPr>
          <w:rFonts w:ascii="Times New Roman" w:cs="Times New Roman" w:eastAsia="Times New Roman" w:hAnsi="Times New Roman"/>
          <w:sz w:val="19"/>
          <w:szCs w:val="19"/>
          <w:color w:val="auto"/>
        </w:rPr>
        <w:t>. Executive understands that if Executive revokes this Agreement, it will be null and void in its entirety, and Executive will not be entitled to any payments or benefits provided in Section 3 of this Agreement.</w:t>
      </w:r>
    </w:p>
    <w:p>
      <w:pPr>
        <w:spacing w:after="0" w:line="168" w:lineRule="exact"/>
        <w:rPr>
          <w:sz w:val="20"/>
          <w:szCs w:val="20"/>
          <w:color w:val="auto"/>
        </w:rPr>
      </w:pPr>
    </w:p>
    <w:p>
      <w:pPr>
        <w:ind w:left="880" w:right="200" w:firstLine="1498"/>
        <w:spacing w:after="0" w:line="293" w:lineRule="auto"/>
        <w:rPr>
          <w:sz w:val="20"/>
          <w:szCs w:val="20"/>
          <w:color w:val="auto"/>
        </w:rPr>
      </w:pPr>
      <w:r>
        <w:rPr>
          <w:rFonts w:ascii="Times New Roman" w:cs="Times New Roman" w:eastAsia="Times New Roman" w:hAnsi="Times New Roman"/>
          <w:sz w:val="19"/>
          <w:szCs w:val="19"/>
          <w:color w:val="auto"/>
        </w:rPr>
        <w:t>(d)EXECUTIVE ACKNOWLEDGES THAT EXECUTIVE HAS BEEN ADVISED OF AND IS FAMILIAR WITH THE PROVISIONS OF CALIFORNIA CIVIL CODE SECTION 1542, WHICH PROVIDES AS FOLLOWS: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|US-DOCS\157122899.1||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71583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80" w:name="page81"/>
    <w:bookmarkEnd w:id="80"/>
    <w:p>
      <w:pPr>
        <w:spacing w:after="0" w:line="176" w:lineRule="exact"/>
        <w:rPr>
          <w:sz w:val="20"/>
          <w:szCs w:val="20"/>
          <w:color w:val="auto"/>
        </w:rPr>
      </w:pPr>
    </w:p>
    <w:p>
      <w:pPr>
        <w:ind w:left="880" w:right="400"/>
        <w:spacing w:after="0" w:line="248" w:lineRule="auto"/>
        <w:rPr>
          <w:sz w:val="20"/>
          <w:szCs w:val="20"/>
          <w:color w:val="auto"/>
        </w:rPr>
      </w:pPr>
      <w:r>
        <w:rPr>
          <w:rFonts w:ascii="Times New Roman" w:cs="Times New Roman" w:eastAsia="Times New Roman" w:hAnsi="Times New Roman"/>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7" w:lineRule="exact"/>
        <w:rPr>
          <w:sz w:val="20"/>
          <w:szCs w:val="20"/>
          <w:color w:val="auto"/>
        </w:rPr>
      </w:pPr>
    </w:p>
    <w:p>
      <w:pPr>
        <w:ind w:left="880" w:right="380"/>
        <w:spacing w:after="0" w:line="254" w:lineRule="auto"/>
        <w:rPr>
          <w:sz w:val="20"/>
          <w:szCs w:val="20"/>
          <w:color w:val="auto"/>
        </w:rPr>
      </w:pPr>
      <w:r>
        <w:rPr>
          <w:rFonts w:ascii="Times New Roman" w:cs="Times New Roman" w:eastAsia="Times New Roman" w:hAnsi="Times New Roman"/>
          <w:sz w:val="20"/>
          <w:szCs w:val="20"/>
          <w:b w:val="1"/>
          <w:bCs w:val="1"/>
          <w:color w:val="auto"/>
        </w:rPr>
        <w:t>BEING AWARE OF SAID CODE SECTION, EXECUTIVE HEREBY EXPRESSLY WAIVES ANY RIGHTS EXECUTIVE MAY HAVE THEREUNDER, AS WELL AS UNDER ANY OTHER STATUTES OR COMMON LAW PRINCIPLES OF SIMILAR EFFECT.</w:t>
      </w:r>
    </w:p>
    <w:p>
      <w:pPr>
        <w:spacing w:after="0" w:line="173" w:lineRule="exact"/>
        <w:rPr>
          <w:sz w:val="20"/>
          <w:szCs w:val="20"/>
          <w:color w:val="auto"/>
        </w:rPr>
      </w:pPr>
    </w:p>
    <w:p>
      <w:pPr>
        <w:ind w:left="2040" w:hanging="250"/>
        <w:spacing w:after="0"/>
        <w:tabs>
          <w:tab w:leader="none" w:pos="20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 Transition and Transfer of Company Property</w:t>
      </w:r>
      <w:r>
        <w:rPr>
          <w:rFonts w:ascii="Times New Roman" w:cs="Times New Roman" w:eastAsia="Times New Roman" w:hAnsi="Times New Roman"/>
          <w:sz w:val="20"/>
          <w:szCs w:val="20"/>
          <w:color w:val="auto"/>
        </w:rPr>
        <w:t>. Executive further agrees that:</w:t>
      </w:r>
    </w:p>
    <w:p>
      <w:pPr>
        <w:spacing w:after="0" w:line="211" w:lineRule="exact"/>
        <w:rPr>
          <w:sz w:val="20"/>
          <w:szCs w:val="20"/>
          <w:color w:val="auto"/>
        </w:rPr>
      </w:pPr>
    </w:p>
    <w:p>
      <w:pPr>
        <w:ind w:left="880" w:right="100" w:firstLine="1498"/>
        <w:spacing w:after="0" w:line="24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i w:val="1"/>
          <w:iCs w:val="1"/>
          <w:color w:val="auto"/>
        </w:rPr>
        <w:t>Non-Disparagement</w:t>
      </w:r>
      <w:r>
        <w:rPr>
          <w:rFonts w:ascii="Times New Roman" w:cs="Times New Roman" w:eastAsia="Times New Roman" w:hAnsi="Times New Roman"/>
          <w:sz w:val="20"/>
          <w:szCs w:val="20"/>
          <w:color w:val="auto"/>
        </w:rPr>
        <w:t>. Executive agrees that Executive shall not disparage, criticize or defame the Company, its affiliates and their respective affiliates, directors, officers, agents, partners, stockholders, employees, products, services, technology or business, either publicly or privately. Nothing in this Agreement shall prevent Executive from discussing or disclosing information about unlawful acts in the workplace, such as discrimination or harassment or any other conduct that Executive has reason to believe is unlawful.</w:t>
      </w:r>
    </w:p>
    <w:p>
      <w:pPr>
        <w:spacing w:after="0" w:line="182" w:lineRule="exact"/>
        <w:rPr>
          <w:sz w:val="20"/>
          <w:szCs w:val="20"/>
          <w:color w:val="auto"/>
        </w:rPr>
      </w:pPr>
    </w:p>
    <w:p>
      <w:pPr>
        <w:ind w:left="880" w:right="100" w:firstLine="1498"/>
        <w:spacing w:after="0" w:line="243"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i w:val="1"/>
          <w:iCs w:val="1"/>
          <w:color w:val="auto"/>
        </w:rPr>
        <w:t>Transition</w:t>
      </w:r>
      <w:r>
        <w:rPr>
          <w:rFonts w:ascii="Times New Roman" w:cs="Times New Roman" w:eastAsia="Times New Roman" w:hAnsi="Times New Roman"/>
          <w:sz w:val="20"/>
          <w:szCs w:val="20"/>
          <w:color w:val="auto"/>
        </w:rPr>
        <w:t>. Each of the Company and Executive shall use their respective reasonable efforts to cooperate with each other in good faith to facilitate a smooth transition of Executive’s duties to other executive(s) of the Company. Without limiting the foregoing, Executive shall be available, on a non-exclusive basis, to respond to, and shall respond with reasonable promptness and completeness to, e-mail and telephone inquiries from the Company regarding transitional matters provided that such inquiries would not interfere in any significant manner with other business pursuits (including other employment) by Executive. For the avoidance of doubt, nothing in this Section 6(b) shall entitle Executive to the vesting of any stock options or otherwise prevent Executive’s unvested stock options from terminating effective as of the Termination Date.</w:t>
      </w:r>
    </w:p>
    <w:p>
      <w:pPr>
        <w:spacing w:after="0" w:line="182" w:lineRule="exact"/>
        <w:rPr>
          <w:sz w:val="20"/>
          <w:szCs w:val="20"/>
          <w:color w:val="auto"/>
        </w:rPr>
      </w:pPr>
    </w:p>
    <w:p>
      <w:pPr>
        <w:ind w:left="880" w:right="120" w:firstLine="1498"/>
        <w:spacing w:after="0" w:line="248"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i w:val="1"/>
          <w:iCs w:val="1"/>
          <w:color w:val="auto"/>
        </w:rPr>
        <w:t>Transfer of Company Property</w:t>
      </w:r>
      <w:r>
        <w:rPr>
          <w:rFonts w:ascii="Times New Roman" w:cs="Times New Roman" w:eastAsia="Times New Roman" w:hAnsi="Times New Roman"/>
          <w:sz w:val="20"/>
          <w:szCs w:val="20"/>
          <w:color w:val="auto"/>
        </w:rPr>
        <w:t>. On or within ten days of the Termination Date, Executive shall turn over to the Company all files, memoranda, records, and other documents, and any other physical or personal property which are the property of the Company and which Executive had in Executive’s possession, custody or control at the time Executive signed this Agreement.</w:t>
      </w:r>
    </w:p>
    <w:p>
      <w:pPr>
        <w:spacing w:after="0" w:line="179" w:lineRule="exact"/>
        <w:rPr>
          <w:sz w:val="20"/>
          <w:szCs w:val="20"/>
          <w:color w:val="auto"/>
        </w:rPr>
      </w:pPr>
    </w:p>
    <w:p>
      <w:pPr>
        <w:ind w:left="300" w:firstLine="1490"/>
        <w:spacing w:after="0" w:line="242" w:lineRule="auto"/>
        <w:tabs>
          <w:tab w:leader="none" w:pos="205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Executive Representations</w:t>
      </w:r>
      <w:r>
        <w:rPr>
          <w:rFonts w:ascii="Times New Roman" w:cs="Times New Roman" w:eastAsia="Times New Roman" w:hAnsi="Times New Roman"/>
          <w:sz w:val="20"/>
          <w:szCs w:val="20"/>
          <w:color w:val="auto"/>
        </w:rPr>
        <w:t>. Executive warrants and represents that (a) Executive has not filed or authorized the filing of any complaints, charges or lawsuits against the Company or any affiliate of the Company with any governmental agency or court, and that if, unbeknownst to Executive, such a complaint, charge or lawsuit has been filed on Executive’s behalf, Executive will immediately cause it to be withdrawn and dismissed, (b) Executive has reported all hours worked as of the date of this Agreement and has been paid all compensation, wages, bonuses, commissions, and/or benefits to which Executive may be entitled and no other compensation, wages, bonuses, commissions and/or benefits are due to her, except as provided in this Agreement, (c) Executive has no known workplace injuries or occupational diseases and has been provided and/or has not been denied any leave requested under the Family and Medical Leave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|US-DOCS\157122899.1||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71583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ind w:left="300" w:right="160"/>
        <w:spacing w:after="0" w:line="247" w:lineRule="auto"/>
        <w:rPr>
          <w:sz w:val="20"/>
          <w:szCs w:val="20"/>
          <w:color w:val="auto"/>
        </w:rPr>
      </w:pPr>
      <w:r>
        <w:rPr>
          <w:rFonts w:ascii="Times New Roman" w:cs="Times New Roman" w:eastAsia="Times New Roman" w:hAnsi="Times New Roman"/>
          <w:sz w:val="20"/>
          <w:szCs w:val="20"/>
          <w:color w:val="auto"/>
        </w:rPr>
        <w:t>Act or any similar state law, (d) the execution, delivery and performance of this Agreement by Executive does not and will not conflict with, breach, violate or cause a default under any agreement, contract or instrument to which Executive is a party or any judgment, order or decree to which Executive is subject, and (e) upon the execution and delivery of this Agreement by the Company and Executive, this Agreement will be a valid and binding obligation of Executive, enforceable in accordance with its terms.</w:t>
      </w:r>
    </w:p>
    <w:p>
      <w:pPr>
        <w:spacing w:after="0" w:line="181" w:lineRule="exact"/>
        <w:rPr>
          <w:sz w:val="20"/>
          <w:szCs w:val="20"/>
          <w:color w:val="auto"/>
        </w:rPr>
      </w:pPr>
    </w:p>
    <w:p>
      <w:pPr>
        <w:ind w:left="300" w:firstLine="1490"/>
        <w:spacing w:after="0" w:line="241" w:lineRule="auto"/>
        <w:tabs>
          <w:tab w:leader="none" w:pos="205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by Executive</w:t>
      </w:r>
      <w:r>
        <w:rPr>
          <w:rFonts w:ascii="Times New Roman" w:cs="Times New Roman" w:eastAsia="Times New Roman" w:hAnsi="Times New Roman"/>
          <w:sz w:val="20"/>
          <w:szCs w:val="20"/>
          <w:color w:val="auto"/>
        </w:rPr>
        <w:t>.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may be assigned or transferred by Executive, other than Executive’s rights to payments hereunder, which may be transferred only upon Executive’s death by will or operation of law.</w:t>
      </w:r>
    </w:p>
    <w:p>
      <w:pPr>
        <w:spacing w:after="0" w:line="189" w:lineRule="exact"/>
        <w:rPr>
          <w:rFonts w:ascii="Times New Roman" w:cs="Times New Roman" w:eastAsia="Times New Roman" w:hAnsi="Times New Roman"/>
          <w:sz w:val="20"/>
          <w:szCs w:val="20"/>
          <w:color w:val="auto"/>
        </w:rPr>
      </w:pPr>
    </w:p>
    <w:p>
      <w:pPr>
        <w:ind w:left="300" w:right="200" w:firstLine="1490"/>
        <w:spacing w:after="0" w:line="252" w:lineRule="auto"/>
        <w:tabs>
          <w:tab w:leader="none" w:pos="205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construed and enforced in accordance with, and the rights of the parties shall be governed by, the laws of the State of California or, where applicable, United States federal law, in each case, without regard to any conflicts of laws provisions or those of any state other than California.</w:t>
      </w:r>
    </w:p>
    <w:p>
      <w:pPr>
        <w:spacing w:after="0" w:line="175" w:lineRule="exact"/>
        <w:rPr>
          <w:sz w:val="20"/>
          <w:szCs w:val="20"/>
          <w:color w:val="auto"/>
        </w:rPr>
      </w:pPr>
    </w:p>
    <w:p>
      <w:pPr>
        <w:ind w:left="300" w:right="80" w:firstLine="1498"/>
        <w:spacing w:after="0" w:line="241"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This Agreement, collectively with the Confidentiality Agreement, any written indemnification agreement between Executive and the Company and the Stock Option Agreements, comprises the entire agreement between the parties with regard to the subject matter hereof and supersedes, in their entirety, any other agreements between Executive and the Company with regard to the subject matter hereof, including, without limitation, the Severance Agreement. The Company and Executive acknowledge that the termination of the Executive’s employment with the Company is intended to constitute an involuntary separation from service for the purposes of Section 409A of the Code, and the related Department of Treasury regulations. Executive acknowledges that there are no other agreements, written, oral or implied, and that Executive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spacing w:after="0" w:line="187" w:lineRule="exact"/>
        <w:rPr>
          <w:sz w:val="20"/>
          <w:szCs w:val="20"/>
          <w:color w:val="auto"/>
        </w:rPr>
      </w:pPr>
    </w:p>
    <w:p>
      <w:pPr>
        <w:ind w:left="300" w:firstLine="1498"/>
        <w:spacing w:after="0" w:line="252"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Company Assignment and Successors</w:t>
      </w:r>
      <w:r>
        <w:rPr>
          <w:rFonts w:ascii="Times New Roman" w:cs="Times New Roman" w:eastAsia="Times New Roman" w:hAnsi="Times New Roman"/>
          <w:sz w:val="20"/>
          <w:szCs w:val="20"/>
          <w:color w:val="auto"/>
        </w:rPr>
        <w:t>.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w:t>
      </w:r>
    </w:p>
    <w:p>
      <w:pPr>
        <w:spacing w:after="0" w:line="175" w:lineRule="exact"/>
        <w:rPr>
          <w:sz w:val="20"/>
          <w:szCs w:val="20"/>
          <w:color w:val="auto"/>
        </w:rPr>
      </w:pPr>
    </w:p>
    <w:p>
      <w:pPr>
        <w:ind w:left="300" w:right="120" w:firstLine="1498"/>
        <w:spacing w:after="0" w:line="252"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Maintaining Confidential Information</w:t>
      </w:r>
      <w:r>
        <w:rPr>
          <w:rFonts w:ascii="Times New Roman" w:cs="Times New Roman" w:eastAsia="Times New Roman" w:hAnsi="Times New Roman"/>
          <w:sz w:val="20"/>
          <w:szCs w:val="20"/>
          <w:color w:val="auto"/>
        </w:rPr>
        <w:t>. Executive reaffirms Executive’s obligations under the Confidentiality Agreement. Executive acknowledges and agrees that the payments provided in Section 3 above shall be subject to Executive’s continued compliance with</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|US-DOCS\157122899.1||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71583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05" w:right="359"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20"/>
          <w:szCs w:val="20"/>
          <w:color w:val="auto"/>
        </w:rPr>
        <w:t>Executive’s obligations under the Confidentiality Agreement. For the avoidance of doubt, nothing in this Agreement or the Confidentiality Agreement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Executive does not need the prior authorization of the Company to make any such reports or disclosures, and Executive is not required to notify the Company that Executive has made such reports or disclosures. Furthermore, in accordance with 18 U.S.C. § 1833, notwithstanding anything to the contrary in the Confidentiality Agreement or this Agreement: (i) Executive shall not be in breach of the Confidentiality Agreement or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87" w:lineRule="exact"/>
        <w:rPr>
          <w:sz w:val="20"/>
          <w:szCs w:val="20"/>
          <w:color w:val="auto"/>
        </w:rPr>
      </w:pPr>
    </w:p>
    <w:p>
      <w:pPr>
        <w:ind w:left="300" w:firstLine="1498"/>
        <w:spacing w:after="0" w:line="242" w:lineRule="auto"/>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u w:val="single" w:color="auto"/>
          <w:color w:val="auto"/>
        </w:rPr>
        <w:t>Executive’s Cooperation</w:t>
      </w:r>
      <w:r>
        <w:rPr>
          <w:rFonts w:ascii="Times New Roman" w:cs="Times New Roman" w:eastAsia="Times New Roman" w:hAnsi="Times New Roman"/>
          <w:sz w:val="20"/>
          <w:szCs w:val="20"/>
          <w:color w:val="auto"/>
        </w:rPr>
        <w:t xml:space="preserve">. After the Termination Date,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Executive’s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Executive’s employment);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any such request by the Company shall not be unduly burdensome or interfere with Executive’s personal schedule or ability to engage in gainful employment.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|US-DOCS\157122899.1||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470535</wp:posOffset>
            </wp:positionV>
            <wp:extent cx="71583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83" w:name="page84"/>
    <w:bookmarkEnd w:id="83"/>
    <w:p>
      <w:pPr>
        <w:ind w:firstLine="393"/>
        <w:spacing w:after="0" w:line="266" w:lineRule="auto"/>
        <w:rPr>
          <w:sz w:val="20"/>
          <w:szCs w:val="20"/>
          <w:color w:val="auto"/>
        </w:rPr>
      </w:pPr>
      <w:r>
        <w:rPr>
          <w:rFonts w:ascii="Times New Roman" w:cs="Times New Roman" w:eastAsia="Times New Roman" w:hAnsi="Times New Roman"/>
          <w:sz w:val="20"/>
          <w:szCs w:val="20"/>
          <w:color w:val="auto"/>
        </w:rPr>
        <w:t>IN WITNESS WHEREOF, the undersigned have caused this Separation Agreement to be duly executed and delivered as of the date indicated next to their respective signatures below.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DATED: 2/10/2025</w:t>
            </w:r>
          </w:p>
        </w:tc>
        <w:tc>
          <w:tcPr>
            <w:tcW w:w="3780" w:type="dxa"/>
            <w:vAlign w:val="bottom"/>
          </w:tcPr>
          <w:p>
            <w:pPr>
              <w:ind w:left="1180"/>
              <w:spacing w:after="0"/>
              <w:rPr>
                <w:sz w:val="20"/>
                <w:szCs w:val="20"/>
                <w:color w:val="auto"/>
              </w:rPr>
            </w:pPr>
            <w:r>
              <w:rPr>
                <w:rFonts w:ascii="Times New Roman" w:cs="Times New Roman" w:eastAsia="Times New Roman" w:hAnsi="Times New Roman"/>
                <w:sz w:val="20"/>
                <w:szCs w:val="20"/>
                <w:i w:val="1"/>
                <w:iCs w:val="1"/>
                <w:color w:val="auto"/>
              </w:rPr>
              <w:t>/s/ Jeffrey Landau</w:t>
            </w:r>
          </w:p>
        </w:tc>
        <w:tc>
          <w:tcPr>
            <w:tcW w:w="0" w:type="dxa"/>
            <w:vAlign w:val="bottom"/>
          </w:tcPr>
          <w:p>
            <w:pPr>
              <w:spacing w:after="0"/>
              <w:rPr>
                <w:sz w:val="1"/>
                <w:szCs w:val="1"/>
                <w:color w:val="auto"/>
              </w:rPr>
            </w:pPr>
          </w:p>
        </w:tc>
      </w:tr>
      <w:tr>
        <w:trPr>
          <w:trHeight w:val="228"/>
        </w:trPr>
        <w:tc>
          <w:tcPr>
            <w:tcW w:w="1980" w:type="dxa"/>
            <w:vAlign w:val="bottom"/>
          </w:tcPr>
          <w:p>
            <w:pPr>
              <w:spacing w:after="0"/>
              <w:rPr>
                <w:sz w:val="19"/>
                <w:szCs w:val="19"/>
                <w:color w:val="auto"/>
              </w:rPr>
            </w:pPr>
          </w:p>
        </w:tc>
        <w:tc>
          <w:tcPr>
            <w:tcW w:w="3780" w:type="dxa"/>
            <w:vAlign w:val="bottom"/>
          </w:tcPr>
          <w:p>
            <w:pPr>
              <w:ind w:left="380"/>
              <w:spacing w:after="0" w:line="229" w:lineRule="exact"/>
              <w:rPr>
                <w:sz w:val="20"/>
                <w:szCs w:val="20"/>
                <w:color w:val="auto"/>
              </w:rPr>
            </w:pPr>
            <w:r>
              <w:rPr>
                <w:rFonts w:ascii="Times New Roman" w:cs="Times New Roman" w:eastAsia="Times New Roman" w:hAnsi="Times New Roman"/>
                <w:sz w:val="20"/>
                <w:szCs w:val="20"/>
                <w:color w:val="auto"/>
                <w:w w:val="99"/>
              </w:rPr>
              <w:t>__________________________________</w:t>
            </w:r>
          </w:p>
        </w:tc>
        <w:tc>
          <w:tcPr>
            <w:tcW w:w="0" w:type="dxa"/>
            <w:vAlign w:val="bottom"/>
          </w:tcPr>
          <w:p>
            <w:pPr>
              <w:spacing w:after="0"/>
              <w:rPr>
                <w:sz w:val="1"/>
                <w:szCs w:val="1"/>
                <w:color w:val="auto"/>
              </w:rPr>
            </w:pPr>
          </w:p>
        </w:tc>
      </w:tr>
      <w:tr>
        <w:trPr>
          <w:trHeight w:val="257"/>
        </w:trPr>
        <w:tc>
          <w:tcPr>
            <w:tcW w:w="1980" w:type="dxa"/>
            <w:vAlign w:val="bottom"/>
          </w:tcPr>
          <w:p>
            <w:pPr>
              <w:spacing w:after="0"/>
              <w:rPr>
                <w:sz w:val="22"/>
                <w:szCs w:val="22"/>
                <w:color w:val="auto"/>
              </w:rPr>
            </w:pPr>
          </w:p>
        </w:tc>
        <w:tc>
          <w:tcPr>
            <w:tcW w:w="3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Jeffrey Landau</w:t>
            </w:r>
          </w:p>
        </w:tc>
        <w:tc>
          <w:tcPr>
            <w:tcW w:w="0" w:type="dxa"/>
            <w:vAlign w:val="bottom"/>
          </w:tcPr>
          <w:p>
            <w:pPr>
              <w:spacing w:after="0"/>
              <w:rPr>
                <w:sz w:val="1"/>
                <w:szCs w:val="1"/>
                <w:color w:val="auto"/>
              </w:rPr>
            </w:pPr>
          </w:p>
        </w:tc>
      </w:tr>
      <w:tr>
        <w:trPr>
          <w:trHeight w:val="684"/>
        </w:trPr>
        <w:tc>
          <w:tcPr>
            <w:tcW w:w="1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DATED: 2/10/2025</w:t>
            </w:r>
          </w:p>
        </w:tc>
        <w:tc>
          <w:tcPr>
            <w:tcW w:w="378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CYTOMX THERAPEUTICS, INC.</w:t>
            </w:r>
          </w:p>
        </w:tc>
        <w:tc>
          <w:tcPr>
            <w:tcW w:w="0" w:type="dxa"/>
            <w:vAlign w:val="bottom"/>
          </w:tcPr>
          <w:p>
            <w:pPr>
              <w:spacing w:after="0"/>
              <w:rPr>
                <w:sz w:val="1"/>
                <w:szCs w:val="1"/>
                <w:color w:val="auto"/>
              </w:rPr>
            </w:pPr>
          </w:p>
        </w:tc>
      </w:tr>
      <w:tr>
        <w:trPr>
          <w:trHeight w:val="228"/>
        </w:trPr>
        <w:tc>
          <w:tcPr>
            <w:tcW w:w="1980" w:type="dxa"/>
            <w:vAlign w:val="bottom"/>
            <w:vMerge w:val="continue"/>
          </w:tcPr>
          <w:p>
            <w:pPr>
              <w:spacing w:after="0"/>
              <w:rPr>
                <w:sz w:val="19"/>
                <w:szCs w:val="19"/>
                <w:color w:val="auto"/>
              </w:rPr>
            </w:pP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980" w:type="dxa"/>
            <w:vAlign w:val="bottom"/>
          </w:tcPr>
          <w:p>
            <w:pPr>
              <w:spacing w:after="0"/>
              <w:rPr>
                <w:sz w:val="24"/>
                <w:szCs w:val="24"/>
                <w:color w:val="auto"/>
              </w:rPr>
            </w:pPr>
          </w:p>
        </w:tc>
        <w:tc>
          <w:tcPr>
            <w:tcW w:w="3780" w:type="dxa"/>
            <w:vAlign w:val="bottom"/>
          </w:tcPr>
          <w:p>
            <w:pPr>
              <w:ind w:left="780"/>
              <w:spacing w:after="0"/>
              <w:rPr>
                <w:sz w:val="20"/>
                <w:szCs w:val="20"/>
                <w:color w:val="auto"/>
              </w:rPr>
            </w:pPr>
            <w:r>
              <w:rPr>
                <w:rFonts w:ascii="Times New Roman" w:cs="Times New Roman" w:eastAsia="Times New Roman" w:hAnsi="Times New Roman"/>
                <w:sz w:val="20"/>
                <w:szCs w:val="20"/>
                <w:i w:val="1"/>
                <w:iCs w:val="1"/>
                <w:color w:val="auto"/>
              </w:rPr>
              <w:t>/s/ Lloyd Rowland</w:t>
            </w: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378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8"/>
              </w:rPr>
              <w:t>By: _______________________________</w:t>
            </w:r>
          </w:p>
        </w:tc>
        <w:tc>
          <w:tcPr>
            <w:tcW w:w="0" w:type="dxa"/>
            <w:vAlign w:val="bottom"/>
          </w:tcPr>
          <w:p>
            <w:pPr>
              <w:spacing w:after="0"/>
              <w:rPr>
                <w:sz w:val="1"/>
                <w:szCs w:val="1"/>
                <w:color w:val="auto"/>
              </w:rPr>
            </w:pPr>
          </w:p>
        </w:tc>
      </w:tr>
    </w:tbl>
    <w:p>
      <w:pPr>
        <w:ind w:left="400"/>
        <w:spacing w:after="0" w:line="238" w:lineRule="auto"/>
        <w:rPr>
          <w:sz w:val="20"/>
          <w:szCs w:val="20"/>
          <w:color w:val="auto"/>
        </w:rPr>
      </w:pPr>
      <w:r>
        <w:rPr>
          <w:rFonts w:ascii="Times New Roman" w:cs="Times New Roman" w:eastAsia="Times New Roman" w:hAnsi="Times New Roman"/>
          <w:sz w:val="20"/>
          <w:szCs w:val="20"/>
          <w:color w:val="auto"/>
        </w:rPr>
        <w:t>Name: Lloyd Rowland</w:t>
      </w:r>
    </w:p>
    <w:p>
      <w:pPr>
        <w:ind w:left="4500"/>
        <w:spacing w:after="0"/>
        <w:rPr>
          <w:sz w:val="20"/>
          <w:szCs w:val="20"/>
          <w:color w:val="auto"/>
        </w:rPr>
      </w:pPr>
      <w:r>
        <w:rPr>
          <w:rFonts w:ascii="Times New Roman" w:cs="Times New Roman" w:eastAsia="Times New Roman" w:hAnsi="Times New Roman"/>
          <w:sz w:val="20"/>
          <w:szCs w:val="20"/>
          <w:color w:val="auto"/>
        </w:rPr>
        <w:t>Title: SVP, General Counsel and Chief Compliance Officer</w:t>
      </w:r>
    </w:p>
    <w:p>
      <w:pPr>
        <w:spacing w:after="0" w:line="20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[Signature page to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912495</wp:posOffset>
            </wp:positionV>
            <wp:extent cx="71583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320" w:top="1163" w:right="77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McCarthy, Chief Executive Officer of CytomX Therapeutics, Inc., certify that:</w:t>
      </w:r>
    </w:p>
    <w:p>
      <w:pPr>
        <w:spacing w:after="0" w:line="115" w:lineRule="exact"/>
        <w:rPr>
          <w:sz w:val="20"/>
          <w:szCs w:val="20"/>
          <w:color w:val="auto"/>
        </w:rPr>
      </w:pPr>
    </w:p>
    <w:p>
      <w:pPr>
        <w:ind w:left="1020" w:hanging="504"/>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CytomX Therapeutics, Inc.;</w:t>
      </w:r>
    </w:p>
    <w:p>
      <w:pPr>
        <w:spacing w:after="0" w:line="222" w:lineRule="exact"/>
        <w:rPr>
          <w:rFonts w:ascii="Times New Roman" w:cs="Times New Roman" w:eastAsia="Times New Roman" w:hAnsi="Times New Roman"/>
          <w:sz w:val="18"/>
          <w:szCs w:val="18"/>
          <w:color w:val="auto"/>
        </w:rPr>
      </w:pPr>
    </w:p>
    <w:p>
      <w:pPr>
        <w:jc w:val="both"/>
        <w:ind w:left="1020" w:right="80" w:hanging="504"/>
        <w:spacing w:after="0" w:line="264"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180" w:hanging="504"/>
        <w:spacing w:after="0" w:line="221" w:lineRule="exact"/>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15d-15(e)) and internal control over financial reporting (as defined in Exchange Act Rules 13a-15(f) and 15d-15(f)) for the registrant and have:</w:t>
      </w:r>
    </w:p>
    <w:p>
      <w:pPr>
        <w:spacing w:after="0" w:line="89" w:lineRule="exact"/>
        <w:rPr>
          <w:rFonts w:ascii="Times New Roman" w:cs="Times New Roman" w:eastAsia="Times New Roman" w:hAnsi="Times New Roman"/>
          <w:sz w:val="18"/>
          <w:szCs w:val="18"/>
          <w:color w:val="auto"/>
        </w:rPr>
      </w:pPr>
    </w:p>
    <w:p>
      <w:pPr>
        <w:ind w:left="1540" w:right="660" w:hanging="515"/>
        <w:spacing w:after="0" w:line="264"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40" w:right="240" w:hanging="515"/>
        <w:spacing w:after="0" w:line="264"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40" w:hanging="515"/>
        <w:spacing w:after="0" w:line="310" w:lineRule="auto"/>
        <w:tabs>
          <w:tab w:leader="none" w:pos="15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40" w:right="20" w:hanging="515"/>
        <w:spacing w:after="0" w:line="264"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140" w:hanging="504"/>
        <w:spacing w:after="0" w:line="310" w:lineRule="auto"/>
        <w:tabs>
          <w:tab w:leader="none" w:pos="10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80" w:hanging="515"/>
        <w:spacing w:after="0" w:line="279"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1540" w:right="560" w:hanging="515"/>
        <w:spacing w:after="0" w:line="279"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Sean A. McCarthy</w:t>
            </w:r>
          </w:p>
        </w:tc>
      </w:tr>
      <w:tr>
        <w:trPr>
          <w:trHeight w:val="213"/>
        </w:trPr>
        <w:tc>
          <w:tcPr>
            <w:tcW w:w="3340" w:type="dxa"/>
            <w:vAlign w:val="bottom"/>
          </w:tcPr>
          <w:p>
            <w:pPr>
              <w:spacing w:after="0"/>
              <w:rPr>
                <w:sz w:val="18"/>
                <w:szCs w:val="18"/>
                <w:color w:val="auto"/>
              </w:rPr>
            </w:pP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Sean A. McCarthy, D. Phil.</w:t>
            </w:r>
          </w:p>
        </w:tc>
        <w:tc>
          <w:tcPr>
            <w:tcW w:w="580" w:type="dxa"/>
            <w:vAlign w:val="bottom"/>
          </w:tcPr>
          <w:p>
            <w:pPr>
              <w:spacing w:after="0"/>
              <w:rPr>
                <w:sz w:val="18"/>
                <w:szCs w:val="18"/>
                <w:color w:val="auto"/>
              </w:rPr>
            </w:pPr>
          </w:p>
        </w:tc>
      </w:tr>
      <w:tr>
        <w:trPr>
          <w:trHeight w:val="217"/>
        </w:trPr>
        <w:tc>
          <w:tcPr>
            <w:tcW w:w="3340" w:type="dxa"/>
            <w:vAlign w:val="bottom"/>
          </w:tcPr>
          <w:p>
            <w:pPr>
              <w:spacing w:after="0"/>
              <w:rPr>
                <w:sz w:val="18"/>
                <w:szCs w:val="18"/>
                <w:color w:val="auto"/>
              </w:rPr>
            </w:pP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5"/>
        </w:trPr>
        <w:tc>
          <w:tcPr>
            <w:tcW w:w="33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188"/>
        </w:trPr>
        <w:tc>
          <w:tcPr>
            <w:tcW w:w="33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W. Ogden, Chief Financial Officer of CytomX Therapeutics, Inc., certify that:</w:t>
      </w:r>
    </w:p>
    <w:p>
      <w:pPr>
        <w:spacing w:after="0" w:line="115" w:lineRule="exact"/>
        <w:rPr>
          <w:sz w:val="20"/>
          <w:szCs w:val="20"/>
          <w:color w:val="auto"/>
        </w:rPr>
      </w:pPr>
    </w:p>
    <w:p>
      <w:pPr>
        <w:ind w:left="1020" w:hanging="504"/>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CytomX Therapeutics, Inc.;</w:t>
      </w:r>
    </w:p>
    <w:p>
      <w:pPr>
        <w:spacing w:after="0" w:line="222" w:lineRule="exact"/>
        <w:rPr>
          <w:rFonts w:ascii="Times New Roman" w:cs="Times New Roman" w:eastAsia="Times New Roman" w:hAnsi="Times New Roman"/>
          <w:sz w:val="18"/>
          <w:szCs w:val="18"/>
          <w:color w:val="auto"/>
        </w:rPr>
      </w:pPr>
    </w:p>
    <w:p>
      <w:pPr>
        <w:jc w:val="both"/>
        <w:ind w:left="1020" w:right="80" w:hanging="504"/>
        <w:spacing w:after="0" w:line="264"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180" w:hanging="504"/>
        <w:spacing w:after="0" w:line="221" w:lineRule="exact"/>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15d-15(e)) and internal control over financial reporting (as defined in Exchange Act Rules 13a-15(f) and 15d-15(f)) for the registrant and have:</w:t>
      </w:r>
    </w:p>
    <w:p>
      <w:pPr>
        <w:spacing w:after="0" w:line="89" w:lineRule="exact"/>
        <w:rPr>
          <w:rFonts w:ascii="Times New Roman" w:cs="Times New Roman" w:eastAsia="Times New Roman" w:hAnsi="Times New Roman"/>
          <w:sz w:val="18"/>
          <w:szCs w:val="18"/>
          <w:color w:val="auto"/>
        </w:rPr>
      </w:pPr>
    </w:p>
    <w:p>
      <w:pPr>
        <w:ind w:left="1540" w:right="660" w:hanging="515"/>
        <w:spacing w:after="0" w:line="264"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540" w:right="240" w:hanging="515"/>
        <w:spacing w:after="0" w:line="264"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540" w:right="40" w:hanging="515"/>
        <w:spacing w:after="0" w:line="310" w:lineRule="auto"/>
        <w:tabs>
          <w:tab w:leader="none" w:pos="154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540" w:right="20" w:hanging="515"/>
        <w:spacing w:after="0" w:line="264"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140" w:hanging="504"/>
        <w:spacing w:after="0" w:line="310"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80" w:hanging="515"/>
        <w:spacing w:after="0" w:line="279"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8"/>
          <w:szCs w:val="18"/>
          <w:color w:val="auto"/>
        </w:rPr>
      </w:pPr>
    </w:p>
    <w:p>
      <w:pPr>
        <w:ind w:left="1540" w:right="560" w:hanging="515"/>
        <w:spacing w:after="0" w:line="279" w:lineRule="auto"/>
        <w:tabs>
          <w:tab w:leader="none" w:pos="15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W. Ogden</w:t>
            </w:r>
          </w:p>
        </w:tc>
      </w:tr>
      <w:tr>
        <w:trPr>
          <w:trHeight w:val="213"/>
        </w:trPr>
        <w:tc>
          <w:tcPr>
            <w:tcW w:w="3340" w:type="dxa"/>
            <w:vAlign w:val="bottom"/>
          </w:tcPr>
          <w:p>
            <w:pPr>
              <w:spacing w:after="0"/>
              <w:rPr>
                <w:sz w:val="18"/>
                <w:szCs w:val="18"/>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Christopher W. Ogden</w:t>
            </w:r>
          </w:p>
        </w:tc>
        <w:tc>
          <w:tcPr>
            <w:tcW w:w="580" w:type="dxa"/>
            <w:vAlign w:val="bottom"/>
          </w:tcPr>
          <w:p>
            <w:pPr>
              <w:spacing w:after="0"/>
              <w:rPr>
                <w:sz w:val="18"/>
                <w:szCs w:val="18"/>
                <w:color w:val="auto"/>
              </w:rPr>
            </w:pPr>
          </w:p>
        </w:tc>
      </w:tr>
      <w:tr>
        <w:trPr>
          <w:trHeight w:val="217"/>
        </w:trPr>
        <w:tc>
          <w:tcPr>
            <w:tcW w:w="3340" w:type="dxa"/>
            <w:vAlign w:val="bottom"/>
          </w:tcPr>
          <w:p>
            <w:pPr>
              <w:spacing w:after="0"/>
              <w:rPr>
                <w:sz w:val="18"/>
                <w:szCs w:val="18"/>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5"/>
        </w:trPr>
        <w:tc>
          <w:tcPr>
            <w:tcW w:w="33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1188"/>
        </w:trPr>
        <w:tc>
          <w:tcPr>
            <w:tcW w:w="33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CytomX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March 31,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Sean A. McCarthy, Chief Executive Officer of the Company, certify, pursuant to 18 U.S.C. Section 1350, as adopted pursuant to Section 906 of the Sarbanes-Oxley Act of 2002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w:t>
      </w:r>
    </w:p>
    <w:p>
      <w:pPr>
        <w:spacing w:after="0" w:line="69" w:lineRule="exact"/>
        <w:rPr>
          <w:sz w:val="20"/>
          <w:szCs w:val="20"/>
          <w:color w:val="auto"/>
        </w:rPr>
      </w:pPr>
    </w:p>
    <w:p>
      <w:pPr>
        <w:ind w:left="520" w:hanging="513"/>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5"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McCarthy</w:t>
            </w:r>
          </w:p>
        </w:tc>
      </w:tr>
      <w:tr>
        <w:trPr>
          <w:trHeight w:val="186"/>
        </w:trPr>
        <w:tc>
          <w:tcPr>
            <w:tcW w:w="3360" w:type="dxa"/>
            <w:vAlign w:val="bottom"/>
          </w:tcPr>
          <w:p>
            <w:pPr>
              <w:spacing w:after="0"/>
              <w:rPr>
                <w:sz w:val="16"/>
                <w:szCs w:val="16"/>
                <w:color w:val="auto"/>
              </w:rPr>
            </w:pPr>
          </w:p>
        </w:tc>
        <w:tc>
          <w:tcPr>
            <w:tcW w:w="2600" w:type="dxa"/>
            <w:vAlign w:val="bottom"/>
          </w:tcPr>
          <w:p>
            <w:pPr>
              <w:ind w:left="1900"/>
              <w:spacing w:after="0" w:line="186"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Sean A. McCarthy, D. Phil.</w:t>
            </w:r>
          </w:p>
        </w:tc>
      </w:tr>
      <w:tr>
        <w:trPr>
          <w:trHeight w:val="217"/>
        </w:trPr>
        <w:tc>
          <w:tcPr>
            <w:tcW w:w="3360" w:type="dxa"/>
            <w:vAlign w:val="bottom"/>
          </w:tcPr>
          <w:p>
            <w:pPr>
              <w:spacing w:after="0"/>
              <w:rPr>
                <w:sz w:val="18"/>
                <w:szCs w:val="18"/>
                <w:color w:val="auto"/>
              </w:rPr>
            </w:pPr>
          </w:p>
        </w:tc>
        <w:tc>
          <w:tcPr>
            <w:tcW w:w="2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5"/>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1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577850</wp:posOffset>
            </wp:positionV>
            <wp:extent cx="71583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CytomX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March 31,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Christopher W. Ogden, Chief Financial Officer of the Company, certify, pursuant to 18 U.S.C. Section 1350, as adopted pursuant to Section 906 of the Sarbanes-Oxley Act of 2002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w:t>
      </w:r>
    </w:p>
    <w:p>
      <w:pPr>
        <w:spacing w:after="0" w:line="69" w:lineRule="exact"/>
        <w:rPr>
          <w:sz w:val="20"/>
          <w:szCs w:val="20"/>
          <w:color w:val="auto"/>
        </w:rPr>
      </w:pPr>
    </w:p>
    <w:p>
      <w:pPr>
        <w:ind w:left="520" w:hanging="513"/>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5"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W. Ogden</w:t>
            </w:r>
          </w:p>
        </w:tc>
      </w:tr>
      <w:tr>
        <w:trPr>
          <w:trHeight w:val="186"/>
        </w:trPr>
        <w:tc>
          <w:tcPr>
            <w:tcW w:w="3360" w:type="dxa"/>
            <w:vAlign w:val="bottom"/>
          </w:tcPr>
          <w:p>
            <w:pPr>
              <w:spacing w:after="0"/>
              <w:rPr>
                <w:sz w:val="16"/>
                <w:szCs w:val="16"/>
                <w:color w:val="auto"/>
              </w:rPr>
            </w:pPr>
          </w:p>
        </w:tc>
        <w:tc>
          <w:tcPr>
            <w:tcW w:w="2580" w:type="dxa"/>
            <w:vAlign w:val="bottom"/>
          </w:tcPr>
          <w:p>
            <w:pPr>
              <w:ind w:left="1900"/>
              <w:spacing w:after="0" w:line="186"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Christopher W. Ogden</w:t>
            </w:r>
          </w:p>
        </w:tc>
      </w:tr>
      <w:tr>
        <w:trPr>
          <w:trHeight w:val="217"/>
        </w:trPr>
        <w:tc>
          <w:tcPr>
            <w:tcW w:w="3360" w:type="dxa"/>
            <w:vAlign w:val="bottom"/>
          </w:tcPr>
          <w:p>
            <w:pPr>
              <w:spacing w:after="0"/>
              <w:rPr>
                <w:sz w:val="18"/>
                <w:szCs w:val="18"/>
                <w:color w:val="auto"/>
              </w:rPr>
            </w:pP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5"/>
        </w:trPr>
        <w:tc>
          <w:tcPr>
            <w:tcW w:w="3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bl>
    <w:p>
      <w:pPr>
        <w:spacing w:after="0" w:line="1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441325</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6"/>
    </w:lvl>
    <w:lvl w:ilvl="1">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endash "/>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04"/>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upperLetter"/>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lowerLetter"/>
      <w:start w:val="4"/>
    </w:lvl>
  </w:abstractNum>
  <w:abstractNum w:abstractNumId="45">
    <w:nsid w:val="1BA026FA"/>
    <w:multiLevelType w:val="hybridMultilevel"/>
    <w:lvl w:ilvl="0">
      <w:lvlJc w:val="left"/>
      <w:lvlText w:val="%1."/>
      <w:numFmt w:val="decimal"/>
      <w:start w:val="4"/>
    </w:lvl>
  </w:abstractNum>
  <w:abstractNum w:abstractNumId="46">
    <w:nsid w:val="79A1DEAA"/>
    <w:multiLevelType w:val="hybridMultilevel"/>
    <w:lvl w:ilvl="0">
      <w:lvlJc w:val="left"/>
      <w:lvlText w:val="%1."/>
      <w:numFmt w:val="decimal"/>
      <w:start w:val="5"/>
    </w:lvl>
  </w:abstractNum>
  <w:abstractNum w:abstractNumId="47">
    <w:nsid w:val="75C6C33A"/>
    <w:multiLevelType w:val="hybridMultilevel"/>
    <w:lvl w:ilvl="0">
      <w:lvlJc w:val="left"/>
      <w:lvlText w:val="(%1)"/>
      <w:numFmt w:val="lowerRoman"/>
      <w:start w:val="1"/>
    </w:lvl>
  </w:abstractNum>
  <w:abstractNum w:abstractNumId="48">
    <w:nsid w:val="12E685FB"/>
    <w:multiLevelType w:val="hybridMultilevel"/>
    <w:lvl w:ilvl="0">
      <w:lvlJc w:val="left"/>
      <w:lvlText w:val="(%1)"/>
      <w:numFmt w:val="lowerRoman"/>
      <w:start w:val="1"/>
    </w:lvl>
  </w:abstractNum>
  <w:abstractNum w:abstractNumId="49">
    <w:nsid w:val="70C6A529"/>
    <w:multiLevelType w:val="hybridMultilevel"/>
    <w:lvl w:ilvl="0">
      <w:lvlJc w:val="left"/>
      <w:lvlText w:val="%1."/>
      <w:numFmt w:val="decimal"/>
      <w:start w:val="6"/>
    </w:lvl>
  </w:abstractNum>
  <w:abstractNum w:abstractNumId="50">
    <w:nsid w:val="520EEDD1"/>
    <w:multiLevelType w:val="hybridMultilevel"/>
    <w:lvl w:ilvl="0">
      <w:lvlJc w:val="left"/>
      <w:lvlText w:val="%1."/>
      <w:numFmt w:val="decimal"/>
      <w:start w:val="7"/>
    </w:lvl>
  </w:abstractNum>
  <w:abstractNum w:abstractNumId="51">
    <w:nsid w:val="374A3FE6"/>
    <w:multiLevelType w:val="hybridMultilevel"/>
    <w:lvl w:ilvl="0">
      <w:lvlJc w:val="left"/>
      <w:lvlText w:val="%1."/>
      <w:numFmt w:val="decimal"/>
      <w:start w:val="8"/>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198" Type="http://schemas.openxmlformats.org/officeDocument/2006/relationships/hyperlink" Target="https://www.sec.gov/ix?doc=/Archives/edgar/data/0001501989/000119312524141699/d816353d8k.htm" TargetMode="External"/><Relationship Id="rId199" Type="http://schemas.openxmlformats.org/officeDocument/2006/relationships/hyperlink" Target="https://www.sec.gov/ix?doc=/Archives/edgar/data/0001501989/000119312524075211/d803852d8k.htm" TargetMode="External"/><Relationship Id="rId200" Type="http://schemas.openxmlformats.org/officeDocument/2006/relationships/hyperlink" Target="https://www.sec.gov/Archives/edgar/data/0001501989/000119312515329662/d94853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2025-05-12T05:25:33Z</dcterms:created>
  <dcterms:modified xsi:type="dcterms:W3CDTF">2025-05-12T05:25:33Z</dcterms:modified>
</cp:coreProperties>
</file>